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62A65" w14:textId="0C098324" w:rsidR="009E65DA" w:rsidRPr="00DD2B52" w:rsidRDefault="009E65DA" w:rsidP="009E65DA">
      <w:pPr>
        <w:pStyle w:val="NormalWeb"/>
        <w:spacing w:before="0" w:beforeAutospacing="0" w:after="0" w:afterAutospacing="0"/>
        <w:jc w:val="both"/>
        <w:rPr>
          <w:rFonts w:asciiTheme="minorHAnsi" w:hAnsiTheme="minorHAnsi" w:cstheme="minorHAnsi"/>
          <w:b/>
        </w:rPr>
      </w:pPr>
      <w:r w:rsidRPr="00DD2B52">
        <w:rPr>
          <w:rFonts w:asciiTheme="minorHAnsi" w:hAnsiTheme="minorHAnsi" w:cstheme="minorHAnsi"/>
          <w:b/>
        </w:rPr>
        <w:t xml:space="preserve">1.- Panorama Económico y Financiero </w:t>
      </w:r>
      <w:r w:rsidR="008E48E4" w:rsidRPr="00DD2B52">
        <w:rPr>
          <w:rFonts w:asciiTheme="minorHAnsi" w:hAnsiTheme="minorHAnsi" w:cstheme="minorHAnsi"/>
          <w:b/>
        </w:rPr>
        <w:t>al cierre del</w:t>
      </w:r>
      <w:r w:rsidRPr="00DD2B52">
        <w:rPr>
          <w:rFonts w:asciiTheme="minorHAnsi" w:hAnsiTheme="minorHAnsi" w:cstheme="minorHAnsi"/>
          <w:b/>
        </w:rPr>
        <w:t xml:space="preserve"> ejercicio 202</w:t>
      </w:r>
      <w:r w:rsidR="00751ECC" w:rsidRPr="00DD2B52">
        <w:rPr>
          <w:rFonts w:asciiTheme="minorHAnsi" w:hAnsiTheme="minorHAnsi" w:cstheme="minorHAnsi"/>
          <w:b/>
        </w:rPr>
        <w:t>4</w:t>
      </w:r>
      <w:r w:rsidRPr="00DD2B52">
        <w:rPr>
          <w:rFonts w:asciiTheme="minorHAnsi" w:hAnsiTheme="minorHAnsi" w:cstheme="minorHAnsi"/>
          <w:b/>
        </w:rPr>
        <w:t>.</w:t>
      </w:r>
    </w:p>
    <w:p w14:paraId="0C7522E3" w14:textId="77777777" w:rsidR="009E65DA" w:rsidRPr="00DD2B52" w:rsidRDefault="009E65DA" w:rsidP="009E65DA">
      <w:pPr>
        <w:pStyle w:val="NormalWeb"/>
        <w:spacing w:before="0" w:beforeAutospacing="0" w:after="0" w:afterAutospacing="0"/>
        <w:jc w:val="both"/>
        <w:rPr>
          <w:rFonts w:asciiTheme="minorHAnsi" w:hAnsiTheme="minorHAnsi" w:cstheme="minorHAnsi"/>
          <w:b/>
        </w:rPr>
      </w:pPr>
    </w:p>
    <w:p w14:paraId="22EBA776" w14:textId="0DF786BF" w:rsidR="00751ECC" w:rsidRPr="00DD2B52" w:rsidRDefault="00751ECC" w:rsidP="00751ECC">
      <w:pPr>
        <w:jc w:val="both"/>
        <w:rPr>
          <w:rFonts w:cs="Calibri"/>
          <w:b/>
          <w:sz w:val="24"/>
          <w:szCs w:val="24"/>
        </w:rPr>
      </w:pPr>
      <w:r w:rsidRPr="00DD2B52">
        <w:rPr>
          <w:rFonts w:cs="Calibri"/>
          <w:b/>
          <w:sz w:val="24"/>
          <w:szCs w:val="24"/>
        </w:rPr>
        <w:t>1.1.- Panorama Económico Internacional.</w:t>
      </w:r>
    </w:p>
    <w:p w14:paraId="458419C8" w14:textId="77777777" w:rsidR="00751ECC" w:rsidRPr="00DD2B52" w:rsidRDefault="00751ECC" w:rsidP="00751ECC">
      <w:pPr>
        <w:jc w:val="both"/>
        <w:rPr>
          <w:rFonts w:cs="Calibri"/>
          <w:color w:val="000000" w:themeColor="text1"/>
        </w:rPr>
      </w:pPr>
      <w:r w:rsidRPr="00DD2B52">
        <w:rPr>
          <w:rFonts w:cs="Calibri"/>
          <w:color w:val="000000" w:themeColor="text1"/>
        </w:rPr>
        <w:t>La Reserva Federal (Fed) recortó su tasa de interés de referencia en 25 puntos base (pb), situándola en el rango 4,25%-4,5%. En el comunicado, se mantuvo el mensaje de que recientes indicadores sugieren una actividad económica que ha continuado expandiéndose a un sólido ritmo. Desde principios de año, las condiciones del mercado laboral en general han mejorado y la tasa de desempleo ha aumentado, pero sigue siendo baja. La inflación ha avanzado hacia el objetivo del 2%, pero sigue siendo algo elevada. La votación no fue unánime, si no que hubo un voto disidente de mantener la tasa en esta reunión.</w:t>
      </w:r>
    </w:p>
    <w:p w14:paraId="77DDE52B" w14:textId="77777777" w:rsidR="00751ECC" w:rsidRPr="00DD2B52" w:rsidRDefault="00751ECC" w:rsidP="00751ECC">
      <w:pPr>
        <w:jc w:val="both"/>
        <w:rPr>
          <w:rFonts w:cs="Calibri"/>
          <w:color w:val="000000" w:themeColor="text1"/>
        </w:rPr>
      </w:pPr>
      <w:r w:rsidRPr="00DD2B52">
        <w:rPr>
          <w:rFonts w:cs="Calibri"/>
          <w:color w:val="000000" w:themeColor="text1"/>
        </w:rPr>
        <w:t xml:space="preserve">La actividad y el mercado laboral en Estados Unidos se han mostrado más resilientes, con una inflación algo mayor a lo esperado por la autoridad monetaria.  El PMI de servicios sorprendió al mercado (efectivo: 58,5; esperado: 55,8; anterior: 56,1), registrando su expansión más alta en tres años, lo que contrasta con el PMI de manufacturas, el que cayó a su nivel más bajo desde mayo 2020 (efectivo: 48,3; esperado: 49,5; anterior: 49,6). Los datos muestran una creciente divergencia en la economía, caracterizada por un sólido crecimiento en los servicios y un deterioro más elevado en la industria manufacturera. El dato de IPC de noviembre confirma las dificultades en el tramo de convergencia hacia la meta del 2%. La inflación aumentó 0,3% mensual y alcanzó 2,7% </w:t>
      </w:r>
      <w:proofErr w:type="spellStart"/>
      <w:r w:rsidRPr="00DD2B52">
        <w:rPr>
          <w:rFonts w:cs="Calibri"/>
          <w:color w:val="000000" w:themeColor="text1"/>
        </w:rPr>
        <w:t>a/a</w:t>
      </w:r>
      <w:proofErr w:type="spellEnd"/>
      <w:r w:rsidRPr="00DD2B52">
        <w:rPr>
          <w:rFonts w:cs="Calibri"/>
          <w:color w:val="000000" w:themeColor="text1"/>
        </w:rPr>
        <w:t xml:space="preserve"> (desde el 2,6% en el mes previo), mientras que la medida subyacente subió 0,3% mensual y se mantuvo en 3,3% a/a.</w:t>
      </w:r>
    </w:p>
    <w:p w14:paraId="16ADA8D2" w14:textId="77777777" w:rsidR="00751ECC" w:rsidRPr="00DD2B52" w:rsidRDefault="00751ECC" w:rsidP="00751ECC">
      <w:pPr>
        <w:jc w:val="both"/>
        <w:rPr>
          <w:rFonts w:cs="Calibri"/>
          <w:color w:val="000000" w:themeColor="text1"/>
        </w:rPr>
      </w:pPr>
      <w:r w:rsidRPr="00DD2B52">
        <w:rPr>
          <w:rFonts w:cs="Calibri"/>
          <w:color w:val="000000" w:themeColor="text1"/>
        </w:rPr>
        <w:t xml:space="preserve">Hacia adelante, se esperan menos recortes que los proyectados en septiembre señalando una mayor cautela sobre la rapidez con la que pueden seguir reduciendo las tasas. Jerome Powell señaló, en su discurso </w:t>
      </w:r>
      <w:proofErr w:type="spellStart"/>
      <w:r w:rsidRPr="00DD2B52">
        <w:rPr>
          <w:rFonts w:cs="Calibri"/>
          <w:color w:val="000000" w:themeColor="text1"/>
        </w:rPr>
        <w:t>post-reunión</w:t>
      </w:r>
      <w:proofErr w:type="spellEnd"/>
      <w:r w:rsidRPr="00DD2B52">
        <w:rPr>
          <w:rFonts w:cs="Calibri"/>
          <w:color w:val="000000" w:themeColor="text1"/>
        </w:rPr>
        <w:t xml:space="preserve"> que la economía de </w:t>
      </w:r>
      <w:proofErr w:type="gramStart"/>
      <w:r w:rsidRPr="00DD2B52">
        <w:rPr>
          <w:rFonts w:cs="Calibri"/>
          <w:color w:val="000000" w:themeColor="text1"/>
        </w:rPr>
        <w:t>EE.UU.</w:t>
      </w:r>
      <w:proofErr w:type="gramEnd"/>
      <w:r w:rsidRPr="00DD2B52">
        <w:rPr>
          <w:rFonts w:cs="Calibri"/>
          <w:color w:val="000000" w:themeColor="text1"/>
        </w:rPr>
        <w:t xml:space="preserve"> ha crecido a un ritmo fuerte la segunda mitad de 2024 y la inflación ha sido más alta de lo esperado. Asimismo, enfatizó que futuros recortes requerirían nuevos avances en la inflación. Por su parte, las proyecciones del FOMC muestran una mediana de dos recortes de tasas en 2025, dos adicionales en 2026 y uno en 2027, lo que representa un ajuste de 50 pb por sobre lo proyectado en septiembre. La reacción del mercado fue significativa, donde la tasa del bono del tesoro a 10 años subió en torno a 10pb y el DXY se apreció cerca de un 1% post comunicado y discurso de Powell.</w:t>
      </w:r>
    </w:p>
    <w:p w14:paraId="1F32400E" w14:textId="77777777" w:rsidR="00751ECC" w:rsidRPr="00DD2B52" w:rsidRDefault="00751ECC" w:rsidP="00751ECC">
      <w:pPr>
        <w:jc w:val="both"/>
        <w:rPr>
          <w:rFonts w:cs="Calibri"/>
          <w:color w:val="000000" w:themeColor="text1"/>
        </w:rPr>
      </w:pPr>
      <w:r w:rsidRPr="00DD2B52">
        <w:rPr>
          <w:rFonts w:cs="Calibri"/>
          <w:color w:val="000000" w:themeColor="text1"/>
        </w:rPr>
        <w:t xml:space="preserve">Banco Central Europeo (BCE) recortó 25 pb su tasa de facilidad de depósito por cuarta vez en el año, dejándola en 3%. Si bien en el comunicado se eliminó la referencia de “mantener los tipos de interés suficientemente restrictivos durante el tiempo que sea necesario”, señaló que los recortes realizados hasta ahora (100 pb este año) ya han cubierto mucho terreno en términos de flexibilización. Además, el BCE actualizó su proyección de crecimiento del PIB de la Zona </w:t>
      </w:r>
      <w:proofErr w:type="gramStart"/>
      <w:r w:rsidRPr="00DD2B52">
        <w:rPr>
          <w:rFonts w:cs="Calibri"/>
          <w:color w:val="000000" w:themeColor="text1"/>
        </w:rPr>
        <w:t>Euro</w:t>
      </w:r>
      <w:proofErr w:type="gramEnd"/>
      <w:r w:rsidRPr="00DD2B52">
        <w:rPr>
          <w:rFonts w:cs="Calibri"/>
          <w:color w:val="000000" w:themeColor="text1"/>
        </w:rPr>
        <w:t>, estimando una expansión de 0,7% en 2024, 1,1% en 2025 y 1,4% en 2026. El BCE advirtió además que los riesgos para el crecimiento están sesgados a la baja, mientras que aquellos para la inflación están equilibrados.</w:t>
      </w:r>
    </w:p>
    <w:p w14:paraId="65D022AA" w14:textId="77777777" w:rsidR="00751ECC" w:rsidRPr="00DD2B52" w:rsidRDefault="00751ECC" w:rsidP="00751ECC">
      <w:pPr>
        <w:jc w:val="both"/>
        <w:rPr>
          <w:rFonts w:cs="Calibri"/>
          <w:color w:val="000000" w:themeColor="text1"/>
        </w:rPr>
      </w:pPr>
      <w:r w:rsidRPr="00DD2B52">
        <w:rPr>
          <w:rFonts w:cs="Calibri"/>
          <w:color w:val="000000" w:themeColor="text1"/>
        </w:rPr>
        <w:t xml:space="preserve">Las tensiones geopolíticas, la incertidumbre fiscal en </w:t>
      </w:r>
      <w:proofErr w:type="gramStart"/>
      <w:r w:rsidRPr="00DD2B52">
        <w:rPr>
          <w:rFonts w:cs="Calibri"/>
          <w:color w:val="000000" w:themeColor="text1"/>
        </w:rPr>
        <w:t>EE.UU.</w:t>
      </w:r>
      <w:proofErr w:type="gramEnd"/>
      <w:r w:rsidRPr="00DD2B52">
        <w:rPr>
          <w:rFonts w:cs="Calibri"/>
          <w:color w:val="000000" w:themeColor="text1"/>
        </w:rPr>
        <w:t xml:space="preserve"> y el anuncio de la Fed imprimieron volatilidad a los mercados globales. El dólar global (DXY </w:t>
      </w:r>
      <w:proofErr w:type="spellStart"/>
      <w:r w:rsidRPr="00DD2B52">
        <w:rPr>
          <w:rFonts w:cs="Calibri"/>
          <w:color w:val="000000" w:themeColor="text1"/>
        </w:rPr>
        <w:t>index</w:t>
      </w:r>
      <w:proofErr w:type="spellEnd"/>
      <w:r w:rsidRPr="00DD2B52">
        <w:rPr>
          <w:rFonts w:cs="Calibri"/>
          <w:color w:val="000000" w:themeColor="text1"/>
        </w:rPr>
        <w:t xml:space="preserve">) se ha apreciado 1,9% desde nuestro último informe mensual (28 de noviembre). Por su parte, las tasas largas de bonos soberanos aumentaron más de 20 pb </w:t>
      </w:r>
      <w:r w:rsidRPr="00DD2B52">
        <w:rPr>
          <w:rFonts w:cs="Calibri"/>
          <w:color w:val="000000" w:themeColor="text1"/>
        </w:rPr>
        <w:lastRenderedPageBreak/>
        <w:t>(</w:t>
      </w:r>
      <w:proofErr w:type="gramStart"/>
      <w:r w:rsidRPr="00DD2B52">
        <w:rPr>
          <w:rFonts w:cs="Calibri"/>
          <w:color w:val="000000" w:themeColor="text1"/>
        </w:rPr>
        <w:t>EE.UU.</w:t>
      </w:r>
      <w:proofErr w:type="gramEnd"/>
      <w:r w:rsidRPr="00DD2B52">
        <w:rPr>
          <w:rFonts w:cs="Calibri"/>
          <w:color w:val="000000" w:themeColor="text1"/>
        </w:rPr>
        <w:t xml:space="preserve"> 10y: 4,49%). Finalmente, el SP&amp;500 luego de superar los 6.000 puntos, máximo histórico, revertió parte del alza y luego del anuncio de la Fed cayó más del 2%.</w:t>
      </w:r>
    </w:p>
    <w:p w14:paraId="7CCEBBD4" w14:textId="77777777" w:rsidR="00751ECC" w:rsidRPr="00DD2B52" w:rsidRDefault="00751ECC" w:rsidP="00751ECC">
      <w:pPr>
        <w:jc w:val="both"/>
        <w:rPr>
          <w:rFonts w:cs="Calibri"/>
          <w:color w:val="000000" w:themeColor="text1"/>
        </w:rPr>
      </w:pPr>
      <w:r w:rsidRPr="00DD2B52">
        <w:rPr>
          <w:rFonts w:cs="Calibri"/>
          <w:color w:val="000000" w:themeColor="text1"/>
        </w:rPr>
        <w:t xml:space="preserve">Anuncio de estímulos en China aún generan escepticismo, mientras que ventas minoristas de noviembre confirman la desaceleración del consumo.  El gobierno chino reafirmó las promesas de estímulos económicos para incentivar la economía. En la reunión del politburó del 9 de diciembre, prometieron fortalecer los "ajustes de política anticíclica no convencionales" y "expandir de manera integral la demanda interna", a la vez que cambiaron la postura de su política monetaria de "prudente" a "moderadamente laxa". La última vez que el Banco Popular de China caracterizó su postura de política monetaria como "moderadamente laxa" se remonta a 2009-2010, pasando el mercado desde expectativas bajas </w:t>
      </w:r>
      <w:proofErr w:type="spellStart"/>
      <w:r w:rsidRPr="00DD2B52">
        <w:rPr>
          <w:rFonts w:cs="Calibri"/>
          <w:color w:val="000000" w:themeColor="text1"/>
        </w:rPr>
        <w:t>pre-reunión</w:t>
      </w:r>
      <w:proofErr w:type="spellEnd"/>
      <w:r w:rsidRPr="00DD2B52">
        <w:rPr>
          <w:rFonts w:cs="Calibri"/>
          <w:color w:val="000000" w:themeColor="text1"/>
        </w:rPr>
        <w:t xml:space="preserve"> a una visión más positiva una vez hechos los anuncios. No obstante, el último dato de ventas minoristas de noviembre enfrió los ánimos al decepcionar al mercado (efectivo: 3,0%; esperado: 5,0%; anterior: 4,8%), lo que pone de manifiesto la desaceleración del consumo y la necesidad de medidas más estructurales para incentivar el consumo y el mercado inmobiliario.</w:t>
      </w:r>
    </w:p>
    <w:p w14:paraId="2208BFAF" w14:textId="77777777" w:rsidR="00751ECC" w:rsidRPr="00DD2B52" w:rsidRDefault="00751ECC" w:rsidP="00751ECC">
      <w:pPr>
        <w:jc w:val="both"/>
        <w:rPr>
          <w:rFonts w:cs="Calibri"/>
          <w:color w:val="000000" w:themeColor="text1"/>
        </w:rPr>
      </w:pPr>
      <w:r w:rsidRPr="00DD2B52">
        <w:rPr>
          <w:rFonts w:cs="Calibri"/>
          <w:color w:val="000000" w:themeColor="text1"/>
        </w:rPr>
        <w:t xml:space="preserve">El Banco Central de Brasil incrementó su tasa </w:t>
      </w:r>
      <w:proofErr w:type="spellStart"/>
      <w:r w:rsidRPr="00DD2B52">
        <w:rPr>
          <w:rFonts w:cs="Calibri"/>
          <w:color w:val="000000" w:themeColor="text1"/>
        </w:rPr>
        <w:t>Selic</w:t>
      </w:r>
      <w:proofErr w:type="spellEnd"/>
      <w:r w:rsidRPr="00DD2B52">
        <w:rPr>
          <w:rFonts w:cs="Calibri"/>
          <w:color w:val="000000" w:themeColor="text1"/>
        </w:rPr>
        <w:t xml:space="preserve"> en 100 pb, llevándola a 12,25%. Asimismo, el comunicado de la decisión anticipa dos nuevas alzas de la misma magnitud. Estos movimientos se dan en un contexto donde el pasado 28 de noviembre el real brasileño cayó a un mínimo histórico, mientras que la bolsa de valores retrocedió fuertemente debido a la preocupación del mercado por la situación fiscal del país tras propuestas de recortes por parte del gobierno que consideraron insuficientes para abordar el déficit fiscal (recorte de 11.800 millones de dólares). El crecimiento del PIB del 3T24, que sorprendió al alza con un avance de 4% a/a, no sirvió para tranquilizar los temores, sino que acrecentó los miedos de un sobrecalentamiento en la economía. La decisión del Banco Central, por lo tanto, es consistente con el deterioro que han mostrado las expectativas de inflación y busca reforzar la credibilidad de la política monetaria.</w:t>
      </w:r>
    </w:p>
    <w:p w14:paraId="44AE663B" w14:textId="77777777" w:rsidR="00751ECC" w:rsidRPr="00DD2B52" w:rsidRDefault="00751ECC" w:rsidP="00751ECC">
      <w:pPr>
        <w:jc w:val="both"/>
        <w:rPr>
          <w:rFonts w:cs="Calibri"/>
          <w:color w:val="000000" w:themeColor="text1"/>
        </w:rPr>
      </w:pPr>
      <w:r w:rsidRPr="00DD2B52">
        <w:rPr>
          <w:rFonts w:cs="Calibri"/>
          <w:color w:val="000000" w:themeColor="text1"/>
        </w:rPr>
        <w:t xml:space="preserve">Petróleo evidencia volatilidad ante agitado entorno geopolítico. El precio del petróleo WTI había subido a US$ 71,29 por barril la semana pasada debido al aumento de la incertidumbre geopolítica en Oriente Próximo y a la nueva ronda de sanciones de la UE contra los flujos de petróleo ruso, pero esta semana ya ha retomado los niveles del mes anterior, bajando de los US$ 70 por barril. Por otro lado, el cobre también ha oscilado por distintos factores, entre los cuales destacan la incertidumbre respecto a su demanda por parte de China y por la posible guerra comercial entre esta última y </w:t>
      </w:r>
      <w:proofErr w:type="gramStart"/>
      <w:r w:rsidRPr="00DD2B52">
        <w:rPr>
          <w:rFonts w:cs="Calibri"/>
          <w:color w:val="000000" w:themeColor="text1"/>
        </w:rPr>
        <w:t>EE.UU.</w:t>
      </w:r>
      <w:proofErr w:type="gramEnd"/>
      <w:r w:rsidRPr="00DD2B52">
        <w:rPr>
          <w:rFonts w:cs="Calibri"/>
          <w:color w:val="000000" w:themeColor="text1"/>
        </w:rPr>
        <w:t>, lo que afectaría la demanda del metal rojo.</w:t>
      </w:r>
    </w:p>
    <w:p w14:paraId="7194AE1D" w14:textId="4BBCA348" w:rsidR="00751ECC" w:rsidRPr="00DD2B52" w:rsidRDefault="00751ECC" w:rsidP="00751ECC">
      <w:pPr>
        <w:jc w:val="both"/>
        <w:rPr>
          <w:rFonts w:cs="Calibri"/>
          <w:b/>
        </w:rPr>
      </w:pPr>
      <w:r w:rsidRPr="00DD2B52">
        <w:rPr>
          <w:rFonts w:cs="Calibri"/>
          <w:b/>
        </w:rPr>
        <w:t xml:space="preserve">1.2.- Mercado de valores. </w:t>
      </w:r>
    </w:p>
    <w:p w14:paraId="6FE86FB7" w14:textId="77777777" w:rsidR="00751ECC" w:rsidRPr="00DD2B52" w:rsidRDefault="00751ECC" w:rsidP="00751ECC">
      <w:pPr>
        <w:jc w:val="both"/>
        <w:rPr>
          <w:rFonts w:cs="Calibri"/>
          <w:color w:val="000000" w:themeColor="text1"/>
        </w:rPr>
      </w:pPr>
      <w:r w:rsidRPr="00DD2B52">
        <w:rPr>
          <w:rFonts w:cs="Calibri"/>
          <w:color w:val="000000" w:themeColor="text1"/>
        </w:rPr>
        <w:t>El 2024 será recordado como el año en que la Reserva Federal de Estados Unidos comenzó a recortar las tasas de interés por primera vez en cuatro años. Más allá de este hecho, el comportamiento de la tasa a 10 años desde septiembre muestra un aumento significativo de alrededor de 100 puntos básicos, pasando del 3,6% al 4,6% actual. Este movimiento se debe a una inflación más resistente a la baja y al triunfo de Donald Trump, cuyas políticas podrían generar mayores niveles inflacionarios.</w:t>
      </w:r>
    </w:p>
    <w:p w14:paraId="4312AFF3" w14:textId="77777777" w:rsidR="00751ECC" w:rsidRPr="00DD2B52" w:rsidRDefault="00751ECC" w:rsidP="00751ECC">
      <w:pPr>
        <w:jc w:val="both"/>
        <w:rPr>
          <w:rFonts w:cs="Calibri"/>
          <w:color w:val="000000" w:themeColor="text1"/>
        </w:rPr>
      </w:pPr>
      <w:r w:rsidRPr="00DD2B52">
        <w:rPr>
          <w:rFonts w:cs="Calibri"/>
          <w:color w:val="000000" w:themeColor="text1"/>
        </w:rPr>
        <w:lastRenderedPageBreak/>
        <w:t>En este contexto, la renta fija no tuvo un buen cierre de año en general, especialmente los instrumentos de mayor duración como los bonos del tesoro a mediano plazo y los bonos de grado de inversión. Estos activos cayeron 2,3% y 2,7% en diciembre, cerrando el 2024 con rendimientos de -0,6% y 0,9%, respectivamente. En contraste, los bonos de alto rendimiento y los bonos de mercados emergentes obtuvieron retornos anuales cercanos al 8,0% y al 5,5%, pese a la caída en el último mes, reflejando su correlación con el buen desempeño de las acciones, el activo de riesgo por excelencia.</w:t>
      </w:r>
    </w:p>
    <w:p w14:paraId="3EF4C97B" w14:textId="77777777" w:rsidR="00751ECC" w:rsidRPr="00DD2B52" w:rsidRDefault="00751ECC" w:rsidP="00751ECC">
      <w:pPr>
        <w:jc w:val="both"/>
        <w:rPr>
          <w:rFonts w:cs="Calibri"/>
          <w:color w:val="000000" w:themeColor="text1"/>
        </w:rPr>
      </w:pPr>
      <w:r w:rsidRPr="00DD2B52">
        <w:rPr>
          <w:rFonts w:cs="Calibri"/>
          <w:color w:val="000000" w:themeColor="text1"/>
        </w:rPr>
        <w:t>En un escenario de crecimiento económico robusto, con proyecciones de mejoras en productividad gracias a la inteligencia artificial y un gasto del consumidor pujante, las acciones tuvieron un año destacado, especialmente las tecnológicas. El S&amp;P500 cerró con una suba de 26,9%, mientras que el Nasdaq subió un 28,6%. Por otro lado, las acciones industriales cayeron un 4,6% en diciembre, pero lograron un rendimiento anual del 16,2%. La brecha de aproximadamente 12 puntos porcentuales entre el desempeño de las tecnológicas y los sectores más vinculados a la economía real, como el Dow Jones, subraya la relevancia de la inteligencia artificial como tendencia dominante.</w:t>
      </w:r>
    </w:p>
    <w:p w14:paraId="4FE2431B" w14:textId="77777777" w:rsidR="00751ECC" w:rsidRPr="00DD2B52" w:rsidRDefault="00751ECC" w:rsidP="00751ECC">
      <w:pPr>
        <w:jc w:val="both"/>
        <w:rPr>
          <w:rFonts w:cs="Calibri"/>
          <w:color w:val="000000" w:themeColor="text1"/>
        </w:rPr>
      </w:pPr>
    </w:p>
    <w:p w14:paraId="36355154" w14:textId="77777777" w:rsidR="00751ECC" w:rsidRPr="00DD2B52" w:rsidRDefault="00751ECC" w:rsidP="00751ECC">
      <w:pPr>
        <w:jc w:val="both"/>
        <w:rPr>
          <w:rFonts w:cs="Calibri"/>
          <w:color w:val="000000" w:themeColor="text1"/>
        </w:rPr>
      </w:pPr>
      <w:r w:rsidRPr="00DD2B52">
        <w:rPr>
          <w:rFonts w:cs="Calibri"/>
          <w:color w:val="000000" w:themeColor="text1"/>
        </w:rPr>
        <w:t>En Europa, las perspectivas no fueron tan favorables como en Estados Unidos. Sus principales economías como Alemania y Francia enfrentaron desafíos económicos y políticos, lo que explica el menor desempeño de sus mercados bursátiles. Las acciones europeas rindieron un 5,4% en 2024, marcando una diferencia de 10 puntos porcentuales respecto al Dow Jones. El Banco Central Europeo también redujo las tasas de interés varias veces en el año, llevando la tasa de corto plazo al 3%, comparada con el 4,25% de Estados Unidos. Este diferencial, junto con el panorama económico y político adverso, llevó al euro a depreciarse un 7% frente al dólar en 2024.</w:t>
      </w:r>
    </w:p>
    <w:p w14:paraId="367DDA49" w14:textId="77777777" w:rsidR="00751ECC" w:rsidRPr="00DD2B52" w:rsidRDefault="00751ECC" w:rsidP="00751ECC">
      <w:pPr>
        <w:jc w:val="both"/>
        <w:rPr>
          <w:rFonts w:cs="Calibri"/>
          <w:color w:val="000000" w:themeColor="text1"/>
        </w:rPr>
      </w:pPr>
      <w:r w:rsidRPr="00DD2B52">
        <w:rPr>
          <w:rFonts w:cs="Calibri"/>
          <w:color w:val="000000" w:themeColor="text1"/>
        </w:rPr>
        <w:t>En cuanto a China, el país experimentó un año complicado en términos de actividad económica, aunque se espera que alcance su objetivo de crecimiento del 5%, según declaraciones recientes del presidente Xi Jinping. Sin embargo, la crisis en el mercado inmobiliario y una posible intensificación de la “guerra comercial” con Estados Unidos generan preocupación. Las proyecciones para 2025 anticipan un menor crecimiento, acompañado de una probable reforma fiscal, una mayor competencia con Estados Unidos tanto en lo comercial como en lo geopolítico, y una renovación del 20% en la cúpula del partido comunista, lo que podría dar pistas sobre el rumbo del país en los próximos cinco años. A pesar de este contexto, las acciones chinas tuvieron un excelente desempeño en 2024, con un rendimiento cercano al 29,0%, impulsadas por los anuncios de estímulos monetarios y fiscales del gobierno central.</w:t>
      </w:r>
    </w:p>
    <w:p w14:paraId="152BE309" w14:textId="50149BC9" w:rsidR="00751ECC" w:rsidRPr="00DD2B52" w:rsidRDefault="00751ECC" w:rsidP="00751ECC">
      <w:pPr>
        <w:jc w:val="both"/>
        <w:rPr>
          <w:rFonts w:cs="Calibri"/>
          <w:b/>
        </w:rPr>
      </w:pPr>
      <w:r w:rsidRPr="00DD2B52">
        <w:rPr>
          <w:rFonts w:cs="Calibri"/>
          <w:b/>
        </w:rPr>
        <w:t xml:space="preserve">1.3.- Producto Interno Bruto. </w:t>
      </w:r>
    </w:p>
    <w:p w14:paraId="4FB192CE" w14:textId="77777777" w:rsidR="00751ECC" w:rsidRPr="00DD2B52" w:rsidRDefault="00751ECC" w:rsidP="00751ECC">
      <w:pPr>
        <w:jc w:val="both"/>
        <w:rPr>
          <w:rFonts w:cs="Calibri"/>
          <w:color w:val="000000" w:themeColor="text1"/>
        </w:rPr>
      </w:pPr>
      <w:r w:rsidRPr="00DD2B52">
        <w:rPr>
          <w:rFonts w:cs="Calibri"/>
          <w:color w:val="000000" w:themeColor="text1"/>
        </w:rPr>
        <w:t>La Organización para la Cooperación y el Desarrollo Económico espera que la economía mundial acelere ligeramente el año próximo, con una menor inflación, aunque con un alto grado de incertidumbre por factores como las tensiones geopolíticas en Medio Oriente y por la posibilidad de políticas más restrictivas para el comercio.</w:t>
      </w:r>
    </w:p>
    <w:p w14:paraId="6A59CE10" w14:textId="77777777" w:rsidR="00751ECC" w:rsidRPr="00DD2B52" w:rsidRDefault="00751ECC" w:rsidP="00751ECC">
      <w:pPr>
        <w:jc w:val="both"/>
        <w:rPr>
          <w:rFonts w:cs="Calibri"/>
          <w:color w:val="000000" w:themeColor="text1"/>
        </w:rPr>
      </w:pPr>
      <w:r w:rsidRPr="00DD2B52">
        <w:rPr>
          <w:rFonts w:cs="Calibri"/>
          <w:color w:val="000000" w:themeColor="text1"/>
        </w:rPr>
        <w:lastRenderedPageBreak/>
        <w:t>La OCDE, como también es conocido el organismo con sede en París, mantuvo sin cambios su estimado de crecimiento mundial para 2024 en 3.2% y mejoró la previsión para el avance del PIB global en 2025 de 3.2 a 3.3%. El estimado de crecimiento de 2026 fue establecido en 3.2%.</w:t>
      </w:r>
    </w:p>
    <w:p w14:paraId="124324DD" w14:textId="77777777" w:rsidR="00751ECC" w:rsidRPr="00DD2B52" w:rsidRDefault="00751ECC" w:rsidP="00751ECC">
      <w:pPr>
        <w:jc w:val="both"/>
        <w:rPr>
          <w:rFonts w:cs="Calibri"/>
          <w:color w:val="000000" w:themeColor="text1"/>
        </w:rPr>
      </w:pPr>
      <w:r w:rsidRPr="00DD2B52">
        <w:rPr>
          <w:rFonts w:cs="Calibri"/>
          <w:color w:val="000000" w:themeColor="text1"/>
        </w:rPr>
        <w:t>La economía mundial ha demostrado ser resiliente. La inflación ha seguido disminuyendo hacia los objetivos de los bancos centrales, mientras que el crecimiento se ha mantenido estable. Siguen existiendo desafíos importantes. Las tensiones geopolíticas plantean riesgos a corto plazo, los coeficientes de deuda pública son elevados y las perspectivas de crecimiento a mediano plazo son demasiado débiles.</w:t>
      </w:r>
    </w:p>
    <w:p w14:paraId="34E9FF16" w14:textId="01767F16" w:rsidR="00751ECC" w:rsidRPr="00DD2B52" w:rsidRDefault="00751ECC" w:rsidP="00751ECC">
      <w:pPr>
        <w:jc w:val="both"/>
        <w:rPr>
          <w:rFonts w:cs="Calibri"/>
          <w:b/>
        </w:rPr>
      </w:pPr>
      <w:r w:rsidRPr="00DD2B52">
        <w:rPr>
          <w:rFonts w:cs="Calibri"/>
          <w:b/>
        </w:rPr>
        <w:t xml:space="preserve">1.4.- Inflación. </w:t>
      </w:r>
    </w:p>
    <w:p w14:paraId="0FEBCFCE" w14:textId="77777777" w:rsidR="00751ECC" w:rsidRPr="00DD2B52" w:rsidRDefault="00751ECC" w:rsidP="00751ECC">
      <w:pPr>
        <w:jc w:val="both"/>
        <w:rPr>
          <w:rFonts w:cs="Calibri"/>
          <w:color w:val="000000" w:themeColor="text1"/>
        </w:rPr>
      </w:pPr>
      <w:r w:rsidRPr="00DD2B52">
        <w:rPr>
          <w:rFonts w:cs="Calibri"/>
          <w:color w:val="000000" w:themeColor="text1"/>
        </w:rPr>
        <w:t xml:space="preserve">La inflación en noviembre se ubica en torno a lo esperado. Sin sorpresas, la variación mensual del IPC se ubicó en 0,25% m/m, donde el mayor impulso vino de la mano del pasaje aéreo (25,3% m/m; incidencia 0,135pp.), lo que fue en parte contrarrestado por la caída en el precio de las bencinas (-2,3% m/m; -0,075pp.) beneficiado por la baja del precio internacional del petróleo. Con esto, el registro inflacionario anual retrocede hasta 4,2% (4,7% previo). Así, mantenemos nuestra visión de que el año cerrará con una inflación de 4,7%, algo por debajo de la proyección del Banco Central en su último </w:t>
      </w:r>
      <w:proofErr w:type="spellStart"/>
      <w:r w:rsidRPr="00DD2B52">
        <w:rPr>
          <w:rFonts w:cs="Calibri"/>
          <w:color w:val="000000" w:themeColor="text1"/>
        </w:rPr>
        <w:t>IPoM</w:t>
      </w:r>
      <w:proofErr w:type="spellEnd"/>
      <w:r w:rsidRPr="00DD2B52">
        <w:rPr>
          <w:rFonts w:cs="Calibri"/>
          <w:color w:val="000000" w:themeColor="text1"/>
        </w:rPr>
        <w:t xml:space="preserve"> (4,8% </w:t>
      </w:r>
      <w:proofErr w:type="spellStart"/>
      <w:r w:rsidRPr="00DD2B52">
        <w:rPr>
          <w:rFonts w:cs="Calibri"/>
          <w:color w:val="000000" w:themeColor="text1"/>
        </w:rPr>
        <w:t>a/a</w:t>
      </w:r>
      <w:proofErr w:type="spellEnd"/>
      <w:r w:rsidRPr="00DD2B52">
        <w:rPr>
          <w:rFonts w:cs="Calibri"/>
          <w:color w:val="000000" w:themeColor="text1"/>
        </w:rPr>
        <w:t xml:space="preserve"> vs 4,5% </w:t>
      </w:r>
      <w:proofErr w:type="spellStart"/>
      <w:r w:rsidRPr="00DD2B52">
        <w:rPr>
          <w:rFonts w:cs="Calibri"/>
          <w:color w:val="000000" w:themeColor="text1"/>
        </w:rPr>
        <w:t>IPoM</w:t>
      </w:r>
      <w:proofErr w:type="spellEnd"/>
      <w:r w:rsidRPr="00DD2B52">
        <w:rPr>
          <w:rFonts w:cs="Calibri"/>
          <w:color w:val="000000" w:themeColor="text1"/>
        </w:rPr>
        <w:t xml:space="preserve"> previo).</w:t>
      </w:r>
    </w:p>
    <w:p w14:paraId="648FB906" w14:textId="77777777" w:rsidR="00751ECC" w:rsidRPr="00DD2B52" w:rsidRDefault="00751ECC" w:rsidP="00751ECC">
      <w:pPr>
        <w:jc w:val="both"/>
        <w:rPr>
          <w:rFonts w:cs="Calibri"/>
          <w:color w:val="000000" w:themeColor="text1"/>
        </w:rPr>
      </w:pPr>
      <w:r w:rsidRPr="00DD2B52">
        <w:rPr>
          <w:rFonts w:cs="Calibri"/>
          <w:color w:val="000000" w:themeColor="text1"/>
        </w:rPr>
        <w:t>Inflación subyacente podría apuntar a una persistencia algo mayor a lo anticipado. Con un aumento en el margen de 0,28% m/m, el componente sin volátiles registró un incremento anual de 4%. El componente de servicios sin volátiles exhibió una variación mensual mayor (0,29%) con un avance interanual de 5% donde, al excluir las líneas de administrados e indexados, la inflación anual se ubica por sobre 7%. Esto da cuenta de factores que se mantienen rezagados en la convergencia, con una mayor persistencia. Por su parte, el componente de bienes (2,7% a/a) aún refleja un traspaso cambiario acotado.</w:t>
      </w:r>
    </w:p>
    <w:p w14:paraId="78B9F4F1" w14:textId="77777777" w:rsidR="00751ECC" w:rsidRPr="00DD2B52" w:rsidRDefault="00751ECC" w:rsidP="00751ECC">
      <w:pPr>
        <w:jc w:val="both"/>
        <w:rPr>
          <w:rFonts w:cs="Calibri"/>
          <w:color w:val="000000" w:themeColor="text1"/>
        </w:rPr>
      </w:pPr>
      <w:r w:rsidRPr="00DD2B52">
        <w:rPr>
          <w:rFonts w:cs="Calibri"/>
          <w:color w:val="000000" w:themeColor="text1"/>
        </w:rPr>
        <w:t xml:space="preserve">Factores de oferta y un tipo de cambio más depreciado continuarán transitoriamente presionando al alza la inflación. La depreciación de la moneda hasta ahora ha tenido efectos acotados en los precios, pero de mantenerse en estos niveles, podría observarse un mayor traspaso. A esto se suma el ya anticipado incremento tarifario de la electricidad en enero y la mayor indexación que darían un impulso en el corto plazo a los precios. El estancamiento del consumo contrarrestaría, en parte, estos efectos. Mantenemos nuestra visión de una rápida convergencia en la segunda parte de 2025, pero ajustamos al alza nuestra proyección de inflación a fin de año hasta 3,7% (desde 3,4% previo). Esta dinámica está en línea con los movimientos proyectados en el último </w:t>
      </w:r>
      <w:proofErr w:type="spellStart"/>
      <w:r w:rsidRPr="00DD2B52">
        <w:rPr>
          <w:rFonts w:cs="Calibri"/>
          <w:color w:val="000000" w:themeColor="text1"/>
        </w:rPr>
        <w:t>IPoM</w:t>
      </w:r>
      <w:proofErr w:type="spellEnd"/>
      <w:r w:rsidRPr="00DD2B52">
        <w:rPr>
          <w:rFonts w:cs="Calibri"/>
          <w:color w:val="000000" w:themeColor="text1"/>
        </w:rPr>
        <w:t>, pero con el Banco Central estimando una inflación al cierre de año de 3,6%.</w:t>
      </w:r>
    </w:p>
    <w:p w14:paraId="10F6B29F" w14:textId="4CF30D01" w:rsidR="00751ECC" w:rsidRPr="00DD2B52" w:rsidRDefault="00751ECC" w:rsidP="00751ECC">
      <w:pPr>
        <w:jc w:val="both"/>
        <w:rPr>
          <w:rFonts w:cs="Calibri"/>
          <w:b/>
        </w:rPr>
      </w:pPr>
      <w:r w:rsidRPr="00DD2B52">
        <w:rPr>
          <w:rFonts w:cs="Calibri"/>
          <w:b/>
        </w:rPr>
        <w:t xml:space="preserve">2.- Escenarios Económicos para México al Cuarto trimestre del 2024. </w:t>
      </w:r>
    </w:p>
    <w:p w14:paraId="632F34FB" w14:textId="6B0AF3C2" w:rsidR="00751ECC" w:rsidRPr="00DD2B52" w:rsidRDefault="00751ECC" w:rsidP="00C8542B">
      <w:pPr>
        <w:jc w:val="both"/>
        <w:rPr>
          <w:rFonts w:cs="Calibri"/>
          <w:b/>
        </w:rPr>
      </w:pPr>
      <w:r w:rsidRPr="00DD2B52">
        <w:rPr>
          <w:rFonts w:cs="Calibri"/>
          <w:b/>
        </w:rPr>
        <w:t>2.1.- Producto Interno Bruto del país PIB.</w:t>
      </w:r>
    </w:p>
    <w:p w14:paraId="25107C5E" w14:textId="77777777" w:rsidR="00751ECC" w:rsidRPr="00DD2B52" w:rsidRDefault="00751ECC" w:rsidP="00751ECC">
      <w:pPr>
        <w:pStyle w:val="NormalWeb"/>
        <w:spacing w:before="0" w:after="0"/>
        <w:rPr>
          <w:rFonts w:ascii="Calibri" w:eastAsia="Calibri" w:hAnsi="Calibri" w:cs="Calibri"/>
          <w:b/>
          <w:bCs/>
          <w:color w:val="000000" w:themeColor="text1"/>
          <w:sz w:val="22"/>
          <w:szCs w:val="22"/>
          <w:lang w:eastAsia="en-US"/>
        </w:rPr>
      </w:pPr>
    </w:p>
    <w:p w14:paraId="047FED4E" w14:textId="77777777" w:rsidR="00751ECC" w:rsidRPr="00DD2B52" w:rsidRDefault="00751ECC" w:rsidP="00751ECC">
      <w:pPr>
        <w:pStyle w:val="NormalWeb"/>
        <w:spacing w:before="0" w:after="0"/>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El Producto Interno Bruto (PIB) trimestral ofrece, en el corto plazo, una visión oportuna, completa y coherente de la evolución de la actividad económica del país.</w:t>
      </w:r>
    </w:p>
    <w:p w14:paraId="3ABF83EE" w14:textId="77777777" w:rsidR="00751ECC" w:rsidRPr="00DD2B52" w:rsidRDefault="00751ECC" w:rsidP="00751ECC">
      <w:pPr>
        <w:pStyle w:val="NormalWeb"/>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lastRenderedPageBreak/>
        <w:t>En el tercer trimestre de 2024 y con cifras desestacionalizadas, el PIB aumentó 1.1 % a tasa trimestral, en términos reales.</w:t>
      </w:r>
    </w:p>
    <w:p w14:paraId="60351CF2" w14:textId="77777777" w:rsidR="00751ECC" w:rsidRPr="00DD2B52" w:rsidRDefault="00751ECC" w:rsidP="00751ECC">
      <w:pPr>
        <w:pStyle w:val="NormalWeb"/>
        <w:spacing w:before="0" w:after="0"/>
        <w:jc w:val="center"/>
        <w:rPr>
          <w:rFonts w:ascii="Calibri" w:eastAsia="Calibri" w:hAnsi="Calibri" w:cs="Calibri"/>
          <w:color w:val="000000" w:themeColor="text1"/>
          <w:sz w:val="22"/>
          <w:szCs w:val="22"/>
          <w:lang w:eastAsia="en-US"/>
        </w:rPr>
      </w:pPr>
      <w:r w:rsidRPr="00DD2B52">
        <w:rPr>
          <w:rFonts w:ascii="Calibri" w:eastAsia="Calibri" w:hAnsi="Calibri" w:cs="Calibri"/>
          <w:noProof/>
          <w:color w:val="000000" w:themeColor="text1"/>
          <w:sz w:val="22"/>
          <w:szCs w:val="22"/>
        </w:rPr>
        <w:drawing>
          <wp:inline distT="0" distB="0" distL="0" distR="0" wp14:anchorId="4D770656" wp14:editId="6A3AF14C">
            <wp:extent cx="3181985" cy="2096845"/>
            <wp:effectExtent l="0" t="0" r="5715" b="0"/>
            <wp:docPr id="1193702246" name="Imagen 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02246" name="Imagen 1" descr="Gráfico, Gráfico de barras, Histograma&#10;&#10;Descripción generada automáticamente"/>
                    <pic:cNvPicPr/>
                  </pic:nvPicPr>
                  <pic:blipFill rotWithShape="1">
                    <a:blip r:embed="rId8" cstate="print">
                      <a:extLst>
                        <a:ext uri="{28A0092B-C50C-407E-A947-70E740481C1C}">
                          <a14:useLocalDpi xmlns:a14="http://schemas.microsoft.com/office/drawing/2010/main" val="0"/>
                        </a:ext>
                      </a:extLst>
                    </a:blip>
                    <a:srcRect t="1688"/>
                    <a:stretch/>
                  </pic:blipFill>
                  <pic:spPr bwMode="auto">
                    <a:xfrm>
                      <a:off x="0" y="0"/>
                      <a:ext cx="3195229" cy="2105572"/>
                    </a:xfrm>
                    <a:prstGeom prst="rect">
                      <a:avLst/>
                    </a:prstGeom>
                    <a:ln>
                      <a:noFill/>
                    </a:ln>
                    <a:extLst>
                      <a:ext uri="{53640926-AAD7-44D8-BBD7-CCE9431645EC}">
                        <a14:shadowObscured xmlns:a14="http://schemas.microsoft.com/office/drawing/2010/main"/>
                      </a:ext>
                    </a:extLst>
                  </pic:spPr>
                </pic:pic>
              </a:graphicData>
            </a:graphic>
          </wp:inline>
        </w:drawing>
      </w:r>
    </w:p>
    <w:p w14:paraId="70A467CC" w14:textId="77777777" w:rsidR="00751ECC" w:rsidRPr="00DD2B52" w:rsidRDefault="00751ECC" w:rsidP="00751ECC">
      <w:pPr>
        <w:pStyle w:val="NormalWeb"/>
        <w:spacing w:before="0" w:after="0"/>
        <w:jc w:val="center"/>
        <w:rPr>
          <w:rFonts w:ascii="Calibri" w:eastAsia="Calibri" w:hAnsi="Calibri" w:cs="Calibri"/>
          <w:color w:val="000000" w:themeColor="text1"/>
          <w:sz w:val="22"/>
          <w:szCs w:val="22"/>
          <w:lang w:eastAsia="en-US"/>
        </w:rPr>
      </w:pPr>
    </w:p>
    <w:p w14:paraId="6E2EEEEC" w14:textId="77777777" w:rsidR="00751ECC" w:rsidRPr="00DD2B52" w:rsidRDefault="00751ECC" w:rsidP="00751ECC">
      <w:pPr>
        <w:pStyle w:val="NormalWeb"/>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Por componente y con series ajustadas por estacionalidad, en el periodo de referencia, el comportamiento fue el siguiente: el PIB de las actividades primarias creció 4.9 %; el de las terciarias, 1.1 % y el PIB de las actividades secundarias, 0.9 % con respecto al trimestre anterior.</w:t>
      </w:r>
    </w:p>
    <w:p w14:paraId="1990D0A4" w14:textId="77777777" w:rsidR="00751ECC" w:rsidRPr="00DD2B52" w:rsidRDefault="00751ECC" w:rsidP="00751ECC">
      <w:pPr>
        <w:pStyle w:val="NormalWeb"/>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A tasa anual y con series desestacionalizadas, el PIB incrementó 1.6 % en términos reales, en el tercer trimestre de 2024. El de las actividades primarias avanzó 3.7 %; el de las terciarias, 2.1 % y el PIB de las secundarias, 0.4 por ciento.</w:t>
      </w:r>
    </w:p>
    <w:p w14:paraId="63A0F59F" w14:textId="77777777" w:rsidR="00751ECC" w:rsidRPr="00DD2B52" w:rsidRDefault="00751ECC" w:rsidP="00751ECC">
      <w:pPr>
        <w:pStyle w:val="NormalWeb"/>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En los primeros nueve meses de 2024, el PIB ascendió 1.5 % con respecto a igual periodo de 2023.</w:t>
      </w:r>
    </w:p>
    <w:p w14:paraId="30FBD0FE" w14:textId="77777777" w:rsidR="00751ECC" w:rsidRPr="00DD2B52" w:rsidRDefault="00751ECC" w:rsidP="00751ECC">
      <w:pPr>
        <w:pStyle w:val="NormalWeb"/>
        <w:spacing w:before="0" w:after="0"/>
        <w:jc w:val="center"/>
        <w:rPr>
          <w:rFonts w:ascii="Calibri" w:eastAsia="Calibri" w:hAnsi="Calibri" w:cs="Calibri"/>
          <w:color w:val="000000" w:themeColor="text1"/>
          <w:sz w:val="22"/>
          <w:szCs w:val="22"/>
          <w:lang w:eastAsia="en-US"/>
        </w:rPr>
      </w:pPr>
      <w:r w:rsidRPr="00DD2B52">
        <w:rPr>
          <w:rFonts w:ascii="Calibri" w:eastAsia="Calibri" w:hAnsi="Calibri" w:cs="Calibri"/>
          <w:noProof/>
          <w:color w:val="000000" w:themeColor="text1"/>
          <w:sz w:val="22"/>
          <w:szCs w:val="22"/>
        </w:rPr>
        <w:drawing>
          <wp:inline distT="0" distB="0" distL="0" distR="0" wp14:anchorId="7247EB90" wp14:editId="4C24F649">
            <wp:extent cx="4456800" cy="1879083"/>
            <wp:effectExtent l="0" t="0" r="1270" b="635"/>
            <wp:docPr id="1819780288"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80288" name="Imagen 3" descr="Tabla&#10;&#10;Descripción generada automáticamente"/>
                    <pic:cNvPicPr/>
                  </pic:nvPicPr>
                  <pic:blipFill rotWithShape="1">
                    <a:blip r:embed="rId9" cstate="print">
                      <a:extLst>
                        <a:ext uri="{28A0092B-C50C-407E-A947-70E740481C1C}">
                          <a14:useLocalDpi xmlns:a14="http://schemas.microsoft.com/office/drawing/2010/main" val="0"/>
                        </a:ext>
                      </a:extLst>
                    </a:blip>
                    <a:srcRect t="2376"/>
                    <a:stretch/>
                  </pic:blipFill>
                  <pic:spPr bwMode="auto">
                    <a:xfrm>
                      <a:off x="0" y="0"/>
                      <a:ext cx="4478190" cy="1888101"/>
                    </a:xfrm>
                    <a:prstGeom prst="rect">
                      <a:avLst/>
                    </a:prstGeom>
                    <a:ln>
                      <a:noFill/>
                    </a:ln>
                    <a:extLst>
                      <a:ext uri="{53640926-AAD7-44D8-BBD7-CCE9431645EC}">
                        <a14:shadowObscured xmlns:a14="http://schemas.microsoft.com/office/drawing/2010/main"/>
                      </a:ext>
                    </a:extLst>
                  </pic:spPr>
                </pic:pic>
              </a:graphicData>
            </a:graphic>
          </wp:inline>
        </w:drawing>
      </w:r>
    </w:p>
    <w:p w14:paraId="478D8042"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p>
    <w:p w14:paraId="1A7E319B" w14:textId="77777777" w:rsidR="00751ECC" w:rsidRPr="00DD2B52" w:rsidRDefault="00751ECC" w:rsidP="00751ECC">
      <w:pPr>
        <w:pStyle w:val="NormalWeb"/>
        <w:spacing w:before="0" w:after="0"/>
        <w:jc w:val="both"/>
        <w:rPr>
          <w:rFonts w:ascii="Calibri" w:eastAsia="Calibri" w:hAnsi="Calibri" w:cs="Calibri"/>
          <w:b/>
          <w:bCs/>
          <w:color w:val="AB0033"/>
          <w:sz w:val="22"/>
          <w:szCs w:val="22"/>
          <w:lang w:eastAsia="en-US"/>
        </w:rPr>
      </w:pPr>
      <w:hyperlink r:id="rId10" w:history="1">
        <w:r w:rsidRPr="00DD2B52">
          <w:rPr>
            <w:rFonts w:ascii="Calibri" w:eastAsia="Calibri" w:hAnsi="Calibri" w:cs="Calibri"/>
            <w:b/>
            <w:bCs/>
            <w:color w:val="AB0033"/>
            <w:sz w:val="22"/>
            <w:szCs w:val="22"/>
            <w:lang w:eastAsia="en-US"/>
          </w:rPr>
          <w:t>https://www.inegi.org.mx/contenidos/saladeprensa/boletines/2024/pib_pconst/pib_pconst2024_11.pdf</w:t>
        </w:r>
      </w:hyperlink>
    </w:p>
    <w:p w14:paraId="7641C1AD" w14:textId="77777777" w:rsidR="00751ECC" w:rsidRPr="00DD2B52" w:rsidRDefault="00751ECC" w:rsidP="00751ECC">
      <w:pPr>
        <w:pStyle w:val="NormalWeb"/>
        <w:spacing w:before="0" w:after="0"/>
        <w:jc w:val="both"/>
        <w:rPr>
          <w:rFonts w:ascii="Calibri" w:eastAsia="Calibri" w:hAnsi="Calibri" w:cs="Calibri"/>
          <w:b/>
          <w:bCs/>
          <w:color w:val="AB0033"/>
          <w:sz w:val="22"/>
          <w:szCs w:val="22"/>
          <w:lang w:eastAsia="en-US"/>
        </w:rPr>
      </w:pPr>
    </w:p>
    <w:p w14:paraId="209BA7C9" w14:textId="371893E7" w:rsidR="00751ECC" w:rsidRPr="00DD2B52" w:rsidRDefault="00751ECC" w:rsidP="00DD2B52">
      <w:pPr>
        <w:jc w:val="both"/>
        <w:rPr>
          <w:rFonts w:cs="Calibri"/>
          <w:b/>
        </w:rPr>
      </w:pPr>
      <w:r w:rsidRPr="00DD2B52">
        <w:rPr>
          <w:rFonts w:cs="Calibri"/>
          <w:b/>
        </w:rPr>
        <w:lastRenderedPageBreak/>
        <w:t>2.2.- Política Monetaria.</w:t>
      </w:r>
    </w:p>
    <w:p w14:paraId="721EE586" w14:textId="44EED69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La Junta de Gobierno del Banco de México decidió disminuir en 25 puntos base el objetivo para la Tasa de Interés Interbancaria a un día a un nivel de 10.00%, con efectos a partir del 20 de diciembre de 2024.</w:t>
      </w:r>
    </w:p>
    <w:p w14:paraId="1F2552D3" w14:textId="19AB383F"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Se estima que durante el cuarto trimestre de 2024 la actividad económica global haya mantenido un ritmo de crecimiento similar al registrado a lo largo del año. La economía estadounidense seguiría expandiéndose. El proceso </w:t>
      </w:r>
      <w:proofErr w:type="spellStart"/>
      <w:r w:rsidRPr="00DD2B52">
        <w:rPr>
          <w:rFonts w:ascii="Calibri" w:eastAsia="Calibri" w:hAnsi="Calibri" w:cs="Calibri"/>
          <w:color w:val="000000" w:themeColor="text1"/>
          <w:sz w:val="22"/>
          <w:szCs w:val="22"/>
          <w:lang w:eastAsia="en-US"/>
        </w:rPr>
        <w:t>desinflacionario</w:t>
      </w:r>
      <w:proofErr w:type="spellEnd"/>
      <w:r w:rsidRPr="00DD2B52">
        <w:rPr>
          <w:rFonts w:ascii="Calibri" w:eastAsia="Calibri" w:hAnsi="Calibri" w:cs="Calibri"/>
          <w:color w:val="000000" w:themeColor="text1"/>
          <w:sz w:val="22"/>
          <w:szCs w:val="22"/>
          <w:lang w:eastAsia="en-US"/>
        </w:rPr>
        <w:t xml:space="preserve"> mundial avanzó en el año. Sin embargo, en la mayoría de las principales economías avanzadas la inflación general aumentó recientemente y la subyacente ha mostrado cierta persistencia. En su última decisión la Reserva Federal redujo en 25 puntos base su tasa de referencia. Las tasas de interés gubernamentales disminuyeron y el dólar estadounidense se apreció. Entre los riesgos globales destacan posibles políticas que reviertan la integración económica mundial, el agravamiento de las tensiones geopolíticas, la prolongación de las presiones inflacionarias y una mayor volatilidad en los mercados financieros.</w:t>
      </w:r>
    </w:p>
    <w:p w14:paraId="4167EA8B" w14:textId="5899971C"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Desde la decisión de política monetaria previa, en México las tasas de interés de valores gubernamentales de corto plazo disminuyeron, mientras que las de mediano y largo plazos presentaron movimientos al alza. Después de la depreciación de la moneda nacional ante la posibilidad de que se implementen medidas que debiliten la integración con nuestro principal socio comercial, esta se apreció. Luego de la marcada debilidad que exhibió la economía en los tres trimestres anteriores, en el tercer trimestre de 2024 presentó una mayor tasa de expansión. Se prevé que muestre atonía al cierre del año y el siguiente. En el mercado laboral, el empleo se ha desacelerado. El balance de riesgos para la actividad económica se mantuvo sesgado a la baja.</w:t>
      </w:r>
    </w:p>
    <w:p w14:paraId="1F6E5A50" w14:textId="1746FF4A"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La inflación general se redujo de 4.76 a 4.55% entre octubre y noviembre. Todavía resiente los choques de oferta que han afectado al componente no subyacente. La inflación subyacente, que refleja de mejor manera la tendencia de la inflación, prolongó su clara tendencia a la baja. Pasó de 3.80 a 3.58% en el mismo periodo. La inflación de mercancías se ubica en niveles bajos, mientras que el rubro de servicios ha descendido solo moderadamente. Las expectativas de inflación para el cierre de 2024 se redujeron Las expectativas de cierre de 2025 y las de mayor plazo permanecieron relativamente estables en niveles por encima de la meta.</w:t>
      </w:r>
    </w:p>
    <w:p w14:paraId="678B696E"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Se continúa esperando que las inflaciones general y subyacente presenten una tendencia a la baja hacia delante. Sin embargo, considerando una mayor persistencia en la inflación de servicios, dichos pronósticos se revisaron al alza. Se espera que la inflación general converja a la meta en el tercer trimestre de 2026 (ver cuadro). La posibilidad de que se implementen aranceles a las importaciones de Estados Unidos provenientes de México ha añadido incertidumbre a las previsiones. Su materialización podría implicar presiones sobre la inflación en ambos lados del balance. En adición, los pronósticos están sujetos a los siguientes riesgos. Al alza: i) persistencia de la inflación subyacente; </w:t>
      </w:r>
      <w:proofErr w:type="spellStart"/>
      <w:r w:rsidRPr="00DD2B52">
        <w:rPr>
          <w:rFonts w:ascii="Calibri" w:eastAsia="Calibri" w:hAnsi="Calibri" w:cs="Calibri"/>
          <w:color w:val="000000" w:themeColor="text1"/>
          <w:sz w:val="22"/>
          <w:szCs w:val="22"/>
          <w:lang w:eastAsia="en-US"/>
        </w:rPr>
        <w:t>ii</w:t>
      </w:r>
      <w:proofErr w:type="spellEnd"/>
      <w:r w:rsidRPr="00DD2B52">
        <w:rPr>
          <w:rFonts w:ascii="Calibri" w:eastAsia="Calibri" w:hAnsi="Calibri" w:cs="Calibri"/>
          <w:color w:val="000000" w:themeColor="text1"/>
          <w:sz w:val="22"/>
          <w:szCs w:val="22"/>
          <w:lang w:eastAsia="en-US"/>
        </w:rPr>
        <w:t xml:space="preserve">) mayor depreciación cambiaria; </w:t>
      </w:r>
      <w:proofErr w:type="spellStart"/>
      <w:r w:rsidRPr="00DD2B52">
        <w:rPr>
          <w:rFonts w:ascii="Calibri" w:eastAsia="Calibri" w:hAnsi="Calibri" w:cs="Calibri"/>
          <w:color w:val="000000" w:themeColor="text1"/>
          <w:sz w:val="22"/>
          <w:szCs w:val="22"/>
          <w:lang w:eastAsia="en-US"/>
        </w:rPr>
        <w:t>iii</w:t>
      </w:r>
      <w:proofErr w:type="spellEnd"/>
      <w:r w:rsidRPr="00DD2B52">
        <w:rPr>
          <w:rFonts w:ascii="Calibri" w:eastAsia="Calibri" w:hAnsi="Calibri" w:cs="Calibri"/>
          <w:color w:val="000000" w:themeColor="text1"/>
          <w:sz w:val="22"/>
          <w:szCs w:val="22"/>
          <w:lang w:eastAsia="en-US"/>
        </w:rPr>
        <w:t xml:space="preserve">) mayores presiones de costos; </w:t>
      </w:r>
      <w:proofErr w:type="spellStart"/>
      <w:r w:rsidRPr="00DD2B52">
        <w:rPr>
          <w:rFonts w:ascii="Calibri" w:eastAsia="Calibri" w:hAnsi="Calibri" w:cs="Calibri"/>
          <w:color w:val="000000" w:themeColor="text1"/>
          <w:sz w:val="22"/>
          <w:szCs w:val="22"/>
          <w:lang w:eastAsia="en-US"/>
        </w:rPr>
        <w:t>iv</w:t>
      </w:r>
      <w:proofErr w:type="spellEnd"/>
      <w:r w:rsidRPr="00DD2B52">
        <w:rPr>
          <w:rFonts w:ascii="Calibri" w:eastAsia="Calibri" w:hAnsi="Calibri" w:cs="Calibri"/>
          <w:color w:val="000000" w:themeColor="text1"/>
          <w:sz w:val="22"/>
          <w:szCs w:val="22"/>
          <w:lang w:eastAsia="en-US"/>
        </w:rPr>
        <w:t xml:space="preserve">) afectaciones climáticas; y v) disrupciones por conflictos geopolíticos o políticas comerciales. A la baja: i) una actividad económica menor a la 1 anticipada; </w:t>
      </w:r>
      <w:proofErr w:type="spellStart"/>
      <w:r w:rsidRPr="00DD2B52">
        <w:rPr>
          <w:rFonts w:ascii="Calibri" w:eastAsia="Calibri" w:hAnsi="Calibri" w:cs="Calibri"/>
          <w:color w:val="000000" w:themeColor="text1"/>
          <w:sz w:val="22"/>
          <w:szCs w:val="22"/>
          <w:lang w:eastAsia="en-US"/>
        </w:rPr>
        <w:t>ii</w:t>
      </w:r>
      <w:proofErr w:type="spellEnd"/>
      <w:r w:rsidRPr="00DD2B52">
        <w:rPr>
          <w:rFonts w:ascii="Calibri" w:eastAsia="Calibri" w:hAnsi="Calibri" w:cs="Calibri"/>
          <w:color w:val="000000" w:themeColor="text1"/>
          <w:sz w:val="22"/>
          <w:szCs w:val="22"/>
          <w:lang w:eastAsia="en-US"/>
        </w:rPr>
        <w:t xml:space="preserve">) un menor traspaso de algunas presiones de costos; y </w:t>
      </w:r>
      <w:proofErr w:type="spellStart"/>
      <w:r w:rsidRPr="00DD2B52">
        <w:rPr>
          <w:rFonts w:ascii="Calibri" w:eastAsia="Calibri" w:hAnsi="Calibri" w:cs="Calibri"/>
          <w:color w:val="000000" w:themeColor="text1"/>
          <w:sz w:val="22"/>
          <w:szCs w:val="22"/>
          <w:lang w:eastAsia="en-US"/>
        </w:rPr>
        <w:t>iii</w:t>
      </w:r>
      <w:proofErr w:type="spellEnd"/>
      <w:r w:rsidRPr="00DD2B52">
        <w:rPr>
          <w:rFonts w:ascii="Calibri" w:eastAsia="Calibri" w:hAnsi="Calibri" w:cs="Calibri"/>
          <w:color w:val="000000" w:themeColor="text1"/>
          <w:sz w:val="22"/>
          <w:szCs w:val="22"/>
          <w:lang w:eastAsia="en-US"/>
        </w:rPr>
        <w:t>) que el efecto de la depreciación cambiaria sobre la inflación sea menor al anticipado. Se considera que el balance de riesgos respecto de la trayectoria prevista para la inflación en el horizonte de pronóstico se mantiene sesgado al alza. Sin embargo, el panorama inflacionario ha venido mejorando, luego de los profundos choques ocasionados por la pandemia y la guerra en Ucrania. El comportamiento de la inflación subyacente da cuenta de esta mejoría.</w:t>
      </w:r>
    </w:p>
    <w:p w14:paraId="6A588DE8"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p>
    <w:p w14:paraId="200CCAF4" w14:textId="19BC85DD"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La Junta de Gobierno evaluó el comportamiento de la inflación y de sus determinantes, así como de las expectativas de inflación. Consideró la naturaleza de los choques que han afectado al componente no subyacente y la previsión de que sus efectos sobre la inflación general se disipen en los siguientes trimestres. Tomó en cuenta la trayectoria a la baja que ha seguido el componente subyacente, los niveles que ha alcanzado y la previsión de que continúe descendiendo. Valoró que, si bien el panorama inflacionario aún amerita una postura restrictiva, su evolución implica que es adecuado continuar con el ciclo de recortes y reducir el grado de apretamiento monetario. Así, con la presencia de todos sus miembros, decidió por unanimidad reducir en 25 puntos base el objetivo para la Tasa de Interés Interbancaria a un día a un nivel de 10.00%.</w:t>
      </w:r>
    </w:p>
    <w:p w14:paraId="25D2AD50"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Hacia delante, prevé que el entorno inflacionario permita seguir reduciendo la tasa de referencia. Ante el avance en la desinflación podrían considerarse en algunas reuniones ajustes a la baja de una mayor magnitud, si bien manteniendo una postura restrictiva. Tomará en cuenta la perspectiva de que los choques globales continuarán desvaneciéndose y los efectos de la debilidad de la actividad económica. Considerará la incidencia de la postura monetaria restrictiva que se ha mantenido y la que siga imperando sobre la evolución de la inflación a lo largo del horizonte en el que opera la política monetaria.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1E4F9228" w14:textId="77777777" w:rsidR="00751ECC" w:rsidRPr="00DD2B52" w:rsidRDefault="00751ECC" w:rsidP="00751ECC">
      <w:pPr>
        <w:pStyle w:val="NormalWeb"/>
        <w:jc w:val="both"/>
        <w:rPr>
          <w:rFonts w:ascii="Calibri" w:eastAsia="Calibri" w:hAnsi="Calibri" w:cs="Calibri"/>
          <w:color w:val="000000" w:themeColor="text1"/>
          <w:sz w:val="22"/>
          <w:szCs w:val="22"/>
          <w:lang w:eastAsia="en-US"/>
        </w:rPr>
      </w:pPr>
      <w:r w:rsidRPr="00DD2B52">
        <w:rPr>
          <w:rFonts w:ascii="Calibri" w:eastAsia="Calibri" w:hAnsi="Calibri" w:cs="Calibri"/>
          <w:noProof/>
          <w:color w:val="000000" w:themeColor="text1"/>
          <w:sz w:val="22"/>
          <w:szCs w:val="22"/>
        </w:rPr>
        <w:drawing>
          <wp:inline distT="0" distB="0" distL="0" distR="0" wp14:anchorId="41093BD7" wp14:editId="1A498179">
            <wp:extent cx="5612130" cy="3028315"/>
            <wp:effectExtent l="0" t="0" r="1270" b="0"/>
            <wp:docPr id="1087875002"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5002" name="Imagen 4" descr="Tabl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028315"/>
                    </a:xfrm>
                    <a:prstGeom prst="rect">
                      <a:avLst/>
                    </a:prstGeom>
                  </pic:spPr>
                </pic:pic>
              </a:graphicData>
            </a:graphic>
          </wp:inline>
        </w:drawing>
      </w:r>
    </w:p>
    <w:p w14:paraId="3469FDA7" w14:textId="305174B1" w:rsidR="00751ECC" w:rsidRDefault="00751ECC" w:rsidP="00751ECC">
      <w:pPr>
        <w:pStyle w:val="NormalWeb"/>
        <w:spacing w:before="0" w:after="0"/>
        <w:rPr>
          <w:sz w:val="22"/>
          <w:szCs w:val="22"/>
        </w:rPr>
      </w:pPr>
      <w:hyperlink r:id="rId12" w:history="1">
        <w:r w:rsidRPr="00DD2B52">
          <w:rPr>
            <w:rFonts w:ascii="Calibri" w:eastAsia="Calibri" w:hAnsi="Calibri" w:cs="Calibri"/>
            <w:b/>
            <w:bCs/>
            <w:color w:val="AB0033"/>
            <w:sz w:val="22"/>
            <w:szCs w:val="22"/>
            <w:lang w:eastAsia="en-US"/>
          </w:rPr>
          <w:t>https://www.banxico.org.mx/publicaciones-y-prensa/anuncios-de-las-decisiones-de-politica-monetaria/%7B939FDDA6-702A-F315-37B0-4E422044D13E%7D.pdf</w:t>
        </w:r>
      </w:hyperlink>
    </w:p>
    <w:p w14:paraId="6718985A" w14:textId="77777777" w:rsidR="00DD2B52" w:rsidRPr="00DD2B52" w:rsidRDefault="00DD2B52" w:rsidP="00751ECC">
      <w:pPr>
        <w:pStyle w:val="NormalWeb"/>
        <w:spacing w:before="0" w:after="0"/>
        <w:rPr>
          <w:rFonts w:ascii="Calibri" w:eastAsia="Calibri" w:hAnsi="Calibri" w:cs="Calibri"/>
          <w:b/>
          <w:bCs/>
          <w:color w:val="AB0033"/>
          <w:sz w:val="22"/>
          <w:szCs w:val="22"/>
          <w:lang w:eastAsia="en-US"/>
        </w:rPr>
      </w:pPr>
    </w:p>
    <w:p w14:paraId="401ADDCC" w14:textId="6C4993E2" w:rsidR="00751ECC" w:rsidRPr="00DD2B52" w:rsidRDefault="00751ECC" w:rsidP="00C8542B">
      <w:pPr>
        <w:jc w:val="both"/>
        <w:rPr>
          <w:rFonts w:cs="Calibri"/>
          <w:b/>
        </w:rPr>
      </w:pPr>
      <w:r w:rsidRPr="00DD2B52">
        <w:rPr>
          <w:rFonts w:cs="Calibri"/>
          <w:b/>
        </w:rPr>
        <w:lastRenderedPageBreak/>
        <w:t>2.3.- Paridad cambiaria Peso/</w:t>
      </w:r>
      <w:proofErr w:type="gramStart"/>
      <w:r w:rsidRPr="00DD2B52">
        <w:rPr>
          <w:rFonts w:cs="Calibri"/>
          <w:b/>
        </w:rPr>
        <w:t>Dólar</w:t>
      </w:r>
      <w:proofErr w:type="gramEnd"/>
      <w:r w:rsidRPr="00DD2B52">
        <w:rPr>
          <w:rFonts w:cs="Calibri"/>
          <w:b/>
        </w:rPr>
        <w:t>.</w:t>
      </w:r>
    </w:p>
    <w:p w14:paraId="785BE87B" w14:textId="5DBB25C2"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El peso mexicano culminó el año en 20.81 unidades por dólar, con una depreciación acumulada de 22.8 por ciento, al </w:t>
      </w:r>
      <w:proofErr w:type="gramStart"/>
      <w:r w:rsidRPr="00DD2B52">
        <w:rPr>
          <w:rFonts w:ascii="Calibri" w:eastAsia="Calibri" w:hAnsi="Calibri" w:cs="Calibri"/>
          <w:color w:val="000000" w:themeColor="text1"/>
          <w:sz w:val="22"/>
          <w:szCs w:val="22"/>
          <w:lang w:eastAsia="en-US"/>
        </w:rPr>
        <w:t>día martes</w:t>
      </w:r>
      <w:proofErr w:type="gramEnd"/>
      <w:r w:rsidRPr="00DD2B52">
        <w:rPr>
          <w:rFonts w:ascii="Calibri" w:eastAsia="Calibri" w:hAnsi="Calibri" w:cs="Calibri"/>
          <w:color w:val="000000" w:themeColor="text1"/>
          <w:sz w:val="22"/>
          <w:szCs w:val="22"/>
          <w:lang w:eastAsia="en-US"/>
        </w:rPr>
        <w:t xml:space="preserve"> 31 de diciembre de 2024, su peor año desde la crisis financiera de 2008.</w:t>
      </w:r>
    </w:p>
    <w:p w14:paraId="12D1EF0B" w14:textId="6FA4699A"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Este contexto ocurre tras preocupaciones sobre el rumbo de la segunda mayor economía de América Latina tras las elecciones presidenciales de México y Estados Unidos.</w:t>
      </w:r>
    </w:p>
    <w:p w14:paraId="251AF7E8" w14:textId="117428E4"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El dólar al </w:t>
      </w:r>
      <w:proofErr w:type="gramStart"/>
      <w:r w:rsidRPr="00DD2B52">
        <w:rPr>
          <w:rFonts w:ascii="Calibri" w:eastAsia="Calibri" w:hAnsi="Calibri" w:cs="Calibri"/>
          <w:color w:val="000000" w:themeColor="text1"/>
          <w:sz w:val="22"/>
          <w:szCs w:val="22"/>
          <w:lang w:eastAsia="en-US"/>
        </w:rPr>
        <w:t>día martes</w:t>
      </w:r>
      <w:proofErr w:type="gramEnd"/>
      <w:r w:rsidRPr="00DD2B52">
        <w:rPr>
          <w:rFonts w:ascii="Calibri" w:eastAsia="Calibri" w:hAnsi="Calibri" w:cs="Calibri"/>
          <w:color w:val="000000" w:themeColor="text1"/>
          <w:sz w:val="22"/>
          <w:szCs w:val="22"/>
          <w:lang w:eastAsia="en-US"/>
        </w:rPr>
        <w:t xml:space="preserve"> 31 de diciembre retrocedía en la última jornada bursátil del año, pero se encaminaba a registrar fuertes ganancias en 2024, debido a que los inversionistas se prepararon para menos recortes de tasas de interés en Estados Unidos y para el próximo gobierno de Donald Trump.</w:t>
      </w:r>
    </w:p>
    <w:p w14:paraId="5F8F94FC" w14:textId="3FF6772D"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La subida del dólar también empujó al yen a sus niveles más bajos desde julio, en torno a las 158 unidades por dólar, mientras que el euro se encamina a un descenso de 5.6 por ciento frente al dólar este año, con los operadores anticipando que el Banco Central Europeo realizará más recortes de tasas que la Reserva Federal.</w:t>
      </w:r>
    </w:p>
    <w:p w14:paraId="76B74302" w14:textId="6D46E11F" w:rsidR="00751ECC" w:rsidRPr="00DD2B52" w:rsidRDefault="00751ECC" w:rsidP="00C8542B">
      <w:pPr>
        <w:jc w:val="both"/>
        <w:rPr>
          <w:rFonts w:cs="Calibri"/>
          <w:b/>
        </w:rPr>
      </w:pPr>
      <w:r w:rsidRPr="00DD2B52">
        <w:rPr>
          <w:rFonts w:cs="Calibri"/>
          <w:b/>
        </w:rPr>
        <w:t>2.4.- Índice Nacional de Precios al Consumidor. INPC</w:t>
      </w:r>
    </w:p>
    <w:p w14:paraId="6F92A62D" w14:textId="77777777" w:rsidR="00751ECC" w:rsidRPr="00DD2B52" w:rsidRDefault="00751ECC" w:rsidP="00751ECC">
      <w:pPr>
        <w:jc w:val="both"/>
        <w:rPr>
          <w:rFonts w:cs="Calibri"/>
          <w:color w:val="000000" w:themeColor="text1"/>
        </w:rPr>
      </w:pPr>
      <w:r w:rsidRPr="00DD2B52">
        <w:rPr>
          <w:rFonts w:cs="Calibri"/>
          <w:color w:val="000000" w:themeColor="text1"/>
        </w:rPr>
        <w:t>El Índice Nacional de Precios al Consumidor (INPC) mide la variación de los precios de una canasta de bienes y servicios representativa del consumo de los hogares mexicanos que adquiere una o un consumidor urbano promedio.</w:t>
      </w:r>
    </w:p>
    <w:p w14:paraId="67FDEF53" w14:textId="77777777" w:rsidR="00751ECC" w:rsidRPr="00DD2B52" w:rsidRDefault="00751ECC" w:rsidP="00751ECC">
      <w:pPr>
        <w:jc w:val="both"/>
        <w:rPr>
          <w:rFonts w:cs="Calibri"/>
          <w:color w:val="000000" w:themeColor="text1"/>
        </w:rPr>
      </w:pPr>
      <w:r w:rsidRPr="00DD2B52">
        <w:rPr>
          <w:rFonts w:cs="Calibri"/>
          <w:color w:val="000000" w:themeColor="text1"/>
        </w:rPr>
        <w:t>En diciembre de 2024, el INPC presentó un nivel de 137.949 y representó un aumento de 0.38 % respecto al mes anterior (ver gráfica 1). Con este resultado, la inflación general anual se ubicó en 4.21 por ciento. En el mismo mes de 2023, la inflación mensual fue de 0.71 % y la anual, de 4.66 por ciento.</w:t>
      </w:r>
    </w:p>
    <w:p w14:paraId="13D34169" w14:textId="77777777" w:rsidR="00751ECC" w:rsidRPr="00DD2B52" w:rsidRDefault="00751ECC" w:rsidP="00751ECC">
      <w:pPr>
        <w:jc w:val="both"/>
        <w:rPr>
          <w:rFonts w:cs="Calibri"/>
          <w:color w:val="000000" w:themeColor="text1"/>
        </w:rPr>
      </w:pPr>
      <w:r w:rsidRPr="00DD2B52">
        <w:rPr>
          <w:rFonts w:cs="Calibri"/>
          <w:color w:val="000000" w:themeColor="text1"/>
        </w:rPr>
        <w:t>El índice de precios subyacente, que excluye bienes y servicios con precios más volátiles o que no responden a condiciones de mercado, incrementó 0.51 % a tasa mensual. A su interior, los precios de las mercancías subieron 0.40 % y los de servicios, 0.61 por ciento.</w:t>
      </w:r>
    </w:p>
    <w:p w14:paraId="2A810F18" w14:textId="77777777" w:rsidR="00751ECC" w:rsidRPr="00DD2B52" w:rsidRDefault="00751ECC" w:rsidP="00751ECC">
      <w:pPr>
        <w:jc w:val="both"/>
        <w:rPr>
          <w:rFonts w:cs="Calibri"/>
          <w:color w:val="000000" w:themeColor="text1"/>
        </w:rPr>
      </w:pPr>
      <w:r w:rsidRPr="00DD2B52">
        <w:rPr>
          <w:rFonts w:cs="Calibri"/>
          <w:color w:val="000000" w:themeColor="text1"/>
        </w:rPr>
        <w:t>A tasa mensual, el índice de precios no subyacente registró una caída de 0.04 por ciento. Dentro de este, los precios de los productos agropecuarios disminuyeron 0.64 % y los de energéticos y tarifas autorizadas por el gobierno crecieron 0.45 por ciento.</w:t>
      </w:r>
    </w:p>
    <w:p w14:paraId="342CDD2B" w14:textId="77777777" w:rsidR="00751ECC" w:rsidRPr="00DD2B52" w:rsidRDefault="00751ECC" w:rsidP="00751ECC">
      <w:pPr>
        <w:jc w:val="center"/>
        <w:rPr>
          <w:rFonts w:cs="Calibri"/>
          <w:color w:val="000000" w:themeColor="text1"/>
        </w:rPr>
      </w:pPr>
      <w:r w:rsidRPr="00DD2B52">
        <w:rPr>
          <w:rFonts w:cs="Calibri"/>
          <w:noProof/>
          <w:color w:val="000000" w:themeColor="text1"/>
          <w:lang w:eastAsia="es-MX"/>
        </w:rPr>
        <w:drawing>
          <wp:inline distT="0" distB="0" distL="0" distR="0" wp14:anchorId="10F8B4AF" wp14:editId="30385A1E">
            <wp:extent cx="4244340" cy="1719073"/>
            <wp:effectExtent l="0" t="0" r="3810" b="0"/>
            <wp:docPr id="136628653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86539" name="Imagen 1" descr="Gráfico, Gráfico de barras&#10;&#10;Descripción generada automáticamente"/>
                    <pic:cNvPicPr/>
                  </pic:nvPicPr>
                  <pic:blipFill rotWithShape="1">
                    <a:blip r:embed="rId13" cstate="print">
                      <a:extLst>
                        <a:ext uri="{28A0092B-C50C-407E-A947-70E740481C1C}">
                          <a14:useLocalDpi xmlns:a14="http://schemas.microsoft.com/office/drawing/2010/main" val="0"/>
                        </a:ext>
                      </a:extLst>
                    </a:blip>
                    <a:srcRect t="2169"/>
                    <a:stretch/>
                  </pic:blipFill>
                  <pic:spPr bwMode="auto">
                    <a:xfrm>
                      <a:off x="0" y="0"/>
                      <a:ext cx="4274098" cy="1731126"/>
                    </a:xfrm>
                    <a:prstGeom prst="rect">
                      <a:avLst/>
                    </a:prstGeom>
                    <a:ln>
                      <a:noFill/>
                    </a:ln>
                    <a:extLst>
                      <a:ext uri="{53640926-AAD7-44D8-BBD7-CCE9431645EC}">
                        <a14:shadowObscured xmlns:a14="http://schemas.microsoft.com/office/drawing/2010/main"/>
                      </a:ext>
                    </a:extLst>
                  </pic:spPr>
                </pic:pic>
              </a:graphicData>
            </a:graphic>
          </wp:inline>
        </w:drawing>
      </w:r>
    </w:p>
    <w:p w14:paraId="382D7F1B" w14:textId="77777777" w:rsidR="00751ECC" w:rsidRPr="00DD2B52" w:rsidRDefault="00751ECC" w:rsidP="00751ECC">
      <w:pPr>
        <w:jc w:val="both"/>
        <w:rPr>
          <w:rFonts w:cs="Calibri"/>
          <w:color w:val="000000" w:themeColor="text1"/>
        </w:rPr>
      </w:pPr>
      <w:r w:rsidRPr="00DD2B52">
        <w:rPr>
          <w:rFonts w:cs="Calibri"/>
          <w:noProof/>
          <w:color w:val="000000" w:themeColor="text1"/>
          <w:lang w:eastAsia="es-MX"/>
        </w:rPr>
        <w:lastRenderedPageBreak/>
        <w:drawing>
          <wp:anchor distT="0" distB="0" distL="114300" distR="114300" simplePos="0" relativeHeight="251662336" behindDoc="0" locked="0" layoutInCell="1" allowOverlap="1" wp14:anchorId="7CE601BE" wp14:editId="1EDDD5DA">
            <wp:simplePos x="0" y="0"/>
            <wp:positionH relativeFrom="column">
              <wp:posOffset>233045</wp:posOffset>
            </wp:positionH>
            <wp:positionV relativeFrom="paragraph">
              <wp:posOffset>405130</wp:posOffset>
            </wp:positionV>
            <wp:extent cx="5505450" cy="3612367"/>
            <wp:effectExtent l="0" t="0" r="0" b="7620"/>
            <wp:wrapSquare wrapText="bothSides"/>
            <wp:docPr id="675353577"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53577" name="Imagen 2" descr="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5450" cy="3612367"/>
                    </a:xfrm>
                    <a:prstGeom prst="rect">
                      <a:avLst/>
                    </a:prstGeom>
                  </pic:spPr>
                </pic:pic>
              </a:graphicData>
            </a:graphic>
          </wp:anchor>
        </w:drawing>
      </w:r>
      <w:r w:rsidRPr="00DD2B52">
        <w:rPr>
          <w:rFonts w:cs="Calibri"/>
          <w:color w:val="000000" w:themeColor="text1"/>
        </w:rPr>
        <w:t>En el siguiente cuadro se presentan las variaciones e incidencias del INPC y sus componentes.</w:t>
      </w:r>
    </w:p>
    <w:p w14:paraId="44720966" w14:textId="77777777" w:rsidR="00751ECC" w:rsidRPr="00DD2B52" w:rsidRDefault="00751ECC" w:rsidP="00751ECC">
      <w:pPr>
        <w:jc w:val="center"/>
        <w:rPr>
          <w:rFonts w:cs="Calibri"/>
          <w:color w:val="000000" w:themeColor="text1"/>
        </w:rPr>
      </w:pPr>
    </w:p>
    <w:p w14:paraId="65DF58AE" w14:textId="77777777" w:rsidR="00751ECC" w:rsidRPr="00DD2B52" w:rsidRDefault="00751ECC" w:rsidP="00751ECC">
      <w:pPr>
        <w:jc w:val="both"/>
        <w:rPr>
          <w:rFonts w:cs="Calibri"/>
          <w:color w:val="000000" w:themeColor="text1"/>
        </w:rPr>
      </w:pPr>
      <w:r w:rsidRPr="00DD2B52">
        <w:rPr>
          <w:rFonts w:cs="Calibri"/>
          <w:color w:val="000000" w:themeColor="text1"/>
        </w:rPr>
        <w:t>En la primera y segunda quincena de diciembre de 2024, el INPC registró niveles de 137.921 y 137.977, respectivamente. Esto implicó un aumento quincenal de 0.04 por ciento.</w:t>
      </w:r>
    </w:p>
    <w:p w14:paraId="445A081E" w14:textId="77777777" w:rsidR="00751ECC" w:rsidRPr="00DD2B52" w:rsidRDefault="00751ECC" w:rsidP="00751ECC">
      <w:pPr>
        <w:rPr>
          <w:rFonts w:cs="Calibri"/>
          <w:color w:val="000000" w:themeColor="text1"/>
        </w:rPr>
      </w:pPr>
      <w:r w:rsidRPr="00DD2B52">
        <w:rPr>
          <w:rFonts w:cs="Calibri"/>
          <w:color w:val="000000" w:themeColor="text1"/>
        </w:rPr>
        <w:t>Productos con mayor incidencia en el INPC</w:t>
      </w:r>
    </w:p>
    <w:p w14:paraId="4CF638DF" w14:textId="77777777" w:rsidR="00751ECC" w:rsidRPr="00DD2B52" w:rsidRDefault="00751ECC" w:rsidP="00751ECC">
      <w:pPr>
        <w:jc w:val="both"/>
        <w:rPr>
          <w:rFonts w:cs="Calibri"/>
          <w:color w:val="000000" w:themeColor="text1"/>
        </w:rPr>
      </w:pPr>
      <w:r w:rsidRPr="00DD2B52">
        <w:rPr>
          <w:rFonts w:cs="Calibri"/>
          <w:color w:val="000000" w:themeColor="text1"/>
        </w:rPr>
        <w:t>En diciembre de 2024, los productos genéricos cuyas variaciones de precios, al alza y a la baja, destacaron por su incidencia sobre la inflación general fueron: transporte aéreo; loncherías, fondas, torterías y taquerías; pollo, y vivienda propia con incrementos en su precio.</w:t>
      </w:r>
    </w:p>
    <w:p w14:paraId="1CF091EA" w14:textId="77777777" w:rsidR="00751ECC" w:rsidRPr="00DD2B52" w:rsidRDefault="00751ECC" w:rsidP="00751ECC">
      <w:pPr>
        <w:jc w:val="both"/>
        <w:rPr>
          <w:rFonts w:cs="Calibri"/>
          <w:color w:val="000000" w:themeColor="text1"/>
        </w:rPr>
      </w:pPr>
      <w:r w:rsidRPr="00DD2B52">
        <w:rPr>
          <w:rFonts w:cs="Calibri"/>
          <w:color w:val="000000" w:themeColor="text1"/>
        </w:rPr>
        <w:t>En contraste, la papaya, el tomate verde, la cebolla, así como la papa y otros tubérculos fueron los principales productos que disminuyeron su precio.</w:t>
      </w:r>
    </w:p>
    <w:p w14:paraId="541A7BBF" w14:textId="77777777" w:rsidR="00751ECC" w:rsidRPr="00DD2B52" w:rsidRDefault="00751ECC" w:rsidP="00751ECC">
      <w:pPr>
        <w:jc w:val="both"/>
        <w:rPr>
          <w:rFonts w:cs="Calibri"/>
          <w:color w:val="000000" w:themeColor="text1"/>
        </w:rPr>
      </w:pPr>
      <w:r w:rsidRPr="00DD2B52">
        <w:rPr>
          <w:rFonts w:cs="Calibri"/>
          <w:color w:val="000000" w:themeColor="text1"/>
        </w:rPr>
        <w:t>INPC por entidad y ciudad</w:t>
      </w:r>
    </w:p>
    <w:p w14:paraId="170A4201" w14:textId="77777777" w:rsidR="00751ECC" w:rsidRPr="00DD2B52" w:rsidRDefault="00751ECC" w:rsidP="00751ECC">
      <w:pPr>
        <w:jc w:val="both"/>
        <w:rPr>
          <w:rFonts w:cs="Calibri"/>
          <w:color w:val="000000" w:themeColor="text1"/>
        </w:rPr>
      </w:pPr>
      <w:r w:rsidRPr="00DD2B52">
        <w:rPr>
          <w:rFonts w:cs="Calibri"/>
          <w:color w:val="000000" w:themeColor="text1"/>
        </w:rPr>
        <w:t>En el siguiente cuadro, se presentan las entidades federativas y ciudades en las que el INPC alcanzó las mayores variaciones durante diciembre de 2024.</w:t>
      </w:r>
    </w:p>
    <w:p w14:paraId="7F92DE40" w14:textId="77777777" w:rsidR="00751ECC" w:rsidRPr="00DD2B52" w:rsidRDefault="00751ECC" w:rsidP="00751ECC">
      <w:pPr>
        <w:jc w:val="both"/>
        <w:rPr>
          <w:rFonts w:cs="Calibri"/>
          <w:color w:val="000000" w:themeColor="text1"/>
        </w:rPr>
      </w:pPr>
    </w:p>
    <w:p w14:paraId="40653ECD" w14:textId="77777777" w:rsidR="00751ECC" w:rsidRPr="00DD2B52" w:rsidRDefault="00751ECC" w:rsidP="00751ECC">
      <w:pPr>
        <w:jc w:val="center"/>
        <w:rPr>
          <w:rFonts w:cs="Calibri"/>
          <w:color w:val="000000" w:themeColor="text1"/>
        </w:rPr>
      </w:pPr>
      <w:r w:rsidRPr="00DD2B52">
        <w:rPr>
          <w:rFonts w:cs="Calibri"/>
          <w:noProof/>
          <w:color w:val="000000" w:themeColor="text1"/>
          <w:lang w:eastAsia="es-MX"/>
        </w:rPr>
        <w:lastRenderedPageBreak/>
        <w:drawing>
          <wp:inline distT="0" distB="0" distL="0" distR="0" wp14:anchorId="3F61E18A" wp14:editId="291640B4">
            <wp:extent cx="5212800" cy="2651152"/>
            <wp:effectExtent l="0" t="0" r="0" b="3175"/>
            <wp:docPr id="102532847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8471" name="Imagen 3" descr="Tabla&#10;&#10;Descripción generada automáticamente"/>
                    <pic:cNvPicPr/>
                  </pic:nvPicPr>
                  <pic:blipFill rotWithShape="1">
                    <a:blip r:embed="rId15" cstate="print">
                      <a:extLst>
                        <a:ext uri="{28A0092B-C50C-407E-A947-70E740481C1C}">
                          <a14:useLocalDpi xmlns:a14="http://schemas.microsoft.com/office/drawing/2010/main" val="0"/>
                        </a:ext>
                      </a:extLst>
                    </a:blip>
                    <a:srcRect t="1837"/>
                    <a:stretch/>
                  </pic:blipFill>
                  <pic:spPr bwMode="auto">
                    <a:xfrm>
                      <a:off x="0" y="0"/>
                      <a:ext cx="5295948" cy="2693440"/>
                    </a:xfrm>
                    <a:prstGeom prst="rect">
                      <a:avLst/>
                    </a:prstGeom>
                    <a:ln>
                      <a:noFill/>
                    </a:ln>
                    <a:extLst>
                      <a:ext uri="{53640926-AAD7-44D8-BBD7-CCE9431645EC}">
                        <a14:shadowObscured xmlns:a14="http://schemas.microsoft.com/office/drawing/2010/main"/>
                      </a:ext>
                    </a:extLst>
                  </pic:spPr>
                </pic:pic>
              </a:graphicData>
            </a:graphic>
          </wp:inline>
        </w:drawing>
      </w:r>
    </w:p>
    <w:p w14:paraId="07271A90" w14:textId="77777777" w:rsidR="00751ECC" w:rsidRPr="00DD2B52" w:rsidRDefault="00751ECC" w:rsidP="00751ECC">
      <w:pPr>
        <w:rPr>
          <w:rFonts w:cs="Calibri"/>
          <w:b/>
          <w:bCs/>
          <w:color w:val="AB0033"/>
        </w:rPr>
      </w:pPr>
      <w:hyperlink r:id="rId16" w:history="1">
        <w:r w:rsidRPr="00DD2B52">
          <w:rPr>
            <w:rFonts w:cs="Calibri"/>
            <w:b/>
            <w:bCs/>
            <w:color w:val="AB0033"/>
          </w:rPr>
          <w:t>https://www.inegi.org.mx/contenidos/saladeprensa/boletines/2025/inpc/inpc_2q2025_01.pdf</w:t>
        </w:r>
      </w:hyperlink>
    </w:p>
    <w:p w14:paraId="706A1C67" w14:textId="5337520E" w:rsidR="00751ECC" w:rsidRPr="00DD2B52" w:rsidRDefault="00751ECC" w:rsidP="00C8542B">
      <w:pPr>
        <w:jc w:val="both"/>
        <w:rPr>
          <w:rFonts w:cs="Calibri"/>
          <w:b/>
        </w:rPr>
      </w:pPr>
      <w:r w:rsidRPr="00DD2B52">
        <w:rPr>
          <w:rFonts w:cs="Calibri"/>
          <w:b/>
        </w:rPr>
        <w:t>2.5.- Precio de la Mezcla Mexicana de Exportación de Petróleo.</w:t>
      </w:r>
    </w:p>
    <w:p w14:paraId="2AE0AC29" w14:textId="0C53BD3A"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Al cierre del 27 de diciembre, el precio promedio ponderado de la Mezcla Mexicana de Exportación se situó en 65.90 dólares por barril (dpb), con lo que avanzó 1.21 dpb (-1.9%) con relación a la cotización del 20 de diciembre. En el mismo periodo, el precio del barril de petróleo tipo Brent cerró en 74.17 dólares, lo que significó un incremento de 1.23 dpb (1.7%). En tanto, el WTI se colocó en 70.60 dpb, lo que implicó un alza de 1.14 dpb (1.6%). Lo anterior se debe, entre otros factores, por una reducción de los inventarios de petróleo estadounidense mayor a la esperada, lo que incrementó los precios internacionales del petróleo. </w:t>
      </w:r>
    </w:p>
    <w:p w14:paraId="0839666F"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 xml:space="preserve">Variación mensual: Respecto al precio del 27 de noviembre (64.31 dpb), la mezcla mexicana aumentó 1.59 dpb (2.5%). </w:t>
      </w:r>
    </w:p>
    <w:p w14:paraId="1D1B5305"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p>
    <w:p w14:paraId="3C4C9E1D"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r w:rsidRPr="00DD2B52">
        <w:rPr>
          <w:rFonts w:ascii="Calibri" w:eastAsia="Calibri" w:hAnsi="Calibri" w:cs="Calibri"/>
          <w:color w:val="000000" w:themeColor="text1"/>
          <w:sz w:val="22"/>
          <w:szCs w:val="22"/>
          <w:lang w:eastAsia="en-US"/>
        </w:rPr>
        <w:t>Precio y CGPE: Al 27 de diciembre, el precio de la Mezcla Mexicana promedió 70.68 dpb, cifra 13.98 dpb (24.7%) por arriba del aprobado en los Criterios Generales de Política Económica 2024 (56.7 dpb).</w:t>
      </w:r>
    </w:p>
    <w:p w14:paraId="625A9A52" w14:textId="77777777" w:rsidR="00751ECC" w:rsidRPr="00DD2B52" w:rsidRDefault="00751ECC" w:rsidP="00751ECC">
      <w:pPr>
        <w:pStyle w:val="NormalWeb"/>
        <w:spacing w:before="0" w:after="0"/>
        <w:jc w:val="both"/>
        <w:rPr>
          <w:rFonts w:ascii="Calibri" w:eastAsia="Calibri" w:hAnsi="Calibri" w:cs="Calibri"/>
          <w:color w:val="000000" w:themeColor="text1"/>
          <w:sz w:val="22"/>
          <w:szCs w:val="22"/>
          <w:lang w:eastAsia="en-US"/>
        </w:rPr>
      </w:pPr>
    </w:p>
    <w:p w14:paraId="343BD168" w14:textId="038F2142" w:rsidR="00751ECC" w:rsidRPr="00DD2B52" w:rsidRDefault="00751ECC" w:rsidP="00751ECC">
      <w:pPr>
        <w:pStyle w:val="NormalWeb"/>
        <w:spacing w:before="0" w:after="0"/>
        <w:jc w:val="center"/>
        <w:rPr>
          <w:rFonts w:ascii="Calibri" w:eastAsia="Calibri" w:hAnsi="Calibri" w:cs="Calibri"/>
          <w:color w:val="000000" w:themeColor="text1"/>
          <w:sz w:val="22"/>
          <w:szCs w:val="22"/>
          <w:lang w:eastAsia="en-US"/>
        </w:rPr>
      </w:pPr>
      <w:r w:rsidRPr="00DD2B52">
        <w:rPr>
          <w:rFonts w:ascii="Calibri" w:eastAsia="Calibri" w:hAnsi="Calibri" w:cs="Calibri"/>
          <w:noProof/>
          <w:color w:val="000000" w:themeColor="text1"/>
          <w:sz w:val="22"/>
          <w:szCs w:val="22"/>
        </w:rPr>
        <w:lastRenderedPageBreak/>
        <w:drawing>
          <wp:inline distT="0" distB="0" distL="0" distR="0" wp14:anchorId="55BCFD80" wp14:editId="4E55F59C">
            <wp:extent cx="5553075" cy="1773899"/>
            <wp:effectExtent l="0" t="0" r="0" b="0"/>
            <wp:docPr id="752338945"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38945" name="Imagen 4"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4568" cy="1806320"/>
                    </a:xfrm>
                    <a:prstGeom prst="rect">
                      <a:avLst/>
                    </a:prstGeom>
                  </pic:spPr>
                </pic:pic>
              </a:graphicData>
            </a:graphic>
          </wp:inline>
        </w:drawing>
      </w:r>
    </w:p>
    <w:p w14:paraId="47EF34AB" w14:textId="24FB8385" w:rsidR="00751ECC" w:rsidRPr="00DD2B52" w:rsidRDefault="00751ECC" w:rsidP="00751ECC">
      <w:pPr>
        <w:pStyle w:val="NormalWeb"/>
        <w:spacing w:before="0" w:after="0"/>
        <w:jc w:val="both"/>
        <w:rPr>
          <w:rFonts w:ascii="Calibri" w:eastAsia="Calibri" w:hAnsi="Calibri" w:cs="Calibri"/>
          <w:b/>
          <w:bCs/>
          <w:color w:val="AB0033"/>
          <w:sz w:val="22"/>
          <w:szCs w:val="22"/>
          <w:lang w:eastAsia="en-US"/>
        </w:rPr>
      </w:pPr>
      <w:hyperlink r:id="rId18" w:history="1">
        <w:r w:rsidRPr="00DD2B52">
          <w:rPr>
            <w:rFonts w:ascii="Calibri" w:eastAsia="Calibri" w:hAnsi="Calibri" w:cs="Calibri"/>
            <w:b/>
            <w:bCs/>
            <w:color w:val="AB0033"/>
            <w:sz w:val="22"/>
            <w:szCs w:val="22"/>
            <w:lang w:eastAsia="en-US"/>
          </w:rPr>
          <w:t>https://www.cefp.gob.mx/ixDOCs/2017/271-241230.pdf</w:t>
        </w:r>
      </w:hyperlink>
    </w:p>
    <w:p w14:paraId="3EC45186" w14:textId="40508D79" w:rsidR="00751ECC" w:rsidRPr="00DD2B52" w:rsidRDefault="00751ECC" w:rsidP="00751ECC">
      <w:pPr>
        <w:jc w:val="both"/>
        <w:rPr>
          <w:rFonts w:cs="Calibri"/>
          <w:b/>
        </w:rPr>
      </w:pPr>
      <w:r w:rsidRPr="00DD2B52">
        <w:rPr>
          <w:rFonts w:cs="Calibri"/>
          <w:b/>
        </w:rPr>
        <w:t>2.6.- Ingresos por Remesas provenientes del exterior.</w:t>
      </w:r>
    </w:p>
    <w:p w14:paraId="0C784D83" w14:textId="77777777" w:rsidR="00751ECC" w:rsidRPr="00DD2B52" w:rsidRDefault="00751ECC" w:rsidP="00751ECC">
      <w:pPr>
        <w:jc w:val="both"/>
        <w:rPr>
          <w:rFonts w:cs="Calibri"/>
          <w:color w:val="000000" w:themeColor="text1"/>
        </w:rPr>
      </w:pPr>
      <w:r w:rsidRPr="00DD2B52">
        <w:rPr>
          <w:rFonts w:cs="Calibri"/>
          <w:color w:val="000000" w:themeColor="text1"/>
        </w:rPr>
        <w:t>En el undécimo mes de 2024, los ingresos por remesas familiares observaron un monto de 5 mil 435.2 millones de dólares (</w:t>
      </w:r>
      <w:proofErr w:type="spellStart"/>
      <w:r w:rsidRPr="00DD2B52">
        <w:rPr>
          <w:rFonts w:cs="Calibri"/>
          <w:color w:val="000000" w:themeColor="text1"/>
        </w:rPr>
        <w:t>mdd</w:t>
      </w:r>
      <w:proofErr w:type="spellEnd"/>
      <w:r w:rsidRPr="00DD2B52">
        <w:rPr>
          <w:rFonts w:cs="Calibri"/>
          <w:color w:val="000000" w:themeColor="text1"/>
        </w:rPr>
        <w:t xml:space="preserve">), lo que significó un ascenso de 10.6% en comparación con el mismo periodo de 2023 (4,913.1 </w:t>
      </w:r>
      <w:proofErr w:type="spellStart"/>
      <w:r w:rsidRPr="00DD2B52">
        <w:rPr>
          <w:rFonts w:cs="Calibri"/>
          <w:color w:val="000000" w:themeColor="text1"/>
        </w:rPr>
        <w:t>mdd</w:t>
      </w:r>
      <w:proofErr w:type="spellEnd"/>
      <w:r w:rsidRPr="00DD2B52">
        <w:rPr>
          <w:rFonts w:cs="Calibri"/>
          <w:color w:val="000000" w:themeColor="text1"/>
        </w:rPr>
        <w:t>).</w:t>
      </w:r>
    </w:p>
    <w:p w14:paraId="7E42472B" w14:textId="77777777" w:rsidR="00751ECC" w:rsidRPr="00DD2B52" w:rsidRDefault="00751ECC" w:rsidP="00751ECC">
      <w:pPr>
        <w:jc w:val="both"/>
        <w:rPr>
          <w:rFonts w:cs="Calibri"/>
          <w:color w:val="000000" w:themeColor="text1"/>
        </w:rPr>
      </w:pPr>
      <w:r w:rsidRPr="00DD2B52">
        <w:rPr>
          <w:rFonts w:cs="Calibri"/>
          <w:color w:val="000000" w:themeColor="text1"/>
        </w:rPr>
        <w:t xml:space="preserve">En noviembre, se cuantificaron 13 millones 687 mil 428 operaciones de envíos, dato 7.6% mayor al de hace un año (12.72 millones de operaciones). La remesa promedio fue de 397 dólares, 2.8% superior frente a la de noviembre de 2023 (386 dólares) y diez dólares más respecto a octubre de 2024 (387 dólares). </w:t>
      </w:r>
    </w:p>
    <w:p w14:paraId="4FB13FBF" w14:textId="77777777" w:rsidR="00751ECC" w:rsidRPr="00DD2B52" w:rsidRDefault="00751ECC" w:rsidP="00751ECC">
      <w:pPr>
        <w:jc w:val="both"/>
        <w:rPr>
          <w:rFonts w:cs="Calibri"/>
          <w:color w:val="000000" w:themeColor="text1"/>
        </w:rPr>
      </w:pPr>
      <w:r w:rsidRPr="00DD2B52">
        <w:rPr>
          <w:rFonts w:cs="Calibri"/>
          <w:color w:val="000000" w:themeColor="text1"/>
        </w:rPr>
        <w:t xml:space="preserve">Con valores ajustados por estacionalidad, en noviembre, las remesas tuvieron un incremento de 6.0% respecto a octubre, al pasar de 5 mil 303.8 </w:t>
      </w:r>
      <w:proofErr w:type="spellStart"/>
      <w:r w:rsidRPr="00DD2B52">
        <w:rPr>
          <w:rFonts w:cs="Calibri"/>
          <w:color w:val="000000" w:themeColor="text1"/>
        </w:rPr>
        <w:t>mdd</w:t>
      </w:r>
      <w:proofErr w:type="spellEnd"/>
      <w:r w:rsidRPr="00DD2B52">
        <w:rPr>
          <w:rFonts w:cs="Calibri"/>
          <w:color w:val="000000" w:themeColor="text1"/>
        </w:rPr>
        <w:t xml:space="preserve"> en el décimo mes a 5 mil 620.8 </w:t>
      </w:r>
      <w:proofErr w:type="spellStart"/>
      <w:r w:rsidRPr="00DD2B52">
        <w:rPr>
          <w:rFonts w:cs="Calibri"/>
          <w:color w:val="000000" w:themeColor="text1"/>
        </w:rPr>
        <w:t>mdd</w:t>
      </w:r>
      <w:proofErr w:type="spellEnd"/>
      <w:r w:rsidRPr="00DD2B52">
        <w:rPr>
          <w:rFonts w:cs="Calibri"/>
          <w:color w:val="000000" w:themeColor="text1"/>
        </w:rPr>
        <w:t xml:space="preserve"> en el undécimo mes de 2024.</w:t>
      </w:r>
    </w:p>
    <w:p w14:paraId="5DE7576E" w14:textId="5CD40960" w:rsidR="00751ECC" w:rsidRPr="00DD2B52" w:rsidRDefault="00751ECC" w:rsidP="00751ECC">
      <w:pPr>
        <w:jc w:val="both"/>
        <w:rPr>
          <w:rFonts w:cs="Calibri"/>
          <w:color w:val="000000" w:themeColor="text1"/>
        </w:rPr>
      </w:pPr>
      <w:r w:rsidRPr="00DD2B52">
        <w:rPr>
          <w:rFonts w:cs="Calibri"/>
          <w:noProof/>
          <w:color w:val="000000" w:themeColor="text1"/>
          <w:lang w:eastAsia="es-MX"/>
        </w:rPr>
        <w:drawing>
          <wp:anchor distT="0" distB="0" distL="114300" distR="114300" simplePos="0" relativeHeight="251668480" behindDoc="0" locked="0" layoutInCell="1" allowOverlap="1" wp14:anchorId="51ECA3FB" wp14:editId="50E6F338">
            <wp:simplePos x="0" y="0"/>
            <wp:positionH relativeFrom="margin">
              <wp:posOffset>662940</wp:posOffset>
            </wp:positionH>
            <wp:positionV relativeFrom="paragraph">
              <wp:posOffset>555625</wp:posOffset>
            </wp:positionV>
            <wp:extent cx="4739640" cy="2438400"/>
            <wp:effectExtent l="0" t="0" r="3810" b="0"/>
            <wp:wrapSquare wrapText="bothSides"/>
            <wp:docPr id="1709555029"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57905" name="Imagen 5" descr="Gráfico, Gráfico de líne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9640" cy="2438400"/>
                    </a:xfrm>
                    <a:prstGeom prst="rect">
                      <a:avLst/>
                    </a:prstGeom>
                  </pic:spPr>
                </pic:pic>
              </a:graphicData>
            </a:graphic>
            <wp14:sizeRelH relativeFrom="margin">
              <wp14:pctWidth>0</wp14:pctWidth>
            </wp14:sizeRelH>
            <wp14:sizeRelV relativeFrom="margin">
              <wp14:pctHeight>0</wp14:pctHeight>
            </wp14:sizeRelV>
          </wp:anchor>
        </w:drawing>
      </w:r>
      <w:r w:rsidRPr="00DD2B52">
        <w:rPr>
          <w:rFonts w:cs="Calibri"/>
          <w:color w:val="000000" w:themeColor="text1"/>
        </w:rPr>
        <w:t xml:space="preserve">Con cifras originales, de enero a noviembre de 2024, se acumularon ingresos por concepto de remesas por un monto de 59 mil 517.7 </w:t>
      </w:r>
      <w:proofErr w:type="spellStart"/>
      <w:r w:rsidRPr="00DD2B52">
        <w:rPr>
          <w:rFonts w:cs="Calibri"/>
          <w:color w:val="000000" w:themeColor="text1"/>
        </w:rPr>
        <w:t>mdd</w:t>
      </w:r>
      <w:proofErr w:type="spellEnd"/>
      <w:r w:rsidRPr="00DD2B52">
        <w:rPr>
          <w:rFonts w:cs="Calibri"/>
          <w:color w:val="000000" w:themeColor="text1"/>
        </w:rPr>
        <w:t xml:space="preserve">, lo que significó un alza de 2.9% con referencia a lo observado en el mismo periodo del año previo (57,821.6 </w:t>
      </w:r>
      <w:proofErr w:type="spellStart"/>
      <w:r w:rsidRPr="00DD2B52">
        <w:rPr>
          <w:rFonts w:cs="Calibri"/>
          <w:color w:val="000000" w:themeColor="text1"/>
        </w:rPr>
        <w:t>mdd</w:t>
      </w:r>
      <w:proofErr w:type="spellEnd"/>
      <w:r w:rsidRPr="00DD2B52">
        <w:rPr>
          <w:rFonts w:cs="Calibri"/>
          <w:color w:val="000000" w:themeColor="text1"/>
        </w:rPr>
        <w:t>).</w:t>
      </w:r>
    </w:p>
    <w:p w14:paraId="1B4BFEE8" w14:textId="14034753" w:rsidR="00751ECC" w:rsidRPr="00DD2B52" w:rsidRDefault="00751ECC" w:rsidP="00751ECC">
      <w:pPr>
        <w:jc w:val="both"/>
        <w:rPr>
          <w:rFonts w:cs="Calibri"/>
          <w:color w:val="000000" w:themeColor="text1"/>
        </w:rPr>
      </w:pPr>
    </w:p>
    <w:p w14:paraId="0F11F706" w14:textId="24EB8001" w:rsidR="00751ECC" w:rsidRPr="00DD2B52" w:rsidRDefault="00751ECC" w:rsidP="00751ECC">
      <w:pPr>
        <w:jc w:val="center"/>
        <w:rPr>
          <w:rFonts w:cs="Calibri"/>
          <w:color w:val="000000" w:themeColor="text1"/>
        </w:rPr>
      </w:pPr>
    </w:p>
    <w:p w14:paraId="3F3E4F69" w14:textId="6B13F7E9" w:rsidR="00751ECC" w:rsidRPr="00DD2B52" w:rsidRDefault="00751ECC" w:rsidP="00751ECC">
      <w:pPr>
        <w:jc w:val="center"/>
        <w:rPr>
          <w:rFonts w:cs="Calibri"/>
          <w:color w:val="000000" w:themeColor="text1"/>
        </w:rPr>
      </w:pPr>
    </w:p>
    <w:p w14:paraId="54794BC1" w14:textId="3F8EE07B" w:rsidR="00751ECC" w:rsidRPr="00DD2B52" w:rsidRDefault="00751ECC" w:rsidP="00751ECC">
      <w:pPr>
        <w:jc w:val="center"/>
        <w:rPr>
          <w:rFonts w:cs="Calibri"/>
          <w:noProof/>
          <w:color w:val="000000" w:themeColor="text1"/>
          <w:lang w:eastAsia="es-MX"/>
        </w:rPr>
      </w:pPr>
    </w:p>
    <w:p w14:paraId="52B2178C" w14:textId="77777777" w:rsidR="00751ECC" w:rsidRPr="00DD2B52" w:rsidRDefault="00751ECC" w:rsidP="00751ECC">
      <w:pPr>
        <w:rPr>
          <w:rFonts w:cs="Calibri"/>
          <w:noProof/>
          <w:color w:val="000000" w:themeColor="text1"/>
          <w:lang w:eastAsia="es-MX"/>
        </w:rPr>
      </w:pPr>
    </w:p>
    <w:p w14:paraId="0FD51F64" w14:textId="77777777" w:rsidR="00751ECC" w:rsidRPr="00DD2B52" w:rsidRDefault="00751ECC" w:rsidP="00751ECC">
      <w:pPr>
        <w:jc w:val="center"/>
        <w:rPr>
          <w:rFonts w:cs="Calibri"/>
          <w:noProof/>
          <w:color w:val="000000" w:themeColor="text1"/>
          <w:lang w:eastAsia="es-MX"/>
        </w:rPr>
      </w:pPr>
      <w:r w:rsidRPr="00DD2B52">
        <w:rPr>
          <w:rFonts w:cs="Calibri"/>
          <w:noProof/>
          <w:color w:val="000000" w:themeColor="text1"/>
          <w:lang w:eastAsia="es-MX"/>
        </w:rPr>
        <w:lastRenderedPageBreak/>
        <w:drawing>
          <wp:anchor distT="0" distB="0" distL="114300" distR="114300" simplePos="0" relativeHeight="251664384" behindDoc="0" locked="0" layoutInCell="1" allowOverlap="1" wp14:anchorId="3D19C5DC" wp14:editId="20C84BC3">
            <wp:simplePos x="0" y="0"/>
            <wp:positionH relativeFrom="column">
              <wp:posOffset>1143000</wp:posOffset>
            </wp:positionH>
            <wp:positionV relativeFrom="paragraph">
              <wp:posOffset>0</wp:posOffset>
            </wp:positionV>
            <wp:extent cx="4019550" cy="4854081"/>
            <wp:effectExtent l="0" t="0" r="0" b="3810"/>
            <wp:wrapSquare wrapText="bothSides"/>
            <wp:docPr id="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871" name="Imagen 6" descr="Tabl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9550" cy="4854081"/>
                    </a:xfrm>
                    <a:prstGeom prst="rect">
                      <a:avLst/>
                    </a:prstGeom>
                  </pic:spPr>
                </pic:pic>
              </a:graphicData>
            </a:graphic>
          </wp:anchor>
        </w:drawing>
      </w:r>
    </w:p>
    <w:p w14:paraId="7E21EADC" w14:textId="77777777" w:rsidR="00751ECC" w:rsidRPr="00DD2B52" w:rsidRDefault="00751ECC" w:rsidP="00751ECC">
      <w:pPr>
        <w:jc w:val="center"/>
        <w:rPr>
          <w:rFonts w:cs="Calibri"/>
          <w:noProof/>
          <w:color w:val="000000" w:themeColor="text1"/>
          <w:lang w:eastAsia="es-MX"/>
        </w:rPr>
      </w:pPr>
    </w:p>
    <w:p w14:paraId="763BE837" w14:textId="77777777" w:rsidR="00751ECC" w:rsidRPr="00DD2B52" w:rsidRDefault="00751ECC" w:rsidP="00751ECC">
      <w:pPr>
        <w:jc w:val="center"/>
        <w:rPr>
          <w:rFonts w:cs="Calibri"/>
          <w:noProof/>
          <w:color w:val="000000" w:themeColor="text1"/>
          <w:lang w:eastAsia="es-MX"/>
        </w:rPr>
      </w:pPr>
    </w:p>
    <w:p w14:paraId="73486E34" w14:textId="77777777" w:rsidR="00751ECC" w:rsidRPr="00DD2B52" w:rsidRDefault="00751ECC" w:rsidP="00751ECC">
      <w:pPr>
        <w:jc w:val="center"/>
        <w:rPr>
          <w:rFonts w:cs="Calibri"/>
          <w:noProof/>
          <w:color w:val="000000" w:themeColor="text1"/>
          <w:lang w:eastAsia="es-MX"/>
        </w:rPr>
      </w:pPr>
    </w:p>
    <w:p w14:paraId="3CB8B435" w14:textId="77777777" w:rsidR="00751ECC" w:rsidRPr="00DD2B52" w:rsidRDefault="00751ECC" w:rsidP="00751ECC">
      <w:pPr>
        <w:jc w:val="center"/>
        <w:rPr>
          <w:rFonts w:cs="Calibri"/>
          <w:color w:val="000000" w:themeColor="text1"/>
        </w:rPr>
      </w:pPr>
    </w:p>
    <w:p w14:paraId="14E61DB6" w14:textId="77777777" w:rsidR="00751ECC" w:rsidRPr="00DD2B52" w:rsidRDefault="00751ECC" w:rsidP="00751ECC">
      <w:pPr>
        <w:jc w:val="both"/>
      </w:pPr>
    </w:p>
    <w:p w14:paraId="5B0E9B65" w14:textId="77777777" w:rsidR="00751ECC" w:rsidRPr="00DD2B52" w:rsidRDefault="00751ECC" w:rsidP="00751ECC">
      <w:pPr>
        <w:jc w:val="both"/>
      </w:pPr>
    </w:p>
    <w:p w14:paraId="5A6C4815" w14:textId="77777777" w:rsidR="00751ECC" w:rsidRPr="00DD2B52" w:rsidRDefault="00751ECC" w:rsidP="00751ECC">
      <w:pPr>
        <w:jc w:val="both"/>
      </w:pPr>
    </w:p>
    <w:p w14:paraId="07163808" w14:textId="77777777" w:rsidR="00751ECC" w:rsidRPr="00DD2B52" w:rsidRDefault="00751ECC" w:rsidP="00751ECC">
      <w:pPr>
        <w:jc w:val="both"/>
      </w:pPr>
    </w:p>
    <w:p w14:paraId="7A703BAE" w14:textId="77777777" w:rsidR="00751ECC" w:rsidRPr="00DD2B52" w:rsidRDefault="00751ECC" w:rsidP="00751ECC">
      <w:pPr>
        <w:jc w:val="both"/>
      </w:pPr>
    </w:p>
    <w:p w14:paraId="3EAE8BEE" w14:textId="77777777" w:rsidR="00751ECC" w:rsidRPr="00DD2B52" w:rsidRDefault="00751ECC" w:rsidP="00751ECC">
      <w:pPr>
        <w:jc w:val="both"/>
      </w:pPr>
    </w:p>
    <w:p w14:paraId="493AFDE8" w14:textId="77777777" w:rsidR="00751ECC" w:rsidRPr="00DD2B52" w:rsidRDefault="00751ECC" w:rsidP="00751ECC">
      <w:pPr>
        <w:jc w:val="both"/>
      </w:pPr>
    </w:p>
    <w:p w14:paraId="772B7BF4" w14:textId="77777777" w:rsidR="00751ECC" w:rsidRPr="00DD2B52" w:rsidRDefault="00751ECC" w:rsidP="00751ECC">
      <w:pPr>
        <w:jc w:val="both"/>
      </w:pPr>
    </w:p>
    <w:p w14:paraId="5A3F3534" w14:textId="77777777" w:rsidR="00751ECC" w:rsidRPr="00DD2B52" w:rsidRDefault="00751ECC" w:rsidP="00751ECC">
      <w:pPr>
        <w:jc w:val="both"/>
      </w:pPr>
    </w:p>
    <w:p w14:paraId="45E8E594" w14:textId="77777777" w:rsidR="00751ECC" w:rsidRPr="00DD2B52" w:rsidRDefault="00751ECC" w:rsidP="00751ECC">
      <w:pPr>
        <w:jc w:val="both"/>
      </w:pPr>
    </w:p>
    <w:p w14:paraId="12BC48DE" w14:textId="77777777" w:rsidR="00751ECC" w:rsidRPr="00DD2B52" w:rsidRDefault="00751ECC" w:rsidP="00751ECC">
      <w:pPr>
        <w:jc w:val="both"/>
      </w:pPr>
    </w:p>
    <w:p w14:paraId="5C4427EA" w14:textId="77777777" w:rsidR="00751ECC" w:rsidRPr="00DD2B52" w:rsidRDefault="00751ECC" w:rsidP="00751ECC">
      <w:pPr>
        <w:jc w:val="both"/>
        <w:rPr>
          <w:rFonts w:cs="Calibri"/>
          <w:b/>
          <w:bCs/>
          <w:color w:val="000000" w:themeColor="text1"/>
        </w:rPr>
      </w:pPr>
      <w:hyperlink r:id="rId21" w:history="1">
        <w:r w:rsidRPr="00DD2B52">
          <w:rPr>
            <w:rFonts w:cs="Calibri"/>
            <w:b/>
            <w:bCs/>
            <w:color w:val="AB0033"/>
          </w:rPr>
          <w:t>https://www.cefp.gob.mx/ixDOCs/2017/284-250102.pdf</w:t>
        </w:r>
      </w:hyperlink>
    </w:p>
    <w:p w14:paraId="77846AA0" w14:textId="1A73EF24" w:rsidR="00751ECC" w:rsidRPr="00DD2B52" w:rsidRDefault="00751ECC" w:rsidP="00C8542B">
      <w:pPr>
        <w:jc w:val="both"/>
        <w:rPr>
          <w:rFonts w:cs="Calibri"/>
          <w:b/>
        </w:rPr>
      </w:pPr>
      <w:r w:rsidRPr="00DD2B52">
        <w:rPr>
          <w:rFonts w:cs="Calibri"/>
          <w:b/>
        </w:rPr>
        <w:t>2.7.- Bolsa Mexicana de Valores.</w:t>
      </w:r>
    </w:p>
    <w:p w14:paraId="2DFB7150" w14:textId="77777777" w:rsidR="00751ECC" w:rsidRPr="00DD2B52" w:rsidRDefault="00751ECC" w:rsidP="00751ECC">
      <w:pPr>
        <w:jc w:val="both"/>
        <w:rPr>
          <w:rFonts w:cs="Calibri"/>
          <w:color w:val="000000" w:themeColor="text1"/>
        </w:rPr>
      </w:pPr>
      <w:r w:rsidRPr="00DD2B52">
        <w:rPr>
          <w:rFonts w:cs="Calibri"/>
          <w:color w:val="000000" w:themeColor="text1"/>
        </w:rPr>
        <w:t>Del 20 al 27 de diciembre, el Índice S&amp;P/BMV IPC presentó un decremento de 0.60% (-295.63 unidades), finalizando en 49 mil 290.58 puntos (pts.); acumulando así, dos semanas consecutivas de pérdidas. En lo que va del año, el mercado bursátil mexicano acumuló un rendimiento negativo de 14.11% (-8,095.67 pts.).</w:t>
      </w:r>
    </w:p>
    <w:p w14:paraId="2236E733" w14:textId="77777777" w:rsidR="00751ECC" w:rsidRPr="00DD2B52" w:rsidRDefault="00751ECC" w:rsidP="00751ECC">
      <w:pPr>
        <w:jc w:val="both"/>
        <w:rPr>
          <w:rFonts w:cs="Calibri"/>
          <w:color w:val="000000" w:themeColor="text1"/>
        </w:rPr>
      </w:pPr>
      <w:r w:rsidRPr="00DD2B52">
        <w:rPr>
          <w:rFonts w:cs="Calibri"/>
          <w:color w:val="000000" w:themeColor="text1"/>
        </w:rPr>
        <w:t>En el periodo indicado, los mercados de valores a nivel mundial registraron movimientos mixtos: el índice Dow Jones de Estados Unidos terminó en 42 mil 992.21 unidades, lo que representó un ascenso de 0.35%. En Europa, las plazas bursátiles de Francia, Inglaterra y España avanzaron 1.11, 0.81 y 0.56%, respectivamente. Por su parte, en América Latina, el mercado accionario de Argentina reportó un alza de 4.46%; en tanto que el de Brasil exhibió una reducción de 1.50%.</w:t>
      </w:r>
    </w:p>
    <w:p w14:paraId="2F5060E7" w14:textId="2AB6C558" w:rsidR="00751ECC" w:rsidRPr="00DD2B52" w:rsidRDefault="00751ECC" w:rsidP="00751ECC">
      <w:pPr>
        <w:jc w:val="both"/>
        <w:rPr>
          <w:rFonts w:cs="Calibri"/>
          <w:color w:val="000000" w:themeColor="text1"/>
        </w:rPr>
      </w:pPr>
      <w:r w:rsidRPr="00DD2B52">
        <w:rPr>
          <w:rFonts w:cs="Calibri"/>
          <w:color w:val="000000" w:themeColor="text1"/>
        </w:rPr>
        <w:lastRenderedPageBreak/>
        <w:t>El comportamiento de la principal bolsa de valores local se relacionó con un incremento de la aversión global al riesgo, ante la expectativa de que la Reserva Federal de Estados Unidos mantendrá, el próximo año, una postura monetaria restrictiva, con menos ajustes a su tasa de interés de referencia, actualmente en un rango de entre 4.25 y 4.50%.</w:t>
      </w:r>
    </w:p>
    <w:p w14:paraId="44CC0A2A" w14:textId="7E47AD93" w:rsidR="00751ECC" w:rsidRPr="00DD2B52" w:rsidRDefault="00751ECC" w:rsidP="00751ECC">
      <w:pPr>
        <w:jc w:val="both"/>
        <w:rPr>
          <w:rFonts w:cs="Calibri"/>
          <w:color w:val="000000" w:themeColor="text1"/>
        </w:rPr>
      </w:pPr>
      <w:r w:rsidRPr="00DD2B52">
        <w:rPr>
          <w:rFonts w:cs="Calibri"/>
          <w:noProof/>
          <w:color w:val="000000" w:themeColor="text1"/>
          <w:lang w:eastAsia="es-MX"/>
        </w:rPr>
        <w:drawing>
          <wp:anchor distT="0" distB="0" distL="114300" distR="114300" simplePos="0" relativeHeight="251670528" behindDoc="0" locked="0" layoutInCell="1" allowOverlap="1" wp14:anchorId="1EDAD4EB" wp14:editId="3BBA94CB">
            <wp:simplePos x="0" y="0"/>
            <wp:positionH relativeFrom="margin">
              <wp:posOffset>670560</wp:posOffset>
            </wp:positionH>
            <wp:positionV relativeFrom="paragraph">
              <wp:posOffset>304165</wp:posOffset>
            </wp:positionV>
            <wp:extent cx="4960620" cy="2657475"/>
            <wp:effectExtent l="0" t="0" r="0" b="9525"/>
            <wp:wrapSquare wrapText="bothSides"/>
            <wp:docPr id="1422332294"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2294" name="Imagen 7" descr="Gráf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0620" cy="2657475"/>
                    </a:xfrm>
                    <a:prstGeom prst="rect">
                      <a:avLst/>
                    </a:prstGeom>
                  </pic:spPr>
                </pic:pic>
              </a:graphicData>
            </a:graphic>
            <wp14:sizeRelH relativeFrom="margin">
              <wp14:pctWidth>0</wp14:pctWidth>
            </wp14:sizeRelH>
            <wp14:sizeRelV relativeFrom="margin">
              <wp14:pctHeight>0</wp14:pctHeight>
            </wp14:sizeRelV>
          </wp:anchor>
        </w:drawing>
      </w:r>
    </w:p>
    <w:p w14:paraId="39A23B6F" w14:textId="77777777" w:rsidR="00751ECC" w:rsidRPr="00DD2B52" w:rsidRDefault="00751ECC" w:rsidP="00751ECC">
      <w:pPr>
        <w:jc w:val="center"/>
        <w:rPr>
          <w:rFonts w:cs="Calibri"/>
          <w:color w:val="000000" w:themeColor="text1"/>
        </w:rPr>
      </w:pPr>
    </w:p>
    <w:p w14:paraId="1FCEF009" w14:textId="77777777" w:rsidR="00751ECC" w:rsidRPr="00DD2B52" w:rsidRDefault="00751ECC" w:rsidP="00751ECC">
      <w:pPr>
        <w:jc w:val="center"/>
        <w:rPr>
          <w:rFonts w:cs="Calibri"/>
          <w:color w:val="000000" w:themeColor="text1"/>
        </w:rPr>
      </w:pPr>
    </w:p>
    <w:p w14:paraId="60DB5386" w14:textId="77777777" w:rsidR="00751ECC" w:rsidRPr="00DD2B52" w:rsidRDefault="00751ECC" w:rsidP="00751ECC">
      <w:pPr>
        <w:jc w:val="both"/>
        <w:rPr>
          <w:rFonts w:cs="Calibri"/>
          <w:color w:val="000000" w:themeColor="text1"/>
        </w:rPr>
      </w:pPr>
    </w:p>
    <w:p w14:paraId="592015BE" w14:textId="77777777" w:rsidR="00751ECC" w:rsidRPr="00DD2B52" w:rsidRDefault="00751ECC" w:rsidP="00751ECC">
      <w:pPr>
        <w:jc w:val="both"/>
        <w:rPr>
          <w:rFonts w:cs="Calibri"/>
          <w:color w:val="000000" w:themeColor="text1"/>
        </w:rPr>
      </w:pPr>
    </w:p>
    <w:p w14:paraId="3EEF009A" w14:textId="77777777" w:rsidR="00751ECC" w:rsidRPr="00DD2B52" w:rsidRDefault="00751ECC" w:rsidP="00751ECC">
      <w:pPr>
        <w:jc w:val="both"/>
        <w:rPr>
          <w:rFonts w:cs="Calibri"/>
          <w:color w:val="000000" w:themeColor="text1"/>
        </w:rPr>
      </w:pPr>
    </w:p>
    <w:p w14:paraId="71F6E0F8" w14:textId="77777777" w:rsidR="00751ECC" w:rsidRPr="00DD2B52" w:rsidRDefault="00751ECC" w:rsidP="00751ECC">
      <w:pPr>
        <w:jc w:val="both"/>
        <w:rPr>
          <w:rFonts w:cs="Calibri"/>
          <w:color w:val="000000" w:themeColor="text1"/>
        </w:rPr>
      </w:pPr>
    </w:p>
    <w:p w14:paraId="27217FCF" w14:textId="77777777" w:rsidR="00751ECC" w:rsidRPr="00DD2B52" w:rsidRDefault="00751ECC" w:rsidP="00751ECC">
      <w:pPr>
        <w:jc w:val="both"/>
        <w:rPr>
          <w:rFonts w:cs="Calibri"/>
          <w:color w:val="000000" w:themeColor="text1"/>
        </w:rPr>
      </w:pPr>
    </w:p>
    <w:p w14:paraId="4B30E976" w14:textId="77777777" w:rsidR="00751ECC" w:rsidRPr="00DD2B52" w:rsidRDefault="00751ECC" w:rsidP="00751ECC">
      <w:pPr>
        <w:jc w:val="both"/>
        <w:rPr>
          <w:rFonts w:cs="Calibri"/>
          <w:color w:val="000000" w:themeColor="text1"/>
        </w:rPr>
      </w:pPr>
    </w:p>
    <w:p w14:paraId="2E7935BA" w14:textId="77777777" w:rsidR="00751ECC" w:rsidRPr="00DD2B52" w:rsidRDefault="00751ECC" w:rsidP="00751ECC">
      <w:pPr>
        <w:jc w:val="both"/>
        <w:rPr>
          <w:rFonts w:cs="Calibri"/>
          <w:color w:val="000000" w:themeColor="text1"/>
        </w:rPr>
      </w:pPr>
    </w:p>
    <w:p w14:paraId="4C879BA9" w14:textId="77777777" w:rsidR="00751ECC" w:rsidRPr="00DD2B52" w:rsidRDefault="00751ECC" w:rsidP="00751ECC">
      <w:pPr>
        <w:jc w:val="both"/>
        <w:rPr>
          <w:rFonts w:cs="Calibri"/>
          <w:color w:val="000000" w:themeColor="text1"/>
        </w:rPr>
      </w:pPr>
    </w:p>
    <w:p w14:paraId="7D72857B" w14:textId="27CC17F0" w:rsidR="00751ECC" w:rsidRPr="00DD2B52" w:rsidRDefault="00DD2B52" w:rsidP="00751ECC">
      <w:pPr>
        <w:jc w:val="both"/>
        <w:rPr>
          <w:rFonts w:cs="Calibri"/>
          <w:color w:val="000000" w:themeColor="text1"/>
        </w:rPr>
      </w:pPr>
      <w:r w:rsidRPr="00DD2B52">
        <w:rPr>
          <w:rFonts w:cs="Calibri"/>
          <w:noProof/>
          <w:color w:val="000000" w:themeColor="text1"/>
          <w:lang w:eastAsia="es-MX"/>
        </w:rPr>
        <w:drawing>
          <wp:anchor distT="0" distB="0" distL="114300" distR="114300" simplePos="0" relativeHeight="251666432" behindDoc="0" locked="0" layoutInCell="1" allowOverlap="1" wp14:anchorId="1D745329" wp14:editId="0E8D6017">
            <wp:simplePos x="0" y="0"/>
            <wp:positionH relativeFrom="column">
              <wp:posOffset>853440</wp:posOffset>
            </wp:positionH>
            <wp:positionV relativeFrom="paragraph">
              <wp:posOffset>12065</wp:posOffset>
            </wp:positionV>
            <wp:extent cx="4572000" cy="2894965"/>
            <wp:effectExtent l="0" t="0" r="0" b="635"/>
            <wp:wrapSquare wrapText="bothSides"/>
            <wp:docPr id="1360301015"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01015" name="Imagen 8" descr="Tabl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894965"/>
                    </a:xfrm>
                    <a:prstGeom prst="rect">
                      <a:avLst/>
                    </a:prstGeom>
                  </pic:spPr>
                </pic:pic>
              </a:graphicData>
            </a:graphic>
            <wp14:sizeRelH relativeFrom="margin">
              <wp14:pctWidth>0</wp14:pctWidth>
            </wp14:sizeRelH>
            <wp14:sizeRelV relativeFrom="margin">
              <wp14:pctHeight>0</wp14:pctHeight>
            </wp14:sizeRelV>
          </wp:anchor>
        </w:drawing>
      </w:r>
    </w:p>
    <w:p w14:paraId="7B0EDC96" w14:textId="7D97134B" w:rsidR="00751ECC" w:rsidRPr="00DD2B52" w:rsidRDefault="00751ECC" w:rsidP="00751ECC">
      <w:pPr>
        <w:jc w:val="both"/>
        <w:rPr>
          <w:rFonts w:cs="Calibri"/>
          <w:color w:val="000000" w:themeColor="text1"/>
        </w:rPr>
      </w:pPr>
    </w:p>
    <w:p w14:paraId="0431534B" w14:textId="77777777" w:rsidR="00751ECC" w:rsidRPr="00DD2B52" w:rsidRDefault="00751ECC" w:rsidP="00751ECC">
      <w:pPr>
        <w:jc w:val="both"/>
        <w:rPr>
          <w:rFonts w:cs="Calibri"/>
          <w:color w:val="000000" w:themeColor="text1"/>
        </w:rPr>
      </w:pPr>
    </w:p>
    <w:p w14:paraId="73550DD4" w14:textId="77777777" w:rsidR="00751ECC" w:rsidRPr="00DD2B52" w:rsidRDefault="00751ECC" w:rsidP="00751ECC">
      <w:pPr>
        <w:jc w:val="both"/>
        <w:rPr>
          <w:rFonts w:cs="Calibri"/>
          <w:color w:val="000000" w:themeColor="text1"/>
        </w:rPr>
      </w:pPr>
    </w:p>
    <w:p w14:paraId="210076F4" w14:textId="77777777" w:rsidR="00751ECC" w:rsidRPr="00DD2B52" w:rsidRDefault="00751ECC" w:rsidP="00751ECC">
      <w:pPr>
        <w:jc w:val="both"/>
        <w:rPr>
          <w:rFonts w:cs="Calibri"/>
          <w:color w:val="000000" w:themeColor="text1"/>
        </w:rPr>
      </w:pPr>
    </w:p>
    <w:p w14:paraId="29E028B6" w14:textId="77777777" w:rsidR="00751ECC" w:rsidRPr="00DD2B52" w:rsidRDefault="00751ECC" w:rsidP="00751ECC">
      <w:pPr>
        <w:jc w:val="both"/>
        <w:rPr>
          <w:rFonts w:cs="Calibri"/>
          <w:color w:val="000000" w:themeColor="text1"/>
        </w:rPr>
      </w:pPr>
    </w:p>
    <w:p w14:paraId="17869F31" w14:textId="77777777" w:rsidR="00751ECC" w:rsidRPr="00DD2B52" w:rsidRDefault="00751ECC" w:rsidP="00751ECC">
      <w:pPr>
        <w:jc w:val="both"/>
        <w:rPr>
          <w:rFonts w:cs="Calibri"/>
          <w:color w:val="000000" w:themeColor="text1"/>
        </w:rPr>
      </w:pPr>
    </w:p>
    <w:p w14:paraId="2295E2CF" w14:textId="77777777" w:rsidR="00751ECC" w:rsidRPr="00DD2B52" w:rsidRDefault="00751ECC" w:rsidP="00751ECC">
      <w:pPr>
        <w:jc w:val="both"/>
        <w:rPr>
          <w:rFonts w:cs="Calibri"/>
          <w:color w:val="000000" w:themeColor="text1"/>
        </w:rPr>
      </w:pPr>
    </w:p>
    <w:p w14:paraId="6B2AE807" w14:textId="77777777" w:rsidR="00751ECC" w:rsidRPr="00DD2B52" w:rsidRDefault="00751ECC" w:rsidP="00751ECC">
      <w:pPr>
        <w:jc w:val="both"/>
        <w:rPr>
          <w:rFonts w:cs="Calibri"/>
          <w:color w:val="000000" w:themeColor="text1"/>
        </w:rPr>
      </w:pPr>
    </w:p>
    <w:p w14:paraId="681443A9" w14:textId="77777777" w:rsidR="00751ECC" w:rsidRPr="00DD2B52" w:rsidRDefault="00751ECC" w:rsidP="00751ECC">
      <w:pPr>
        <w:jc w:val="both"/>
        <w:rPr>
          <w:rFonts w:cs="Calibri"/>
          <w:color w:val="000000" w:themeColor="text1"/>
        </w:rPr>
      </w:pPr>
    </w:p>
    <w:p w14:paraId="6D033A9D" w14:textId="77777777" w:rsidR="00751ECC" w:rsidRPr="00DD2B52" w:rsidRDefault="00751ECC" w:rsidP="00751ECC">
      <w:pPr>
        <w:jc w:val="both"/>
        <w:rPr>
          <w:rFonts w:cs="Calibri"/>
          <w:color w:val="000000" w:themeColor="text1"/>
        </w:rPr>
      </w:pPr>
    </w:p>
    <w:p w14:paraId="4F29AAA3" w14:textId="432B3E56" w:rsidR="00751ECC" w:rsidRPr="00DD2B52" w:rsidRDefault="00751ECC" w:rsidP="00751ECC">
      <w:pPr>
        <w:jc w:val="both"/>
        <w:rPr>
          <w:rFonts w:cs="Calibri"/>
          <w:color w:val="000000" w:themeColor="text1"/>
        </w:rPr>
      </w:pPr>
      <w:r w:rsidRPr="00DD2B52">
        <w:rPr>
          <w:rFonts w:cs="Calibri"/>
          <w:color w:val="000000" w:themeColor="text1"/>
        </w:rPr>
        <w:lastRenderedPageBreak/>
        <w:t xml:space="preserve">El Índice de Precios y Cotizaciones (S&amp;P/BMV IPC) es el principal indicador de la Bolsa Mexicana de Valores (BMV). Analiza el rendimiento del mercado accionario basándose en las variaciones de los precios de la muestra representativa que lo componen y del grupo de acciones que cotizan en la Bolsa. </w:t>
      </w:r>
    </w:p>
    <w:p w14:paraId="0C841725" w14:textId="77777777" w:rsidR="00751ECC" w:rsidRPr="00DD2B52" w:rsidRDefault="00751ECC" w:rsidP="00751ECC">
      <w:pPr>
        <w:jc w:val="both"/>
        <w:rPr>
          <w:rFonts w:cs="Calibri"/>
          <w:b/>
          <w:bCs/>
          <w:color w:val="AB0033"/>
        </w:rPr>
      </w:pPr>
      <w:hyperlink r:id="rId24" w:history="1">
        <w:r w:rsidRPr="00DD2B52">
          <w:rPr>
            <w:rFonts w:cs="Calibri"/>
            <w:b/>
            <w:bCs/>
            <w:color w:val="AB0033"/>
          </w:rPr>
          <w:t>https://www.cefp.gob.mx/ixDOCs/2017/263-241230.pdf</w:t>
        </w:r>
      </w:hyperlink>
    </w:p>
    <w:p w14:paraId="42789772" w14:textId="77777777" w:rsidR="00751ECC" w:rsidRPr="00DD2B52" w:rsidRDefault="00751ECC" w:rsidP="00751ECC">
      <w:pPr>
        <w:pStyle w:val="NormalWeb"/>
        <w:spacing w:before="0" w:after="0"/>
        <w:jc w:val="both"/>
        <w:rPr>
          <w:rFonts w:ascii="Calibri" w:eastAsia="Calibri" w:hAnsi="Calibri" w:cs="Calibri"/>
          <w:b/>
          <w:bCs/>
          <w:color w:val="000000" w:themeColor="text1"/>
          <w:sz w:val="22"/>
          <w:szCs w:val="22"/>
          <w:lang w:eastAsia="en-US"/>
        </w:rPr>
      </w:pPr>
    </w:p>
    <w:p w14:paraId="04133B1A" w14:textId="77777777" w:rsidR="00751ECC" w:rsidRPr="00DD2B52" w:rsidRDefault="00751ECC" w:rsidP="00751ECC">
      <w:pPr>
        <w:spacing w:after="0" w:line="240" w:lineRule="auto"/>
        <w:rPr>
          <w:rFonts w:eastAsia="Times New Roman" w:cs="Calibri"/>
          <w:lang w:val="es-ES" w:eastAsia="es-ES"/>
        </w:rPr>
      </w:pPr>
    </w:p>
    <w:p w14:paraId="70CF0838" w14:textId="77777777" w:rsidR="00751ECC" w:rsidRPr="00DD2B52" w:rsidRDefault="00751ECC" w:rsidP="00751ECC">
      <w:pPr>
        <w:spacing w:after="0" w:line="240" w:lineRule="auto"/>
        <w:rPr>
          <w:rFonts w:eastAsia="Times New Roman" w:cs="Calibri"/>
          <w:lang w:val="es-ES" w:eastAsia="es-ES"/>
        </w:rPr>
      </w:pPr>
    </w:p>
    <w:sectPr w:rsidR="00751ECC" w:rsidRPr="00DD2B52" w:rsidSect="00841F43">
      <w:headerReference w:type="even" r:id="rId25"/>
      <w:headerReference w:type="default" r:id="rId26"/>
      <w:footerReference w:type="even" r:id="rId27"/>
      <w:footerReference w:type="default" r:id="rId28"/>
      <w:pgSz w:w="12240" w:h="15840"/>
      <w:pgMar w:top="1814" w:right="1440" w:bottom="1134" w:left="1440" w:header="567"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45C0C" w14:textId="77777777" w:rsidR="00451480" w:rsidRDefault="00451480" w:rsidP="00EA5418">
      <w:pPr>
        <w:spacing w:after="0" w:line="240" w:lineRule="auto"/>
      </w:pPr>
      <w:r>
        <w:separator/>
      </w:r>
    </w:p>
  </w:endnote>
  <w:endnote w:type="continuationSeparator" w:id="0">
    <w:p w14:paraId="0FC67769" w14:textId="77777777" w:rsidR="00451480" w:rsidRDefault="0045148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00000003" w:usb1="00000000" w:usb2="00000000" w:usb3="00000000" w:csb0="00000001" w:csb1="00000000"/>
  </w:font>
  <w:font w:name="Encode Sans">
    <w:altName w:val="Calibri"/>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DIN Pro Regular">
    <w:altName w:val="Arial"/>
    <w:charset w:val="00"/>
    <w:family w:val="swiss"/>
    <w:pitch w:val="variable"/>
    <w:sig w:usb0="A00002BF" w:usb1="4000207B" w:usb2="00000008" w:usb3="00000000" w:csb0="0000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Encode Sans Medium">
    <w:altName w:val="Calibri"/>
    <w:charset w:val="00"/>
    <w:family w:val="auto"/>
    <w:pitch w:val="variable"/>
    <w:sig w:usb0="A00000FF" w:usb1="4000207B" w:usb2="00000000" w:usb3="00000000" w:csb0="00000193" w:csb1="00000000"/>
  </w:font>
  <w:font w:name="DIN Pro Bold">
    <w:charset w:val="00"/>
    <w:family w:val="swiss"/>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E00E" w14:textId="77777777" w:rsidR="00451480" w:rsidRPr="00DF3D6D" w:rsidRDefault="00451480" w:rsidP="0013011C">
    <w:pPr>
      <w:pStyle w:val="Piedepgina"/>
      <w:jc w:val="center"/>
      <w:rPr>
        <w:rFonts w:ascii="DIN Pro Regular" w:hAnsi="DIN Pro Regular" w:cs="DIN Pro Regular"/>
      </w:rPr>
    </w:pPr>
    <w:r w:rsidRPr="00DF3D6D">
      <w:rPr>
        <w:rFonts w:ascii="DIN Pro Regular" w:hAnsi="DIN Pro Regular" w:cs="DIN Pro Regular"/>
        <w:noProof/>
        <w:lang w:eastAsia="es-MX"/>
      </w:rPr>
      <mc:AlternateContent>
        <mc:Choice Requires="wps">
          <w:drawing>
            <wp:anchor distT="0" distB="0" distL="114300" distR="114300" simplePos="0" relativeHeight="251659776" behindDoc="0" locked="0" layoutInCell="1" allowOverlap="1" wp14:anchorId="3C2EABB9" wp14:editId="657EA289">
              <wp:simplePos x="0" y="0"/>
              <wp:positionH relativeFrom="column">
                <wp:posOffset>-2416810</wp:posOffset>
              </wp:positionH>
              <wp:positionV relativeFrom="paragraph">
                <wp:posOffset>-16510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2BA2D9" id="12 Conector recto"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3pt" to="60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TF6wEAAMADAAAOAAAAZHJzL2Uyb0RvYy54bWysU02P0zAQvSPxHyzfaZJCV92o6Uq0KpcF&#10;Ki3sferYiYVjWx7TtP+esVO1u3BDe3E8H34z781k9XAaDDvKgNrZhlezkjNphWu17Rr+88fuw5Iz&#10;jGBbMM7Khp8l8of1+3er0ddy7npnWhkYgVisR9/wPkZfFwWKXg6AM+elpaByYYBIZuiKNsBI6IMp&#10;5mV5V4wutD44IRHJu52CfJ3xlZIiflcKZWSm4dRbzGfI5yGdxXoFdRfA91pc2oD/6GIAbanoFWoL&#10;EdjvoP+BGrQIDp2KM+GGwimlhcwciE1V/sXmqQcvMxcSB/1VJnw7WPHtuA9MtzS7OWcWBppRNWcb&#10;GpaILrCQPkml0WNNyRu7D4mnONkn/+jEL6RY8SqYDPRT2kmFgSmj/TPBZoGIMjtl/c9X/eUpMkHO&#10;qiyXH5clzUlQsLpbVHlABdQJJ5X1AeMX6QaWLg032iZ9oIbjI8bUyS0lua3baWPyjI1lI2Hel4sE&#10;D7RqykCk6+CJPNqOMzAd7bCIIUOiM7pNzxMQhu6wMYEdgfbo025Zfd5OST20cvLeL0rqPNdCiF9d&#10;O7krKjj5qbcLTO7zFX6iswXspzc5lKDoibGpvsyrfOF4EzjdDq4970NKThatSX52Wem0hy/tnHX7&#10;8dZ/AAAA//8DAFBLAwQUAAYACAAAACEAUr8uVdsAAAAJAQAADwAAAGRycy9kb3ducmV2LnhtbEyP&#10;wU7DMAyG70i8Q2QkbltCmUYpTacKxB26SVyzxLRljVM12da9Pd4JTrblT78/l5vZD+KEU+wDaXhY&#10;KhBINrieWg277fsiBxGTIWeGQKjhghE21e1NaQoXzvSJpya1gkMoFkZDl9JYSBlth97EZRiRePcd&#10;Jm8Sj1Mr3WTOHO4HmSm1lt70xBc6M+Jrh/bQHL0GW7errcPnt6+DrdVFfeThp7Fa39/N9QuIhHP6&#10;g+Gqz+pQsdM+HMlFMWhYPOZqzSx3GdcrkamnFYi9BgWyKuX/D6pfAAAA//8DAFBLAQItABQABgAI&#10;AAAAIQC2gziS/gAAAOEBAAATAAAAAAAAAAAAAAAAAAAAAABbQ29udGVudF9UeXBlc10ueG1sUEsB&#10;Ai0AFAAGAAgAAAAhADj9If/WAAAAlAEAAAsAAAAAAAAAAAAAAAAALwEAAF9yZWxzLy5yZWxzUEsB&#10;Ai0AFAAGAAgAAAAhAJRW1MXrAQAAwAMAAA4AAAAAAAAAAAAAAAAALgIAAGRycy9lMm9Eb2MueG1s&#10;UEsBAi0AFAAGAAgAAAAhAFK/LlXbAAAACQEAAA8AAAAAAAAAAAAAAAAARQQAAGRycy9kb3ducmV2&#10;LnhtbFBLBQYAAAAABAAEAPMAAABNBQAAAAA=&#10;" strokecolor="#4a7ebb" strokeweight="1.5pt">
              <o:lock v:ext="edit" shapetype="f"/>
            </v:line>
          </w:pict>
        </mc:Fallback>
      </mc:AlternateContent>
    </w:r>
    <w:r w:rsidRPr="00DF3D6D">
      <w:rPr>
        <w:rFonts w:ascii="DIN Pro Regular" w:hAnsi="DIN Pro Regular" w:cs="DIN Pro Regular"/>
      </w:rPr>
      <w:t xml:space="preserve">Contable / </w:t>
    </w:r>
    <w:r w:rsidRPr="00DF3D6D">
      <w:rPr>
        <w:rFonts w:ascii="DIN Pro Regular" w:hAnsi="DIN Pro Regular" w:cs="DIN Pro Regular"/>
      </w:rPr>
      <w:fldChar w:fldCharType="begin"/>
    </w:r>
    <w:r w:rsidRPr="00DF3D6D">
      <w:rPr>
        <w:rFonts w:ascii="DIN Pro Regular" w:hAnsi="DIN Pro Regular" w:cs="DIN Pro Regular"/>
      </w:rPr>
      <w:instrText>PAGE   \* MERGEFORMAT</w:instrText>
    </w:r>
    <w:r w:rsidRPr="00DF3D6D">
      <w:rPr>
        <w:rFonts w:ascii="DIN Pro Regular" w:hAnsi="DIN Pro Regular" w:cs="DIN Pro Regular"/>
      </w:rPr>
      <w:fldChar w:fldCharType="separate"/>
    </w:r>
    <w:r w:rsidRPr="002B152B">
      <w:rPr>
        <w:rFonts w:ascii="DIN Pro Regular" w:hAnsi="DIN Pro Regular" w:cs="DIN Pro Regular"/>
        <w:noProof/>
        <w:lang w:val="es-ES"/>
      </w:rPr>
      <w:t>2</w:t>
    </w:r>
    <w:r w:rsidRPr="00DF3D6D">
      <w:rPr>
        <w:rFonts w:ascii="DIN Pro Regular" w:hAnsi="DIN Pro Regular" w:cs="DIN Pro Regular"/>
      </w:rPr>
      <w:fldChar w:fldCharType="end"/>
    </w:r>
  </w:p>
  <w:p w14:paraId="4E2663EF" w14:textId="77777777" w:rsidR="00451480" w:rsidRDefault="004514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46E1" w14:textId="77777777" w:rsidR="00451480" w:rsidRPr="007D5DA7" w:rsidRDefault="00451480" w:rsidP="008C2FDE">
    <w:pPr>
      <w:pStyle w:val="Piedepgina"/>
      <w:tabs>
        <w:tab w:val="left" w:pos="4010"/>
        <w:tab w:val="center" w:pos="4680"/>
      </w:tabs>
      <w:jc w:val="center"/>
      <w:rPr>
        <w:rFonts w:asciiTheme="minorHAnsi" w:hAnsiTheme="minorHAnsi" w:cstheme="minorHAnsi"/>
      </w:rPr>
    </w:pPr>
    <w:r w:rsidRPr="007D5DA7">
      <w:rPr>
        <w:rFonts w:asciiTheme="minorHAnsi" w:hAnsiTheme="minorHAnsi" w:cstheme="minorHAnsi"/>
      </w:rPr>
      <w:fldChar w:fldCharType="begin"/>
    </w:r>
    <w:r w:rsidRPr="007D5DA7">
      <w:rPr>
        <w:rFonts w:asciiTheme="minorHAnsi" w:hAnsiTheme="minorHAnsi" w:cstheme="minorHAnsi"/>
      </w:rPr>
      <w:instrText>PAGE   \* MERGEFORMAT</w:instrText>
    </w:r>
    <w:r w:rsidRPr="007D5DA7">
      <w:rPr>
        <w:rFonts w:asciiTheme="minorHAnsi" w:hAnsiTheme="minorHAnsi" w:cstheme="minorHAnsi"/>
      </w:rPr>
      <w:fldChar w:fldCharType="separate"/>
    </w:r>
    <w:r w:rsidR="003C52A2" w:rsidRPr="003C52A2">
      <w:rPr>
        <w:rFonts w:asciiTheme="minorHAnsi" w:hAnsiTheme="minorHAnsi" w:cstheme="minorHAnsi"/>
        <w:noProof/>
        <w:lang w:val="es-ES"/>
      </w:rPr>
      <w:t>20</w:t>
    </w:r>
    <w:r w:rsidRPr="007D5D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B583C" w14:textId="77777777" w:rsidR="00451480" w:rsidRDefault="00451480" w:rsidP="00EA5418">
      <w:pPr>
        <w:spacing w:after="0" w:line="240" w:lineRule="auto"/>
      </w:pPr>
      <w:r>
        <w:separator/>
      </w:r>
    </w:p>
  </w:footnote>
  <w:footnote w:type="continuationSeparator" w:id="0">
    <w:p w14:paraId="6265B5CA" w14:textId="77777777" w:rsidR="00451480" w:rsidRDefault="0045148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BC62" w14:textId="77777777" w:rsidR="00451480" w:rsidRDefault="00451480">
    <w:pPr>
      <w:pStyle w:val="Encabezado"/>
    </w:pPr>
    <w:r>
      <w:rPr>
        <w:noProof/>
        <w:lang w:eastAsia="es-MX"/>
      </w:rPr>
      <mc:AlternateContent>
        <mc:Choice Requires="wpg">
          <w:drawing>
            <wp:anchor distT="0" distB="0" distL="114300" distR="114300" simplePos="0" relativeHeight="251627520" behindDoc="0" locked="0" layoutInCell="1" allowOverlap="1" wp14:anchorId="25C1C8EB" wp14:editId="16459A45">
              <wp:simplePos x="0" y="0"/>
              <wp:positionH relativeFrom="column">
                <wp:posOffset>3308350</wp:posOffset>
              </wp:positionH>
              <wp:positionV relativeFrom="paragraph">
                <wp:posOffset>-8890</wp:posOffset>
              </wp:positionV>
              <wp:extent cx="3172460" cy="504825"/>
              <wp:effectExtent l="0" t="0" r="0" b="9525"/>
              <wp:wrapNone/>
              <wp:docPr id="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504825"/>
                        <a:chOff x="0" y="21946"/>
                        <a:chExt cx="3172383" cy="475890"/>
                      </a:xfrm>
                    </wpg:grpSpPr>
                    <wps:wsp>
                      <wps:cNvPr id="9" name="Cuadro de texto 5"/>
                      <wps:cNvSpPr txBox="1">
                        <a:spLocks noChangeArrowheads="1"/>
                      </wps:cNvSpPr>
                      <wps:spPr bwMode="auto">
                        <a:xfrm>
                          <a:off x="0" y="58164"/>
                          <a:ext cx="2289175" cy="43967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E42CD" w14:textId="77777777" w:rsidR="00451480" w:rsidRPr="00A05CB1" w:rsidRDefault="00451480"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14:paraId="77C594ED" w14:textId="77777777" w:rsidR="00451480" w:rsidRPr="00A05CB1" w:rsidRDefault="00451480"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14:paraId="71EF3BDC" w14:textId="77777777" w:rsidR="00451480" w:rsidRPr="00A05CB1" w:rsidRDefault="00451480" w:rsidP="00040466">
                            <w:pPr>
                              <w:jc w:val="right"/>
                              <w:rPr>
                                <w:rFonts w:ascii="Arial" w:hAnsi="Arial" w:cs="Arial"/>
                                <w:sz w:val="20"/>
                                <w:szCs w:val="20"/>
                              </w:rPr>
                            </w:pPr>
                          </w:p>
                        </w:txbxContent>
                      </wps:txbx>
                      <wps:bodyPr rot="0" vert="horz" wrap="square" lIns="91440" tIns="45720" rIns="91440" bIns="45720" anchor="t" anchorCtr="0" upright="1">
                        <a:noAutofit/>
                      </wps:bodyPr>
                    </wps:wsp>
                    <wps:wsp>
                      <wps:cNvPr id="13" name="Cuadro de texto 5"/>
                      <wps:cNvSpPr txBox="1">
                        <a:spLocks noChangeArrowheads="1"/>
                      </wps:cNvSpPr>
                      <wps:spPr bwMode="auto">
                        <a:xfrm>
                          <a:off x="2333548" y="21946"/>
                          <a:ext cx="838835" cy="402590"/>
                        </a:xfrm>
                        <a:prstGeom prst="rect">
                          <a:avLst/>
                        </a:prstGeom>
                        <a:noFill/>
                        <a:ln w="9525">
                          <a:noFill/>
                          <a:miter lim="800000"/>
                          <a:headEnd/>
                          <a:tailEnd/>
                        </a:ln>
                      </wps:spPr>
                      <wps:txbx>
                        <w:txbxContent>
                          <w:p w14:paraId="63E2606D" w14:textId="77777777" w:rsidR="00451480" w:rsidRPr="003A64F1" w:rsidRDefault="00451480"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14:paraId="7E9A1534" w14:textId="77777777" w:rsidR="00451480" w:rsidRDefault="00451480" w:rsidP="00040466">
                            <w:pPr>
                              <w:jc w:val="both"/>
                              <w:rPr>
                                <w:rFonts w:ascii="Helvetica" w:hAnsi="Helvetica" w:cs="Arial"/>
                                <w:color w:val="808080"/>
                                <w:sz w:val="42"/>
                                <w:szCs w:val="42"/>
                              </w:rPr>
                            </w:pPr>
                          </w:p>
                          <w:p w14:paraId="782C7A67" w14:textId="77777777" w:rsidR="00451480" w:rsidRPr="00F45C83" w:rsidRDefault="00451480" w:rsidP="00040466">
                            <w:pPr>
                              <w:jc w:val="both"/>
                              <w:rPr>
                                <w:rFonts w:ascii="Helvetica" w:hAnsi="Helvetica" w:cs="Arial"/>
                                <w:color w:val="808080"/>
                                <w:sz w:val="42"/>
                                <w:szCs w:val="42"/>
                              </w:rPr>
                            </w:pPr>
                          </w:p>
                          <w:p w14:paraId="5D60ADD6" w14:textId="77777777" w:rsidR="00451480" w:rsidRPr="00DC53C5" w:rsidRDefault="00451480" w:rsidP="00040466">
                            <w:pPr>
                              <w:jc w:val="both"/>
                              <w:rPr>
                                <w:rFonts w:ascii="Arial" w:hAnsi="Arial" w:cs="Arial"/>
                                <w:color w:val="808080"/>
                                <w:sz w:val="42"/>
                                <w:szCs w:val="42"/>
                              </w:rPr>
                            </w:pPr>
                            <w:r w:rsidRPr="00DC53C5">
                              <w:rPr>
                                <w:rFonts w:ascii="Arial" w:hAnsi="Arial" w:cs="Arial"/>
                                <w:color w:val="808080"/>
                                <w:sz w:val="42"/>
                                <w:szCs w:val="42"/>
                              </w:rPr>
                              <w:t>2014</w:t>
                            </w:r>
                          </w:p>
                          <w:p w14:paraId="60F9E4A6" w14:textId="77777777" w:rsidR="00451480" w:rsidRPr="00DC53C5" w:rsidRDefault="00451480"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1C8EB" id="6 Grupo" o:spid="_x0000_s1026" style="position:absolute;margin-left:260.5pt;margin-top:-.7pt;width:249.8pt;height:39.75pt;z-index:251627520" coordorigin=",219" coordsize="31723,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39vAIAAJQHAAAOAAAAZHJzL2Uyb0RvYy54bWzMVdlq3DAUfS/0H4TeG+8zHhNPSLNRSNtA&#10;2g/QyPJCbUmVNLHTr8+VNDOepBRKCiV+MFqvzjn3XOn0bBp69MCU7gQvcXQSYsQ4FVXHmxJ//3b9&#10;IcdIG8Ir0gvOSvzIND5bv393OsqCxaIVfcUUgiBcF6MscWuMLIJA05YNRJ8IyThM1kINxEBXNUGl&#10;yAjRhz6Iw3ARjEJVUgnKtIbRSz+J1y5+XTNqvta1Zgb1JQZsxv2V+2/sP1ifkqJRRLYd3cEgr0Ax&#10;kI7DoYdQl8QQtFXdb6GGjiqhRW1OqBgCUdcdZY4DsInCF2xulNhKx6UpxkYeZAJpX+j06rD0y8ON&#10;kvfyTnn00LwV9IcGXYJRNsXxvO03fjHajJ9FBfkkWyMc8alWgw0BlNDk9H086MsmgygMJtEyTheQ&#10;BgpzWZjmceYTQFvI0rwtjlbpYj9zdbQ5yRO/OV1m+cplLyCFP9rB3cGz6Qc/6Vky/W+S3bdEMpcJ&#10;bSW5U6irSrzCiJMBVLjYkkoJVDFkgKtAjpaFAGuttshMHwUIEDmptJcYcXHREt6wc6XE2DJSAcjI&#10;0gYqh62eirZB/k7zLI8WqRdvr3sc56tome2kS1aLZeyO2UtHCqm0uWFiQLZRYgV146CSh1ttLKJ5&#10;iU0yF9dd37va6fmzAVhoRxwDC9rDN9NmgtWW1kZUj8BFCV+KcHVAoxXqF0YjlGGJ9c8tUQyj/hMH&#10;PVZRmtq6dZ00W8bQUcczm+MZwimEKrHByDcvjK/1rVRd08JJPgNcnINv685Rm1HtcINv/pOBIrDz&#10;W3JQnCRJlsKVDfV5VIR7H+VJnid7G4Vx9qICZ4+8xkZohGxncCM88xMphs7AC9F3Q4nz0H7e27Ze&#10;rnjlPGhI1/v2n+3nCtZV15zvt+9Cd6nB1e8qcPdM2bfluO9cOz+m6ycAAAD//wMAUEsDBBQABgAI&#10;AAAAIQB77SDC4QAAAAoBAAAPAAAAZHJzL2Rvd25yZXYueG1sTI9Ba8JAFITvhf6H5RV6091Nq5WY&#10;FxFpe5JCtVC8rdlnEszuhuyaxH/f9VSPwwwz32Sr0TSsp87XziLIqQBGtnC6tiXCz/5jsgDmg7Ja&#10;Nc4SwpU8rPLHh0yl2g32m/pdKFkssT5VCFUIbcq5Lyoyyk9dSzZ6J9cZFaLsSq47NcRy0/BEiDk3&#10;qrZxoVItbSoqzruLQfgc1LB+ke/99nzaXA/72dfvVhLi89O4XgILNIb/MNzwIzrkkenoLlZ71iDM&#10;Ehm/BISJfAV2C4hEzIEdEd4WEnie8fsL+R8AAAD//wMAUEsBAi0AFAAGAAgAAAAhALaDOJL+AAAA&#10;4QEAABMAAAAAAAAAAAAAAAAAAAAAAFtDb250ZW50X1R5cGVzXS54bWxQSwECLQAUAAYACAAAACEA&#10;OP0h/9YAAACUAQAACwAAAAAAAAAAAAAAAAAvAQAAX3JlbHMvLnJlbHNQSwECLQAUAAYACAAAACEA&#10;/IXN/bwCAACUBwAADgAAAAAAAAAAAAAAAAAuAgAAZHJzL2Uyb0RvYy54bWxQSwECLQAUAAYACAAA&#10;ACEAe+0gwuEAAAAKAQAADwAAAAAAAAAAAAAAAAAWBQAAZHJzL2Rvd25yZXYueG1sUEsFBgAAAAAE&#10;AAQA8wAAACQGAAAAAA==&#10;">
              <v:shapetype id="_x0000_t202" coordsize="21600,21600" o:spt="202" path="m,l,21600r21600,l21600,xe">
                <v:stroke joinstyle="miter"/>
                <v:path gradientshapeok="t" o:connecttype="rect"/>
              </v:shapetype>
              <v:shape id="Cuadro de texto 5" o:spid="_x0000_s1027" type="#_x0000_t202" style="position:absolute;top:581;width:22891;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62E42CD" w14:textId="77777777" w:rsidR="00451480" w:rsidRPr="00A05CB1" w:rsidRDefault="00451480"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14:paraId="77C594ED" w14:textId="77777777" w:rsidR="00451480" w:rsidRPr="00A05CB1" w:rsidRDefault="00451480"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14:paraId="71EF3BDC" w14:textId="77777777" w:rsidR="00451480" w:rsidRPr="00A05CB1" w:rsidRDefault="00451480" w:rsidP="00040466">
                      <w:pPr>
                        <w:jc w:val="right"/>
                        <w:rPr>
                          <w:rFonts w:ascii="Arial" w:hAnsi="Arial" w:cs="Arial"/>
                          <w:sz w:val="20"/>
                          <w:szCs w:val="20"/>
                        </w:rPr>
                      </w:pPr>
                    </w:p>
                  </w:txbxContent>
                </v:textbox>
              </v:shape>
              <v:shape id="Cuadro de texto 5" o:spid="_x0000_s1028" type="#_x0000_t202" style="position:absolute;left:23335;top:219;width:838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3E2606D" w14:textId="77777777" w:rsidR="00451480" w:rsidRPr="003A64F1" w:rsidRDefault="00451480"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14:paraId="7E9A1534" w14:textId="77777777" w:rsidR="00451480" w:rsidRDefault="00451480" w:rsidP="00040466">
                      <w:pPr>
                        <w:jc w:val="both"/>
                        <w:rPr>
                          <w:rFonts w:ascii="Helvetica" w:hAnsi="Helvetica" w:cs="Arial"/>
                          <w:color w:val="808080"/>
                          <w:sz w:val="42"/>
                          <w:szCs w:val="42"/>
                        </w:rPr>
                      </w:pPr>
                    </w:p>
                    <w:p w14:paraId="782C7A67" w14:textId="77777777" w:rsidR="00451480" w:rsidRPr="00F45C83" w:rsidRDefault="00451480" w:rsidP="00040466">
                      <w:pPr>
                        <w:jc w:val="both"/>
                        <w:rPr>
                          <w:rFonts w:ascii="Helvetica" w:hAnsi="Helvetica" w:cs="Arial"/>
                          <w:color w:val="808080"/>
                          <w:sz w:val="42"/>
                          <w:szCs w:val="42"/>
                        </w:rPr>
                      </w:pPr>
                    </w:p>
                    <w:p w14:paraId="5D60ADD6" w14:textId="77777777" w:rsidR="00451480" w:rsidRPr="00DC53C5" w:rsidRDefault="00451480" w:rsidP="00040466">
                      <w:pPr>
                        <w:jc w:val="both"/>
                        <w:rPr>
                          <w:rFonts w:ascii="Arial" w:hAnsi="Arial" w:cs="Arial"/>
                          <w:color w:val="808080"/>
                          <w:sz w:val="42"/>
                          <w:szCs w:val="42"/>
                        </w:rPr>
                      </w:pPr>
                      <w:r w:rsidRPr="00DC53C5">
                        <w:rPr>
                          <w:rFonts w:ascii="Arial" w:hAnsi="Arial" w:cs="Arial"/>
                          <w:color w:val="808080"/>
                          <w:sz w:val="42"/>
                          <w:szCs w:val="42"/>
                        </w:rPr>
                        <w:t>2014</w:t>
                      </w:r>
                    </w:p>
                    <w:p w14:paraId="60F9E4A6" w14:textId="77777777" w:rsidR="00451480" w:rsidRPr="00DC53C5" w:rsidRDefault="00451480" w:rsidP="00040466">
                      <w:pPr>
                        <w:jc w:val="both"/>
                        <w:rPr>
                          <w:rFonts w:ascii="Arial" w:hAnsi="Arial" w:cs="Arial"/>
                          <w:color w:val="8080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25472" behindDoc="0" locked="0" layoutInCell="1" allowOverlap="1" wp14:anchorId="073BF3B4" wp14:editId="2201016E">
              <wp:simplePos x="0" y="0"/>
              <wp:positionH relativeFrom="page">
                <wp:align>left</wp:align>
              </wp:positionH>
              <wp:positionV relativeFrom="paragraph">
                <wp:posOffset>472440</wp:posOffset>
              </wp:positionV>
              <wp:extent cx="10083800" cy="16510"/>
              <wp:effectExtent l="0" t="0" r="31750" b="21590"/>
              <wp:wrapNone/>
              <wp:docPr id="7"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494592" id="4 Conector recto" o:spid="_x0000_s1026" style="position:absolute;flip:y;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 from="0,37.2pt" to="79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Pk6wEAAL4DAAAOAAAAZHJzL2Uyb0RvYy54bWysU01v2zAMvQ/YfxB0X2x3TZcacQosQXbp&#10;tgBtd2dkyRYmS4Koxcm/HyUHybrdil1k8UOPfOTz8uE4GHaQAbWzDa9mJWfSCtdq2zX85Xn7YcEZ&#10;RrAtGGdlw08S+cPq/bvl6Gt543pnWhkYgVisR9/wPkZfFwWKXg6AM+elpaByYYBIZuiKNsBI6IMp&#10;bsryrhhdaH1wQiKSdzMF+SrjKyVF/K4UyshMw6m3mM+Qz306i9US6i6A77U4twFv6GIAbanoBWoD&#10;EdivoP+BGrQIDp2KM+GGwimlhcwciE1V/sXmqQcvMxcaDvrLmPD/wYpvh11gum34J84sDLSiW7am&#10;VYnoAgvpk2Y0eqwpdW13IbEUR/vkH534iRQrXgWTgX5KO6owMGW0/0HSyOMhwuyYp3+6TF8eIxPk&#10;rMpy8XFR0pYEBau7eZXXU0CdcFJZHzB+kW5g6dJwo22aDtRweMSYOrmmJLd1W21M3rCxbCTM+3Ke&#10;4IGEpgxEug6eqKPtOAPTkYJFDBkSndFtep6AMHT7tQnsAKSi2+2i+ryZknpo5eS9n5fUea6FEL+6&#10;dnJXVHDyU29nmNznK/xEZwPYT29yKEHRE2NTfZmFfOZ4HXC67V172oWUnCwSSX52FnRS4Z92zrr+&#10;dqvfAAAA//8DAFBLAwQUAAYACAAAACEAou6dDNkAAAAHAQAADwAAAGRycy9kb3ducmV2LnhtbEyP&#10;wU7DMBBE70j8g7VI3KgNCjSEOFUE6h3SSlxde0lC43UUu236992e4Dgzq5m35Wr2gzjiFPtAGh4X&#10;CgSSDa6nVsN2s37IQcRkyJkhEGo4Y4RVdXtTmsKFE33hsUmt4BKKhdHQpTQWUkbboTdxEUYkzn7C&#10;5E1iObXSTebE5X6QT0q9SG964oXOjPjeod03B6/B1m22cfj68b23tTqrzzz8Nlbr+7u5fgORcE5/&#10;x3DFZ3SomGkXDuSiGDTwI0nDMstAXNPnPGdnx85SgaxK+Z+/ugAAAP//AwBQSwECLQAUAAYACAAA&#10;ACEAtoM4kv4AAADhAQAAEwAAAAAAAAAAAAAAAAAAAAAAW0NvbnRlbnRfVHlwZXNdLnhtbFBLAQIt&#10;ABQABgAIAAAAIQA4/SH/1gAAAJQBAAALAAAAAAAAAAAAAAAAAC8BAABfcmVscy8ucmVsc1BLAQIt&#10;ABQABgAIAAAAIQCRiqPk6wEAAL4DAAAOAAAAAAAAAAAAAAAAAC4CAABkcnMvZTJvRG9jLnhtbFBL&#10;AQItABQABgAIAAAAIQCi7p0M2QAAAAcBAAAPAAAAAAAAAAAAAAAAAEUEAABkcnMvZG93bnJldi54&#10;bWxQSwUGAAAAAAQABADzAAAASwUAAAAA&#10;" strokecolor="#4a7ebb" strokeweight="1.5pt">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07DC" w14:textId="77777777" w:rsidR="00451480" w:rsidRDefault="00451480" w:rsidP="002B152B">
    <w:pPr>
      <w:pStyle w:val="Encabezado"/>
      <w:tabs>
        <w:tab w:val="left" w:pos="270"/>
        <w:tab w:val="center" w:pos="4680"/>
      </w:tabs>
      <w:jc w:val="center"/>
      <w:rPr>
        <w:rFonts w:ascii="Encode Sans" w:hAnsi="Encode Sans" w:cs="DIN Pro Regular"/>
        <w:b/>
        <w:sz w:val="20"/>
      </w:rPr>
    </w:pPr>
    <w:r w:rsidRPr="002B152B">
      <w:rPr>
        <w:rFonts w:ascii="HelveticaNeueLT Std Lt" w:hAnsi="HelveticaNeueLT Std Lt" w:cs="Arial"/>
        <w:b/>
        <w:noProof/>
        <w:sz w:val="30"/>
        <w:lang w:eastAsia="es-MX"/>
      </w:rPr>
      <w:drawing>
        <wp:anchor distT="0" distB="0" distL="114300" distR="114300" simplePos="0" relativeHeight="251728384" behindDoc="0" locked="0" layoutInCell="1" allowOverlap="1" wp14:anchorId="1BA0A5EA" wp14:editId="7D09CA63">
          <wp:simplePos x="0" y="0"/>
          <wp:positionH relativeFrom="margin">
            <wp:posOffset>-323850</wp:posOffset>
          </wp:positionH>
          <wp:positionV relativeFrom="paragraph">
            <wp:posOffset>33655</wp:posOffset>
          </wp:positionV>
          <wp:extent cx="1583055" cy="6032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83055" cy="603250"/>
                  </a:xfrm>
                  <a:prstGeom prst="rect">
                    <a:avLst/>
                  </a:prstGeom>
                </pic:spPr>
              </pic:pic>
            </a:graphicData>
          </a:graphic>
          <wp14:sizeRelH relativeFrom="margin">
            <wp14:pctWidth>0</wp14:pctWidth>
          </wp14:sizeRelH>
          <wp14:sizeRelV relativeFrom="margin">
            <wp14:pctHeight>0</wp14:pctHeight>
          </wp14:sizeRelV>
        </wp:anchor>
      </w:drawing>
    </w:r>
    <w:r>
      <w:rPr>
        <w:rFonts w:ascii="Encode Sans" w:hAnsi="Encode Sans" w:cs="DIN Pro Regular"/>
        <w:b/>
        <w:sz w:val="20"/>
      </w:rPr>
      <w:t xml:space="preserve">                                  </w:t>
    </w:r>
  </w:p>
  <w:p w14:paraId="692C49BA" w14:textId="77777777" w:rsidR="00451480" w:rsidRDefault="00451480" w:rsidP="002B152B">
    <w:pPr>
      <w:pStyle w:val="Encabezado"/>
      <w:tabs>
        <w:tab w:val="left" w:pos="270"/>
        <w:tab w:val="center" w:pos="4680"/>
      </w:tabs>
      <w:jc w:val="center"/>
      <w:rPr>
        <w:rFonts w:ascii="Encode Sans" w:hAnsi="Encode Sans" w:cs="DIN Pro Regular"/>
        <w:b/>
        <w:sz w:val="20"/>
      </w:rPr>
    </w:pPr>
    <w:r w:rsidRPr="002B152B">
      <w:rPr>
        <w:rFonts w:ascii="Encode Sans" w:hAnsi="Encode Sans" w:cs="DIN Pro Regular"/>
        <w:b/>
        <w:noProof/>
        <w:sz w:val="20"/>
        <w:lang w:eastAsia="es-MX"/>
      </w:rPr>
      <mc:AlternateContent>
        <mc:Choice Requires="wps">
          <w:drawing>
            <wp:anchor distT="45720" distB="45720" distL="114300" distR="114300" simplePos="0" relativeHeight="251788800" behindDoc="0" locked="0" layoutInCell="1" allowOverlap="1" wp14:anchorId="7BA623A2" wp14:editId="2FB1FECE">
              <wp:simplePos x="0" y="0"/>
              <wp:positionH relativeFrom="margin">
                <wp:posOffset>5572125</wp:posOffset>
              </wp:positionH>
              <wp:positionV relativeFrom="margin">
                <wp:posOffset>-781685</wp:posOffset>
              </wp:positionV>
              <wp:extent cx="819150" cy="374650"/>
              <wp:effectExtent l="0" t="0" r="0" b="635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noFill/>
                      <a:ln w="9525">
                        <a:noFill/>
                        <a:miter lim="800000"/>
                        <a:headEnd/>
                        <a:tailEnd/>
                      </a:ln>
                    </wps:spPr>
                    <wps:txbx>
                      <w:txbxContent>
                        <w:p w14:paraId="51F5F011" w14:textId="07B12DEA" w:rsidR="00451480" w:rsidRPr="00502352" w:rsidRDefault="00451480" w:rsidP="002B152B">
                          <w:pPr>
                            <w:rPr>
                              <w:sz w:val="32"/>
                              <w:szCs w:val="36"/>
                            </w:rPr>
                          </w:pPr>
                          <w:r w:rsidRPr="00502352">
                            <w:rPr>
                              <w:rFonts w:ascii="Encode Sans" w:hAnsi="Encode Sans" w:cs="DIN Pro Regular"/>
                              <w:b/>
                              <w:sz w:val="32"/>
                              <w:szCs w:val="36"/>
                            </w:rPr>
                            <w:t>202</w:t>
                          </w:r>
                          <w:r w:rsidR="00751ECC">
                            <w:rPr>
                              <w:rFonts w:ascii="Encode Sans" w:hAnsi="Encode Sans" w:cs="DIN Pro Regular"/>
                              <w:b/>
                              <w:sz w:val="32"/>
                              <w:szCs w:val="36"/>
                            </w:rPr>
                            <w:t>4</w:t>
                          </w:r>
                          <w:r w:rsidRPr="00502352">
                            <w:rPr>
                              <w:rFonts w:ascii="Encode Sans Medium" w:hAnsi="Encode Sans Medium" w:cs="DIN Pro Bold"/>
                              <w:b/>
                              <w:sz w:val="32"/>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623A2" id="_x0000_t202" coordsize="21600,21600" o:spt="202" path="m,l,21600r21600,l21600,xe">
              <v:stroke joinstyle="miter"/>
              <v:path gradientshapeok="t" o:connecttype="rect"/>
            </v:shapetype>
            <v:shape id="Cuadro de texto 2" o:spid="_x0000_s1029" type="#_x0000_t202" style="position:absolute;left:0;text-align:left;margin-left:438.75pt;margin-top:-61.55pt;width:64.5pt;height:29.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Zd+QEAANMDAAAOAAAAZHJzL2Uyb0RvYy54bWysU9tu2zAMfR+wfxD0vjjOkrYx4hRduw4D&#10;ugvQ7gMUWY6FSaJGKbGzrx8lp2mwvRXzg0Ca4iHPIbW6Hqxhe4VBg6t5OZlyppyERrttzX883b+7&#10;4ixE4RphwKmaH1Tg1+u3b1a9r9QMOjCNQkYgLlS9r3kXo6+KIshOWREm4JWjYAtoRSQXt0WDoid0&#10;a4rZdHpR9ICNR5AqBPp7Nwb5OuO3rZLxW9sGFZmpOfUW84n53KSzWK9EtUXhOy2PbYhXdGGFdlT0&#10;BHUnomA71P9AWS0RArRxIsEW0LZaqsyB2JTTv9g8dsKrzIXECf4kU/h/sPLr/tF/RxaHDzDQADOJ&#10;4B9A/gzMwW0n3FbdIELfKdFQ4TJJVvQ+VMfUJHWoQgLZ9F+goSGLXYQMNLRokyrEkxE6DeBwEl0N&#10;kUn6eVUuywVFJIXeX84vyE4VRPWc7DHETwosS0bNkWaawcX+IcTx6vOVVMvBvTYmz9U41td8uZgt&#10;csJZxOpIa2e0pfrT9I2LkDh+dE1OjkKb0aZejDuSTjxHxnHYDEw3NZ+l3KTBBpoDqYAwbhm9CjI6&#10;wN+c9bRhNQ+/dgIVZ+azIyWX5XyeVjI788XljBw8j2zOI8JJgqp55Gw0b2Ne45HyDSne6qzGSyfH&#10;lmlzsp7HLU+ree7nWy9vcf0HAAD//wMAUEsDBBQABgAIAAAAIQA9yO3s3gAAAA0BAAAPAAAAZHJz&#10;L2Rvd25yZXYueG1sTI/LTsMwEEX3SP0Ha5C6a+30TYhTIRBbEOUhsXPjaRI1Hkex24S/73RVlnPn&#10;6D6y7eAaccYu1J40JFMFAqnwtqZSw9fn62QDIkRD1jSeUMMfBtjmo7vMpNb39IHnXSwFm1BIjYYq&#10;xjaVMhQVOhOmvkXi38F3zkQ+u1LazvRs7ho5U2olnamJEyrT4nOFxXF3chq+3w6/Pwv1Xr64Zdv7&#10;QUlyD1Lr8f3w9Agi4hBvMFzrc3XIudPen8gG0WjYrNdLRjVMktk8AXFFOJC1PWurRQIyz+T/FfkF&#10;AAD//wMAUEsBAi0AFAAGAAgAAAAhALaDOJL+AAAA4QEAABMAAAAAAAAAAAAAAAAAAAAAAFtDb250&#10;ZW50X1R5cGVzXS54bWxQSwECLQAUAAYACAAAACEAOP0h/9YAAACUAQAACwAAAAAAAAAAAAAAAAAv&#10;AQAAX3JlbHMvLnJlbHNQSwECLQAUAAYACAAAACEA2ycGXfkBAADTAwAADgAAAAAAAAAAAAAAAAAu&#10;AgAAZHJzL2Uyb0RvYy54bWxQSwECLQAUAAYACAAAACEAPcjt7N4AAAANAQAADwAAAAAAAAAAAAAA&#10;AABTBAAAZHJzL2Rvd25yZXYueG1sUEsFBgAAAAAEAAQA8wAAAF4FAAAAAA==&#10;" filled="f" stroked="f">
              <v:textbox>
                <w:txbxContent>
                  <w:p w14:paraId="51F5F011" w14:textId="07B12DEA" w:rsidR="00451480" w:rsidRPr="00502352" w:rsidRDefault="00451480" w:rsidP="002B152B">
                    <w:pPr>
                      <w:rPr>
                        <w:sz w:val="32"/>
                        <w:szCs w:val="36"/>
                      </w:rPr>
                    </w:pPr>
                    <w:r w:rsidRPr="00502352">
                      <w:rPr>
                        <w:rFonts w:ascii="Encode Sans" w:hAnsi="Encode Sans" w:cs="DIN Pro Regular"/>
                        <w:b/>
                        <w:sz w:val="32"/>
                        <w:szCs w:val="36"/>
                      </w:rPr>
                      <w:t>202</w:t>
                    </w:r>
                    <w:r w:rsidR="00751ECC">
                      <w:rPr>
                        <w:rFonts w:ascii="Encode Sans" w:hAnsi="Encode Sans" w:cs="DIN Pro Regular"/>
                        <w:b/>
                        <w:sz w:val="32"/>
                        <w:szCs w:val="36"/>
                      </w:rPr>
                      <w:t>4</w:t>
                    </w:r>
                    <w:r w:rsidRPr="00502352">
                      <w:rPr>
                        <w:rFonts w:ascii="Encode Sans Medium" w:hAnsi="Encode Sans Medium" w:cs="DIN Pro Bold"/>
                        <w:b/>
                        <w:sz w:val="32"/>
                        <w:szCs w:val="36"/>
                      </w:rPr>
                      <w:t xml:space="preserve">  </w:t>
                    </w:r>
                  </w:p>
                </w:txbxContent>
              </v:textbox>
              <w10:wrap type="square" anchorx="margin" anchory="margin"/>
            </v:shape>
          </w:pict>
        </mc:Fallback>
      </mc:AlternateContent>
    </w:r>
    <w:r w:rsidRPr="002B152B">
      <w:rPr>
        <w:rFonts w:ascii="Encode Sans" w:hAnsi="Encode Sans" w:cs="DIN Pro Regular"/>
        <w:b/>
        <w:noProof/>
        <w:sz w:val="20"/>
        <w:lang w:eastAsia="es-MX"/>
      </w:rPr>
      <mc:AlternateContent>
        <mc:Choice Requires="wps">
          <w:drawing>
            <wp:anchor distT="45720" distB="45720" distL="114300" distR="114300" simplePos="0" relativeHeight="251769344" behindDoc="0" locked="0" layoutInCell="1" allowOverlap="1" wp14:anchorId="5A88EF8A" wp14:editId="525A5EA4">
              <wp:simplePos x="0" y="0"/>
              <wp:positionH relativeFrom="margin">
                <wp:posOffset>4467225</wp:posOffset>
              </wp:positionH>
              <wp:positionV relativeFrom="margin">
                <wp:posOffset>-779780</wp:posOffset>
              </wp:positionV>
              <wp:extent cx="1181100" cy="457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headEnd/>
                        <a:tailEnd/>
                      </a:ln>
                    </wps:spPr>
                    <wps:txbx>
                      <w:txbxContent>
                        <w:p w14:paraId="3460B125" w14:textId="77777777" w:rsidR="00451480" w:rsidRPr="00955BAD" w:rsidRDefault="00451480">
                          <w:pPr>
                            <w:rPr>
                              <w:rFonts w:ascii="Encode Sans Medium" w:hAnsi="Encode Sans Medium" w:cs="DIN Pro Bold"/>
                              <w:b/>
                              <w:sz w:val="18"/>
                              <w:szCs w:val="24"/>
                            </w:rPr>
                          </w:pPr>
                          <w:r w:rsidRPr="00955BAD">
                            <w:rPr>
                              <w:rFonts w:ascii="Encode Sans Medium" w:hAnsi="Encode Sans Medium" w:cs="DIN Pro Bold"/>
                              <w:b/>
                              <w:sz w:val="18"/>
                              <w:szCs w:val="24"/>
                            </w:rPr>
                            <w:t>CUENTA</w:t>
                          </w:r>
                          <w:r w:rsidRPr="0099102F">
                            <w:rPr>
                              <w:rFonts w:ascii="Encode Sans Medium" w:hAnsi="Encode Sans Medium" w:cs="DIN Pro Bold"/>
                              <w:b/>
                              <w:sz w:val="18"/>
                              <w:szCs w:val="24"/>
                            </w:rPr>
                            <w:t xml:space="preserve"> PÚBLICA CONSOLIDADA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EF8A" id="_x0000_s1030" type="#_x0000_t202" style="position:absolute;left:0;text-align:left;margin-left:351.75pt;margin-top:-61.4pt;width:93pt;height:36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y4+AEAANQDAAAOAAAAZHJzL2Uyb0RvYy54bWysU9uO0zAQfUfiHyy/0ySlhW5Ud7Xssghp&#10;uUgLH+A4TmNhe4ztNilfz9jJdit4Q+TBsjOeM3POHG+vR6PJUfqgwDJaLUpKpBXQKrtn9Pu3+1cb&#10;SkLktuUarGT0JAO93r18sR1cLZfQg26lJwhiQz04RvsYXV0UQfTS8LAAJy0GO/CGRzz6fdF6PiC6&#10;0cWyLN8UA/jWeRAyBPx7NwXpLuN3nRTxS9cFGYlmFHuLefV5bdJa7La83nvueiXmNvg/dGG4slj0&#10;DHXHIycHr/6CMkp4CNDFhQBTQNcpITMHZFOVf7B57LmTmQuKE9xZpvD/YMXn46P76kkc38GIA8wk&#10;gnsA8SMQC7c9t3t54z0MveQtFq6SZMXgQj2nJqlDHRJIM3yCFofMDxEy0Nh5k1RBngTRcQCns+hy&#10;jESkktWmqkoMCYyt1m9xqrkEr5+ynQ/xgwRD0oZRj0PN6Pz4EGLqhtdPV1IxC/dK6zxYbcnA6NV6&#10;uc4JFxGjIvpOK8Popkzf5IRE8r1tc3LkSk97LKDtzDoRnSjHsRmJahl9nXKTCA20J5TBw2QzfBa4&#10;6cH/omRAizEafh64l5TojxalvKpWq+TJfMjMKfGXkeYywq1AKEYjJdP2NmYfT5RvUPJOZTWeO5lb&#10;RutkkWabJ29envOt58e4+w0AAP//AwBQSwMEFAAGAAgAAAAhAKgbyEPfAAAADAEAAA8AAABkcnMv&#10;ZG93bnJldi54bWxMj8tOwzAQRfdI/QdrKrFr7QYCaRqnQiC2oJaHxM6Np0nUeBzFbhP+nmEFy7lz&#10;dB/FdnKduOAQWk8aVksFAqnytqVaw/vb8yIDEaIhazpPqOEbA2zL2VVhcutH2uFlH2vBJhRyo6GJ&#10;sc+lDFWDzoSl75H4d/SDM5HPoZZ2MCObu04mSt1JZ1rihMb0+NhgddqfnYaPl+PX5616rZ9c2o9+&#10;UpLcWmp9PZ8eNiAiTvEPht/6XB1K7nTwZ7JBdBru1U3KqIbFKkl4BCNZtmbpwFKqMpBlIf+PKH8A&#10;AAD//wMAUEsBAi0AFAAGAAgAAAAhALaDOJL+AAAA4QEAABMAAAAAAAAAAAAAAAAAAAAAAFtDb250&#10;ZW50X1R5cGVzXS54bWxQSwECLQAUAAYACAAAACEAOP0h/9YAAACUAQAACwAAAAAAAAAAAAAAAAAv&#10;AQAAX3JlbHMvLnJlbHNQSwECLQAUAAYACAAAACEAlQWMuPgBAADUAwAADgAAAAAAAAAAAAAAAAAu&#10;AgAAZHJzL2Uyb0RvYy54bWxQSwECLQAUAAYACAAAACEAqBvIQ98AAAAMAQAADwAAAAAAAAAAAAAA&#10;AABSBAAAZHJzL2Rvd25yZXYueG1sUEsFBgAAAAAEAAQA8wAAAF4FAAAAAA==&#10;" filled="f" stroked="f">
              <v:textbox>
                <w:txbxContent>
                  <w:p w14:paraId="3460B125" w14:textId="77777777" w:rsidR="00451480" w:rsidRPr="00955BAD" w:rsidRDefault="00451480">
                    <w:pPr>
                      <w:rPr>
                        <w:rFonts w:ascii="Encode Sans Medium" w:hAnsi="Encode Sans Medium" w:cs="DIN Pro Bold"/>
                        <w:b/>
                        <w:sz w:val="18"/>
                        <w:szCs w:val="24"/>
                      </w:rPr>
                    </w:pPr>
                    <w:r w:rsidRPr="00955BAD">
                      <w:rPr>
                        <w:rFonts w:ascii="Encode Sans Medium" w:hAnsi="Encode Sans Medium" w:cs="DIN Pro Bold"/>
                        <w:b/>
                        <w:sz w:val="18"/>
                        <w:szCs w:val="24"/>
                      </w:rPr>
                      <w:t>CUENTA</w:t>
                    </w:r>
                    <w:r w:rsidRPr="0099102F">
                      <w:rPr>
                        <w:rFonts w:ascii="Encode Sans Medium" w:hAnsi="Encode Sans Medium" w:cs="DIN Pro Bold"/>
                        <w:b/>
                        <w:sz w:val="18"/>
                        <w:szCs w:val="24"/>
                      </w:rPr>
                      <w:t xml:space="preserve"> PÚBLICA CONSOLIDADA     </w:t>
                    </w:r>
                  </w:p>
                </w:txbxContent>
              </v:textbox>
              <w10:wrap type="square" anchorx="margin" anchory="margin"/>
            </v:shape>
          </w:pict>
        </mc:Fallback>
      </mc:AlternateContent>
    </w:r>
    <w:r w:rsidRPr="002B152B">
      <w:rPr>
        <w:rFonts w:ascii="Encode Sans" w:hAnsi="Encode Sans" w:cs="DIN Pro Bold"/>
        <w:noProof/>
        <w:sz w:val="28"/>
        <w:szCs w:val="24"/>
        <w:lang w:eastAsia="es-MX"/>
      </w:rPr>
      <mc:AlternateContent>
        <mc:Choice Requires="wps">
          <w:drawing>
            <wp:anchor distT="0" distB="0" distL="114300" distR="114300" simplePos="0" relativeHeight="251613696" behindDoc="0" locked="0" layoutInCell="1" allowOverlap="1" wp14:anchorId="6FEDADCA" wp14:editId="0C311406">
              <wp:simplePos x="0" y="0"/>
              <wp:positionH relativeFrom="column">
                <wp:posOffset>5619750</wp:posOffset>
              </wp:positionH>
              <wp:positionV relativeFrom="paragraph">
                <wp:posOffset>13970</wp:posOffset>
              </wp:positionV>
              <wp:extent cx="0" cy="361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6E09F" id="Conector recto 5"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442.5pt,1.1pt" to="44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32QEAAAkEAAAOAAAAZHJzL2Uyb0RvYy54bWysU9tu1DAQfUfiHyy/s0mKUtpos5VIVV4Q&#10;rCh8gNexN5Z809hssn/P2MmmFSChVrw48XjOmTnH4+3dZDQ5CQjK2ZZWm5ISYbnrlT229Mf3h3c3&#10;lITIbM+0s6KlZxHo3e7tm+3oG3HlBqd7AQRJbGhG39IhRt8UReCDMCxsnBcWD6UDwyJu4Vj0wEZk&#10;N7q4KsvrYnTQe3BchIDR+/mQ7jK/lILHr1IGEYluKfYW8wp5PaS12G1ZcwTmB8WXNtgrujBMWSy6&#10;Ut2zyMhPUH9QGcXBBSfjhjtTOCkVF1kDqqnK39Q8DsyLrAXNCX61Kfw/Wv7ltAei+pbWlFhm8Io6&#10;vCgeHRBIH1Inj0YfGkzt7B6WXfB7SIInCSZ9UQqZsq/n1VcxRcLnIMfo++vqts6WF084DyF+Es6Q&#10;9NNSrWxSzBp2+hwi1sLUS0oKa0tGnLP65kOd04LTqn9QWqfDAMdDp4GcGN72x+62rrvUPFI8S8Od&#10;thhMkmYR+S+etZgLfBMSDcG2q7lCGkWx0jLOhY3VwqstZieYxBZWYPlv4JKfoCKP6UvAKyJXdjau&#10;YKOsg79Vj9OlZTnnXxyYdScLDq4/5+vN1uC8ZeeWt5EG+vk+w59e8O4XAAAA//8DAFBLAwQUAAYA&#10;CAAAACEAtf/kw9oAAAAIAQAADwAAAGRycy9kb3ducmV2LnhtbEyPwU7DMBBE70j8g7VI3KiDISik&#10;2VQIqZw4QOAD3HibRI3Xke02ga/HiAM9jmY086baLHYUJ/JhcIxwu8pAELfODNwhfH5sbwoQIWo2&#10;enRMCF8UYFNfXlS6NG7mdzo1sROphEOpEfoYp1LK0PZkdVi5iTh5e+etjkn6Thqv51RuR6my7EFa&#10;PXBa6PVEzz21h+ZoERy/ZHPYm6Dy+7s3X2yHV/vdIF5fLU9rEJGW+B+GX/yEDnVi2rkjmyBGhKLI&#10;05eIoBSI5P/pHUL+qEDWlTw/UP8AAAD//wMAUEsBAi0AFAAGAAgAAAAhALaDOJL+AAAA4QEAABMA&#10;AAAAAAAAAAAAAAAAAAAAAFtDb250ZW50X1R5cGVzXS54bWxQSwECLQAUAAYACAAAACEAOP0h/9YA&#10;AACUAQAACwAAAAAAAAAAAAAAAAAvAQAAX3JlbHMvLnJlbHNQSwECLQAUAAYACAAAACEAEftNt9kB&#10;AAAJBAAADgAAAAAAAAAAAAAAAAAuAgAAZHJzL2Uyb0RvYy54bWxQSwECLQAUAAYACAAAACEAtf/k&#10;w9oAAAAIAQAADwAAAAAAAAAAAAAAAAAzBAAAZHJzL2Rvd25yZXYueG1sUEsFBgAAAAAEAAQA8wAA&#10;ADoFAAAAAA==&#10;" strokecolor="#bc955c" strokeweight="1.25pt"/>
          </w:pict>
        </mc:Fallback>
      </mc:AlternateContent>
    </w:r>
  </w:p>
  <w:p w14:paraId="6315575C" w14:textId="77777777" w:rsidR="00451480" w:rsidRPr="002B152B" w:rsidRDefault="00451480" w:rsidP="002B152B">
    <w:pPr>
      <w:pStyle w:val="Encabezado"/>
      <w:tabs>
        <w:tab w:val="left" w:pos="270"/>
        <w:tab w:val="center" w:pos="4680"/>
      </w:tabs>
      <w:jc w:val="center"/>
      <w:rPr>
        <w:rFonts w:ascii="Encode Sans Medium" w:hAnsi="Encode Sans Medium" w:cs="DIN Pro Bold"/>
        <w:b/>
        <w:sz w:val="20"/>
        <w:szCs w:val="24"/>
      </w:rPr>
    </w:pPr>
    <w:r>
      <w:rPr>
        <w:rFonts w:ascii="Encode Sans" w:hAnsi="Encode Sans" w:cs="DIN Pro Regular"/>
        <w:b/>
        <w:sz w:val="20"/>
      </w:rPr>
      <w:t xml:space="preserve">    </w:t>
    </w:r>
    <w:r w:rsidRPr="00502352">
      <w:rPr>
        <w:rFonts w:ascii="Encode Sans" w:hAnsi="Encode Sans" w:cs="DIN Pro Regular"/>
        <w:b/>
      </w:rPr>
      <w:t>TOMO I    RESULTADOS GENERALES</w:t>
    </w:r>
  </w:p>
  <w:p w14:paraId="44C548C0" w14:textId="77777777" w:rsidR="00451480" w:rsidRDefault="00451480" w:rsidP="002B152B">
    <w:pPr>
      <w:pStyle w:val="Encabezado"/>
      <w:tabs>
        <w:tab w:val="left" w:pos="270"/>
        <w:tab w:val="center" w:pos="4680"/>
      </w:tabs>
      <w:jc w:val="center"/>
      <w:rPr>
        <w:rFonts w:ascii="Encode Sans Medium" w:hAnsi="Encode Sans Medium" w:cs="DIN Pro Bold"/>
        <w:b/>
        <w:sz w:val="18"/>
        <w:szCs w:val="24"/>
      </w:rPr>
    </w:pPr>
  </w:p>
  <w:p w14:paraId="5F84CFE8" w14:textId="77777777" w:rsidR="00451480" w:rsidRDefault="00451480" w:rsidP="00841F43">
    <w:pPr>
      <w:pStyle w:val="Encabezado"/>
      <w:tabs>
        <w:tab w:val="left" w:pos="270"/>
        <w:tab w:val="center" w:pos="4680"/>
      </w:tabs>
      <w:jc w:val="right"/>
      <w:rPr>
        <w:rFonts w:ascii="Arial" w:hAnsi="Arial" w:cs="Arial"/>
      </w:rPr>
    </w:pPr>
  </w:p>
  <w:p w14:paraId="0528CF2D" w14:textId="77777777" w:rsidR="00451480" w:rsidRPr="002B152B" w:rsidRDefault="00451480" w:rsidP="00841F43">
    <w:pPr>
      <w:pStyle w:val="Encabezado"/>
      <w:tabs>
        <w:tab w:val="left" w:pos="270"/>
        <w:tab w:val="center" w:pos="4680"/>
      </w:tabs>
      <w:jc w:val="right"/>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80256" behindDoc="0" locked="0" layoutInCell="1" allowOverlap="1" wp14:anchorId="51D9E48C" wp14:editId="2F21BBCE">
              <wp:simplePos x="0" y="0"/>
              <wp:positionH relativeFrom="column">
                <wp:posOffset>-114300</wp:posOffset>
              </wp:positionH>
              <wp:positionV relativeFrom="paragraph">
                <wp:posOffset>113030</wp:posOffset>
              </wp:positionV>
              <wp:extent cx="6192000" cy="0"/>
              <wp:effectExtent l="0" t="0" r="37465" b="19050"/>
              <wp:wrapNone/>
              <wp:docPr id="1" name="Conector recto 1"/>
              <wp:cNvGraphicFramePr/>
              <a:graphic xmlns:a="http://schemas.openxmlformats.org/drawingml/2006/main">
                <a:graphicData uri="http://schemas.microsoft.com/office/word/2010/wordprocessingShape">
                  <wps:wsp>
                    <wps:cNvCnPr/>
                    <wps:spPr>
                      <a:xfrm>
                        <a:off x="0" y="0"/>
                        <a:ext cx="6192000" cy="0"/>
                      </a:xfrm>
                      <a:prstGeom prst="line">
                        <a:avLst/>
                      </a:prstGeom>
                      <a:ln w="22225"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4C839" id="Conector recto 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9pt" to="47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y83gEAABUEAAAOAAAAZHJzL2Uyb0RvYy54bWysU9uK2zAQfS/0H4TeG8eBLF0TZ6Feti+l&#10;Db18gCKPbIFujNQ4+fuO5MS7tIXSUj/Iusw5M+eMtHs4W8NOgFF71/J6teYMnPS9dkPLv319evOW&#10;s5iE64XxDlp+gcgf9q9f7abQwMaP3vSAjEhcbKbQ8jGl0FRVlCNYEVc+gKND5dGKREscqh7FROzW&#10;VJv1+q6aPPYBvYQYafdxPuT7wq8UyPRJqQiJmZZTbamMWMZjHqv9TjQDijBqeS1D/EMVVmhHSReq&#10;R5EE+476FyqrJfroVVpJbyuvlJZQNJCaev2Tmi+jCFC0kDkxLDbF/0crP54OyHRPvePMCUst6qhR&#10;MnlkmH+szh5NITYU2rkDXlcxHDALPiu0+U9S2Ln4ell8hXNikjbv6nvqFdkvb2fVMzBgTO/BW5Yn&#10;LTfaZcmiEacPMVEyCr2F5G3j2NTyDX1b4rOBKo9uKIjoje6ftDE5LuJw7Ayyk6DOv+vut9suCyG2&#10;F2G0Mo42s7xZUJmli4E512dQZA5JqOcM+VrCQiukBJc2V17jKDrDFJWwANd/Bl7jMxTKlf0b8IIo&#10;mb1LC9hq5/F32dO59JTEqzn+5sCsO1tw9P2ltLpYQ3evOHd9J/lyv1wX+PNr3v8AAAD//wMAUEsD&#10;BBQABgAIAAAAIQDGtlHV3AAAAAkBAAAPAAAAZHJzL2Rvd25yZXYueG1sTI/BTsMwEETvSPyDtUhc&#10;UOsECRpCnKoCIY6Qlt438TaJiNdR7Lbh71nEAY47M5qdV6xnN6gTTaH3bCBdJqCIG297bg187F4W&#10;GagQkS0OnsnAFwVYl5cXBebWn7mi0za2Sko45Gigi3HMtQ5NRw7D0o/E4h385DDKObXaTniWcjfo&#10;2yS51w57lg8djvTUUfO5PToDe3o91G9Zv3n3IXHV877a8c1szPXVvHkEFWmOf2H4mS/ToZRNtT+y&#10;DWowsEgzYYlirARBAg93qxRU/SvostD/CcpvAAAA//8DAFBLAQItABQABgAIAAAAIQC2gziS/gAA&#10;AOEBAAATAAAAAAAAAAAAAAAAAAAAAABbQ29udGVudF9UeXBlc10ueG1sUEsBAi0AFAAGAAgAAAAh&#10;ADj9If/WAAAAlAEAAAsAAAAAAAAAAAAAAAAALwEAAF9yZWxzLy5yZWxzUEsBAi0AFAAGAAgAAAAh&#10;AE+13LzeAQAAFQQAAA4AAAAAAAAAAAAAAAAALgIAAGRycy9lMm9Eb2MueG1sUEsBAi0AFAAGAAgA&#10;AAAhAMa2UdXcAAAACQEAAA8AAAAAAAAAAAAAAAAAOAQAAGRycy9kb3ducmV2LnhtbFBLBQYAAAAA&#10;BAAEAPMAAABBBQAAAAA=&#10;" strokecolor="#bc955c" strokeweight="1.7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AA0CED"/>
    <w:multiLevelType w:val="hybridMultilevel"/>
    <w:tmpl w:val="5D143B1C"/>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B94660D"/>
    <w:multiLevelType w:val="hybridMultilevel"/>
    <w:tmpl w:val="02166370"/>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3527F4E"/>
    <w:multiLevelType w:val="hybridMultilevel"/>
    <w:tmpl w:val="94061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137079"/>
    <w:multiLevelType w:val="hybridMultilevel"/>
    <w:tmpl w:val="A1F6ED50"/>
    <w:lvl w:ilvl="0" w:tplc="9D066E30">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A702CC0"/>
    <w:multiLevelType w:val="hybridMultilevel"/>
    <w:tmpl w:val="0A0CB554"/>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0C2159D"/>
    <w:multiLevelType w:val="hybridMultilevel"/>
    <w:tmpl w:val="BF2EFE12"/>
    <w:lvl w:ilvl="0" w:tplc="0C209F24">
      <w:numFmt w:val="bullet"/>
      <w:lvlText w:val="-"/>
      <w:lvlJc w:val="left"/>
      <w:pPr>
        <w:ind w:left="720" w:hanging="360"/>
      </w:pPr>
      <w:rPr>
        <w:rFonts w:ascii="Helvetica" w:eastAsia="Times New Roman" w:hAnsi="Helvetica"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E54AB5"/>
    <w:multiLevelType w:val="hybridMultilevel"/>
    <w:tmpl w:val="79ECF2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8EB211D"/>
    <w:multiLevelType w:val="hybridMultilevel"/>
    <w:tmpl w:val="AF42FE08"/>
    <w:lvl w:ilvl="0" w:tplc="080A000F">
      <w:start w:val="1"/>
      <w:numFmt w:val="decimal"/>
      <w:lvlText w:val="%1."/>
      <w:lvlJc w:val="lef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8" w15:restartNumberingAfterBreak="0">
    <w:nsid w:val="626751B4"/>
    <w:multiLevelType w:val="hybridMultilevel"/>
    <w:tmpl w:val="27A08A64"/>
    <w:lvl w:ilvl="0" w:tplc="7E66B528">
      <w:start w:val="1"/>
      <w:numFmt w:val="lowerLetter"/>
      <w:lvlText w:val="%1)"/>
      <w:lvlJc w:val="left"/>
      <w:pPr>
        <w:ind w:left="4330" w:hanging="360"/>
      </w:pPr>
      <w:rPr>
        <w:rFonts w:ascii="Encode Sans" w:hAnsi="Encode Sans" w:hint="default"/>
        <w:sz w:val="20"/>
        <w:szCs w:val="20"/>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19" w15:restartNumberingAfterBreak="0">
    <w:nsid w:val="6A9E0434"/>
    <w:multiLevelType w:val="hybridMultilevel"/>
    <w:tmpl w:val="1B5E3E24"/>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0" w15:restartNumberingAfterBreak="0">
    <w:nsid w:val="6FA4246C"/>
    <w:multiLevelType w:val="hybridMultilevel"/>
    <w:tmpl w:val="FD8EF3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3750DD"/>
    <w:multiLevelType w:val="hybridMultilevel"/>
    <w:tmpl w:val="3EA4777E"/>
    <w:lvl w:ilvl="0" w:tplc="7F8A51BE">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229199592">
    <w:abstractNumId w:val="0"/>
  </w:num>
  <w:num w:numId="2" w16cid:durableId="2025934577">
    <w:abstractNumId w:val="5"/>
  </w:num>
  <w:num w:numId="3" w16cid:durableId="1968197264">
    <w:abstractNumId w:val="12"/>
  </w:num>
  <w:num w:numId="4" w16cid:durableId="990255366">
    <w:abstractNumId w:val="7"/>
  </w:num>
  <w:num w:numId="5" w16cid:durableId="1055931937">
    <w:abstractNumId w:val="2"/>
  </w:num>
  <w:num w:numId="6" w16cid:durableId="477454104">
    <w:abstractNumId w:val="6"/>
  </w:num>
  <w:num w:numId="7" w16cid:durableId="1928466060">
    <w:abstractNumId w:val="13"/>
  </w:num>
  <w:num w:numId="8" w16cid:durableId="1514690156">
    <w:abstractNumId w:val="11"/>
  </w:num>
  <w:num w:numId="9" w16cid:durableId="1752972305">
    <w:abstractNumId w:val="8"/>
  </w:num>
  <w:num w:numId="10" w16cid:durableId="567811445">
    <w:abstractNumId w:val="10"/>
  </w:num>
  <w:num w:numId="11" w16cid:durableId="2071928097">
    <w:abstractNumId w:val="1"/>
  </w:num>
  <w:num w:numId="12" w16cid:durableId="1404599832">
    <w:abstractNumId w:val="14"/>
  </w:num>
  <w:num w:numId="13" w16cid:durableId="385764683">
    <w:abstractNumId w:val="21"/>
  </w:num>
  <w:num w:numId="14" w16cid:durableId="1053584393">
    <w:abstractNumId w:val="15"/>
  </w:num>
  <w:num w:numId="15" w16cid:durableId="2005935227">
    <w:abstractNumId w:val="19"/>
  </w:num>
  <w:num w:numId="16" w16cid:durableId="604505792">
    <w:abstractNumId w:val="3"/>
  </w:num>
  <w:num w:numId="17" w16cid:durableId="336807331">
    <w:abstractNumId w:val="17"/>
  </w:num>
  <w:num w:numId="18" w16cid:durableId="1678574706">
    <w:abstractNumId w:val="16"/>
  </w:num>
  <w:num w:numId="19" w16cid:durableId="963079239">
    <w:abstractNumId w:val="18"/>
  </w:num>
  <w:num w:numId="20" w16cid:durableId="1892839069">
    <w:abstractNumId w:val="20"/>
  </w:num>
  <w:num w:numId="21" w16cid:durableId="2073234278">
    <w:abstractNumId w:val="9"/>
  </w:num>
  <w:num w:numId="22" w16cid:durableId="2581036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57345">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52AF"/>
    <w:rsid w:val="00006500"/>
    <w:rsid w:val="0001248E"/>
    <w:rsid w:val="0003192B"/>
    <w:rsid w:val="00040466"/>
    <w:rsid w:val="00041A33"/>
    <w:rsid w:val="00042692"/>
    <w:rsid w:val="0004649B"/>
    <w:rsid w:val="00053DAD"/>
    <w:rsid w:val="00060D88"/>
    <w:rsid w:val="00060DB0"/>
    <w:rsid w:val="00066E4C"/>
    <w:rsid w:val="00072067"/>
    <w:rsid w:val="00075867"/>
    <w:rsid w:val="000803D2"/>
    <w:rsid w:val="00085C63"/>
    <w:rsid w:val="00090102"/>
    <w:rsid w:val="00091C67"/>
    <w:rsid w:val="000A1339"/>
    <w:rsid w:val="000A6616"/>
    <w:rsid w:val="000C0A06"/>
    <w:rsid w:val="000D06AB"/>
    <w:rsid w:val="000D3182"/>
    <w:rsid w:val="000D5EFE"/>
    <w:rsid w:val="000E06FF"/>
    <w:rsid w:val="000E3A68"/>
    <w:rsid w:val="000E6439"/>
    <w:rsid w:val="000E652D"/>
    <w:rsid w:val="000F0A75"/>
    <w:rsid w:val="000F2712"/>
    <w:rsid w:val="000F55CA"/>
    <w:rsid w:val="0010281B"/>
    <w:rsid w:val="001057F6"/>
    <w:rsid w:val="0011357D"/>
    <w:rsid w:val="00126A80"/>
    <w:rsid w:val="00126E87"/>
    <w:rsid w:val="0013011C"/>
    <w:rsid w:val="00135754"/>
    <w:rsid w:val="00144731"/>
    <w:rsid w:val="0014762A"/>
    <w:rsid w:val="00163D6C"/>
    <w:rsid w:val="0017292C"/>
    <w:rsid w:val="00174108"/>
    <w:rsid w:val="0017768C"/>
    <w:rsid w:val="00177B09"/>
    <w:rsid w:val="001819BD"/>
    <w:rsid w:val="00185224"/>
    <w:rsid w:val="00186C07"/>
    <w:rsid w:val="00195DEE"/>
    <w:rsid w:val="001A6923"/>
    <w:rsid w:val="001B1B72"/>
    <w:rsid w:val="001C1C55"/>
    <w:rsid w:val="001C2F26"/>
    <w:rsid w:val="001C5431"/>
    <w:rsid w:val="001C6FD8"/>
    <w:rsid w:val="001C760F"/>
    <w:rsid w:val="001D30D8"/>
    <w:rsid w:val="001D3162"/>
    <w:rsid w:val="001D51E2"/>
    <w:rsid w:val="001D6D6E"/>
    <w:rsid w:val="001E2701"/>
    <w:rsid w:val="001E518B"/>
    <w:rsid w:val="001E6A64"/>
    <w:rsid w:val="0021068D"/>
    <w:rsid w:val="00210747"/>
    <w:rsid w:val="002138D2"/>
    <w:rsid w:val="002211C5"/>
    <w:rsid w:val="00230699"/>
    <w:rsid w:val="0023093F"/>
    <w:rsid w:val="00236391"/>
    <w:rsid w:val="00241D8F"/>
    <w:rsid w:val="0024446D"/>
    <w:rsid w:val="0025226E"/>
    <w:rsid w:val="00260918"/>
    <w:rsid w:val="00261E04"/>
    <w:rsid w:val="00263D36"/>
    <w:rsid w:val="002644B4"/>
    <w:rsid w:val="00264F1F"/>
    <w:rsid w:val="00271B8D"/>
    <w:rsid w:val="00284716"/>
    <w:rsid w:val="00290E6D"/>
    <w:rsid w:val="0029470F"/>
    <w:rsid w:val="00294BDA"/>
    <w:rsid w:val="002A08CF"/>
    <w:rsid w:val="002A70B3"/>
    <w:rsid w:val="002B152B"/>
    <w:rsid w:val="002C1413"/>
    <w:rsid w:val="002C1B2A"/>
    <w:rsid w:val="002C2455"/>
    <w:rsid w:val="002C34C6"/>
    <w:rsid w:val="002C3BA7"/>
    <w:rsid w:val="002C4D9F"/>
    <w:rsid w:val="002C576A"/>
    <w:rsid w:val="002D015C"/>
    <w:rsid w:val="002D42BF"/>
    <w:rsid w:val="002D7A6B"/>
    <w:rsid w:val="002F20BF"/>
    <w:rsid w:val="002F33C5"/>
    <w:rsid w:val="002F46E2"/>
    <w:rsid w:val="002F581F"/>
    <w:rsid w:val="003010F3"/>
    <w:rsid w:val="003102A2"/>
    <w:rsid w:val="0031093A"/>
    <w:rsid w:val="00313A28"/>
    <w:rsid w:val="00324E4C"/>
    <w:rsid w:val="00336209"/>
    <w:rsid w:val="00344F1C"/>
    <w:rsid w:val="00345472"/>
    <w:rsid w:val="00353C71"/>
    <w:rsid w:val="00372F40"/>
    <w:rsid w:val="00373734"/>
    <w:rsid w:val="0037538E"/>
    <w:rsid w:val="00375BBC"/>
    <w:rsid w:val="003858E0"/>
    <w:rsid w:val="0039289D"/>
    <w:rsid w:val="003A0303"/>
    <w:rsid w:val="003A64F1"/>
    <w:rsid w:val="003B3723"/>
    <w:rsid w:val="003B7DF9"/>
    <w:rsid w:val="003C0E92"/>
    <w:rsid w:val="003C1806"/>
    <w:rsid w:val="003C52A2"/>
    <w:rsid w:val="003D0DE7"/>
    <w:rsid w:val="003D1BA0"/>
    <w:rsid w:val="003D3BF5"/>
    <w:rsid w:val="003D5DBF"/>
    <w:rsid w:val="003D6886"/>
    <w:rsid w:val="003D7B22"/>
    <w:rsid w:val="003E46AF"/>
    <w:rsid w:val="003E73C6"/>
    <w:rsid w:val="003E7FD0"/>
    <w:rsid w:val="003F39C5"/>
    <w:rsid w:val="003F7245"/>
    <w:rsid w:val="003F7CD7"/>
    <w:rsid w:val="00400CFA"/>
    <w:rsid w:val="00403049"/>
    <w:rsid w:val="004060D8"/>
    <w:rsid w:val="00406CFF"/>
    <w:rsid w:val="004152B3"/>
    <w:rsid w:val="00416466"/>
    <w:rsid w:val="004179D0"/>
    <w:rsid w:val="00424C40"/>
    <w:rsid w:val="00426B09"/>
    <w:rsid w:val="004270EF"/>
    <w:rsid w:val="0044253C"/>
    <w:rsid w:val="004467A1"/>
    <w:rsid w:val="00446A17"/>
    <w:rsid w:val="00450F7D"/>
    <w:rsid w:val="00451480"/>
    <w:rsid w:val="00451D35"/>
    <w:rsid w:val="00452258"/>
    <w:rsid w:val="00452358"/>
    <w:rsid w:val="00460462"/>
    <w:rsid w:val="00462119"/>
    <w:rsid w:val="004638C6"/>
    <w:rsid w:val="00464E75"/>
    <w:rsid w:val="00477536"/>
    <w:rsid w:val="0048003C"/>
    <w:rsid w:val="00484C0D"/>
    <w:rsid w:val="00490D16"/>
    <w:rsid w:val="00493508"/>
    <w:rsid w:val="00497D8B"/>
    <w:rsid w:val="004B16B8"/>
    <w:rsid w:val="004C2B04"/>
    <w:rsid w:val="004D41B8"/>
    <w:rsid w:val="004F07E7"/>
    <w:rsid w:val="004F0A80"/>
    <w:rsid w:val="004F0E7F"/>
    <w:rsid w:val="004F0F5E"/>
    <w:rsid w:val="004F3590"/>
    <w:rsid w:val="004F3C91"/>
    <w:rsid w:val="004F534D"/>
    <w:rsid w:val="004F69FE"/>
    <w:rsid w:val="00502352"/>
    <w:rsid w:val="0050292B"/>
    <w:rsid w:val="00503D8D"/>
    <w:rsid w:val="0051129F"/>
    <w:rsid w:val="00522632"/>
    <w:rsid w:val="005241FE"/>
    <w:rsid w:val="0052590B"/>
    <w:rsid w:val="005350A1"/>
    <w:rsid w:val="00540418"/>
    <w:rsid w:val="00542DD2"/>
    <w:rsid w:val="00544D60"/>
    <w:rsid w:val="005502A5"/>
    <w:rsid w:val="005531B8"/>
    <w:rsid w:val="005536F3"/>
    <w:rsid w:val="00553900"/>
    <w:rsid w:val="005655B2"/>
    <w:rsid w:val="00566709"/>
    <w:rsid w:val="005675A0"/>
    <w:rsid w:val="005754C0"/>
    <w:rsid w:val="005774F0"/>
    <w:rsid w:val="00582949"/>
    <w:rsid w:val="00587AB4"/>
    <w:rsid w:val="005A137F"/>
    <w:rsid w:val="005A4BE3"/>
    <w:rsid w:val="005B24BE"/>
    <w:rsid w:val="005B5860"/>
    <w:rsid w:val="005D04DD"/>
    <w:rsid w:val="005D1553"/>
    <w:rsid w:val="005D4295"/>
    <w:rsid w:val="005D42E1"/>
    <w:rsid w:val="005E24A6"/>
    <w:rsid w:val="005E5B99"/>
    <w:rsid w:val="005F4FD5"/>
    <w:rsid w:val="005F55F9"/>
    <w:rsid w:val="0060613C"/>
    <w:rsid w:val="006101D2"/>
    <w:rsid w:val="00620CE1"/>
    <w:rsid w:val="00626B18"/>
    <w:rsid w:val="00627F1A"/>
    <w:rsid w:val="00643949"/>
    <w:rsid w:val="00644C6C"/>
    <w:rsid w:val="00645EB1"/>
    <w:rsid w:val="00650FBE"/>
    <w:rsid w:val="00672A7A"/>
    <w:rsid w:val="00672C34"/>
    <w:rsid w:val="0067353B"/>
    <w:rsid w:val="00673F89"/>
    <w:rsid w:val="00675478"/>
    <w:rsid w:val="00677336"/>
    <w:rsid w:val="006A1D1F"/>
    <w:rsid w:val="006A30B4"/>
    <w:rsid w:val="006A77BA"/>
    <w:rsid w:val="006A7DF0"/>
    <w:rsid w:val="006B1D44"/>
    <w:rsid w:val="006C4E44"/>
    <w:rsid w:val="006D56E7"/>
    <w:rsid w:val="006E77DD"/>
    <w:rsid w:val="006E7ACC"/>
    <w:rsid w:val="0070015E"/>
    <w:rsid w:val="0070137D"/>
    <w:rsid w:val="00701739"/>
    <w:rsid w:val="0070709C"/>
    <w:rsid w:val="00710161"/>
    <w:rsid w:val="00722D7C"/>
    <w:rsid w:val="00725F56"/>
    <w:rsid w:val="00745746"/>
    <w:rsid w:val="007516D3"/>
    <w:rsid w:val="00751ECC"/>
    <w:rsid w:val="0075466F"/>
    <w:rsid w:val="00761E87"/>
    <w:rsid w:val="00763B74"/>
    <w:rsid w:val="007658CB"/>
    <w:rsid w:val="00765FFF"/>
    <w:rsid w:val="007818C6"/>
    <w:rsid w:val="0078579A"/>
    <w:rsid w:val="00790BD8"/>
    <w:rsid w:val="0079410C"/>
    <w:rsid w:val="00794F55"/>
    <w:rsid w:val="0079582C"/>
    <w:rsid w:val="007A5117"/>
    <w:rsid w:val="007A5B39"/>
    <w:rsid w:val="007B4614"/>
    <w:rsid w:val="007C4879"/>
    <w:rsid w:val="007C6DBB"/>
    <w:rsid w:val="007D0B5B"/>
    <w:rsid w:val="007D1CC1"/>
    <w:rsid w:val="007D381B"/>
    <w:rsid w:val="007D5DA7"/>
    <w:rsid w:val="007D6E9A"/>
    <w:rsid w:val="007E4A53"/>
    <w:rsid w:val="007F08FA"/>
    <w:rsid w:val="007F3E7F"/>
    <w:rsid w:val="007F5EA4"/>
    <w:rsid w:val="008000D8"/>
    <w:rsid w:val="00811DAC"/>
    <w:rsid w:val="00820190"/>
    <w:rsid w:val="00830D75"/>
    <w:rsid w:val="00831EAF"/>
    <w:rsid w:val="00834ECD"/>
    <w:rsid w:val="00837922"/>
    <w:rsid w:val="00841F43"/>
    <w:rsid w:val="00843B98"/>
    <w:rsid w:val="0084449D"/>
    <w:rsid w:val="00847907"/>
    <w:rsid w:val="00847B0D"/>
    <w:rsid w:val="00853269"/>
    <w:rsid w:val="0085677D"/>
    <w:rsid w:val="00861BF5"/>
    <w:rsid w:val="00862A0D"/>
    <w:rsid w:val="00863E0A"/>
    <w:rsid w:val="0087269A"/>
    <w:rsid w:val="008764B6"/>
    <w:rsid w:val="00876FA6"/>
    <w:rsid w:val="00884833"/>
    <w:rsid w:val="00886842"/>
    <w:rsid w:val="00890055"/>
    <w:rsid w:val="0089719D"/>
    <w:rsid w:val="008A120B"/>
    <w:rsid w:val="008A5C08"/>
    <w:rsid w:val="008A6E4D"/>
    <w:rsid w:val="008B0017"/>
    <w:rsid w:val="008B0D51"/>
    <w:rsid w:val="008B3251"/>
    <w:rsid w:val="008B365C"/>
    <w:rsid w:val="008B41CF"/>
    <w:rsid w:val="008C0955"/>
    <w:rsid w:val="008C2FDE"/>
    <w:rsid w:val="008C6E8E"/>
    <w:rsid w:val="008D0180"/>
    <w:rsid w:val="008E3652"/>
    <w:rsid w:val="008E48E4"/>
    <w:rsid w:val="008F1A59"/>
    <w:rsid w:val="008F3D0E"/>
    <w:rsid w:val="008F3D9E"/>
    <w:rsid w:val="008F41BC"/>
    <w:rsid w:val="008F4DD2"/>
    <w:rsid w:val="008F6D58"/>
    <w:rsid w:val="009026D1"/>
    <w:rsid w:val="00910AF6"/>
    <w:rsid w:val="009143F5"/>
    <w:rsid w:val="009153D7"/>
    <w:rsid w:val="00916252"/>
    <w:rsid w:val="00921C64"/>
    <w:rsid w:val="00921C7A"/>
    <w:rsid w:val="009237EF"/>
    <w:rsid w:val="009275ED"/>
    <w:rsid w:val="00936743"/>
    <w:rsid w:val="00951CA5"/>
    <w:rsid w:val="00951CC3"/>
    <w:rsid w:val="00954884"/>
    <w:rsid w:val="00955BAD"/>
    <w:rsid w:val="00967AF9"/>
    <w:rsid w:val="009748FA"/>
    <w:rsid w:val="00985A2E"/>
    <w:rsid w:val="009865A6"/>
    <w:rsid w:val="0099032D"/>
    <w:rsid w:val="0099102F"/>
    <w:rsid w:val="00992D09"/>
    <w:rsid w:val="00994738"/>
    <w:rsid w:val="00994B2E"/>
    <w:rsid w:val="00994CF0"/>
    <w:rsid w:val="009A6D76"/>
    <w:rsid w:val="009B48B1"/>
    <w:rsid w:val="009B6196"/>
    <w:rsid w:val="009B672A"/>
    <w:rsid w:val="009B6B02"/>
    <w:rsid w:val="009B6C1D"/>
    <w:rsid w:val="009C2B68"/>
    <w:rsid w:val="009C7A3A"/>
    <w:rsid w:val="009D1E0B"/>
    <w:rsid w:val="009D4C0F"/>
    <w:rsid w:val="009E1F45"/>
    <w:rsid w:val="009E52E8"/>
    <w:rsid w:val="009E65DA"/>
    <w:rsid w:val="009E6948"/>
    <w:rsid w:val="00A056EE"/>
    <w:rsid w:val="00A05C70"/>
    <w:rsid w:val="00A05CB1"/>
    <w:rsid w:val="00A0677A"/>
    <w:rsid w:val="00A07254"/>
    <w:rsid w:val="00A12542"/>
    <w:rsid w:val="00A17844"/>
    <w:rsid w:val="00A22757"/>
    <w:rsid w:val="00A23270"/>
    <w:rsid w:val="00A258F9"/>
    <w:rsid w:val="00A35095"/>
    <w:rsid w:val="00A35F4C"/>
    <w:rsid w:val="00A44D76"/>
    <w:rsid w:val="00A46109"/>
    <w:rsid w:val="00A523D5"/>
    <w:rsid w:val="00A540AF"/>
    <w:rsid w:val="00A73361"/>
    <w:rsid w:val="00A74F12"/>
    <w:rsid w:val="00A92B03"/>
    <w:rsid w:val="00A97010"/>
    <w:rsid w:val="00AA300D"/>
    <w:rsid w:val="00AA7EBA"/>
    <w:rsid w:val="00AD4BB3"/>
    <w:rsid w:val="00AD6B30"/>
    <w:rsid w:val="00AE3EFE"/>
    <w:rsid w:val="00AE608D"/>
    <w:rsid w:val="00AE75B2"/>
    <w:rsid w:val="00AF05C3"/>
    <w:rsid w:val="00AF1C0C"/>
    <w:rsid w:val="00AF2F48"/>
    <w:rsid w:val="00AF348B"/>
    <w:rsid w:val="00AF7996"/>
    <w:rsid w:val="00B01960"/>
    <w:rsid w:val="00B03469"/>
    <w:rsid w:val="00B10695"/>
    <w:rsid w:val="00B10D45"/>
    <w:rsid w:val="00B14CB8"/>
    <w:rsid w:val="00B16711"/>
    <w:rsid w:val="00B260CB"/>
    <w:rsid w:val="00B26248"/>
    <w:rsid w:val="00B32877"/>
    <w:rsid w:val="00B368BA"/>
    <w:rsid w:val="00B40480"/>
    <w:rsid w:val="00B4395C"/>
    <w:rsid w:val="00B6431B"/>
    <w:rsid w:val="00B732B1"/>
    <w:rsid w:val="00B739EF"/>
    <w:rsid w:val="00B73D95"/>
    <w:rsid w:val="00B73DF3"/>
    <w:rsid w:val="00B75838"/>
    <w:rsid w:val="00B849EE"/>
    <w:rsid w:val="00B854D5"/>
    <w:rsid w:val="00B86415"/>
    <w:rsid w:val="00BA2940"/>
    <w:rsid w:val="00BB189C"/>
    <w:rsid w:val="00BC702B"/>
    <w:rsid w:val="00BD6292"/>
    <w:rsid w:val="00BD77C4"/>
    <w:rsid w:val="00BE6581"/>
    <w:rsid w:val="00BF0017"/>
    <w:rsid w:val="00C07D59"/>
    <w:rsid w:val="00C10D9F"/>
    <w:rsid w:val="00C11164"/>
    <w:rsid w:val="00C15238"/>
    <w:rsid w:val="00C2567A"/>
    <w:rsid w:val="00C264F4"/>
    <w:rsid w:val="00C325A7"/>
    <w:rsid w:val="00C46CDB"/>
    <w:rsid w:val="00C51131"/>
    <w:rsid w:val="00C57315"/>
    <w:rsid w:val="00C71856"/>
    <w:rsid w:val="00C74960"/>
    <w:rsid w:val="00C758C0"/>
    <w:rsid w:val="00C7736C"/>
    <w:rsid w:val="00C80663"/>
    <w:rsid w:val="00C847FC"/>
    <w:rsid w:val="00C8542B"/>
    <w:rsid w:val="00C93D96"/>
    <w:rsid w:val="00CB06AF"/>
    <w:rsid w:val="00CB1DE4"/>
    <w:rsid w:val="00CC1F77"/>
    <w:rsid w:val="00CC2371"/>
    <w:rsid w:val="00CC5443"/>
    <w:rsid w:val="00CC6694"/>
    <w:rsid w:val="00CD0037"/>
    <w:rsid w:val="00CD1A91"/>
    <w:rsid w:val="00CD4B70"/>
    <w:rsid w:val="00CD6C61"/>
    <w:rsid w:val="00CE6475"/>
    <w:rsid w:val="00CF0B53"/>
    <w:rsid w:val="00CF18E4"/>
    <w:rsid w:val="00D0206A"/>
    <w:rsid w:val="00D055EC"/>
    <w:rsid w:val="00D05AC1"/>
    <w:rsid w:val="00D10273"/>
    <w:rsid w:val="00D137E1"/>
    <w:rsid w:val="00D150F7"/>
    <w:rsid w:val="00D23A2B"/>
    <w:rsid w:val="00D40EB2"/>
    <w:rsid w:val="00D43EEC"/>
    <w:rsid w:val="00D502DB"/>
    <w:rsid w:val="00D53591"/>
    <w:rsid w:val="00D6136C"/>
    <w:rsid w:val="00D62DF3"/>
    <w:rsid w:val="00D67555"/>
    <w:rsid w:val="00D74DD6"/>
    <w:rsid w:val="00D8089A"/>
    <w:rsid w:val="00D85F71"/>
    <w:rsid w:val="00D9138F"/>
    <w:rsid w:val="00DA0F15"/>
    <w:rsid w:val="00DC01A2"/>
    <w:rsid w:val="00DC53C5"/>
    <w:rsid w:val="00DC736A"/>
    <w:rsid w:val="00DD035D"/>
    <w:rsid w:val="00DD0CF4"/>
    <w:rsid w:val="00DD2B52"/>
    <w:rsid w:val="00DD3BDC"/>
    <w:rsid w:val="00DD451E"/>
    <w:rsid w:val="00DD4EDA"/>
    <w:rsid w:val="00DE4AC2"/>
    <w:rsid w:val="00DF04EC"/>
    <w:rsid w:val="00DF166B"/>
    <w:rsid w:val="00DF3D6D"/>
    <w:rsid w:val="00DF5220"/>
    <w:rsid w:val="00DF6437"/>
    <w:rsid w:val="00E07C35"/>
    <w:rsid w:val="00E1118B"/>
    <w:rsid w:val="00E2498C"/>
    <w:rsid w:val="00E30A7D"/>
    <w:rsid w:val="00E30F32"/>
    <w:rsid w:val="00E32708"/>
    <w:rsid w:val="00E36BAF"/>
    <w:rsid w:val="00E459F4"/>
    <w:rsid w:val="00E45E06"/>
    <w:rsid w:val="00E47097"/>
    <w:rsid w:val="00E50807"/>
    <w:rsid w:val="00E529DB"/>
    <w:rsid w:val="00E66C7C"/>
    <w:rsid w:val="00E67274"/>
    <w:rsid w:val="00E71540"/>
    <w:rsid w:val="00E75E3C"/>
    <w:rsid w:val="00E878F0"/>
    <w:rsid w:val="00E97E17"/>
    <w:rsid w:val="00EA346B"/>
    <w:rsid w:val="00EA5418"/>
    <w:rsid w:val="00EA5EA0"/>
    <w:rsid w:val="00EB1ADE"/>
    <w:rsid w:val="00EB26B0"/>
    <w:rsid w:val="00EB37D6"/>
    <w:rsid w:val="00EB4758"/>
    <w:rsid w:val="00EB5EAA"/>
    <w:rsid w:val="00EB7BC1"/>
    <w:rsid w:val="00EC6157"/>
    <w:rsid w:val="00ED118F"/>
    <w:rsid w:val="00ED70CA"/>
    <w:rsid w:val="00ED7D2E"/>
    <w:rsid w:val="00EE6570"/>
    <w:rsid w:val="00EF33FD"/>
    <w:rsid w:val="00EF4650"/>
    <w:rsid w:val="00F05310"/>
    <w:rsid w:val="00F12593"/>
    <w:rsid w:val="00F138BE"/>
    <w:rsid w:val="00F16013"/>
    <w:rsid w:val="00F20634"/>
    <w:rsid w:val="00F30354"/>
    <w:rsid w:val="00F30C06"/>
    <w:rsid w:val="00F360AC"/>
    <w:rsid w:val="00F43A17"/>
    <w:rsid w:val="00F44E0B"/>
    <w:rsid w:val="00F45C83"/>
    <w:rsid w:val="00F45CAA"/>
    <w:rsid w:val="00F470A7"/>
    <w:rsid w:val="00F504F9"/>
    <w:rsid w:val="00F60192"/>
    <w:rsid w:val="00F7071B"/>
    <w:rsid w:val="00F73A6E"/>
    <w:rsid w:val="00F746DB"/>
    <w:rsid w:val="00F76815"/>
    <w:rsid w:val="00F94B6E"/>
    <w:rsid w:val="00F97452"/>
    <w:rsid w:val="00FA19C1"/>
    <w:rsid w:val="00FB0FD3"/>
    <w:rsid w:val="00FB1010"/>
    <w:rsid w:val="00FB1255"/>
    <w:rsid w:val="00FB702A"/>
    <w:rsid w:val="00FC0C83"/>
    <w:rsid w:val="00FD3303"/>
    <w:rsid w:val="00FE0BFD"/>
    <w:rsid w:val="00FE35B7"/>
    <w:rsid w:val="00FE3C54"/>
    <w:rsid w:val="00FE498D"/>
    <w:rsid w:val="00FE4A87"/>
    <w:rsid w:val="00FE4B15"/>
    <w:rsid w:val="00FF042D"/>
    <w:rsid w:val="00FF61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40b4e5,#005cb9,#95d600,#0064a7,#97c93d"/>
    </o:shapedefaults>
    <o:shapelayout v:ext="edit">
      <o:idmap v:ext="edit" data="1"/>
    </o:shapelayout>
  </w:shapeDefaults>
  <w:decimalSymbol w:val="."/>
  <w:listSeparator w:val=","/>
  <w14:docId w14:val="0F865241"/>
  <w15:docId w15:val="{DEF56C1C-5425-435A-98B9-AD24798E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92C"/>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A92B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92B03"/>
    <w:rPr>
      <w:rFonts w:asciiTheme="majorHAnsi" w:eastAsiaTheme="majorEastAsia" w:hAnsiTheme="majorHAnsi" w:cstheme="majorBidi"/>
      <w:color w:val="365F91" w:themeColor="accent1" w:themeShade="BF"/>
      <w:sz w:val="26"/>
      <w:szCs w:val="26"/>
      <w:lang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68C"/>
    <w:pPr>
      <w:autoSpaceDE w:val="0"/>
      <w:autoSpaceDN w:val="0"/>
      <w:adjustRightInd w:val="0"/>
    </w:pPr>
    <w:rPr>
      <w:rFonts w:cs="Calibri"/>
      <w:color w:val="000000"/>
      <w:sz w:val="24"/>
      <w:szCs w:val="24"/>
    </w:rPr>
  </w:style>
  <w:style w:type="paragraph" w:styleId="NormalWeb">
    <w:name w:val="Normal (Web)"/>
    <w:basedOn w:val="Normal"/>
    <w:uiPriority w:val="99"/>
    <w:unhideWhenUsed/>
    <w:qFormat/>
    <w:rsid w:val="00A92B03"/>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A92B03"/>
    <w:rPr>
      <w:color w:val="0000FF" w:themeColor="hyperlink"/>
      <w:u w:val="single"/>
    </w:rPr>
  </w:style>
  <w:style w:type="paragraph" w:customStyle="1" w:styleId="Standard">
    <w:name w:val="Standard"/>
    <w:rsid w:val="00566709"/>
    <w:pPr>
      <w:suppressAutoHyphens/>
      <w:autoSpaceDN w:val="0"/>
      <w:textAlignment w:val="baseline"/>
    </w:pPr>
    <w:rPr>
      <w:rFonts w:ascii="Times New Roman" w:eastAsia="Times New Roman" w:hAnsi="Times New Roman"/>
      <w:sz w:val="24"/>
      <w:szCs w:val="24"/>
      <w:lang w:val="es-ES" w:eastAsia="es-ES"/>
    </w:rPr>
  </w:style>
  <w:style w:type="paragraph" w:styleId="Textoindependiente2">
    <w:name w:val="Body Text 2"/>
    <w:basedOn w:val="Normal"/>
    <w:link w:val="Textoindependiente2Car"/>
    <w:rsid w:val="00566709"/>
    <w:pPr>
      <w:spacing w:after="0" w:line="240" w:lineRule="auto"/>
      <w:jc w:val="both"/>
    </w:pPr>
    <w:rPr>
      <w:rFonts w:ascii="Arial" w:eastAsia="Times New Roman" w:hAnsi="Arial" w:cs="Arial"/>
      <w:b/>
      <w:bCs/>
      <w:sz w:val="14"/>
      <w:szCs w:val="24"/>
      <w:lang w:val="es-ES" w:eastAsia="es-ES"/>
    </w:rPr>
  </w:style>
  <w:style w:type="character" w:customStyle="1" w:styleId="Textoindependiente2Car">
    <w:name w:val="Texto independiente 2 Car"/>
    <w:basedOn w:val="Fuentedeprrafopredeter"/>
    <w:link w:val="Textoindependiente2"/>
    <w:rsid w:val="00566709"/>
    <w:rPr>
      <w:rFonts w:ascii="Arial" w:eastAsia="Times New Roman" w:hAnsi="Arial" w:cs="Arial"/>
      <w:b/>
      <w:bCs/>
      <w:sz w:val="14"/>
      <w:szCs w:val="24"/>
      <w:lang w:val="es-ES" w:eastAsia="es-ES"/>
    </w:rPr>
  </w:style>
  <w:style w:type="character" w:styleId="nfasis">
    <w:name w:val="Emphasis"/>
    <w:basedOn w:val="Fuentedeprrafopredeter"/>
    <w:uiPriority w:val="20"/>
    <w:qFormat/>
    <w:rsid w:val="009E65DA"/>
    <w:rPr>
      <w:i/>
      <w:iCs/>
    </w:rPr>
  </w:style>
  <w:style w:type="character" w:customStyle="1" w:styleId="apple-converted-space">
    <w:name w:val="apple-converted-space"/>
    <w:basedOn w:val="Fuentedeprrafopredeter"/>
    <w:rsid w:val="009E65DA"/>
  </w:style>
  <w:style w:type="paragraph" w:customStyle="1" w:styleId="n01">
    <w:name w:val="n01"/>
    <w:basedOn w:val="Normal"/>
    <w:rsid w:val="009E65DA"/>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abeceraypie">
    <w:name w:val="Cabecera y pie"/>
    <w:basedOn w:val="Normal"/>
    <w:qFormat/>
    <w:rsid w:val="00751ECC"/>
    <w:pPr>
      <w:suppressAutoHyphens/>
      <w:overflowPunc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553">
      <w:bodyDiv w:val="1"/>
      <w:marLeft w:val="0"/>
      <w:marRight w:val="0"/>
      <w:marTop w:val="0"/>
      <w:marBottom w:val="0"/>
      <w:divBdr>
        <w:top w:val="none" w:sz="0" w:space="0" w:color="auto"/>
        <w:left w:val="none" w:sz="0" w:space="0" w:color="auto"/>
        <w:bottom w:val="none" w:sz="0" w:space="0" w:color="auto"/>
        <w:right w:val="none" w:sz="0" w:space="0" w:color="auto"/>
      </w:divBdr>
    </w:div>
    <w:div w:id="13045460">
      <w:bodyDiv w:val="1"/>
      <w:marLeft w:val="0"/>
      <w:marRight w:val="0"/>
      <w:marTop w:val="0"/>
      <w:marBottom w:val="0"/>
      <w:divBdr>
        <w:top w:val="none" w:sz="0" w:space="0" w:color="auto"/>
        <w:left w:val="none" w:sz="0" w:space="0" w:color="auto"/>
        <w:bottom w:val="none" w:sz="0" w:space="0" w:color="auto"/>
        <w:right w:val="none" w:sz="0" w:space="0" w:color="auto"/>
      </w:divBdr>
    </w:div>
    <w:div w:id="13072483">
      <w:bodyDiv w:val="1"/>
      <w:marLeft w:val="0"/>
      <w:marRight w:val="0"/>
      <w:marTop w:val="0"/>
      <w:marBottom w:val="0"/>
      <w:divBdr>
        <w:top w:val="none" w:sz="0" w:space="0" w:color="auto"/>
        <w:left w:val="none" w:sz="0" w:space="0" w:color="auto"/>
        <w:bottom w:val="none" w:sz="0" w:space="0" w:color="auto"/>
        <w:right w:val="none" w:sz="0" w:space="0" w:color="auto"/>
      </w:divBdr>
    </w:div>
    <w:div w:id="13270605">
      <w:bodyDiv w:val="1"/>
      <w:marLeft w:val="0"/>
      <w:marRight w:val="0"/>
      <w:marTop w:val="0"/>
      <w:marBottom w:val="0"/>
      <w:divBdr>
        <w:top w:val="none" w:sz="0" w:space="0" w:color="auto"/>
        <w:left w:val="none" w:sz="0" w:space="0" w:color="auto"/>
        <w:bottom w:val="none" w:sz="0" w:space="0" w:color="auto"/>
        <w:right w:val="none" w:sz="0" w:space="0" w:color="auto"/>
      </w:divBdr>
    </w:div>
    <w:div w:id="13965580">
      <w:bodyDiv w:val="1"/>
      <w:marLeft w:val="0"/>
      <w:marRight w:val="0"/>
      <w:marTop w:val="0"/>
      <w:marBottom w:val="0"/>
      <w:divBdr>
        <w:top w:val="none" w:sz="0" w:space="0" w:color="auto"/>
        <w:left w:val="none" w:sz="0" w:space="0" w:color="auto"/>
        <w:bottom w:val="none" w:sz="0" w:space="0" w:color="auto"/>
        <w:right w:val="none" w:sz="0" w:space="0" w:color="auto"/>
      </w:divBdr>
    </w:div>
    <w:div w:id="27267181">
      <w:bodyDiv w:val="1"/>
      <w:marLeft w:val="0"/>
      <w:marRight w:val="0"/>
      <w:marTop w:val="0"/>
      <w:marBottom w:val="0"/>
      <w:divBdr>
        <w:top w:val="none" w:sz="0" w:space="0" w:color="auto"/>
        <w:left w:val="none" w:sz="0" w:space="0" w:color="auto"/>
        <w:bottom w:val="none" w:sz="0" w:space="0" w:color="auto"/>
        <w:right w:val="none" w:sz="0" w:space="0" w:color="auto"/>
      </w:divBdr>
    </w:div>
    <w:div w:id="35741724">
      <w:bodyDiv w:val="1"/>
      <w:marLeft w:val="0"/>
      <w:marRight w:val="0"/>
      <w:marTop w:val="0"/>
      <w:marBottom w:val="0"/>
      <w:divBdr>
        <w:top w:val="none" w:sz="0" w:space="0" w:color="auto"/>
        <w:left w:val="none" w:sz="0" w:space="0" w:color="auto"/>
        <w:bottom w:val="none" w:sz="0" w:space="0" w:color="auto"/>
        <w:right w:val="none" w:sz="0" w:space="0" w:color="auto"/>
      </w:divBdr>
    </w:div>
    <w:div w:id="65422353">
      <w:bodyDiv w:val="1"/>
      <w:marLeft w:val="0"/>
      <w:marRight w:val="0"/>
      <w:marTop w:val="0"/>
      <w:marBottom w:val="0"/>
      <w:divBdr>
        <w:top w:val="none" w:sz="0" w:space="0" w:color="auto"/>
        <w:left w:val="none" w:sz="0" w:space="0" w:color="auto"/>
        <w:bottom w:val="none" w:sz="0" w:space="0" w:color="auto"/>
        <w:right w:val="none" w:sz="0" w:space="0" w:color="auto"/>
      </w:divBdr>
    </w:div>
    <w:div w:id="70079084">
      <w:bodyDiv w:val="1"/>
      <w:marLeft w:val="0"/>
      <w:marRight w:val="0"/>
      <w:marTop w:val="0"/>
      <w:marBottom w:val="0"/>
      <w:divBdr>
        <w:top w:val="none" w:sz="0" w:space="0" w:color="auto"/>
        <w:left w:val="none" w:sz="0" w:space="0" w:color="auto"/>
        <w:bottom w:val="none" w:sz="0" w:space="0" w:color="auto"/>
        <w:right w:val="none" w:sz="0" w:space="0" w:color="auto"/>
      </w:divBdr>
    </w:div>
    <w:div w:id="72627192">
      <w:bodyDiv w:val="1"/>
      <w:marLeft w:val="0"/>
      <w:marRight w:val="0"/>
      <w:marTop w:val="0"/>
      <w:marBottom w:val="0"/>
      <w:divBdr>
        <w:top w:val="none" w:sz="0" w:space="0" w:color="auto"/>
        <w:left w:val="none" w:sz="0" w:space="0" w:color="auto"/>
        <w:bottom w:val="none" w:sz="0" w:space="0" w:color="auto"/>
        <w:right w:val="none" w:sz="0" w:space="0" w:color="auto"/>
      </w:divBdr>
    </w:div>
    <w:div w:id="76288098">
      <w:bodyDiv w:val="1"/>
      <w:marLeft w:val="0"/>
      <w:marRight w:val="0"/>
      <w:marTop w:val="0"/>
      <w:marBottom w:val="0"/>
      <w:divBdr>
        <w:top w:val="none" w:sz="0" w:space="0" w:color="auto"/>
        <w:left w:val="none" w:sz="0" w:space="0" w:color="auto"/>
        <w:bottom w:val="none" w:sz="0" w:space="0" w:color="auto"/>
        <w:right w:val="none" w:sz="0" w:space="0" w:color="auto"/>
      </w:divBdr>
    </w:div>
    <w:div w:id="80032595">
      <w:bodyDiv w:val="1"/>
      <w:marLeft w:val="0"/>
      <w:marRight w:val="0"/>
      <w:marTop w:val="0"/>
      <w:marBottom w:val="0"/>
      <w:divBdr>
        <w:top w:val="none" w:sz="0" w:space="0" w:color="auto"/>
        <w:left w:val="none" w:sz="0" w:space="0" w:color="auto"/>
        <w:bottom w:val="none" w:sz="0" w:space="0" w:color="auto"/>
        <w:right w:val="none" w:sz="0" w:space="0" w:color="auto"/>
      </w:divBdr>
    </w:div>
    <w:div w:id="80638392">
      <w:bodyDiv w:val="1"/>
      <w:marLeft w:val="0"/>
      <w:marRight w:val="0"/>
      <w:marTop w:val="0"/>
      <w:marBottom w:val="0"/>
      <w:divBdr>
        <w:top w:val="none" w:sz="0" w:space="0" w:color="auto"/>
        <w:left w:val="none" w:sz="0" w:space="0" w:color="auto"/>
        <w:bottom w:val="none" w:sz="0" w:space="0" w:color="auto"/>
        <w:right w:val="none" w:sz="0" w:space="0" w:color="auto"/>
      </w:divBdr>
    </w:div>
    <w:div w:id="84812349">
      <w:bodyDiv w:val="1"/>
      <w:marLeft w:val="0"/>
      <w:marRight w:val="0"/>
      <w:marTop w:val="0"/>
      <w:marBottom w:val="0"/>
      <w:divBdr>
        <w:top w:val="none" w:sz="0" w:space="0" w:color="auto"/>
        <w:left w:val="none" w:sz="0" w:space="0" w:color="auto"/>
        <w:bottom w:val="none" w:sz="0" w:space="0" w:color="auto"/>
        <w:right w:val="none" w:sz="0" w:space="0" w:color="auto"/>
      </w:divBdr>
    </w:div>
    <w:div w:id="89666846">
      <w:bodyDiv w:val="1"/>
      <w:marLeft w:val="0"/>
      <w:marRight w:val="0"/>
      <w:marTop w:val="0"/>
      <w:marBottom w:val="0"/>
      <w:divBdr>
        <w:top w:val="none" w:sz="0" w:space="0" w:color="auto"/>
        <w:left w:val="none" w:sz="0" w:space="0" w:color="auto"/>
        <w:bottom w:val="none" w:sz="0" w:space="0" w:color="auto"/>
        <w:right w:val="none" w:sz="0" w:space="0" w:color="auto"/>
      </w:divBdr>
    </w:div>
    <w:div w:id="108669564">
      <w:bodyDiv w:val="1"/>
      <w:marLeft w:val="0"/>
      <w:marRight w:val="0"/>
      <w:marTop w:val="0"/>
      <w:marBottom w:val="0"/>
      <w:divBdr>
        <w:top w:val="none" w:sz="0" w:space="0" w:color="auto"/>
        <w:left w:val="none" w:sz="0" w:space="0" w:color="auto"/>
        <w:bottom w:val="none" w:sz="0" w:space="0" w:color="auto"/>
        <w:right w:val="none" w:sz="0" w:space="0" w:color="auto"/>
      </w:divBdr>
    </w:div>
    <w:div w:id="108670088">
      <w:bodyDiv w:val="1"/>
      <w:marLeft w:val="0"/>
      <w:marRight w:val="0"/>
      <w:marTop w:val="0"/>
      <w:marBottom w:val="0"/>
      <w:divBdr>
        <w:top w:val="none" w:sz="0" w:space="0" w:color="auto"/>
        <w:left w:val="none" w:sz="0" w:space="0" w:color="auto"/>
        <w:bottom w:val="none" w:sz="0" w:space="0" w:color="auto"/>
        <w:right w:val="none" w:sz="0" w:space="0" w:color="auto"/>
      </w:divBdr>
    </w:div>
    <w:div w:id="114719560">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9497633">
      <w:bodyDiv w:val="1"/>
      <w:marLeft w:val="0"/>
      <w:marRight w:val="0"/>
      <w:marTop w:val="0"/>
      <w:marBottom w:val="0"/>
      <w:divBdr>
        <w:top w:val="none" w:sz="0" w:space="0" w:color="auto"/>
        <w:left w:val="none" w:sz="0" w:space="0" w:color="auto"/>
        <w:bottom w:val="none" w:sz="0" w:space="0" w:color="auto"/>
        <w:right w:val="none" w:sz="0" w:space="0" w:color="auto"/>
      </w:divBdr>
    </w:div>
    <w:div w:id="119961894">
      <w:bodyDiv w:val="1"/>
      <w:marLeft w:val="0"/>
      <w:marRight w:val="0"/>
      <w:marTop w:val="0"/>
      <w:marBottom w:val="0"/>
      <w:divBdr>
        <w:top w:val="none" w:sz="0" w:space="0" w:color="auto"/>
        <w:left w:val="none" w:sz="0" w:space="0" w:color="auto"/>
        <w:bottom w:val="none" w:sz="0" w:space="0" w:color="auto"/>
        <w:right w:val="none" w:sz="0" w:space="0" w:color="auto"/>
      </w:divBdr>
    </w:div>
    <w:div w:id="129060755">
      <w:bodyDiv w:val="1"/>
      <w:marLeft w:val="0"/>
      <w:marRight w:val="0"/>
      <w:marTop w:val="0"/>
      <w:marBottom w:val="0"/>
      <w:divBdr>
        <w:top w:val="none" w:sz="0" w:space="0" w:color="auto"/>
        <w:left w:val="none" w:sz="0" w:space="0" w:color="auto"/>
        <w:bottom w:val="none" w:sz="0" w:space="0" w:color="auto"/>
        <w:right w:val="none" w:sz="0" w:space="0" w:color="auto"/>
      </w:divBdr>
    </w:div>
    <w:div w:id="134567981">
      <w:bodyDiv w:val="1"/>
      <w:marLeft w:val="0"/>
      <w:marRight w:val="0"/>
      <w:marTop w:val="0"/>
      <w:marBottom w:val="0"/>
      <w:divBdr>
        <w:top w:val="none" w:sz="0" w:space="0" w:color="auto"/>
        <w:left w:val="none" w:sz="0" w:space="0" w:color="auto"/>
        <w:bottom w:val="none" w:sz="0" w:space="0" w:color="auto"/>
        <w:right w:val="none" w:sz="0" w:space="0" w:color="auto"/>
      </w:divBdr>
    </w:div>
    <w:div w:id="141123872">
      <w:bodyDiv w:val="1"/>
      <w:marLeft w:val="0"/>
      <w:marRight w:val="0"/>
      <w:marTop w:val="0"/>
      <w:marBottom w:val="0"/>
      <w:divBdr>
        <w:top w:val="none" w:sz="0" w:space="0" w:color="auto"/>
        <w:left w:val="none" w:sz="0" w:space="0" w:color="auto"/>
        <w:bottom w:val="none" w:sz="0" w:space="0" w:color="auto"/>
        <w:right w:val="none" w:sz="0" w:space="0" w:color="auto"/>
      </w:divBdr>
    </w:div>
    <w:div w:id="146896261">
      <w:bodyDiv w:val="1"/>
      <w:marLeft w:val="0"/>
      <w:marRight w:val="0"/>
      <w:marTop w:val="0"/>
      <w:marBottom w:val="0"/>
      <w:divBdr>
        <w:top w:val="none" w:sz="0" w:space="0" w:color="auto"/>
        <w:left w:val="none" w:sz="0" w:space="0" w:color="auto"/>
        <w:bottom w:val="none" w:sz="0" w:space="0" w:color="auto"/>
        <w:right w:val="none" w:sz="0" w:space="0" w:color="auto"/>
      </w:divBdr>
    </w:div>
    <w:div w:id="158347151">
      <w:bodyDiv w:val="1"/>
      <w:marLeft w:val="0"/>
      <w:marRight w:val="0"/>
      <w:marTop w:val="0"/>
      <w:marBottom w:val="0"/>
      <w:divBdr>
        <w:top w:val="none" w:sz="0" w:space="0" w:color="auto"/>
        <w:left w:val="none" w:sz="0" w:space="0" w:color="auto"/>
        <w:bottom w:val="none" w:sz="0" w:space="0" w:color="auto"/>
        <w:right w:val="none" w:sz="0" w:space="0" w:color="auto"/>
      </w:divBdr>
    </w:div>
    <w:div w:id="162163653">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75507472">
      <w:bodyDiv w:val="1"/>
      <w:marLeft w:val="0"/>
      <w:marRight w:val="0"/>
      <w:marTop w:val="0"/>
      <w:marBottom w:val="0"/>
      <w:divBdr>
        <w:top w:val="none" w:sz="0" w:space="0" w:color="auto"/>
        <w:left w:val="none" w:sz="0" w:space="0" w:color="auto"/>
        <w:bottom w:val="none" w:sz="0" w:space="0" w:color="auto"/>
        <w:right w:val="none" w:sz="0" w:space="0" w:color="auto"/>
      </w:divBdr>
    </w:div>
    <w:div w:id="176503333">
      <w:bodyDiv w:val="1"/>
      <w:marLeft w:val="0"/>
      <w:marRight w:val="0"/>
      <w:marTop w:val="0"/>
      <w:marBottom w:val="0"/>
      <w:divBdr>
        <w:top w:val="none" w:sz="0" w:space="0" w:color="auto"/>
        <w:left w:val="none" w:sz="0" w:space="0" w:color="auto"/>
        <w:bottom w:val="none" w:sz="0" w:space="0" w:color="auto"/>
        <w:right w:val="none" w:sz="0" w:space="0" w:color="auto"/>
      </w:divBdr>
    </w:div>
    <w:div w:id="179202094">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2868145">
      <w:bodyDiv w:val="1"/>
      <w:marLeft w:val="0"/>
      <w:marRight w:val="0"/>
      <w:marTop w:val="0"/>
      <w:marBottom w:val="0"/>
      <w:divBdr>
        <w:top w:val="none" w:sz="0" w:space="0" w:color="auto"/>
        <w:left w:val="none" w:sz="0" w:space="0" w:color="auto"/>
        <w:bottom w:val="none" w:sz="0" w:space="0" w:color="auto"/>
        <w:right w:val="none" w:sz="0" w:space="0" w:color="auto"/>
      </w:divBdr>
    </w:div>
    <w:div w:id="187377698">
      <w:bodyDiv w:val="1"/>
      <w:marLeft w:val="0"/>
      <w:marRight w:val="0"/>
      <w:marTop w:val="0"/>
      <w:marBottom w:val="0"/>
      <w:divBdr>
        <w:top w:val="none" w:sz="0" w:space="0" w:color="auto"/>
        <w:left w:val="none" w:sz="0" w:space="0" w:color="auto"/>
        <w:bottom w:val="none" w:sz="0" w:space="0" w:color="auto"/>
        <w:right w:val="none" w:sz="0" w:space="0" w:color="auto"/>
      </w:divBdr>
    </w:div>
    <w:div w:id="187452759">
      <w:bodyDiv w:val="1"/>
      <w:marLeft w:val="0"/>
      <w:marRight w:val="0"/>
      <w:marTop w:val="0"/>
      <w:marBottom w:val="0"/>
      <w:divBdr>
        <w:top w:val="none" w:sz="0" w:space="0" w:color="auto"/>
        <w:left w:val="none" w:sz="0" w:space="0" w:color="auto"/>
        <w:bottom w:val="none" w:sz="0" w:space="0" w:color="auto"/>
        <w:right w:val="none" w:sz="0" w:space="0" w:color="auto"/>
      </w:divBdr>
    </w:div>
    <w:div w:id="190654811">
      <w:bodyDiv w:val="1"/>
      <w:marLeft w:val="0"/>
      <w:marRight w:val="0"/>
      <w:marTop w:val="0"/>
      <w:marBottom w:val="0"/>
      <w:divBdr>
        <w:top w:val="none" w:sz="0" w:space="0" w:color="auto"/>
        <w:left w:val="none" w:sz="0" w:space="0" w:color="auto"/>
        <w:bottom w:val="none" w:sz="0" w:space="0" w:color="auto"/>
        <w:right w:val="none" w:sz="0" w:space="0" w:color="auto"/>
      </w:divBdr>
    </w:div>
    <w:div w:id="195118350">
      <w:bodyDiv w:val="1"/>
      <w:marLeft w:val="0"/>
      <w:marRight w:val="0"/>
      <w:marTop w:val="0"/>
      <w:marBottom w:val="0"/>
      <w:divBdr>
        <w:top w:val="none" w:sz="0" w:space="0" w:color="auto"/>
        <w:left w:val="none" w:sz="0" w:space="0" w:color="auto"/>
        <w:bottom w:val="none" w:sz="0" w:space="0" w:color="auto"/>
        <w:right w:val="none" w:sz="0" w:space="0" w:color="auto"/>
      </w:divBdr>
    </w:div>
    <w:div w:id="200018079">
      <w:bodyDiv w:val="1"/>
      <w:marLeft w:val="0"/>
      <w:marRight w:val="0"/>
      <w:marTop w:val="0"/>
      <w:marBottom w:val="0"/>
      <w:divBdr>
        <w:top w:val="none" w:sz="0" w:space="0" w:color="auto"/>
        <w:left w:val="none" w:sz="0" w:space="0" w:color="auto"/>
        <w:bottom w:val="none" w:sz="0" w:space="0" w:color="auto"/>
        <w:right w:val="none" w:sz="0" w:space="0" w:color="auto"/>
      </w:divBdr>
    </w:div>
    <w:div w:id="209004167">
      <w:bodyDiv w:val="1"/>
      <w:marLeft w:val="0"/>
      <w:marRight w:val="0"/>
      <w:marTop w:val="0"/>
      <w:marBottom w:val="0"/>
      <w:divBdr>
        <w:top w:val="none" w:sz="0" w:space="0" w:color="auto"/>
        <w:left w:val="none" w:sz="0" w:space="0" w:color="auto"/>
        <w:bottom w:val="none" w:sz="0" w:space="0" w:color="auto"/>
        <w:right w:val="none" w:sz="0" w:space="0" w:color="auto"/>
      </w:divBdr>
    </w:div>
    <w:div w:id="214316648">
      <w:bodyDiv w:val="1"/>
      <w:marLeft w:val="0"/>
      <w:marRight w:val="0"/>
      <w:marTop w:val="0"/>
      <w:marBottom w:val="0"/>
      <w:divBdr>
        <w:top w:val="none" w:sz="0" w:space="0" w:color="auto"/>
        <w:left w:val="none" w:sz="0" w:space="0" w:color="auto"/>
        <w:bottom w:val="none" w:sz="0" w:space="0" w:color="auto"/>
        <w:right w:val="none" w:sz="0" w:space="0" w:color="auto"/>
      </w:divBdr>
    </w:div>
    <w:div w:id="215121224">
      <w:bodyDiv w:val="1"/>
      <w:marLeft w:val="0"/>
      <w:marRight w:val="0"/>
      <w:marTop w:val="0"/>
      <w:marBottom w:val="0"/>
      <w:divBdr>
        <w:top w:val="none" w:sz="0" w:space="0" w:color="auto"/>
        <w:left w:val="none" w:sz="0" w:space="0" w:color="auto"/>
        <w:bottom w:val="none" w:sz="0" w:space="0" w:color="auto"/>
        <w:right w:val="none" w:sz="0" w:space="0" w:color="auto"/>
      </w:divBdr>
    </w:div>
    <w:div w:id="217864086">
      <w:bodyDiv w:val="1"/>
      <w:marLeft w:val="0"/>
      <w:marRight w:val="0"/>
      <w:marTop w:val="0"/>
      <w:marBottom w:val="0"/>
      <w:divBdr>
        <w:top w:val="none" w:sz="0" w:space="0" w:color="auto"/>
        <w:left w:val="none" w:sz="0" w:space="0" w:color="auto"/>
        <w:bottom w:val="none" w:sz="0" w:space="0" w:color="auto"/>
        <w:right w:val="none" w:sz="0" w:space="0" w:color="auto"/>
      </w:divBdr>
    </w:div>
    <w:div w:id="231895817">
      <w:bodyDiv w:val="1"/>
      <w:marLeft w:val="0"/>
      <w:marRight w:val="0"/>
      <w:marTop w:val="0"/>
      <w:marBottom w:val="0"/>
      <w:divBdr>
        <w:top w:val="none" w:sz="0" w:space="0" w:color="auto"/>
        <w:left w:val="none" w:sz="0" w:space="0" w:color="auto"/>
        <w:bottom w:val="none" w:sz="0" w:space="0" w:color="auto"/>
        <w:right w:val="none" w:sz="0" w:space="0" w:color="auto"/>
      </w:divBdr>
    </w:div>
    <w:div w:id="231935382">
      <w:bodyDiv w:val="1"/>
      <w:marLeft w:val="0"/>
      <w:marRight w:val="0"/>
      <w:marTop w:val="0"/>
      <w:marBottom w:val="0"/>
      <w:divBdr>
        <w:top w:val="none" w:sz="0" w:space="0" w:color="auto"/>
        <w:left w:val="none" w:sz="0" w:space="0" w:color="auto"/>
        <w:bottom w:val="none" w:sz="0" w:space="0" w:color="auto"/>
        <w:right w:val="none" w:sz="0" w:space="0" w:color="auto"/>
      </w:divBdr>
    </w:div>
    <w:div w:id="232858961">
      <w:bodyDiv w:val="1"/>
      <w:marLeft w:val="0"/>
      <w:marRight w:val="0"/>
      <w:marTop w:val="0"/>
      <w:marBottom w:val="0"/>
      <w:divBdr>
        <w:top w:val="none" w:sz="0" w:space="0" w:color="auto"/>
        <w:left w:val="none" w:sz="0" w:space="0" w:color="auto"/>
        <w:bottom w:val="none" w:sz="0" w:space="0" w:color="auto"/>
        <w:right w:val="none" w:sz="0" w:space="0" w:color="auto"/>
      </w:divBdr>
    </w:div>
    <w:div w:id="236748262">
      <w:bodyDiv w:val="1"/>
      <w:marLeft w:val="0"/>
      <w:marRight w:val="0"/>
      <w:marTop w:val="0"/>
      <w:marBottom w:val="0"/>
      <w:divBdr>
        <w:top w:val="none" w:sz="0" w:space="0" w:color="auto"/>
        <w:left w:val="none" w:sz="0" w:space="0" w:color="auto"/>
        <w:bottom w:val="none" w:sz="0" w:space="0" w:color="auto"/>
        <w:right w:val="none" w:sz="0" w:space="0" w:color="auto"/>
      </w:divBdr>
    </w:div>
    <w:div w:id="252133305">
      <w:bodyDiv w:val="1"/>
      <w:marLeft w:val="0"/>
      <w:marRight w:val="0"/>
      <w:marTop w:val="0"/>
      <w:marBottom w:val="0"/>
      <w:divBdr>
        <w:top w:val="none" w:sz="0" w:space="0" w:color="auto"/>
        <w:left w:val="none" w:sz="0" w:space="0" w:color="auto"/>
        <w:bottom w:val="none" w:sz="0" w:space="0" w:color="auto"/>
        <w:right w:val="none" w:sz="0" w:space="0" w:color="auto"/>
      </w:divBdr>
    </w:div>
    <w:div w:id="263612334">
      <w:bodyDiv w:val="1"/>
      <w:marLeft w:val="0"/>
      <w:marRight w:val="0"/>
      <w:marTop w:val="0"/>
      <w:marBottom w:val="0"/>
      <w:divBdr>
        <w:top w:val="none" w:sz="0" w:space="0" w:color="auto"/>
        <w:left w:val="none" w:sz="0" w:space="0" w:color="auto"/>
        <w:bottom w:val="none" w:sz="0" w:space="0" w:color="auto"/>
        <w:right w:val="none" w:sz="0" w:space="0" w:color="auto"/>
      </w:divBdr>
    </w:div>
    <w:div w:id="264044690">
      <w:bodyDiv w:val="1"/>
      <w:marLeft w:val="0"/>
      <w:marRight w:val="0"/>
      <w:marTop w:val="0"/>
      <w:marBottom w:val="0"/>
      <w:divBdr>
        <w:top w:val="none" w:sz="0" w:space="0" w:color="auto"/>
        <w:left w:val="none" w:sz="0" w:space="0" w:color="auto"/>
        <w:bottom w:val="none" w:sz="0" w:space="0" w:color="auto"/>
        <w:right w:val="none" w:sz="0" w:space="0" w:color="auto"/>
      </w:divBdr>
    </w:div>
    <w:div w:id="273481742">
      <w:bodyDiv w:val="1"/>
      <w:marLeft w:val="0"/>
      <w:marRight w:val="0"/>
      <w:marTop w:val="0"/>
      <w:marBottom w:val="0"/>
      <w:divBdr>
        <w:top w:val="none" w:sz="0" w:space="0" w:color="auto"/>
        <w:left w:val="none" w:sz="0" w:space="0" w:color="auto"/>
        <w:bottom w:val="none" w:sz="0" w:space="0" w:color="auto"/>
        <w:right w:val="none" w:sz="0" w:space="0" w:color="auto"/>
      </w:divBdr>
    </w:div>
    <w:div w:id="276178923">
      <w:bodyDiv w:val="1"/>
      <w:marLeft w:val="0"/>
      <w:marRight w:val="0"/>
      <w:marTop w:val="0"/>
      <w:marBottom w:val="0"/>
      <w:divBdr>
        <w:top w:val="none" w:sz="0" w:space="0" w:color="auto"/>
        <w:left w:val="none" w:sz="0" w:space="0" w:color="auto"/>
        <w:bottom w:val="none" w:sz="0" w:space="0" w:color="auto"/>
        <w:right w:val="none" w:sz="0" w:space="0" w:color="auto"/>
      </w:divBdr>
    </w:div>
    <w:div w:id="281420191">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713063">
      <w:bodyDiv w:val="1"/>
      <w:marLeft w:val="0"/>
      <w:marRight w:val="0"/>
      <w:marTop w:val="0"/>
      <w:marBottom w:val="0"/>
      <w:divBdr>
        <w:top w:val="none" w:sz="0" w:space="0" w:color="auto"/>
        <w:left w:val="none" w:sz="0" w:space="0" w:color="auto"/>
        <w:bottom w:val="none" w:sz="0" w:space="0" w:color="auto"/>
        <w:right w:val="none" w:sz="0" w:space="0" w:color="auto"/>
      </w:divBdr>
    </w:div>
    <w:div w:id="299070174">
      <w:bodyDiv w:val="1"/>
      <w:marLeft w:val="0"/>
      <w:marRight w:val="0"/>
      <w:marTop w:val="0"/>
      <w:marBottom w:val="0"/>
      <w:divBdr>
        <w:top w:val="none" w:sz="0" w:space="0" w:color="auto"/>
        <w:left w:val="none" w:sz="0" w:space="0" w:color="auto"/>
        <w:bottom w:val="none" w:sz="0" w:space="0" w:color="auto"/>
        <w:right w:val="none" w:sz="0" w:space="0" w:color="auto"/>
      </w:divBdr>
    </w:div>
    <w:div w:id="308049218">
      <w:bodyDiv w:val="1"/>
      <w:marLeft w:val="0"/>
      <w:marRight w:val="0"/>
      <w:marTop w:val="0"/>
      <w:marBottom w:val="0"/>
      <w:divBdr>
        <w:top w:val="none" w:sz="0" w:space="0" w:color="auto"/>
        <w:left w:val="none" w:sz="0" w:space="0" w:color="auto"/>
        <w:bottom w:val="none" w:sz="0" w:space="0" w:color="auto"/>
        <w:right w:val="none" w:sz="0" w:space="0" w:color="auto"/>
      </w:divBdr>
    </w:div>
    <w:div w:id="309209806">
      <w:bodyDiv w:val="1"/>
      <w:marLeft w:val="0"/>
      <w:marRight w:val="0"/>
      <w:marTop w:val="0"/>
      <w:marBottom w:val="0"/>
      <w:divBdr>
        <w:top w:val="none" w:sz="0" w:space="0" w:color="auto"/>
        <w:left w:val="none" w:sz="0" w:space="0" w:color="auto"/>
        <w:bottom w:val="none" w:sz="0" w:space="0" w:color="auto"/>
        <w:right w:val="none" w:sz="0" w:space="0" w:color="auto"/>
      </w:divBdr>
    </w:div>
    <w:div w:id="317999010">
      <w:bodyDiv w:val="1"/>
      <w:marLeft w:val="0"/>
      <w:marRight w:val="0"/>
      <w:marTop w:val="0"/>
      <w:marBottom w:val="0"/>
      <w:divBdr>
        <w:top w:val="none" w:sz="0" w:space="0" w:color="auto"/>
        <w:left w:val="none" w:sz="0" w:space="0" w:color="auto"/>
        <w:bottom w:val="none" w:sz="0" w:space="0" w:color="auto"/>
        <w:right w:val="none" w:sz="0" w:space="0" w:color="auto"/>
      </w:divBdr>
    </w:div>
    <w:div w:id="319384905">
      <w:bodyDiv w:val="1"/>
      <w:marLeft w:val="0"/>
      <w:marRight w:val="0"/>
      <w:marTop w:val="0"/>
      <w:marBottom w:val="0"/>
      <w:divBdr>
        <w:top w:val="none" w:sz="0" w:space="0" w:color="auto"/>
        <w:left w:val="none" w:sz="0" w:space="0" w:color="auto"/>
        <w:bottom w:val="none" w:sz="0" w:space="0" w:color="auto"/>
        <w:right w:val="none" w:sz="0" w:space="0" w:color="auto"/>
      </w:divBdr>
    </w:div>
    <w:div w:id="337192990">
      <w:bodyDiv w:val="1"/>
      <w:marLeft w:val="0"/>
      <w:marRight w:val="0"/>
      <w:marTop w:val="0"/>
      <w:marBottom w:val="0"/>
      <w:divBdr>
        <w:top w:val="none" w:sz="0" w:space="0" w:color="auto"/>
        <w:left w:val="none" w:sz="0" w:space="0" w:color="auto"/>
        <w:bottom w:val="none" w:sz="0" w:space="0" w:color="auto"/>
        <w:right w:val="none" w:sz="0" w:space="0" w:color="auto"/>
      </w:divBdr>
    </w:div>
    <w:div w:id="348026805">
      <w:bodyDiv w:val="1"/>
      <w:marLeft w:val="0"/>
      <w:marRight w:val="0"/>
      <w:marTop w:val="0"/>
      <w:marBottom w:val="0"/>
      <w:divBdr>
        <w:top w:val="none" w:sz="0" w:space="0" w:color="auto"/>
        <w:left w:val="none" w:sz="0" w:space="0" w:color="auto"/>
        <w:bottom w:val="none" w:sz="0" w:space="0" w:color="auto"/>
        <w:right w:val="none" w:sz="0" w:space="0" w:color="auto"/>
      </w:divBdr>
    </w:div>
    <w:div w:id="349264273">
      <w:bodyDiv w:val="1"/>
      <w:marLeft w:val="0"/>
      <w:marRight w:val="0"/>
      <w:marTop w:val="0"/>
      <w:marBottom w:val="0"/>
      <w:divBdr>
        <w:top w:val="none" w:sz="0" w:space="0" w:color="auto"/>
        <w:left w:val="none" w:sz="0" w:space="0" w:color="auto"/>
        <w:bottom w:val="none" w:sz="0" w:space="0" w:color="auto"/>
        <w:right w:val="none" w:sz="0" w:space="0" w:color="auto"/>
      </w:divBdr>
    </w:div>
    <w:div w:id="352268840">
      <w:bodyDiv w:val="1"/>
      <w:marLeft w:val="0"/>
      <w:marRight w:val="0"/>
      <w:marTop w:val="0"/>
      <w:marBottom w:val="0"/>
      <w:divBdr>
        <w:top w:val="none" w:sz="0" w:space="0" w:color="auto"/>
        <w:left w:val="none" w:sz="0" w:space="0" w:color="auto"/>
        <w:bottom w:val="none" w:sz="0" w:space="0" w:color="auto"/>
        <w:right w:val="none" w:sz="0" w:space="0" w:color="auto"/>
      </w:divBdr>
    </w:div>
    <w:div w:id="356854782">
      <w:bodyDiv w:val="1"/>
      <w:marLeft w:val="0"/>
      <w:marRight w:val="0"/>
      <w:marTop w:val="0"/>
      <w:marBottom w:val="0"/>
      <w:divBdr>
        <w:top w:val="none" w:sz="0" w:space="0" w:color="auto"/>
        <w:left w:val="none" w:sz="0" w:space="0" w:color="auto"/>
        <w:bottom w:val="none" w:sz="0" w:space="0" w:color="auto"/>
        <w:right w:val="none" w:sz="0" w:space="0" w:color="auto"/>
      </w:divBdr>
    </w:div>
    <w:div w:id="370888793">
      <w:bodyDiv w:val="1"/>
      <w:marLeft w:val="0"/>
      <w:marRight w:val="0"/>
      <w:marTop w:val="0"/>
      <w:marBottom w:val="0"/>
      <w:divBdr>
        <w:top w:val="none" w:sz="0" w:space="0" w:color="auto"/>
        <w:left w:val="none" w:sz="0" w:space="0" w:color="auto"/>
        <w:bottom w:val="none" w:sz="0" w:space="0" w:color="auto"/>
        <w:right w:val="none" w:sz="0" w:space="0" w:color="auto"/>
      </w:divBdr>
    </w:div>
    <w:div w:id="372191611">
      <w:bodyDiv w:val="1"/>
      <w:marLeft w:val="0"/>
      <w:marRight w:val="0"/>
      <w:marTop w:val="0"/>
      <w:marBottom w:val="0"/>
      <w:divBdr>
        <w:top w:val="none" w:sz="0" w:space="0" w:color="auto"/>
        <w:left w:val="none" w:sz="0" w:space="0" w:color="auto"/>
        <w:bottom w:val="none" w:sz="0" w:space="0" w:color="auto"/>
        <w:right w:val="none" w:sz="0" w:space="0" w:color="auto"/>
      </w:divBdr>
    </w:div>
    <w:div w:id="379592962">
      <w:bodyDiv w:val="1"/>
      <w:marLeft w:val="0"/>
      <w:marRight w:val="0"/>
      <w:marTop w:val="0"/>
      <w:marBottom w:val="0"/>
      <w:divBdr>
        <w:top w:val="none" w:sz="0" w:space="0" w:color="auto"/>
        <w:left w:val="none" w:sz="0" w:space="0" w:color="auto"/>
        <w:bottom w:val="none" w:sz="0" w:space="0" w:color="auto"/>
        <w:right w:val="none" w:sz="0" w:space="0" w:color="auto"/>
      </w:divBdr>
    </w:div>
    <w:div w:id="380712667">
      <w:bodyDiv w:val="1"/>
      <w:marLeft w:val="0"/>
      <w:marRight w:val="0"/>
      <w:marTop w:val="0"/>
      <w:marBottom w:val="0"/>
      <w:divBdr>
        <w:top w:val="none" w:sz="0" w:space="0" w:color="auto"/>
        <w:left w:val="none" w:sz="0" w:space="0" w:color="auto"/>
        <w:bottom w:val="none" w:sz="0" w:space="0" w:color="auto"/>
        <w:right w:val="none" w:sz="0" w:space="0" w:color="auto"/>
      </w:divBdr>
    </w:div>
    <w:div w:id="384447858">
      <w:bodyDiv w:val="1"/>
      <w:marLeft w:val="0"/>
      <w:marRight w:val="0"/>
      <w:marTop w:val="0"/>
      <w:marBottom w:val="0"/>
      <w:divBdr>
        <w:top w:val="none" w:sz="0" w:space="0" w:color="auto"/>
        <w:left w:val="none" w:sz="0" w:space="0" w:color="auto"/>
        <w:bottom w:val="none" w:sz="0" w:space="0" w:color="auto"/>
        <w:right w:val="none" w:sz="0" w:space="0" w:color="auto"/>
      </w:divBdr>
    </w:div>
    <w:div w:id="384645180">
      <w:bodyDiv w:val="1"/>
      <w:marLeft w:val="0"/>
      <w:marRight w:val="0"/>
      <w:marTop w:val="0"/>
      <w:marBottom w:val="0"/>
      <w:divBdr>
        <w:top w:val="none" w:sz="0" w:space="0" w:color="auto"/>
        <w:left w:val="none" w:sz="0" w:space="0" w:color="auto"/>
        <w:bottom w:val="none" w:sz="0" w:space="0" w:color="auto"/>
        <w:right w:val="none" w:sz="0" w:space="0" w:color="auto"/>
      </w:divBdr>
    </w:div>
    <w:div w:id="402795355">
      <w:bodyDiv w:val="1"/>
      <w:marLeft w:val="0"/>
      <w:marRight w:val="0"/>
      <w:marTop w:val="0"/>
      <w:marBottom w:val="0"/>
      <w:divBdr>
        <w:top w:val="none" w:sz="0" w:space="0" w:color="auto"/>
        <w:left w:val="none" w:sz="0" w:space="0" w:color="auto"/>
        <w:bottom w:val="none" w:sz="0" w:space="0" w:color="auto"/>
        <w:right w:val="none" w:sz="0" w:space="0" w:color="auto"/>
      </w:divBdr>
    </w:div>
    <w:div w:id="419719132">
      <w:bodyDiv w:val="1"/>
      <w:marLeft w:val="0"/>
      <w:marRight w:val="0"/>
      <w:marTop w:val="0"/>
      <w:marBottom w:val="0"/>
      <w:divBdr>
        <w:top w:val="none" w:sz="0" w:space="0" w:color="auto"/>
        <w:left w:val="none" w:sz="0" w:space="0" w:color="auto"/>
        <w:bottom w:val="none" w:sz="0" w:space="0" w:color="auto"/>
        <w:right w:val="none" w:sz="0" w:space="0" w:color="auto"/>
      </w:divBdr>
    </w:div>
    <w:div w:id="420488665">
      <w:bodyDiv w:val="1"/>
      <w:marLeft w:val="0"/>
      <w:marRight w:val="0"/>
      <w:marTop w:val="0"/>
      <w:marBottom w:val="0"/>
      <w:divBdr>
        <w:top w:val="none" w:sz="0" w:space="0" w:color="auto"/>
        <w:left w:val="none" w:sz="0" w:space="0" w:color="auto"/>
        <w:bottom w:val="none" w:sz="0" w:space="0" w:color="auto"/>
        <w:right w:val="none" w:sz="0" w:space="0" w:color="auto"/>
      </w:divBdr>
    </w:div>
    <w:div w:id="423913758">
      <w:bodyDiv w:val="1"/>
      <w:marLeft w:val="0"/>
      <w:marRight w:val="0"/>
      <w:marTop w:val="0"/>
      <w:marBottom w:val="0"/>
      <w:divBdr>
        <w:top w:val="none" w:sz="0" w:space="0" w:color="auto"/>
        <w:left w:val="none" w:sz="0" w:space="0" w:color="auto"/>
        <w:bottom w:val="none" w:sz="0" w:space="0" w:color="auto"/>
        <w:right w:val="none" w:sz="0" w:space="0" w:color="auto"/>
      </w:divBdr>
    </w:div>
    <w:div w:id="430780500">
      <w:bodyDiv w:val="1"/>
      <w:marLeft w:val="0"/>
      <w:marRight w:val="0"/>
      <w:marTop w:val="0"/>
      <w:marBottom w:val="0"/>
      <w:divBdr>
        <w:top w:val="none" w:sz="0" w:space="0" w:color="auto"/>
        <w:left w:val="none" w:sz="0" w:space="0" w:color="auto"/>
        <w:bottom w:val="none" w:sz="0" w:space="0" w:color="auto"/>
        <w:right w:val="none" w:sz="0" w:space="0" w:color="auto"/>
      </w:divBdr>
    </w:div>
    <w:div w:id="436298075">
      <w:bodyDiv w:val="1"/>
      <w:marLeft w:val="0"/>
      <w:marRight w:val="0"/>
      <w:marTop w:val="0"/>
      <w:marBottom w:val="0"/>
      <w:divBdr>
        <w:top w:val="none" w:sz="0" w:space="0" w:color="auto"/>
        <w:left w:val="none" w:sz="0" w:space="0" w:color="auto"/>
        <w:bottom w:val="none" w:sz="0" w:space="0" w:color="auto"/>
        <w:right w:val="none" w:sz="0" w:space="0" w:color="auto"/>
      </w:divBdr>
    </w:div>
    <w:div w:id="443234998">
      <w:bodyDiv w:val="1"/>
      <w:marLeft w:val="0"/>
      <w:marRight w:val="0"/>
      <w:marTop w:val="0"/>
      <w:marBottom w:val="0"/>
      <w:divBdr>
        <w:top w:val="none" w:sz="0" w:space="0" w:color="auto"/>
        <w:left w:val="none" w:sz="0" w:space="0" w:color="auto"/>
        <w:bottom w:val="none" w:sz="0" w:space="0" w:color="auto"/>
        <w:right w:val="none" w:sz="0" w:space="0" w:color="auto"/>
      </w:divBdr>
    </w:div>
    <w:div w:id="455828760">
      <w:bodyDiv w:val="1"/>
      <w:marLeft w:val="0"/>
      <w:marRight w:val="0"/>
      <w:marTop w:val="0"/>
      <w:marBottom w:val="0"/>
      <w:divBdr>
        <w:top w:val="none" w:sz="0" w:space="0" w:color="auto"/>
        <w:left w:val="none" w:sz="0" w:space="0" w:color="auto"/>
        <w:bottom w:val="none" w:sz="0" w:space="0" w:color="auto"/>
        <w:right w:val="none" w:sz="0" w:space="0" w:color="auto"/>
      </w:divBdr>
    </w:div>
    <w:div w:id="456263884">
      <w:bodyDiv w:val="1"/>
      <w:marLeft w:val="0"/>
      <w:marRight w:val="0"/>
      <w:marTop w:val="0"/>
      <w:marBottom w:val="0"/>
      <w:divBdr>
        <w:top w:val="none" w:sz="0" w:space="0" w:color="auto"/>
        <w:left w:val="none" w:sz="0" w:space="0" w:color="auto"/>
        <w:bottom w:val="none" w:sz="0" w:space="0" w:color="auto"/>
        <w:right w:val="none" w:sz="0" w:space="0" w:color="auto"/>
      </w:divBdr>
    </w:div>
    <w:div w:id="456337847">
      <w:bodyDiv w:val="1"/>
      <w:marLeft w:val="0"/>
      <w:marRight w:val="0"/>
      <w:marTop w:val="0"/>
      <w:marBottom w:val="0"/>
      <w:divBdr>
        <w:top w:val="none" w:sz="0" w:space="0" w:color="auto"/>
        <w:left w:val="none" w:sz="0" w:space="0" w:color="auto"/>
        <w:bottom w:val="none" w:sz="0" w:space="0" w:color="auto"/>
        <w:right w:val="none" w:sz="0" w:space="0" w:color="auto"/>
      </w:divBdr>
    </w:div>
    <w:div w:id="456996515">
      <w:bodyDiv w:val="1"/>
      <w:marLeft w:val="0"/>
      <w:marRight w:val="0"/>
      <w:marTop w:val="0"/>
      <w:marBottom w:val="0"/>
      <w:divBdr>
        <w:top w:val="none" w:sz="0" w:space="0" w:color="auto"/>
        <w:left w:val="none" w:sz="0" w:space="0" w:color="auto"/>
        <w:bottom w:val="none" w:sz="0" w:space="0" w:color="auto"/>
        <w:right w:val="none" w:sz="0" w:space="0" w:color="auto"/>
      </w:divBdr>
    </w:div>
    <w:div w:id="458456160">
      <w:bodyDiv w:val="1"/>
      <w:marLeft w:val="0"/>
      <w:marRight w:val="0"/>
      <w:marTop w:val="0"/>
      <w:marBottom w:val="0"/>
      <w:divBdr>
        <w:top w:val="none" w:sz="0" w:space="0" w:color="auto"/>
        <w:left w:val="none" w:sz="0" w:space="0" w:color="auto"/>
        <w:bottom w:val="none" w:sz="0" w:space="0" w:color="auto"/>
        <w:right w:val="none" w:sz="0" w:space="0" w:color="auto"/>
      </w:divBdr>
    </w:div>
    <w:div w:id="462847019">
      <w:bodyDiv w:val="1"/>
      <w:marLeft w:val="0"/>
      <w:marRight w:val="0"/>
      <w:marTop w:val="0"/>
      <w:marBottom w:val="0"/>
      <w:divBdr>
        <w:top w:val="none" w:sz="0" w:space="0" w:color="auto"/>
        <w:left w:val="none" w:sz="0" w:space="0" w:color="auto"/>
        <w:bottom w:val="none" w:sz="0" w:space="0" w:color="auto"/>
        <w:right w:val="none" w:sz="0" w:space="0" w:color="auto"/>
      </w:divBdr>
    </w:div>
    <w:div w:id="469635782">
      <w:bodyDiv w:val="1"/>
      <w:marLeft w:val="0"/>
      <w:marRight w:val="0"/>
      <w:marTop w:val="0"/>
      <w:marBottom w:val="0"/>
      <w:divBdr>
        <w:top w:val="none" w:sz="0" w:space="0" w:color="auto"/>
        <w:left w:val="none" w:sz="0" w:space="0" w:color="auto"/>
        <w:bottom w:val="none" w:sz="0" w:space="0" w:color="auto"/>
        <w:right w:val="none" w:sz="0" w:space="0" w:color="auto"/>
      </w:divBdr>
    </w:div>
    <w:div w:id="471946739">
      <w:bodyDiv w:val="1"/>
      <w:marLeft w:val="0"/>
      <w:marRight w:val="0"/>
      <w:marTop w:val="0"/>
      <w:marBottom w:val="0"/>
      <w:divBdr>
        <w:top w:val="none" w:sz="0" w:space="0" w:color="auto"/>
        <w:left w:val="none" w:sz="0" w:space="0" w:color="auto"/>
        <w:bottom w:val="none" w:sz="0" w:space="0" w:color="auto"/>
        <w:right w:val="none" w:sz="0" w:space="0" w:color="auto"/>
      </w:divBdr>
    </w:div>
    <w:div w:id="477652175">
      <w:bodyDiv w:val="1"/>
      <w:marLeft w:val="0"/>
      <w:marRight w:val="0"/>
      <w:marTop w:val="0"/>
      <w:marBottom w:val="0"/>
      <w:divBdr>
        <w:top w:val="none" w:sz="0" w:space="0" w:color="auto"/>
        <w:left w:val="none" w:sz="0" w:space="0" w:color="auto"/>
        <w:bottom w:val="none" w:sz="0" w:space="0" w:color="auto"/>
        <w:right w:val="none" w:sz="0" w:space="0" w:color="auto"/>
      </w:divBdr>
    </w:div>
    <w:div w:id="492066318">
      <w:bodyDiv w:val="1"/>
      <w:marLeft w:val="0"/>
      <w:marRight w:val="0"/>
      <w:marTop w:val="0"/>
      <w:marBottom w:val="0"/>
      <w:divBdr>
        <w:top w:val="none" w:sz="0" w:space="0" w:color="auto"/>
        <w:left w:val="none" w:sz="0" w:space="0" w:color="auto"/>
        <w:bottom w:val="none" w:sz="0" w:space="0" w:color="auto"/>
        <w:right w:val="none" w:sz="0" w:space="0" w:color="auto"/>
      </w:divBdr>
    </w:div>
    <w:div w:id="499738749">
      <w:bodyDiv w:val="1"/>
      <w:marLeft w:val="0"/>
      <w:marRight w:val="0"/>
      <w:marTop w:val="0"/>
      <w:marBottom w:val="0"/>
      <w:divBdr>
        <w:top w:val="none" w:sz="0" w:space="0" w:color="auto"/>
        <w:left w:val="none" w:sz="0" w:space="0" w:color="auto"/>
        <w:bottom w:val="none" w:sz="0" w:space="0" w:color="auto"/>
        <w:right w:val="none" w:sz="0" w:space="0" w:color="auto"/>
      </w:divBdr>
    </w:div>
    <w:div w:id="507134572">
      <w:bodyDiv w:val="1"/>
      <w:marLeft w:val="0"/>
      <w:marRight w:val="0"/>
      <w:marTop w:val="0"/>
      <w:marBottom w:val="0"/>
      <w:divBdr>
        <w:top w:val="none" w:sz="0" w:space="0" w:color="auto"/>
        <w:left w:val="none" w:sz="0" w:space="0" w:color="auto"/>
        <w:bottom w:val="none" w:sz="0" w:space="0" w:color="auto"/>
        <w:right w:val="none" w:sz="0" w:space="0" w:color="auto"/>
      </w:divBdr>
    </w:div>
    <w:div w:id="510531226">
      <w:bodyDiv w:val="1"/>
      <w:marLeft w:val="0"/>
      <w:marRight w:val="0"/>
      <w:marTop w:val="0"/>
      <w:marBottom w:val="0"/>
      <w:divBdr>
        <w:top w:val="none" w:sz="0" w:space="0" w:color="auto"/>
        <w:left w:val="none" w:sz="0" w:space="0" w:color="auto"/>
        <w:bottom w:val="none" w:sz="0" w:space="0" w:color="auto"/>
        <w:right w:val="none" w:sz="0" w:space="0" w:color="auto"/>
      </w:divBdr>
    </w:div>
    <w:div w:id="510604623">
      <w:bodyDiv w:val="1"/>
      <w:marLeft w:val="0"/>
      <w:marRight w:val="0"/>
      <w:marTop w:val="0"/>
      <w:marBottom w:val="0"/>
      <w:divBdr>
        <w:top w:val="none" w:sz="0" w:space="0" w:color="auto"/>
        <w:left w:val="none" w:sz="0" w:space="0" w:color="auto"/>
        <w:bottom w:val="none" w:sz="0" w:space="0" w:color="auto"/>
        <w:right w:val="none" w:sz="0" w:space="0" w:color="auto"/>
      </w:divBdr>
    </w:div>
    <w:div w:id="513962302">
      <w:bodyDiv w:val="1"/>
      <w:marLeft w:val="0"/>
      <w:marRight w:val="0"/>
      <w:marTop w:val="0"/>
      <w:marBottom w:val="0"/>
      <w:divBdr>
        <w:top w:val="none" w:sz="0" w:space="0" w:color="auto"/>
        <w:left w:val="none" w:sz="0" w:space="0" w:color="auto"/>
        <w:bottom w:val="none" w:sz="0" w:space="0" w:color="auto"/>
        <w:right w:val="none" w:sz="0" w:space="0" w:color="auto"/>
      </w:divBdr>
    </w:div>
    <w:div w:id="516775943">
      <w:bodyDiv w:val="1"/>
      <w:marLeft w:val="0"/>
      <w:marRight w:val="0"/>
      <w:marTop w:val="0"/>
      <w:marBottom w:val="0"/>
      <w:divBdr>
        <w:top w:val="none" w:sz="0" w:space="0" w:color="auto"/>
        <w:left w:val="none" w:sz="0" w:space="0" w:color="auto"/>
        <w:bottom w:val="none" w:sz="0" w:space="0" w:color="auto"/>
        <w:right w:val="none" w:sz="0" w:space="0" w:color="auto"/>
      </w:divBdr>
    </w:div>
    <w:div w:id="523637941">
      <w:bodyDiv w:val="1"/>
      <w:marLeft w:val="0"/>
      <w:marRight w:val="0"/>
      <w:marTop w:val="0"/>
      <w:marBottom w:val="0"/>
      <w:divBdr>
        <w:top w:val="none" w:sz="0" w:space="0" w:color="auto"/>
        <w:left w:val="none" w:sz="0" w:space="0" w:color="auto"/>
        <w:bottom w:val="none" w:sz="0" w:space="0" w:color="auto"/>
        <w:right w:val="none" w:sz="0" w:space="0" w:color="auto"/>
      </w:divBdr>
    </w:div>
    <w:div w:id="523835224">
      <w:bodyDiv w:val="1"/>
      <w:marLeft w:val="0"/>
      <w:marRight w:val="0"/>
      <w:marTop w:val="0"/>
      <w:marBottom w:val="0"/>
      <w:divBdr>
        <w:top w:val="none" w:sz="0" w:space="0" w:color="auto"/>
        <w:left w:val="none" w:sz="0" w:space="0" w:color="auto"/>
        <w:bottom w:val="none" w:sz="0" w:space="0" w:color="auto"/>
        <w:right w:val="none" w:sz="0" w:space="0" w:color="auto"/>
      </w:divBdr>
    </w:div>
    <w:div w:id="523982321">
      <w:bodyDiv w:val="1"/>
      <w:marLeft w:val="0"/>
      <w:marRight w:val="0"/>
      <w:marTop w:val="0"/>
      <w:marBottom w:val="0"/>
      <w:divBdr>
        <w:top w:val="none" w:sz="0" w:space="0" w:color="auto"/>
        <w:left w:val="none" w:sz="0" w:space="0" w:color="auto"/>
        <w:bottom w:val="none" w:sz="0" w:space="0" w:color="auto"/>
        <w:right w:val="none" w:sz="0" w:space="0" w:color="auto"/>
      </w:divBdr>
    </w:div>
    <w:div w:id="526406469">
      <w:bodyDiv w:val="1"/>
      <w:marLeft w:val="0"/>
      <w:marRight w:val="0"/>
      <w:marTop w:val="0"/>
      <w:marBottom w:val="0"/>
      <w:divBdr>
        <w:top w:val="none" w:sz="0" w:space="0" w:color="auto"/>
        <w:left w:val="none" w:sz="0" w:space="0" w:color="auto"/>
        <w:bottom w:val="none" w:sz="0" w:space="0" w:color="auto"/>
        <w:right w:val="none" w:sz="0" w:space="0" w:color="auto"/>
      </w:divBdr>
    </w:div>
    <w:div w:id="526989788">
      <w:bodyDiv w:val="1"/>
      <w:marLeft w:val="0"/>
      <w:marRight w:val="0"/>
      <w:marTop w:val="0"/>
      <w:marBottom w:val="0"/>
      <w:divBdr>
        <w:top w:val="none" w:sz="0" w:space="0" w:color="auto"/>
        <w:left w:val="none" w:sz="0" w:space="0" w:color="auto"/>
        <w:bottom w:val="none" w:sz="0" w:space="0" w:color="auto"/>
        <w:right w:val="none" w:sz="0" w:space="0" w:color="auto"/>
      </w:divBdr>
    </w:div>
    <w:div w:id="527643580">
      <w:bodyDiv w:val="1"/>
      <w:marLeft w:val="0"/>
      <w:marRight w:val="0"/>
      <w:marTop w:val="0"/>
      <w:marBottom w:val="0"/>
      <w:divBdr>
        <w:top w:val="none" w:sz="0" w:space="0" w:color="auto"/>
        <w:left w:val="none" w:sz="0" w:space="0" w:color="auto"/>
        <w:bottom w:val="none" w:sz="0" w:space="0" w:color="auto"/>
        <w:right w:val="none" w:sz="0" w:space="0" w:color="auto"/>
      </w:divBdr>
    </w:div>
    <w:div w:id="552354161">
      <w:bodyDiv w:val="1"/>
      <w:marLeft w:val="0"/>
      <w:marRight w:val="0"/>
      <w:marTop w:val="0"/>
      <w:marBottom w:val="0"/>
      <w:divBdr>
        <w:top w:val="none" w:sz="0" w:space="0" w:color="auto"/>
        <w:left w:val="none" w:sz="0" w:space="0" w:color="auto"/>
        <w:bottom w:val="none" w:sz="0" w:space="0" w:color="auto"/>
        <w:right w:val="none" w:sz="0" w:space="0" w:color="auto"/>
      </w:divBdr>
    </w:div>
    <w:div w:id="559169222">
      <w:bodyDiv w:val="1"/>
      <w:marLeft w:val="0"/>
      <w:marRight w:val="0"/>
      <w:marTop w:val="0"/>
      <w:marBottom w:val="0"/>
      <w:divBdr>
        <w:top w:val="none" w:sz="0" w:space="0" w:color="auto"/>
        <w:left w:val="none" w:sz="0" w:space="0" w:color="auto"/>
        <w:bottom w:val="none" w:sz="0" w:space="0" w:color="auto"/>
        <w:right w:val="none" w:sz="0" w:space="0" w:color="auto"/>
      </w:divBdr>
    </w:div>
    <w:div w:id="580216836">
      <w:bodyDiv w:val="1"/>
      <w:marLeft w:val="0"/>
      <w:marRight w:val="0"/>
      <w:marTop w:val="0"/>
      <w:marBottom w:val="0"/>
      <w:divBdr>
        <w:top w:val="none" w:sz="0" w:space="0" w:color="auto"/>
        <w:left w:val="none" w:sz="0" w:space="0" w:color="auto"/>
        <w:bottom w:val="none" w:sz="0" w:space="0" w:color="auto"/>
        <w:right w:val="none" w:sz="0" w:space="0" w:color="auto"/>
      </w:divBdr>
    </w:div>
    <w:div w:id="586185246">
      <w:bodyDiv w:val="1"/>
      <w:marLeft w:val="0"/>
      <w:marRight w:val="0"/>
      <w:marTop w:val="0"/>
      <w:marBottom w:val="0"/>
      <w:divBdr>
        <w:top w:val="none" w:sz="0" w:space="0" w:color="auto"/>
        <w:left w:val="none" w:sz="0" w:space="0" w:color="auto"/>
        <w:bottom w:val="none" w:sz="0" w:space="0" w:color="auto"/>
        <w:right w:val="none" w:sz="0" w:space="0" w:color="auto"/>
      </w:divBdr>
    </w:div>
    <w:div w:id="596136654">
      <w:bodyDiv w:val="1"/>
      <w:marLeft w:val="0"/>
      <w:marRight w:val="0"/>
      <w:marTop w:val="0"/>
      <w:marBottom w:val="0"/>
      <w:divBdr>
        <w:top w:val="none" w:sz="0" w:space="0" w:color="auto"/>
        <w:left w:val="none" w:sz="0" w:space="0" w:color="auto"/>
        <w:bottom w:val="none" w:sz="0" w:space="0" w:color="auto"/>
        <w:right w:val="none" w:sz="0" w:space="0" w:color="auto"/>
      </w:divBdr>
    </w:div>
    <w:div w:id="600188206">
      <w:bodyDiv w:val="1"/>
      <w:marLeft w:val="0"/>
      <w:marRight w:val="0"/>
      <w:marTop w:val="0"/>
      <w:marBottom w:val="0"/>
      <w:divBdr>
        <w:top w:val="none" w:sz="0" w:space="0" w:color="auto"/>
        <w:left w:val="none" w:sz="0" w:space="0" w:color="auto"/>
        <w:bottom w:val="none" w:sz="0" w:space="0" w:color="auto"/>
        <w:right w:val="none" w:sz="0" w:space="0" w:color="auto"/>
      </w:divBdr>
    </w:div>
    <w:div w:id="627122321">
      <w:bodyDiv w:val="1"/>
      <w:marLeft w:val="0"/>
      <w:marRight w:val="0"/>
      <w:marTop w:val="0"/>
      <w:marBottom w:val="0"/>
      <w:divBdr>
        <w:top w:val="none" w:sz="0" w:space="0" w:color="auto"/>
        <w:left w:val="none" w:sz="0" w:space="0" w:color="auto"/>
        <w:bottom w:val="none" w:sz="0" w:space="0" w:color="auto"/>
        <w:right w:val="none" w:sz="0" w:space="0" w:color="auto"/>
      </w:divBdr>
    </w:div>
    <w:div w:id="636036966">
      <w:bodyDiv w:val="1"/>
      <w:marLeft w:val="0"/>
      <w:marRight w:val="0"/>
      <w:marTop w:val="0"/>
      <w:marBottom w:val="0"/>
      <w:divBdr>
        <w:top w:val="none" w:sz="0" w:space="0" w:color="auto"/>
        <w:left w:val="none" w:sz="0" w:space="0" w:color="auto"/>
        <w:bottom w:val="none" w:sz="0" w:space="0" w:color="auto"/>
        <w:right w:val="none" w:sz="0" w:space="0" w:color="auto"/>
      </w:divBdr>
    </w:div>
    <w:div w:id="641663503">
      <w:bodyDiv w:val="1"/>
      <w:marLeft w:val="0"/>
      <w:marRight w:val="0"/>
      <w:marTop w:val="0"/>
      <w:marBottom w:val="0"/>
      <w:divBdr>
        <w:top w:val="none" w:sz="0" w:space="0" w:color="auto"/>
        <w:left w:val="none" w:sz="0" w:space="0" w:color="auto"/>
        <w:bottom w:val="none" w:sz="0" w:space="0" w:color="auto"/>
        <w:right w:val="none" w:sz="0" w:space="0" w:color="auto"/>
      </w:divBdr>
    </w:div>
    <w:div w:id="646781091">
      <w:bodyDiv w:val="1"/>
      <w:marLeft w:val="0"/>
      <w:marRight w:val="0"/>
      <w:marTop w:val="0"/>
      <w:marBottom w:val="0"/>
      <w:divBdr>
        <w:top w:val="none" w:sz="0" w:space="0" w:color="auto"/>
        <w:left w:val="none" w:sz="0" w:space="0" w:color="auto"/>
        <w:bottom w:val="none" w:sz="0" w:space="0" w:color="auto"/>
        <w:right w:val="none" w:sz="0" w:space="0" w:color="auto"/>
      </w:divBdr>
    </w:div>
    <w:div w:id="647365550">
      <w:bodyDiv w:val="1"/>
      <w:marLeft w:val="0"/>
      <w:marRight w:val="0"/>
      <w:marTop w:val="0"/>
      <w:marBottom w:val="0"/>
      <w:divBdr>
        <w:top w:val="none" w:sz="0" w:space="0" w:color="auto"/>
        <w:left w:val="none" w:sz="0" w:space="0" w:color="auto"/>
        <w:bottom w:val="none" w:sz="0" w:space="0" w:color="auto"/>
        <w:right w:val="none" w:sz="0" w:space="0" w:color="auto"/>
      </w:divBdr>
    </w:div>
    <w:div w:id="647979027">
      <w:bodyDiv w:val="1"/>
      <w:marLeft w:val="0"/>
      <w:marRight w:val="0"/>
      <w:marTop w:val="0"/>
      <w:marBottom w:val="0"/>
      <w:divBdr>
        <w:top w:val="none" w:sz="0" w:space="0" w:color="auto"/>
        <w:left w:val="none" w:sz="0" w:space="0" w:color="auto"/>
        <w:bottom w:val="none" w:sz="0" w:space="0" w:color="auto"/>
        <w:right w:val="none" w:sz="0" w:space="0" w:color="auto"/>
      </w:divBdr>
    </w:div>
    <w:div w:id="652954399">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6057246">
      <w:bodyDiv w:val="1"/>
      <w:marLeft w:val="0"/>
      <w:marRight w:val="0"/>
      <w:marTop w:val="0"/>
      <w:marBottom w:val="0"/>
      <w:divBdr>
        <w:top w:val="none" w:sz="0" w:space="0" w:color="auto"/>
        <w:left w:val="none" w:sz="0" w:space="0" w:color="auto"/>
        <w:bottom w:val="none" w:sz="0" w:space="0" w:color="auto"/>
        <w:right w:val="none" w:sz="0" w:space="0" w:color="auto"/>
      </w:divBdr>
    </w:div>
    <w:div w:id="677926553">
      <w:bodyDiv w:val="1"/>
      <w:marLeft w:val="0"/>
      <w:marRight w:val="0"/>
      <w:marTop w:val="0"/>
      <w:marBottom w:val="0"/>
      <w:divBdr>
        <w:top w:val="none" w:sz="0" w:space="0" w:color="auto"/>
        <w:left w:val="none" w:sz="0" w:space="0" w:color="auto"/>
        <w:bottom w:val="none" w:sz="0" w:space="0" w:color="auto"/>
        <w:right w:val="none" w:sz="0" w:space="0" w:color="auto"/>
      </w:divBdr>
    </w:div>
    <w:div w:id="696859131">
      <w:bodyDiv w:val="1"/>
      <w:marLeft w:val="0"/>
      <w:marRight w:val="0"/>
      <w:marTop w:val="0"/>
      <w:marBottom w:val="0"/>
      <w:divBdr>
        <w:top w:val="none" w:sz="0" w:space="0" w:color="auto"/>
        <w:left w:val="none" w:sz="0" w:space="0" w:color="auto"/>
        <w:bottom w:val="none" w:sz="0" w:space="0" w:color="auto"/>
        <w:right w:val="none" w:sz="0" w:space="0" w:color="auto"/>
      </w:divBdr>
    </w:div>
    <w:div w:id="715399647">
      <w:bodyDiv w:val="1"/>
      <w:marLeft w:val="0"/>
      <w:marRight w:val="0"/>
      <w:marTop w:val="0"/>
      <w:marBottom w:val="0"/>
      <w:divBdr>
        <w:top w:val="none" w:sz="0" w:space="0" w:color="auto"/>
        <w:left w:val="none" w:sz="0" w:space="0" w:color="auto"/>
        <w:bottom w:val="none" w:sz="0" w:space="0" w:color="auto"/>
        <w:right w:val="none" w:sz="0" w:space="0" w:color="auto"/>
      </w:divBdr>
    </w:div>
    <w:div w:id="745150437">
      <w:bodyDiv w:val="1"/>
      <w:marLeft w:val="0"/>
      <w:marRight w:val="0"/>
      <w:marTop w:val="0"/>
      <w:marBottom w:val="0"/>
      <w:divBdr>
        <w:top w:val="none" w:sz="0" w:space="0" w:color="auto"/>
        <w:left w:val="none" w:sz="0" w:space="0" w:color="auto"/>
        <w:bottom w:val="none" w:sz="0" w:space="0" w:color="auto"/>
        <w:right w:val="none" w:sz="0" w:space="0" w:color="auto"/>
      </w:divBdr>
    </w:div>
    <w:div w:id="755132887">
      <w:bodyDiv w:val="1"/>
      <w:marLeft w:val="0"/>
      <w:marRight w:val="0"/>
      <w:marTop w:val="0"/>
      <w:marBottom w:val="0"/>
      <w:divBdr>
        <w:top w:val="none" w:sz="0" w:space="0" w:color="auto"/>
        <w:left w:val="none" w:sz="0" w:space="0" w:color="auto"/>
        <w:bottom w:val="none" w:sz="0" w:space="0" w:color="auto"/>
        <w:right w:val="none" w:sz="0" w:space="0" w:color="auto"/>
      </w:divBdr>
    </w:div>
    <w:div w:id="757601374">
      <w:bodyDiv w:val="1"/>
      <w:marLeft w:val="0"/>
      <w:marRight w:val="0"/>
      <w:marTop w:val="0"/>
      <w:marBottom w:val="0"/>
      <w:divBdr>
        <w:top w:val="none" w:sz="0" w:space="0" w:color="auto"/>
        <w:left w:val="none" w:sz="0" w:space="0" w:color="auto"/>
        <w:bottom w:val="none" w:sz="0" w:space="0" w:color="auto"/>
        <w:right w:val="none" w:sz="0" w:space="0" w:color="auto"/>
      </w:divBdr>
    </w:div>
    <w:div w:id="763036855">
      <w:bodyDiv w:val="1"/>
      <w:marLeft w:val="0"/>
      <w:marRight w:val="0"/>
      <w:marTop w:val="0"/>
      <w:marBottom w:val="0"/>
      <w:divBdr>
        <w:top w:val="none" w:sz="0" w:space="0" w:color="auto"/>
        <w:left w:val="none" w:sz="0" w:space="0" w:color="auto"/>
        <w:bottom w:val="none" w:sz="0" w:space="0" w:color="auto"/>
        <w:right w:val="none" w:sz="0" w:space="0" w:color="auto"/>
      </w:divBdr>
    </w:div>
    <w:div w:id="765928333">
      <w:bodyDiv w:val="1"/>
      <w:marLeft w:val="0"/>
      <w:marRight w:val="0"/>
      <w:marTop w:val="0"/>
      <w:marBottom w:val="0"/>
      <w:divBdr>
        <w:top w:val="none" w:sz="0" w:space="0" w:color="auto"/>
        <w:left w:val="none" w:sz="0" w:space="0" w:color="auto"/>
        <w:bottom w:val="none" w:sz="0" w:space="0" w:color="auto"/>
        <w:right w:val="none" w:sz="0" w:space="0" w:color="auto"/>
      </w:divBdr>
    </w:div>
    <w:div w:id="771164153">
      <w:bodyDiv w:val="1"/>
      <w:marLeft w:val="0"/>
      <w:marRight w:val="0"/>
      <w:marTop w:val="0"/>
      <w:marBottom w:val="0"/>
      <w:divBdr>
        <w:top w:val="none" w:sz="0" w:space="0" w:color="auto"/>
        <w:left w:val="none" w:sz="0" w:space="0" w:color="auto"/>
        <w:bottom w:val="none" w:sz="0" w:space="0" w:color="auto"/>
        <w:right w:val="none" w:sz="0" w:space="0" w:color="auto"/>
      </w:divBdr>
    </w:div>
    <w:div w:id="771752003">
      <w:bodyDiv w:val="1"/>
      <w:marLeft w:val="0"/>
      <w:marRight w:val="0"/>
      <w:marTop w:val="0"/>
      <w:marBottom w:val="0"/>
      <w:divBdr>
        <w:top w:val="none" w:sz="0" w:space="0" w:color="auto"/>
        <w:left w:val="none" w:sz="0" w:space="0" w:color="auto"/>
        <w:bottom w:val="none" w:sz="0" w:space="0" w:color="auto"/>
        <w:right w:val="none" w:sz="0" w:space="0" w:color="auto"/>
      </w:divBdr>
    </w:div>
    <w:div w:id="775684740">
      <w:bodyDiv w:val="1"/>
      <w:marLeft w:val="0"/>
      <w:marRight w:val="0"/>
      <w:marTop w:val="0"/>
      <w:marBottom w:val="0"/>
      <w:divBdr>
        <w:top w:val="none" w:sz="0" w:space="0" w:color="auto"/>
        <w:left w:val="none" w:sz="0" w:space="0" w:color="auto"/>
        <w:bottom w:val="none" w:sz="0" w:space="0" w:color="auto"/>
        <w:right w:val="none" w:sz="0" w:space="0" w:color="auto"/>
      </w:divBdr>
    </w:div>
    <w:div w:id="776871758">
      <w:bodyDiv w:val="1"/>
      <w:marLeft w:val="0"/>
      <w:marRight w:val="0"/>
      <w:marTop w:val="0"/>
      <w:marBottom w:val="0"/>
      <w:divBdr>
        <w:top w:val="none" w:sz="0" w:space="0" w:color="auto"/>
        <w:left w:val="none" w:sz="0" w:space="0" w:color="auto"/>
        <w:bottom w:val="none" w:sz="0" w:space="0" w:color="auto"/>
        <w:right w:val="none" w:sz="0" w:space="0" w:color="auto"/>
      </w:divBdr>
    </w:div>
    <w:div w:id="796948325">
      <w:bodyDiv w:val="1"/>
      <w:marLeft w:val="0"/>
      <w:marRight w:val="0"/>
      <w:marTop w:val="0"/>
      <w:marBottom w:val="0"/>
      <w:divBdr>
        <w:top w:val="none" w:sz="0" w:space="0" w:color="auto"/>
        <w:left w:val="none" w:sz="0" w:space="0" w:color="auto"/>
        <w:bottom w:val="none" w:sz="0" w:space="0" w:color="auto"/>
        <w:right w:val="none" w:sz="0" w:space="0" w:color="auto"/>
      </w:divBdr>
    </w:div>
    <w:div w:id="798835675">
      <w:bodyDiv w:val="1"/>
      <w:marLeft w:val="0"/>
      <w:marRight w:val="0"/>
      <w:marTop w:val="0"/>
      <w:marBottom w:val="0"/>
      <w:divBdr>
        <w:top w:val="none" w:sz="0" w:space="0" w:color="auto"/>
        <w:left w:val="none" w:sz="0" w:space="0" w:color="auto"/>
        <w:bottom w:val="none" w:sz="0" w:space="0" w:color="auto"/>
        <w:right w:val="none" w:sz="0" w:space="0" w:color="auto"/>
      </w:divBdr>
    </w:div>
    <w:div w:id="804201073">
      <w:bodyDiv w:val="1"/>
      <w:marLeft w:val="0"/>
      <w:marRight w:val="0"/>
      <w:marTop w:val="0"/>
      <w:marBottom w:val="0"/>
      <w:divBdr>
        <w:top w:val="none" w:sz="0" w:space="0" w:color="auto"/>
        <w:left w:val="none" w:sz="0" w:space="0" w:color="auto"/>
        <w:bottom w:val="none" w:sz="0" w:space="0" w:color="auto"/>
        <w:right w:val="none" w:sz="0" w:space="0" w:color="auto"/>
      </w:divBdr>
    </w:div>
    <w:div w:id="810907023">
      <w:bodyDiv w:val="1"/>
      <w:marLeft w:val="0"/>
      <w:marRight w:val="0"/>
      <w:marTop w:val="0"/>
      <w:marBottom w:val="0"/>
      <w:divBdr>
        <w:top w:val="none" w:sz="0" w:space="0" w:color="auto"/>
        <w:left w:val="none" w:sz="0" w:space="0" w:color="auto"/>
        <w:bottom w:val="none" w:sz="0" w:space="0" w:color="auto"/>
        <w:right w:val="none" w:sz="0" w:space="0" w:color="auto"/>
      </w:divBdr>
    </w:div>
    <w:div w:id="831678050">
      <w:bodyDiv w:val="1"/>
      <w:marLeft w:val="0"/>
      <w:marRight w:val="0"/>
      <w:marTop w:val="0"/>
      <w:marBottom w:val="0"/>
      <w:divBdr>
        <w:top w:val="none" w:sz="0" w:space="0" w:color="auto"/>
        <w:left w:val="none" w:sz="0" w:space="0" w:color="auto"/>
        <w:bottom w:val="none" w:sz="0" w:space="0" w:color="auto"/>
        <w:right w:val="none" w:sz="0" w:space="0" w:color="auto"/>
      </w:divBdr>
    </w:div>
    <w:div w:id="832526827">
      <w:bodyDiv w:val="1"/>
      <w:marLeft w:val="0"/>
      <w:marRight w:val="0"/>
      <w:marTop w:val="0"/>
      <w:marBottom w:val="0"/>
      <w:divBdr>
        <w:top w:val="none" w:sz="0" w:space="0" w:color="auto"/>
        <w:left w:val="none" w:sz="0" w:space="0" w:color="auto"/>
        <w:bottom w:val="none" w:sz="0" w:space="0" w:color="auto"/>
        <w:right w:val="none" w:sz="0" w:space="0" w:color="auto"/>
      </w:divBdr>
    </w:div>
    <w:div w:id="838354719">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298421">
      <w:bodyDiv w:val="1"/>
      <w:marLeft w:val="0"/>
      <w:marRight w:val="0"/>
      <w:marTop w:val="0"/>
      <w:marBottom w:val="0"/>
      <w:divBdr>
        <w:top w:val="none" w:sz="0" w:space="0" w:color="auto"/>
        <w:left w:val="none" w:sz="0" w:space="0" w:color="auto"/>
        <w:bottom w:val="none" w:sz="0" w:space="0" w:color="auto"/>
        <w:right w:val="none" w:sz="0" w:space="0" w:color="auto"/>
      </w:divBdr>
    </w:div>
    <w:div w:id="850264066">
      <w:bodyDiv w:val="1"/>
      <w:marLeft w:val="0"/>
      <w:marRight w:val="0"/>
      <w:marTop w:val="0"/>
      <w:marBottom w:val="0"/>
      <w:divBdr>
        <w:top w:val="none" w:sz="0" w:space="0" w:color="auto"/>
        <w:left w:val="none" w:sz="0" w:space="0" w:color="auto"/>
        <w:bottom w:val="none" w:sz="0" w:space="0" w:color="auto"/>
        <w:right w:val="none" w:sz="0" w:space="0" w:color="auto"/>
      </w:divBdr>
    </w:div>
    <w:div w:id="856237936">
      <w:bodyDiv w:val="1"/>
      <w:marLeft w:val="0"/>
      <w:marRight w:val="0"/>
      <w:marTop w:val="0"/>
      <w:marBottom w:val="0"/>
      <w:divBdr>
        <w:top w:val="none" w:sz="0" w:space="0" w:color="auto"/>
        <w:left w:val="none" w:sz="0" w:space="0" w:color="auto"/>
        <w:bottom w:val="none" w:sz="0" w:space="0" w:color="auto"/>
        <w:right w:val="none" w:sz="0" w:space="0" w:color="auto"/>
      </w:divBdr>
    </w:div>
    <w:div w:id="865875949">
      <w:bodyDiv w:val="1"/>
      <w:marLeft w:val="0"/>
      <w:marRight w:val="0"/>
      <w:marTop w:val="0"/>
      <w:marBottom w:val="0"/>
      <w:divBdr>
        <w:top w:val="none" w:sz="0" w:space="0" w:color="auto"/>
        <w:left w:val="none" w:sz="0" w:space="0" w:color="auto"/>
        <w:bottom w:val="none" w:sz="0" w:space="0" w:color="auto"/>
        <w:right w:val="none" w:sz="0" w:space="0" w:color="auto"/>
      </w:divBdr>
    </w:div>
    <w:div w:id="867991044">
      <w:bodyDiv w:val="1"/>
      <w:marLeft w:val="0"/>
      <w:marRight w:val="0"/>
      <w:marTop w:val="0"/>
      <w:marBottom w:val="0"/>
      <w:divBdr>
        <w:top w:val="none" w:sz="0" w:space="0" w:color="auto"/>
        <w:left w:val="none" w:sz="0" w:space="0" w:color="auto"/>
        <w:bottom w:val="none" w:sz="0" w:space="0" w:color="auto"/>
        <w:right w:val="none" w:sz="0" w:space="0" w:color="auto"/>
      </w:divBdr>
    </w:div>
    <w:div w:id="874655091">
      <w:bodyDiv w:val="1"/>
      <w:marLeft w:val="0"/>
      <w:marRight w:val="0"/>
      <w:marTop w:val="0"/>
      <w:marBottom w:val="0"/>
      <w:divBdr>
        <w:top w:val="none" w:sz="0" w:space="0" w:color="auto"/>
        <w:left w:val="none" w:sz="0" w:space="0" w:color="auto"/>
        <w:bottom w:val="none" w:sz="0" w:space="0" w:color="auto"/>
        <w:right w:val="none" w:sz="0" w:space="0" w:color="auto"/>
      </w:divBdr>
    </w:div>
    <w:div w:id="880164420">
      <w:bodyDiv w:val="1"/>
      <w:marLeft w:val="0"/>
      <w:marRight w:val="0"/>
      <w:marTop w:val="0"/>
      <w:marBottom w:val="0"/>
      <w:divBdr>
        <w:top w:val="none" w:sz="0" w:space="0" w:color="auto"/>
        <w:left w:val="none" w:sz="0" w:space="0" w:color="auto"/>
        <w:bottom w:val="none" w:sz="0" w:space="0" w:color="auto"/>
        <w:right w:val="none" w:sz="0" w:space="0" w:color="auto"/>
      </w:divBdr>
    </w:div>
    <w:div w:id="889923206">
      <w:bodyDiv w:val="1"/>
      <w:marLeft w:val="0"/>
      <w:marRight w:val="0"/>
      <w:marTop w:val="0"/>
      <w:marBottom w:val="0"/>
      <w:divBdr>
        <w:top w:val="none" w:sz="0" w:space="0" w:color="auto"/>
        <w:left w:val="none" w:sz="0" w:space="0" w:color="auto"/>
        <w:bottom w:val="none" w:sz="0" w:space="0" w:color="auto"/>
        <w:right w:val="none" w:sz="0" w:space="0" w:color="auto"/>
      </w:divBdr>
    </w:div>
    <w:div w:id="895898135">
      <w:bodyDiv w:val="1"/>
      <w:marLeft w:val="0"/>
      <w:marRight w:val="0"/>
      <w:marTop w:val="0"/>
      <w:marBottom w:val="0"/>
      <w:divBdr>
        <w:top w:val="none" w:sz="0" w:space="0" w:color="auto"/>
        <w:left w:val="none" w:sz="0" w:space="0" w:color="auto"/>
        <w:bottom w:val="none" w:sz="0" w:space="0" w:color="auto"/>
        <w:right w:val="none" w:sz="0" w:space="0" w:color="auto"/>
      </w:divBdr>
    </w:div>
    <w:div w:id="897127637">
      <w:bodyDiv w:val="1"/>
      <w:marLeft w:val="0"/>
      <w:marRight w:val="0"/>
      <w:marTop w:val="0"/>
      <w:marBottom w:val="0"/>
      <w:divBdr>
        <w:top w:val="none" w:sz="0" w:space="0" w:color="auto"/>
        <w:left w:val="none" w:sz="0" w:space="0" w:color="auto"/>
        <w:bottom w:val="none" w:sz="0" w:space="0" w:color="auto"/>
        <w:right w:val="none" w:sz="0" w:space="0" w:color="auto"/>
      </w:divBdr>
    </w:div>
    <w:div w:id="902058513">
      <w:bodyDiv w:val="1"/>
      <w:marLeft w:val="0"/>
      <w:marRight w:val="0"/>
      <w:marTop w:val="0"/>
      <w:marBottom w:val="0"/>
      <w:divBdr>
        <w:top w:val="none" w:sz="0" w:space="0" w:color="auto"/>
        <w:left w:val="none" w:sz="0" w:space="0" w:color="auto"/>
        <w:bottom w:val="none" w:sz="0" w:space="0" w:color="auto"/>
        <w:right w:val="none" w:sz="0" w:space="0" w:color="auto"/>
      </w:divBdr>
    </w:div>
    <w:div w:id="904991930">
      <w:bodyDiv w:val="1"/>
      <w:marLeft w:val="0"/>
      <w:marRight w:val="0"/>
      <w:marTop w:val="0"/>
      <w:marBottom w:val="0"/>
      <w:divBdr>
        <w:top w:val="none" w:sz="0" w:space="0" w:color="auto"/>
        <w:left w:val="none" w:sz="0" w:space="0" w:color="auto"/>
        <w:bottom w:val="none" w:sz="0" w:space="0" w:color="auto"/>
        <w:right w:val="none" w:sz="0" w:space="0" w:color="auto"/>
      </w:divBdr>
    </w:div>
    <w:div w:id="910232060">
      <w:bodyDiv w:val="1"/>
      <w:marLeft w:val="0"/>
      <w:marRight w:val="0"/>
      <w:marTop w:val="0"/>
      <w:marBottom w:val="0"/>
      <w:divBdr>
        <w:top w:val="none" w:sz="0" w:space="0" w:color="auto"/>
        <w:left w:val="none" w:sz="0" w:space="0" w:color="auto"/>
        <w:bottom w:val="none" w:sz="0" w:space="0" w:color="auto"/>
        <w:right w:val="none" w:sz="0" w:space="0" w:color="auto"/>
      </w:divBdr>
    </w:div>
    <w:div w:id="915242146">
      <w:bodyDiv w:val="1"/>
      <w:marLeft w:val="0"/>
      <w:marRight w:val="0"/>
      <w:marTop w:val="0"/>
      <w:marBottom w:val="0"/>
      <w:divBdr>
        <w:top w:val="none" w:sz="0" w:space="0" w:color="auto"/>
        <w:left w:val="none" w:sz="0" w:space="0" w:color="auto"/>
        <w:bottom w:val="none" w:sz="0" w:space="0" w:color="auto"/>
        <w:right w:val="none" w:sz="0" w:space="0" w:color="auto"/>
      </w:divBdr>
    </w:div>
    <w:div w:id="923295770">
      <w:bodyDiv w:val="1"/>
      <w:marLeft w:val="0"/>
      <w:marRight w:val="0"/>
      <w:marTop w:val="0"/>
      <w:marBottom w:val="0"/>
      <w:divBdr>
        <w:top w:val="none" w:sz="0" w:space="0" w:color="auto"/>
        <w:left w:val="none" w:sz="0" w:space="0" w:color="auto"/>
        <w:bottom w:val="none" w:sz="0" w:space="0" w:color="auto"/>
        <w:right w:val="none" w:sz="0" w:space="0" w:color="auto"/>
      </w:divBdr>
    </w:div>
    <w:div w:id="923799285">
      <w:bodyDiv w:val="1"/>
      <w:marLeft w:val="0"/>
      <w:marRight w:val="0"/>
      <w:marTop w:val="0"/>
      <w:marBottom w:val="0"/>
      <w:divBdr>
        <w:top w:val="none" w:sz="0" w:space="0" w:color="auto"/>
        <w:left w:val="none" w:sz="0" w:space="0" w:color="auto"/>
        <w:bottom w:val="none" w:sz="0" w:space="0" w:color="auto"/>
        <w:right w:val="none" w:sz="0" w:space="0" w:color="auto"/>
      </w:divBdr>
    </w:div>
    <w:div w:id="925698271">
      <w:bodyDiv w:val="1"/>
      <w:marLeft w:val="0"/>
      <w:marRight w:val="0"/>
      <w:marTop w:val="0"/>
      <w:marBottom w:val="0"/>
      <w:divBdr>
        <w:top w:val="none" w:sz="0" w:space="0" w:color="auto"/>
        <w:left w:val="none" w:sz="0" w:space="0" w:color="auto"/>
        <w:bottom w:val="none" w:sz="0" w:space="0" w:color="auto"/>
        <w:right w:val="none" w:sz="0" w:space="0" w:color="auto"/>
      </w:divBdr>
    </w:div>
    <w:div w:id="929696224">
      <w:bodyDiv w:val="1"/>
      <w:marLeft w:val="0"/>
      <w:marRight w:val="0"/>
      <w:marTop w:val="0"/>
      <w:marBottom w:val="0"/>
      <w:divBdr>
        <w:top w:val="none" w:sz="0" w:space="0" w:color="auto"/>
        <w:left w:val="none" w:sz="0" w:space="0" w:color="auto"/>
        <w:bottom w:val="none" w:sz="0" w:space="0" w:color="auto"/>
        <w:right w:val="none" w:sz="0" w:space="0" w:color="auto"/>
      </w:divBdr>
    </w:div>
    <w:div w:id="931084697">
      <w:bodyDiv w:val="1"/>
      <w:marLeft w:val="0"/>
      <w:marRight w:val="0"/>
      <w:marTop w:val="0"/>
      <w:marBottom w:val="0"/>
      <w:divBdr>
        <w:top w:val="none" w:sz="0" w:space="0" w:color="auto"/>
        <w:left w:val="none" w:sz="0" w:space="0" w:color="auto"/>
        <w:bottom w:val="none" w:sz="0" w:space="0" w:color="auto"/>
        <w:right w:val="none" w:sz="0" w:space="0" w:color="auto"/>
      </w:divBdr>
    </w:div>
    <w:div w:id="932978516">
      <w:bodyDiv w:val="1"/>
      <w:marLeft w:val="0"/>
      <w:marRight w:val="0"/>
      <w:marTop w:val="0"/>
      <w:marBottom w:val="0"/>
      <w:divBdr>
        <w:top w:val="none" w:sz="0" w:space="0" w:color="auto"/>
        <w:left w:val="none" w:sz="0" w:space="0" w:color="auto"/>
        <w:bottom w:val="none" w:sz="0" w:space="0" w:color="auto"/>
        <w:right w:val="none" w:sz="0" w:space="0" w:color="auto"/>
      </w:divBdr>
    </w:div>
    <w:div w:id="935210638">
      <w:bodyDiv w:val="1"/>
      <w:marLeft w:val="0"/>
      <w:marRight w:val="0"/>
      <w:marTop w:val="0"/>
      <w:marBottom w:val="0"/>
      <w:divBdr>
        <w:top w:val="none" w:sz="0" w:space="0" w:color="auto"/>
        <w:left w:val="none" w:sz="0" w:space="0" w:color="auto"/>
        <w:bottom w:val="none" w:sz="0" w:space="0" w:color="auto"/>
        <w:right w:val="none" w:sz="0" w:space="0" w:color="auto"/>
      </w:divBdr>
    </w:div>
    <w:div w:id="936445264">
      <w:bodyDiv w:val="1"/>
      <w:marLeft w:val="0"/>
      <w:marRight w:val="0"/>
      <w:marTop w:val="0"/>
      <w:marBottom w:val="0"/>
      <w:divBdr>
        <w:top w:val="none" w:sz="0" w:space="0" w:color="auto"/>
        <w:left w:val="none" w:sz="0" w:space="0" w:color="auto"/>
        <w:bottom w:val="none" w:sz="0" w:space="0" w:color="auto"/>
        <w:right w:val="none" w:sz="0" w:space="0" w:color="auto"/>
      </w:divBdr>
    </w:div>
    <w:div w:id="952831100">
      <w:bodyDiv w:val="1"/>
      <w:marLeft w:val="0"/>
      <w:marRight w:val="0"/>
      <w:marTop w:val="0"/>
      <w:marBottom w:val="0"/>
      <w:divBdr>
        <w:top w:val="none" w:sz="0" w:space="0" w:color="auto"/>
        <w:left w:val="none" w:sz="0" w:space="0" w:color="auto"/>
        <w:bottom w:val="none" w:sz="0" w:space="0" w:color="auto"/>
        <w:right w:val="none" w:sz="0" w:space="0" w:color="auto"/>
      </w:divBdr>
    </w:div>
    <w:div w:id="961303929">
      <w:bodyDiv w:val="1"/>
      <w:marLeft w:val="0"/>
      <w:marRight w:val="0"/>
      <w:marTop w:val="0"/>
      <w:marBottom w:val="0"/>
      <w:divBdr>
        <w:top w:val="none" w:sz="0" w:space="0" w:color="auto"/>
        <w:left w:val="none" w:sz="0" w:space="0" w:color="auto"/>
        <w:bottom w:val="none" w:sz="0" w:space="0" w:color="auto"/>
        <w:right w:val="none" w:sz="0" w:space="0" w:color="auto"/>
      </w:divBdr>
    </w:div>
    <w:div w:id="964770272">
      <w:bodyDiv w:val="1"/>
      <w:marLeft w:val="0"/>
      <w:marRight w:val="0"/>
      <w:marTop w:val="0"/>
      <w:marBottom w:val="0"/>
      <w:divBdr>
        <w:top w:val="none" w:sz="0" w:space="0" w:color="auto"/>
        <w:left w:val="none" w:sz="0" w:space="0" w:color="auto"/>
        <w:bottom w:val="none" w:sz="0" w:space="0" w:color="auto"/>
        <w:right w:val="none" w:sz="0" w:space="0" w:color="auto"/>
      </w:divBdr>
    </w:div>
    <w:div w:id="995956343">
      <w:bodyDiv w:val="1"/>
      <w:marLeft w:val="0"/>
      <w:marRight w:val="0"/>
      <w:marTop w:val="0"/>
      <w:marBottom w:val="0"/>
      <w:divBdr>
        <w:top w:val="none" w:sz="0" w:space="0" w:color="auto"/>
        <w:left w:val="none" w:sz="0" w:space="0" w:color="auto"/>
        <w:bottom w:val="none" w:sz="0" w:space="0" w:color="auto"/>
        <w:right w:val="none" w:sz="0" w:space="0" w:color="auto"/>
      </w:divBdr>
    </w:div>
    <w:div w:id="999894112">
      <w:bodyDiv w:val="1"/>
      <w:marLeft w:val="0"/>
      <w:marRight w:val="0"/>
      <w:marTop w:val="0"/>
      <w:marBottom w:val="0"/>
      <w:divBdr>
        <w:top w:val="none" w:sz="0" w:space="0" w:color="auto"/>
        <w:left w:val="none" w:sz="0" w:space="0" w:color="auto"/>
        <w:bottom w:val="none" w:sz="0" w:space="0" w:color="auto"/>
        <w:right w:val="none" w:sz="0" w:space="0" w:color="auto"/>
      </w:divBdr>
    </w:div>
    <w:div w:id="1004091978">
      <w:bodyDiv w:val="1"/>
      <w:marLeft w:val="0"/>
      <w:marRight w:val="0"/>
      <w:marTop w:val="0"/>
      <w:marBottom w:val="0"/>
      <w:divBdr>
        <w:top w:val="none" w:sz="0" w:space="0" w:color="auto"/>
        <w:left w:val="none" w:sz="0" w:space="0" w:color="auto"/>
        <w:bottom w:val="none" w:sz="0" w:space="0" w:color="auto"/>
        <w:right w:val="none" w:sz="0" w:space="0" w:color="auto"/>
      </w:divBdr>
    </w:div>
    <w:div w:id="1019428160">
      <w:bodyDiv w:val="1"/>
      <w:marLeft w:val="0"/>
      <w:marRight w:val="0"/>
      <w:marTop w:val="0"/>
      <w:marBottom w:val="0"/>
      <w:divBdr>
        <w:top w:val="none" w:sz="0" w:space="0" w:color="auto"/>
        <w:left w:val="none" w:sz="0" w:space="0" w:color="auto"/>
        <w:bottom w:val="none" w:sz="0" w:space="0" w:color="auto"/>
        <w:right w:val="none" w:sz="0" w:space="0" w:color="auto"/>
      </w:divBdr>
    </w:div>
    <w:div w:id="1025131893">
      <w:bodyDiv w:val="1"/>
      <w:marLeft w:val="0"/>
      <w:marRight w:val="0"/>
      <w:marTop w:val="0"/>
      <w:marBottom w:val="0"/>
      <w:divBdr>
        <w:top w:val="none" w:sz="0" w:space="0" w:color="auto"/>
        <w:left w:val="none" w:sz="0" w:space="0" w:color="auto"/>
        <w:bottom w:val="none" w:sz="0" w:space="0" w:color="auto"/>
        <w:right w:val="none" w:sz="0" w:space="0" w:color="auto"/>
      </w:divBdr>
    </w:div>
    <w:div w:id="1025447343">
      <w:bodyDiv w:val="1"/>
      <w:marLeft w:val="0"/>
      <w:marRight w:val="0"/>
      <w:marTop w:val="0"/>
      <w:marBottom w:val="0"/>
      <w:divBdr>
        <w:top w:val="none" w:sz="0" w:space="0" w:color="auto"/>
        <w:left w:val="none" w:sz="0" w:space="0" w:color="auto"/>
        <w:bottom w:val="none" w:sz="0" w:space="0" w:color="auto"/>
        <w:right w:val="none" w:sz="0" w:space="0" w:color="auto"/>
      </w:divBdr>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27024421">
      <w:bodyDiv w:val="1"/>
      <w:marLeft w:val="0"/>
      <w:marRight w:val="0"/>
      <w:marTop w:val="0"/>
      <w:marBottom w:val="0"/>
      <w:divBdr>
        <w:top w:val="none" w:sz="0" w:space="0" w:color="auto"/>
        <w:left w:val="none" w:sz="0" w:space="0" w:color="auto"/>
        <w:bottom w:val="none" w:sz="0" w:space="0" w:color="auto"/>
        <w:right w:val="none" w:sz="0" w:space="0" w:color="auto"/>
      </w:divBdr>
    </w:div>
    <w:div w:id="1031490896">
      <w:bodyDiv w:val="1"/>
      <w:marLeft w:val="0"/>
      <w:marRight w:val="0"/>
      <w:marTop w:val="0"/>
      <w:marBottom w:val="0"/>
      <w:divBdr>
        <w:top w:val="none" w:sz="0" w:space="0" w:color="auto"/>
        <w:left w:val="none" w:sz="0" w:space="0" w:color="auto"/>
        <w:bottom w:val="none" w:sz="0" w:space="0" w:color="auto"/>
        <w:right w:val="none" w:sz="0" w:space="0" w:color="auto"/>
      </w:divBdr>
    </w:div>
    <w:div w:id="1036124975">
      <w:bodyDiv w:val="1"/>
      <w:marLeft w:val="0"/>
      <w:marRight w:val="0"/>
      <w:marTop w:val="0"/>
      <w:marBottom w:val="0"/>
      <w:divBdr>
        <w:top w:val="none" w:sz="0" w:space="0" w:color="auto"/>
        <w:left w:val="none" w:sz="0" w:space="0" w:color="auto"/>
        <w:bottom w:val="none" w:sz="0" w:space="0" w:color="auto"/>
        <w:right w:val="none" w:sz="0" w:space="0" w:color="auto"/>
      </w:divBdr>
    </w:div>
    <w:div w:id="1042636010">
      <w:bodyDiv w:val="1"/>
      <w:marLeft w:val="0"/>
      <w:marRight w:val="0"/>
      <w:marTop w:val="0"/>
      <w:marBottom w:val="0"/>
      <w:divBdr>
        <w:top w:val="none" w:sz="0" w:space="0" w:color="auto"/>
        <w:left w:val="none" w:sz="0" w:space="0" w:color="auto"/>
        <w:bottom w:val="none" w:sz="0" w:space="0" w:color="auto"/>
        <w:right w:val="none" w:sz="0" w:space="0" w:color="auto"/>
      </w:divBdr>
    </w:div>
    <w:div w:id="1043021405">
      <w:bodyDiv w:val="1"/>
      <w:marLeft w:val="0"/>
      <w:marRight w:val="0"/>
      <w:marTop w:val="0"/>
      <w:marBottom w:val="0"/>
      <w:divBdr>
        <w:top w:val="none" w:sz="0" w:space="0" w:color="auto"/>
        <w:left w:val="none" w:sz="0" w:space="0" w:color="auto"/>
        <w:bottom w:val="none" w:sz="0" w:space="0" w:color="auto"/>
        <w:right w:val="none" w:sz="0" w:space="0" w:color="auto"/>
      </w:divBdr>
    </w:div>
    <w:div w:id="1048607244">
      <w:bodyDiv w:val="1"/>
      <w:marLeft w:val="0"/>
      <w:marRight w:val="0"/>
      <w:marTop w:val="0"/>
      <w:marBottom w:val="0"/>
      <w:divBdr>
        <w:top w:val="none" w:sz="0" w:space="0" w:color="auto"/>
        <w:left w:val="none" w:sz="0" w:space="0" w:color="auto"/>
        <w:bottom w:val="none" w:sz="0" w:space="0" w:color="auto"/>
        <w:right w:val="none" w:sz="0" w:space="0" w:color="auto"/>
      </w:divBdr>
    </w:div>
    <w:div w:id="1051658179">
      <w:bodyDiv w:val="1"/>
      <w:marLeft w:val="0"/>
      <w:marRight w:val="0"/>
      <w:marTop w:val="0"/>
      <w:marBottom w:val="0"/>
      <w:divBdr>
        <w:top w:val="none" w:sz="0" w:space="0" w:color="auto"/>
        <w:left w:val="none" w:sz="0" w:space="0" w:color="auto"/>
        <w:bottom w:val="none" w:sz="0" w:space="0" w:color="auto"/>
        <w:right w:val="none" w:sz="0" w:space="0" w:color="auto"/>
      </w:divBdr>
    </w:div>
    <w:div w:id="1054892655">
      <w:bodyDiv w:val="1"/>
      <w:marLeft w:val="0"/>
      <w:marRight w:val="0"/>
      <w:marTop w:val="0"/>
      <w:marBottom w:val="0"/>
      <w:divBdr>
        <w:top w:val="none" w:sz="0" w:space="0" w:color="auto"/>
        <w:left w:val="none" w:sz="0" w:space="0" w:color="auto"/>
        <w:bottom w:val="none" w:sz="0" w:space="0" w:color="auto"/>
        <w:right w:val="none" w:sz="0" w:space="0" w:color="auto"/>
      </w:divBdr>
    </w:div>
    <w:div w:id="1057708960">
      <w:bodyDiv w:val="1"/>
      <w:marLeft w:val="0"/>
      <w:marRight w:val="0"/>
      <w:marTop w:val="0"/>
      <w:marBottom w:val="0"/>
      <w:divBdr>
        <w:top w:val="none" w:sz="0" w:space="0" w:color="auto"/>
        <w:left w:val="none" w:sz="0" w:space="0" w:color="auto"/>
        <w:bottom w:val="none" w:sz="0" w:space="0" w:color="auto"/>
        <w:right w:val="none" w:sz="0" w:space="0" w:color="auto"/>
      </w:divBdr>
    </w:div>
    <w:div w:id="1062142589">
      <w:bodyDiv w:val="1"/>
      <w:marLeft w:val="0"/>
      <w:marRight w:val="0"/>
      <w:marTop w:val="0"/>
      <w:marBottom w:val="0"/>
      <w:divBdr>
        <w:top w:val="none" w:sz="0" w:space="0" w:color="auto"/>
        <w:left w:val="none" w:sz="0" w:space="0" w:color="auto"/>
        <w:bottom w:val="none" w:sz="0" w:space="0" w:color="auto"/>
        <w:right w:val="none" w:sz="0" w:space="0" w:color="auto"/>
      </w:divBdr>
    </w:div>
    <w:div w:id="1063874612">
      <w:bodyDiv w:val="1"/>
      <w:marLeft w:val="0"/>
      <w:marRight w:val="0"/>
      <w:marTop w:val="0"/>
      <w:marBottom w:val="0"/>
      <w:divBdr>
        <w:top w:val="none" w:sz="0" w:space="0" w:color="auto"/>
        <w:left w:val="none" w:sz="0" w:space="0" w:color="auto"/>
        <w:bottom w:val="none" w:sz="0" w:space="0" w:color="auto"/>
        <w:right w:val="none" w:sz="0" w:space="0" w:color="auto"/>
      </w:divBdr>
    </w:div>
    <w:div w:id="106837882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2234768">
      <w:bodyDiv w:val="1"/>
      <w:marLeft w:val="0"/>
      <w:marRight w:val="0"/>
      <w:marTop w:val="0"/>
      <w:marBottom w:val="0"/>
      <w:divBdr>
        <w:top w:val="none" w:sz="0" w:space="0" w:color="auto"/>
        <w:left w:val="none" w:sz="0" w:space="0" w:color="auto"/>
        <w:bottom w:val="none" w:sz="0" w:space="0" w:color="auto"/>
        <w:right w:val="none" w:sz="0" w:space="0" w:color="auto"/>
      </w:divBdr>
    </w:div>
    <w:div w:id="1078594736">
      <w:bodyDiv w:val="1"/>
      <w:marLeft w:val="0"/>
      <w:marRight w:val="0"/>
      <w:marTop w:val="0"/>
      <w:marBottom w:val="0"/>
      <w:divBdr>
        <w:top w:val="none" w:sz="0" w:space="0" w:color="auto"/>
        <w:left w:val="none" w:sz="0" w:space="0" w:color="auto"/>
        <w:bottom w:val="none" w:sz="0" w:space="0" w:color="auto"/>
        <w:right w:val="none" w:sz="0" w:space="0" w:color="auto"/>
      </w:divBdr>
    </w:div>
    <w:div w:id="1081290549">
      <w:bodyDiv w:val="1"/>
      <w:marLeft w:val="0"/>
      <w:marRight w:val="0"/>
      <w:marTop w:val="0"/>
      <w:marBottom w:val="0"/>
      <w:divBdr>
        <w:top w:val="none" w:sz="0" w:space="0" w:color="auto"/>
        <w:left w:val="none" w:sz="0" w:space="0" w:color="auto"/>
        <w:bottom w:val="none" w:sz="0" w:space="0" w:color="auto"/>
        <w:right w:val="none" w:sz="0" w:space="0" w:color="auto"/>
      </w:divBdr>
    </w:div>
    <w:div w:id="1089546334">
      <w:bodyDiv w:val="1"/>
      <w:marLeft w:val="0"/>
      <w:marRight w:val="0"/>
      <w:marTop w:val="0"/>
      <w:marBottom w:val="0"/>
      <w:divBdr>
        <w:top w:val="none" w:sz="0" w:space="0" w:color="auto"/>
        <w:left w:val="none" w:sz="0" w:space="0" w:color="auto"/>
        <w:bottom w:val="none" w:sz="0" w:space="0" w:color="auto"/>
        <w:right w:val="none" w:sz="0" w:space="0" w:color="auto"/>
      </w:divBdr>
    </w:div>
    <w:div w:id="1092968280">
      <w:bodyDiv w:val="1"/>
      <w:marLeft w:val="0"/>
      <w:marRight w:val="0"/>
      <w:marTop w:val="0"/>
      <w:marBottom w:val="0"/>
      <w:divBdr>
        <w:top w:val="none" w:sz="0" w:space="0" w:color="auto"/>
        <w:left w:val="none" w:sz="0" w:space="0" w:color="auto"/>
        <w:bottom w:val="none" w:sz="0" w:space="0" w:color="auto"/>
        <w:right w:val="none" w:sz="0" w:space="0" w:color="auto"/>
      </w:divBdr>
    </w:div>
    <w:div w:id="1101297825">
      <w:bodyDiv w:val="1"/>
      <w:marLeft w:val="0"/>
      <w:marRight w:val="0"/>
      <w:marTop w:val="0"/>
      <w:marBottom w:val="0"/>
      <w:divBdr>
        <w:top w:val="none" w:sz="0" w:space="0" w:color="auto"/>
        <w:left w:val="none" w:sz="0" w:space="0" w:color="auto"/>
        <w:bottom w:val="none" w:sz="0" w:space="0" w:color="auto"/>
        <w:right w:val="none" w:sz="0" w:space="0" w:color="auto"/>
      </w:divBdr>
    </w:div>
    <w:div w:id="1107195587">
      <w:bodyDiv w:val="1"/>
      <w:marLeft w:val="0"/>
      <w:marRight w:val="0"/>
      <w:marTop w:val="0"/>
      <w:marBottom w:val="0"/>
      <w:divBdr>
        <w:top w:val="none" w:sz="0" w:space="0" w:color="auto"/>
        <w:left w:val="none" w:sz="0" w:space="0" w:color="auto"/>
        <w:bottom w:val="none" w:sz="0" w:space="0" w:color="auto"/>
        <w:right w:val="none" w:sz="0" w:space="0" w:color="auto"/>
      </w:divBdr>
    </w:div>
    <w:div w:id="1108086612">
      <w:bodyDiv w:val="1"/>
      <w:marLeft w:val="0"/>
      <w:marRight w:val="0"/>
      <w:marTop w:val="0"/>
      <w:marBottom w:val="0"/>
      <w:divBdr>
        <w:top w:val="none" w:sz="0" w:space="0" w:color="auto"/>
        <w:left w:val="none" w:sz="0" w:space="0" w:color="auto"/>
        <w:bottom w:val="none" w:sz="0" w:space="0" w:color="auto"/>
        <w:right w:val="none" w:sz="0" w:space="0" w:color="auto"/>
      </w:divBdr>
    </w:div>
    <w:div w:id="1120106378">
      <w:bodyDiv w:val="1"/>
      <w:marLeft w:val="0"/>
      <w:marRight w:val="0"/>
      <w:marTop w:val="0"/>
      <w:marBottom w:val="0"/>
      <w:divBdr>
        <w:top w:val="none" w:sz="0" w:space="0" w:color="auto"/>
        <w:left w:val="none" w:sz="0" w:space="0" w:color="auto"/>
        <w:bottom w:val="none" w:sz="0" w:space="0" w:color="auto"/>
        <w:right w:val="none" w:sz="0" w:space="0" w:color="auto"/>
      </w:divBdr>
    </w:div>
    <w:div w:id="1129667117">
      <w:bodyDiv w:val="1"/>
      <w:marLeft w:val="0"/>
      <w:marRight w:val="0"/>
      <w:marTop w:val="0"/>
      <w:marBottom w:val="0"/>
      <w:divBdr>
        <w:top w:val="none" w:sz="0" w:space="0" w:color="auto"/>
        <w:left w:val="none" w:sz="0" w:space="0" w:color="auto"/>
        <w:bottom w:val="none" w:sz="0" w:space="0" w:color="auto"/>
        <w:right w:val="none" w:sz="0" w:space="0" w:color="auto"/>
      </w:divBdr>
    </w:div>
    <w:div w:id="1133526197">
      <w:bodyDiv w:val="1"/>
      <w:marLeft w:val="0"/>
      <w:marRight w:val="0"/>
      <w:marTop w:val="0"/>
      <w:marBottom w:val="0"/>
      <w:divBdr>
        <w:top w:val="none" w:sz="0" w:space="0" w:color="auto"/>
        <w:left w:val="none" w:sz="0" w:space="0" w:color="auto"/>
        <w:bottom w:val="none" w:sz="0" w:space="0" w:color="auto"/>
        <w:right w:val="none" w:sz="0" w:space="0" w:color="auto"/>
      </w:divBdr>
    </w:div>
    <w:div w:id="1146781046">
      <w:bodyDiv w:val="1"/>
      <w:marLeft w:val="0"/>
      <w:marRight w:val="0"/>
      <w:marTop w:val="0"/>
      <w:marBottom w:val="0"/>
      <w:divBdr>
        <w:top w:val="none" w:sz="0" w:space="0" w:color="auto"/>
        <w:left w:val="none" w:sz="0" w:space="0" w:color="auto"/>
        <w:bottom w:val="none" w:sz="0" w:space="0" w:color="auto"/>
        <w:right w:val="none" w:sz="0" w:space="0" w:color="auto"/>
      </w:divBdr>
    </w:div>
    <w:div w:id="1149781465">
      <w:bodyDiv w:val="1"/>
      <w:marLeft w:val="0"/>
      <w:marRight w:val="0"/>
      <w:marTop w:val="0"/>
      <w:marBottom w:val="0"/>
      <w:divBdr>
        <w:top w:val="none" w:sz="0" w:space="0" w:color="auto"/>
        <w:left w:val="none" w:sz="0" w:space="0" w:color="auto"/>
        <w:bottom w:val="none" w:sz="0" w:space="0" w:color="auto"/>
        <w:right w:val="none" w:sz="0" w:space="0" w:color="auto"/>
      </w:divBdr>
    </w:div>
    <w:div w:id="1156800180">
      <w:bodyDiv w:val="1"/>
      <w:marLeft w:val="0"/>
      <w:marRight w:val="0"/>
      <w:marTop w:val="0"/>
      <w:marBottom w:val="0"/>
      <w:divBdr>
        <w:top w:val="none" w:sz="0" w:space="0" w:color="auto"/>
        <w:left w:val="none" w:sz="0" w:space="0" w:color="auto"/>
        <w:bottom w:val="none" w:sz="0" w:space="0" w:color="auto"/>
        <w:right w:val="none" w:sz="0" w:space="0" w:color="auto"/>
      </w:divBdr>
    </w:div>
    <w:div w:id="1162234673">
      <w:bodyDiv w:val="1"/>
      <w:marLeft w:val="0"/>
      <w:marRight w:val="0"/>
      <w:marTop w:val="0"/>
      <w:marBottom w:val="0"/>
      <w:divBdr>
        <w:top w:val="none" w:sz="0" w:space="0" w:color="auto"/>
        <w:left w:val="none" w:sz="0" w:space="0" w:color="auto"/>
        <w:bottom w:val="none" w:sz="0" w:space="0" w:color="auto"/>
        <w:right w:val="none" w:sz="0" w:space="0" w:color="auto"/>
      </w:divBdr>
    </w:div>
    <w:div w:id="1162812093">
      <w:bodyDiv w:val="1"/>
      <w:marLeft w:val="0"/>
      <w:marRight w:val="0"/>
      <w:marTop w:val="0"/>
      <w:marBottom w:val="0"/>
      <w:divBdr>
        <w:top w:val="none" w:sz="0" w:space="0" w:color="auto"/>
        <w:left w:val="none" w:sz="0" w:space="0" w:color="auto"/>
        <w:bottom w:val="none" w:sz="0" w:space="0" w:color="auto"/>
        <w:right w:val="none" w:sz="0" w:space="0" w:color="auto"/>
      </w:divBdr>
    </w:div>
    <w:div w:id="1166213695">
      <w:bodyDiv w:val="1"/>
      <w:marLeft w:val="0"/>
      <w:marRight w:val="0"/>
      <w:marTop w:val="0"/>
      <w:marBottom w:val="0"/>
      <w:divBdr>
        <w:top w:val="none" w:sz="0" w:space="0" w:color="auto"/>
        <w:left w:val="none" w:sz="0" w:space="0" w:color="auto"/>
        <w:bottom w:val="none" w:sz="0" w:space="0" w:color="auto"/>
        <w:right w:val="none" w:sz="0" w:space="0" w:color="auto"/>
      </w:divBdr>
    </w:div>
    <w:div w:id="1176533072">
      <w:bodyDiv w:val="1"/>
      <w:marLeft w:val="0"/>
      <w:marRight w:val="0"/>
      <w:marTop w:val="0"/>
      <w:marBottom w:val="0"/>
      <w:divBdr>
        <w:top w:val="none" w:sz="0" w:space="0" w:color="auto"/>
        <w:left w:val="none" w:sz="0" w:space="0" w:color="auto"/>
        <w:bottom w:val="none" w:sz="0" w:space="0" w:color="auto"/>
        <w:right w:val="none" w:sz="0" w:space="0" w:color="auto"/>
      </w:divBdr>
    </w:div>
    <w:div w:id="1188836822">
      <w:bodyDiv w:val="1"/>
      <w:marLeft w:val="0"/>
      <w:marRight w:val="0"/>
      <w:marTop w:val="0"/>
      <w:marBottom w:val="0"/>
      <w:divBdr>
        <w:top w:val="none" w:sz="0" w:space="0" w:color="auto"/>
        <w:left w:val="none" w:sz="0" w:space="0" w:color="auto"/>
        <w:bottom w:val="none" w:sz="0" w:space="0" w:color="auto"/>
        <w:right w:val="none" w:sz="0" w:space="0" w:color="auto"/>
      </w:divBdr>
    </w:div>
    <w:div w:id="1193154484">
      <w:bodyDiv w:val="1"/>
      <w:marLeft w:val="0"/>
      <w:marRight w:val="0"/>
      <w:marTop w:val="0"/>
      <w:marBottom w:val="0"/>
      <w:divBdr>
        <w:top w:val="none" w:sz="0" w:space="0" w:color="auto"/>
        <w:left w:val="none" w:sz="0" w:space="0" w:color="auto"/>
        <w:bottom w:val="none" w:sz="0" w:space="0" w:color="auto"/>
        <w:right w:val="none" w:sz="0" w:space="0" w:color="auto"/>
      </w:divBdr>
    </w:div>
    <w:div w:id="1194461317">
      <w:bodyDiv w:val="1"/>
      <w:marLeft w:val="0"/>
      <w:marRight w:val="0"/>
      <w:marTop w:val="0"/>
      <w:marBottom w:val="0"/>
      <w:divBdr>
        <w:top w:val="none" w:sz="0" w:space="0" w:color="auto"/>
        <w:left w:val="none" w:sz="0" w:space="0" w:color="auto"/>
        <w:bottom w:val="none" w:sz="0" w:space="0" w:color="auto"/>
        <w:right w:val="none" w:sz="0" w:space="0" w:color="auto"/>
      </w:divBdr>
    </w:div>
    <w:div w:id="1200312522">
      <w:bodyDiv w:val="1"/>
      <w:marLeft w:val="0"/>
      <w:marRight w:val="0"/>
      <w:marTop w:val="0"/>
      <w:marBottom w:val="0"/>
      <w:divBdr>
        <w:top w:val="none" w:sz="0" w:space="0" w:color="auto"/>
        <w:left w:val="none" w:sz="0" w:space="0" w:color="auto"/>
        <w:bottom w:val="none" w:sz="0" w:space="0" w:color="auto"/>
        <w:right w:val="none" w:sz="0" w:space="0" w:color="auto"/>
      </w:divBdr>
    </w:div>
    <w:div w:id="1205949893">
      <w:bodyDiv w:val="1"/>
      <w:marLeft w:val="0"/>
      <w:marRight w:val="0"/>
      <w:marTop w:val="0"/>
      <w:marBottom w:val="0"/>
      <w:divBdr>
        <w:top w:val="none" w:sz="0" w:space="0" w:color="auto"/>
        <w:left w:val="none" w:sz="0" w:space="0" w:color="auto"/>
        <w:bottom w:val="none" w:sz="0" w:space="0" w:color="auto"/>
        <w:right w:val="none" w:sz="0" w:space="0" w:color="auto"/>
      </w:divBdr>
    </w:div>
    <w:div w:id="1210847720">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8273553">
      <w:bodyDiv w:val="1"/>
      <w:marLeft w:val="0"/>
      <w:marRight w:val="0"/>
      <w:marTop w:val="0"/>
      <w:marBottom w:val="0"/>
      <w:divBdr>
        <w:top w:val="none" w:sz="0" w:space="0" w:color="auto"/>
        <w:left w:val="none" w:sz="0" w:space="0" w:color="auto"/>
        <w:bottom w:val="none" w:sz="0" w:space="0" w:color="auto"/>
        <w:right w:val="none" w:sz="0" w:space="0" w:color="auto"/>
      </w:divBdr>
    </w:div>
    <w:div w:id="1222672130">
      <w:bodyDiv w:val="1"/>
      <w:marLeft w:val="0"/>
      <w:marRight w:val="0"/>
      <w:marTop w:val="0"/>
      <w:marBottom w:val="0"/>
      <w:divBdr>
        <w:top w:val="none" w:sz="0" w:space="0" w:color="auto"/>
        <w:left w:val="none" w:sz="0" w:space="0" w:color="auto"/>
        <w:bottom w:val="none" w:sz="0" w:space="0" w:color="auto"/>
        <w:right w:val="none" w:sz="0" w:space="0" w:color="auto"/>
      </w:divBdr>
    </w:div>
    <w:div w:id="1228569341">
      <w:bodyDiv w:val="1"/>
      <w:marLeft w:val="0"/>
      <w:marRight w:val="0"/>
      <w:marTop w:val="0"/>
      <w:marBottom w:val="0"/>
      <w:divBdr>
        <w:top w:val="none" w:sz="0" w:space="0" w:color="auto"/>
        <w:left w:val="none" w:sz="0" w:space="0" w:color="auto"/>
        <w:bottom w:val="none" w:sz="0" w:space="0" w:color="auto"/>
        <w:right w:val="none" w:sz="0" w:space="0" w:color="auto"/>
      </w:divBdr>
    </w:div>
    <w:div w:id="1229611227">
      <w:bodyDiv w:val="1"/>
      <w:marLeft w:val="0"/>
      <w:marRight w:val="0"/>
      <w:marTop w:val="0"/>
      <w:marBottom w:val="0"/>
      <w:divBdr>
        <w:top w:val="none" w:sz="0" w:space="0" w:color="auto"/>
        <w:left w:val="none" w:sz="0" w:space="0" w:color="auto"/>
        <w:bottom w:val="none" w:sz="0" w:space="0" w:color="auto"/>
        <w:right w:val="none" w:sz="0" w:space="0" w:color="auto"/>
      </w:divBdr>
    </w:div>
    <w:div w:id="1241015681">
      <w:bodyDiv w:val="1"/>
      <w:marLeft w:val="0"/>
      <w:marRight w:val="0"/>
      <w:marTop w:val="0"/>
      <w:marBottom w:val="0"/>
      <w:divBdr>
        <w:top w:val="none" w:sz="0" w:space="0" w:color="auto"/>
        <w:left w:val="none" w:sz="0" w:space="0" w:color="auto"/>
        <w:bottom w:val="none" w:sz="0" w:space="0" w:color="auto"/>
        <w:right w:val="none" w:sz="0" w:space="0" w:color="auto"/>
      </w:divBdr>
    </w:div>
    <w:div w:id="1244726397">
      <w:bodyDiv w:val="1"/>
      <w:marLeft w:val="0"/>
      <w:marRight w:val="0"/>
      <w:marTop w:val="0"/>
      <w:marBottom w:val="0"/>
      <w:divBdr>
        <w:top w:val="none" w:sz="0" w:space="0" w:color="auto"/>
        <w:left w:val="none" w:sz="0" w:space="0" w:color="auto"/>
        <w:bottom w:val="none" w:sz="0" w:space="0" w:color="auto"/>
        <w:right w:val="none" w:sz="0" w:space="0" w:color="auto"/>
      </w:divBdr>
    </w:div>
    <w:div w:id="1266578149">
      <w:bodyDiv w:val="1"/>
      <w:marLeft w:val="0"/>
      <w:marRight w:val="0"/>
      <w:marTop w:val="0"/>
      <w:marBottom w:val="0"/>
      <w:divBdr>
        <w:top w:val="none" w:sz="0" w:space="0" w:color="auto"/>
        <w:left w:val="none" w:sz="0" w:space="0" w:color="auto"/>
        <w:bottom w:val="none" w:sz="0" w:space="0" w:color="auto"/>
        <w:right w:val="none" w:sz="0" w:space="0" w:color="auto"/>
      </w:divBdr>
    </w:div>
    <w:div w:id="1271283896">
      <w:bodyDiv w:val="1"/>
      <w:marLeft w:val="0"/>
      <w:marRight w:val="0"/>
      <w:marTop w:val="0"/>
      <w:marBottom w:val="0"/>
      <w:divBdr>
        <w:top w:val="none" w:sz="0" w:space="0" w:color="auto"/>
        <w:left w:val="none" w:sz="0" w:space="0" w:color="auto"/>
        <w:bottom w:val="none" w:sz="0" w:space="0" w:color="auto"/>
        <w:right w:val="none" w:sz="0" w:space="0" w:color="auto"/>
      </w:divBdr>
    </w:div>
    <w:div w:id="1274821542">
      <w:bodyDiv w:val="1"/>
      <w:marLeft w:val="0"/>
      <w:marRight w:val="0"/>
      <w:marTop w:val="0"/>
      <w:marBottom w:val="0"/>
      <w:divBdr>
        <w:top w:val="none" w:sz="0" w:space="0" w:color="auto"/>
        <w:left w:val="none" w:sz="0" w:space="0" w:color="auto"/>
        <w:bottom w:val="none" w:sz="0" w:space="0" w:color="auto"/>
        <w:right w:val="none" w:sz="0" w:space="0" w:color="auto"/>
      </w:divBdr>
    </w:div>
    <w:div w:id="1285842769">
      <w:bodyDiv w:val="1"/>
      <w:marLeft w:val="0"/>
      <w:marRight w:val="0"/>
      <w:marTop w:val="0"/>
      <w:marBottom w:val="0"/>
      <w:divBdr>
        <w:top w:val="none" w:sz="0" w:space="0" w:color="auto"/>
        <w:left w:val="none" w:sz="0" w:space="0" w:color="auto"/>
        <w:bottom w:val="none" w:sz="0" w:space="0" w:color="auto"/>
        <w:right w:val="none" w:sz="0" w:space="0" w:color="auto"/>
      </w:divBdr>
    </w:div>
    <w:div w:id="1290282859">
      <w:bodyDiv w:val="1"/>
      <w:marLeft w:val="0"/>
      <w:marRight w:val="0"/>
      <w:marTop w:val="0"/>
      <w:marBottom w:val="0"/>
      <w:divBdr>
        <w:top w:val="none" w:sz="0" w:space="0" w:color="auto"/>
        <w:left w:val="none" w:sz="0" w:space="0" w:color="auto"/>
        <w:bottom w:val="none" w:sz="0" w:space="0" w:color="auto"/>
        <w:right w:val="none" w:sz="0" w:space="0" w:color="auto"/>
      </w:divBdr>
    </w:div>
    <w:div w:id="1294022758">
      <w:bodyDiv w:val="1"/>
      <w:marLeft w:val="0"/>
      <w:marRight w:val="0"/>
      <w:marTop w:val="0"/>
      <w:marBottom w:val="0"/>
      <w:divBdr>
        <w:top w:val="none" w:sz="0" w:space="0" w:color="auto"/>
        <w:left w:val="none" w:sz="0" w:space="0" w:color="auto"/>
        <w:bottom w:val="none" w:sz="0" w:space="0" w:color="auto"/>
        <w:right w:val="none" w:sz="0" w:space="0" w:color="auto"/>
      </w:divBdr>
    </w:div>
    <w:div w:id="1307707396">
      <w:bodyDiv w:val="1"/>
      <w:marLeft w:val="0"/>
      <w:marRight w:val="0"/>
      <w:marTop w:val="0"/>
      <w:marBottom w:val="0"/>
      <w:divBdr>
        <w:top w:val="none" w:sz="0" w:space="0" w:color="auto"/>
        <w:left w:val="none" w:sz="0" w:space="0" w:color="auto"/>
        <w:bottom w:val="none" w:sz="0" w:space="0" w:color="auto"/>
        <w:right w:val="none" w:sz="0" w:space="0" w:color="auto"/>
      </w:divBdr>
    </w:div>
    <w:div w:id="1314406056">
      <w:bodyDiv w:val="1"/>
      <w:marLeft w:val="0"/>
      <w:marRight w:val="0"/>
      <w:marTop w:val="0"/>
      <w:marBottom w:val="0"/>
      <w:divBdr>
        <w:top w:val="none" w:sz="0" w:space="0" w:color="auto"/>
        <w:left w:val="none" w:sz="0" w:space="0" w:color="auto"/>
        <w:bottom w:val="none" w:sz="0" w:space="0" w:color="auto"/>
        <w:right w:val="none" w:sz="0" w:space="0" w:color="auto"/>
      </w:divBdr>
    </w:div>
    <w:div w:id="1320036900">
      <w:bodyDiv w:val="1"/>
      <w:marLeft w:val="0"/>
      <w:marRight w:val="0"/>
      <w:marTop w:val="0"/>
      <w:marBottom w:val="0"/>
      <w:divBdr>
        <w:top w:val="none" w:sz="0" w:space="0" w:color="auto"/>
        <w:left w:val="none" w:sz="0" w:space="0" w:color="auto"/>
        <w:bottom w:val="none" w:sz="0" w:space="0" w:color="auto"/>
        <w:right w:val="none" w:sz="0" w:space="0" w:color="auto"/>
      </w:divBdr>
    </w:div>
    <w:div w:id="1330864151">
      <w:bodyDiv w:val="1"/>
      <w:marLeft w:val="0"/>
      <w:marRight w:val="0"/>
      <w:marTop w:val="0"/>
      <w:marBottom w:val="0"/>
      <w:divBdr>
        <w:top w:val="none" w:sz="0" w:space="0" w:color="auto"/>
        <w:left w:val="none" w:sz="0" w:space="0" w:color="auto"/>
        <w:bottom w:val="none" w:sz="0" w:space="0" w:color="auto"/>
        <w:right w:val="none" w:sz="0" w:space="0" w:color="auto"/>
      </w:divBdr>
    </w:div>
    <w:div w:id="1331517609">
      <w:bodyDiv w:val="1"/>
      <w:marLeft w:val="0"/>
      <w:marRight w:val="0"/>
      <w:marTop w:val="0"/>
      <w:marBottom w:val="0"/>
      <w:divBdr>
        <w:top w:val="none" w:sz="0" w:space="0" w:color="auto"/>
        <w:left w:val="none" w:sz="0" w:space="0" w:color="auto"/>
        <w:bottom w:val="none" w:sz="0" w:space="0" w:color="auto"/>
        <w:right w:val="none" w:sz="0" w:space="0" w:color="auto"/>
      </w:divBdr>
    </w:div>
    <w:div w:id="1332173855">
      <w:bodyDiv w:val="1"/>
      <w:marLeft w:val="0"/>
      <w:marRight w:val="0"/>
      <w:marTop w:val="0"/>
      <w:marBottom w:val="0"/>
      <w:divBdr>
        <w:top w:val="none" w:sz="0" w:space="0" w:color="auto"/>
        <w:left w:val="none" w:sz="0" w:space="0" w:color="auto"/>
        <w:bottom w:val="none" w:sz="0" w:space="0" w:color="auto"/>
        <w:right w:val="none" w:sz="0" w:space="0" w:color="auto"/>
      </w:divBdr>
    </w:div>
    <w:div w:id="1355231216">
      <w:bodyDiv w:val="1"/>
      <w:marLeft w:val="0"/>
      <w:marRight w:val="0"/>
      <w:marTop w:val="0"/>
      <w:marBottom w:val="0"/>
      <w:divBdr>
        <w:top w:val="none" w:sz="0" w:space="0" w:color="auto"/>
        <w:left w:val="none" w:sz="0" w:space="0" w:color="auto"/>
        <w:bottom w:val="none" w:sz="0" w:space="0" w:color="auto"/>
        <w:right w:val="none" w:sz="0" w:space="0" w:color="auto"/>
      </w:divBdr>
    </w:div>
    <w:div w:id="1356075911">
      <w:bodyDiv w:val="1"/>
      <w:marLeft w:val="0"/>
      <w:marRight w:val="0"/>
      <w:marTop w:val="0"/>
      <w:marBottom w:val="0"/>
      <w:divBdr>
        <w:top w:val="none" w:sz="0" w:space="0" w:color="auto"/>
        <w:left w:val="none" w:sz="0" w:space="0" w:color="auto"/>
        <w:bottom w:val="none" w:sz="0" w:space="0" w:color="auto"/>
        <w:right w:val="none" w:sz="0" w:space="0" w:color="auto"/>
      </w:divBdr>
    </w:div>
    <w:div w:id="1359546864">
      <w:bodyDiv w:val="1"/>
      <w:marLeft w:val="0"/>
      <w:marRight w:val="0"/>
      <w:marTop w:val="0"/>
      <w:marBottom w:val="0"/>
      <w:divBdr>
        <w:top w:val="none" w:sz="0" w:space="0" w:color="auto"/>
        <w:left w:val="none" w:sz="0" w:space="0" w:color="auto"/>
        <w:bottom w:val="none" w:sz="0" w:space="0" w:color="auto"/>
        <w:right w:val="none" w:sz="0" w:space="0" w:color="auto"/>
      </w:divBdr>
    </w:div>
    <w:div w:id="1364553948">
      <w:bodyDiv w:val="1"/>
      <w:marLeft w:val="0"/>
      <w:marRight w:val="0"/>
      <w:marTop w:val="0"/>
      <w:marBottom w:val="0"/>
      <w:divBdr>
        <w:top w:val="none" w:sz="0" w:space="0" w:color="auto"/>
        <w:left w:val="none" w:sz="0" w:space="0" w:color="auto"/>
        <w:bottom w:val="none" w:sz="0" w:space="0" w:color="auto"/>
        <w:right w:val="none" w:sz="0" w:space="0" w:color="auto"/>
      </w:divBdr>
    </w:div>
    <w:div w:id="1377197137">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4018603">
      <w:bodyDiv w:val="1"/>
      <w:marLeft w:val="0"/>
      <w:marRight w:val="0"/>
      <w:marTop w:val="0"/>
      <w:marBottom w:val="0"/>
      <w:divBdr>
        <w:top w:val="none" w:sz="0" w:space="0" w:color="auto"/>
        <w:left w:val="none" w:sz="0" w:space="0" w:color="auto"/>
        <w:bottom w:val="none" w:sz="0" w:space="0" w:color="auto"/>
        <w:right w:val="none" w:sz="0" w:space="0" w:color="auto"/>
      </w:divBdr>
    </w:div>
    <w:div w:id="1406218130">
      <w:bodyDiv w:val="1"/>
      <w:marLeft w:val="0"/>
      <w:marRight w:val="0"/>
      <w:marTop w:val="0"/>
      <w:marBottom w:val="0"/>
      <w:divBdr>
        <w:top w:val="none" w:sz="0" w:space="0" w:color="auto"/>
        <w:left w:val="none" w:sz="0" w:space="0" w:color="auto"/>
        <w:bottom w:val="none" w:sz="0" w:space="0" w:color="auto"/>
        <w:right w:val="none" w:sz="0" w:space="0" w:color="auto"/>
      </w:divBdr>
    </w:div>
    <w:div w:id="1407074425">
      <w:bodyDiv w:val="1"/>
      <w:marLeft w:val="0"/>
      <w:marRight w:val="0"/>
      <w:marTop w:val="0"/>
      <w:marBottom w:val="0"/>
      <w:divBdr>
        <w:top w:val="none" w:sz="0" w:space="0" w:color="auto"/>
        <w:left w:val="none" w:sz="0" w:space="0" w:color="auto"/>
        <w:bottom w:val="none" w:sz="0" w:space="0" w:color="auto"/>
        <w:right w:val="none" w:sz="0" w:space="0" w:color="auto"/>
      </w:divBdr>
    </w:div>
    <w:div w:id="1416514550">
      <w:bodyDiv w:val="1"/>
      <w:marLeft w:val="0"/>
      <w:marRight w:val="0"/>
      <w:marTop w:val="0"/>
      <w:marBottom w:val="0"/>
      <w:divBdr>
        <w:top w:val="none" w:sz="0" w:space="0" w:color="auto"/>
        <w:left w:val="none" w:sz="0" w:space="0" w:color="auto"/>
        <w:bottom w:val="none" w:sz="0" w:space="0" w:color="auto"/>
        <w:right w:val="none" w:sz="0" w:space="0" w:color="auto"/>
      </w:divBdr>
    </w:div>
    <w:div w:id="1428380929">
      <w:bodyDiv w:val="1"/>
      <w:marLeft w:val="0"/>
      <w:marRight w:val="0"/>
      <w:marTop w:val="0"/>
      <w:marBottom w:val="0"/>
      <w:divBdr>
        <w:top w:val="none" w:sz="0" w:space="0" w:color="auto"/>
        <w:left w:val="none" w:sz="0" w:space="0" w:color="auto"/>
        <w:bottom w:val="none" w:sz="0" w:space="0" w:color="auto"/>
        <w:right w:val="none" w:sz="0" w:space="0" w:color="auto"/>
      </w:divBdr>
    </w:div>
    <w:div w:id="1431319439">
      <w:bodyDiv w:val="1"/>
      <w:marLeft w:val="0"/>
      <w:marRight w:val="0"/>
      <w:marTop w:val="0"/>
      <w:marBottom w:val="0"/>
      <w:divBdr>
        <w:top w:val="none" w:sz="0" w:space="0" w:color="auto"/>
        <w:left w:val="none" w:sz="0" w:space="0" w:color="auto"/>
        <w:bottom w:val="none" w:sz="0" w:space="0" w:color="auto"/>
        <w:right w:val="none" w:sz="0" w:space="0" w:color="auto"/>
      </w:divBdr>
    </w:div>
    <w:div w:id="1431900056">
      <w:bodyDiv w:val="1"/>
      <w:marLeft w:val="0"/>
      <w:marRight w:val="0"/>
      <w:marTop w:val="0"/>
      <w:marBottom w:val="0"/>
      <w:divBdr>
        <w:top w:val="none" w:sz="0" w:space="0" w:color="auto"/>
        <w:left w:val="none" w:sz="0" w:space="0" w:color="auto"/>
        <w:bottom w:val="none" w:sz="0" w:space="0" w:color="auto"/>
        <w:right w:val="none" w:sz="0" w:space="0" w:color="auto"/>
      </w:divBdr>
    </w:div>
    <w:div w:id="1442140347">
      <w:bodyDiv w:val="1"/>
      <w:marLeft w:val="0"/>
      <w:marRight w:val="0"/>
      <w:marTop w:val="0"/>
      <w:marBottom w:val="0"/>
      <w:divBdr>
        <w:top w:val="none" w:sz="0" w:space="0" w:color="auto"/>
        <w:left w:val="none" w:sz="0" w:space="0" w:color="auto"/>
        <w:bottom w:val="none" w:sz="0" w:space="0" w:color="auto"/>
        <w:right w:val="none" w:sz="0" w:space="0" w:color="auto"/>
      </w:divBdr>
    </w:div>
    <w:div w:id="1444349904">
      <w:bodyDiv w:val="1"/>
      <w:marLeft w:val="0"/>
      <w:marRight w:val="0"/>
      <w:marTop w:val="0"/>
      <w:marBottom w:val="0"/>
      <w:divBdr>
        <w:top w:val="none" w:sz="0" w:space="0" w:color="auto"/>
        <w:left w:val="none" w:sz="0" w:space="0" w:color="auto"/>
        <w:bottom w:val="none" w:sz="0" w:space="0" w:color="auto"/>
        <w:right w:val="none" w:sz="0" w:space="0" w:color="auto"/>
      </w:divBdr>
    </w:div>
    <w:div w:id="1447655859">
      <w:bodyDiv w:val="1"/>
      <w:marLeft w:val="0"/>
      <w:marRight w:val="0"/>
      <w:marTop w:val="0"/>
      <w:marBottom w:val="0"/>
      <w:divBdr>
        <w:top w:val="none" w:sz="0" w:space="0" w:color="auto"/>
        <w:left w:val="none" w:sz="0" w:space="0" w:color="auto"/>
        <w:bottom w:val="none" w:sz="0" w:space="0" w:color="auto"/>
        <w:right w:val="none" w:sz="0" w:space="0" w:color="auto"/>
      </w:divBdr>
    </w:div>
    <w:div w:id="1462504595">
      <w:bodyDiv w:val="1"/>
      <w:marLeft w:val="0"/>
      <w:marRight w:val="0"/>
      <w:marTop w:val="0"/>
      <w:marBottom w:val="0"/>
      <w:divBdr>
        <w:top w:val="none" w:sz="0" w:space="0" w:color="auto"/>
        <w:left w:val="none" w:sz="0" w:space="0" w:color="auto"/>
        <w:bottom w:val="none" w:sz="0" w:space="0" w:color="auto"/>
        <w:right w:val="none" w:sz="0" w:space="0" w:color="auto"/>
      </w:divBdr>
    </w:div>
    <w:div w:id="1462572901">
      <w:bodyDiv w:val="1"/>
      <w:marLeft w:val="0"/>
      <w:marRight w:val="0"/>
      <w:marTop w:val="0"/>
      <w:marBottom w:val="0"/>
      <w:divBdr>
        <w:top w:val="none" w:sz="0" w:space="0" w:color="auto"/>
        <w:left w:val="none" w:sz="0" w:space="0" w:color="auto"/>
        <w:bottom w:val="none" w:sz="0" w:space="0" w:color="auto"/>
        <w:right w:val="none" w:sz="0" w:space="0" w:color="auto"/>
      </w:divBdr>
    </w:div>
    <w:div w:id="1463427101">
      <w:bodyDiv w:val="1"/>
      <w:marLeft w:val="0"/>
      <w:marRight w:val="0"/>
      <w:marTop w:val="0"/>
      <w:marBottom w:val="0"/>
      <w:divBdr>
        <w:top w:val="none" w:sz="0" w:space="0" w:color="auto"/>
        <w:left w:val="none" w:sz="0" w:space="0" w:color="auto"/>
        <w:bottom w:val="none" w:sz="0" w:space="0" w:color="auto"/>
        <w:right w:val="none" w:sz="0" w:space="0" w:color="auto"/>
      </w:divBdr>
    </w:div>
    <w:div w:id="1466509373">
      <w:bodyDiv w:val="1"/>
      <w:marLeft w:val="0"/>
      <w:marRight w:val="0"/>
      <w:marTop w:val="0"/>
      <w:marBottom w:val="0"/>
      <w:divBdr>
        <w:top w:val="none" w:sz="0" w:space="0" w:color="auto"/>
        <w:left w:val="none" w:sz="0" w:space="0" w:color="auto"/>
        <w:bottom w:val="none" w:sz="0" w:space="0" w:color="auto"/>
        <w:right w:val="none" w:sz="0" w:space="0" w:color="auto"/>
      </w:divBdr>
    </w:div>
    <w:div w:id="1472019082">
      <w:bodyDiv w:val="1"/>
      <w:marLeft w:val="0"/>
      <w:marRight w:val="0"/>
      <w:marTop w:val="0"/>
      <w:marBottom w:val="0"/>
      <w:divBdr>
        <w:top w:val="none" w:sz="0" w:space="0" w:color="auto"/>
        <w:left w:val="none" w:sz="0" w:space="0" w:color="auto"/>
        <w:bottom w:val="none" w:sz="0" w:space="0" w:color="auto"/>
        <w:right w:val="none" w:sz="0" w:space="0" w:color="auto"/>
      </w:divBdr>
    </w:div>
    <w:div w:id="1479765226">
      <w:bodyDiv w:val="1"/>
      <w:marLeft w:val="0"/>
      <w:marRight w:val="0"/>
      <w:marTop w:val="0"/>
      <w:marBottom w:val="0"/>
      <w:divBdr>
        <w:top w:val="none" w:sz="0" w:space="0" w:color="auto"/>
        <w:left w:val="none" w:sz="0" w:space="0" w:color="auto"/>
        <w:bottom w:val="none" w:sz="0" w:space="0" w:color="auto"/>
        <w:right w:val="none" w:sz="0" w:space="0" w:color="auto"/>
      </w:divBdr>
    </w:div>
    <w:div w:id="1485316466">
      <w:bodyDiv w:val="1"/>
      <w:marLeft w:val="0"/>
      <w:marRight w:val="0"/>
      <w:marTop w:val="0"/>
      <w:marBottom w:val="0"/>
      <w:divBdr>
        <w:top w:val="none" w:sz="0" w:space="0" w:color="auto"/>
        <w:left w:val="none" w:sz="0" w:space="0" w:color="auto"/>
        <w:bottom w:val="none" w:sz="0" w:space="0" w:color="auto"/>
        <w:right w:val="none" w:sz="0" w:space="0" w:color="auto"/>
      </w:divBdr>
    </w:div>
    <w:div w:id="1488941860">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803080">
      <w:bodyDiv w:val="1"/>
      <w:marLeft w:val="0"/>
      <w:marRight w:val="0"/>
      <w:marTop w:val="0"/>
      <w:marBottom w:val="0"/>
      <w:divBdr>
        <w:top w:val="none" w:sz="0" w:space="0" w:color="auto"/>
        <w:left w:val="none" w:sz="0" w:space="0" w:color="auto"/>
        <w:bottom w:val="none" w:sz="0" w:space="0" w:color="auto"/>
        <w:right w:val="none" w:sz="0" w:space="0" w:color="auto"/>
      </w:divBdr>
    </w:div>
    <w:div w:id="1502887871">
      <w:bodyDiv w:val="1"/>
      <w:marLeft w:val="0"/>
      <w:marRight w:val="0"/>
      <w:marTop w:val="0"/>
      <w:marBottom w:val="0"/>
      <w:divBdr>
        <w:top w:val="none" w:sz="0" w:space="0" w:color="auto"/>
        <w:left w:val="none" w:sz="0" w:space="0" w:color="auto"/>
        <w:bottom w:val="none" w:sz="0" w:space="0" w:color="auto"/>
        <w:right w:val="none" w:sz="0" w:space="0" w:color="auto"/>
      </w:divBdr>
    </w:div>
    <w:div w:id="1507598949">
      <w:bodyDiv w:val="1"/>
      <w:marLeft w:val="0"/>
      <w:marRight w:val="0"/>
      <w:marTop w:val="0"/>
      <w:marBottom w:val="0"/>
      <w:divBdr>
        <w:top w:val="none" w:sz="0" w:space="0" w:color="auto"/>
        <w:left w:val="none" w:sz="0" w:space="0" w:color="auto"/>
        <w:bottom w:val="none" w:sz="0" w:space="0" w:color="auto"/>
        <w:right w:val="none" w:sz="0" w:space="0" w:color="auto"/>
      </w:divBdr>
    </w:div>
    <w:div w:id="1516724727">
      <w:bodyDiv w:val="1"/>
      <w:marLeft w:val="0"/>
      <w:marRight w:val="0"/>
      <w:marTop w:val="0"/>
      <w:marBottom w:val="0"/>
      <w:divBdr>
        <w:top w:val="none" w:sz="0" w:space="0" w:color="auto"/>
        <w:left w:val="none" w:sz="0" w:space="0" w:color="auto"/>
        <w:bottom w:val="none" w:sz="0" w:space="0" w:color="auto"/>
        <w:right w:val="none" w:sz="0" w:space="0" w:color="auto"/>
      </w:divBdr>
    </w:div>
    <w:div w:id="1520461848">
      <w:bodyDiv w:val="1"/>
      <w:marLeft w:val="0"/>
      <w:marRight w:val="0"/>
      <w:marTop w:val="0"/>
      <w:marBottom w:val="0"/>
      <w:divBdr>
        <w:top w:val="none" w:sz="0" w:space="0" w:color="auto"/>
        <w:left w:val="none" w:sz="0" w:space="0" w:color="auto"/>
        <w:bottom w:val="none" w:sz="0" w:space="0" w:color="auto"/>
        <w:right w:val="none" w:sz="0" w:space="0" w:color="auto"/>
      </w:divBdr>
    </w:div>
    <w:div w:id="1521814628">
      <w:bodyDiv w:val="1"/>
      <w:marLeft w:val="0"/>
      <w:marRight w:val="0"/>
      <w:marTop w:val="0"/>
      <w:marBottom w:val="0"/>
      <w:divBdr>
        <w:top w:val="none" w:sz="0" w:space="0" w:color="auto"/>
        <w:left w:val="none" w:sz="0" w:space="0" w:color="auto"/>
        <w:bottom w:val="none" w:sz="0" w:space="0" w:color="auto"/>
        <w:right w:val="none" w:sz="0" w:space="0" w:color="auto"/>
      </w:divBdr>
    </w:div>
    <w:div w:id="1525553598">
      <w:bodyDiv w:val="1"/>
      <w:marLeft w:val="0"/>
      <w:marRight w:val="0"/>
      <w:marTop w:val="0"/>
      <w:marBottom w:val="0"/>
      <w:divBdr>
        <w:top w:val="none" w:sz="0" w:space="0" w:color="auto"/>
        <w:left w:val="none" w:sz="0" w:space="0" w:color="auto"/>
        <w:bottom w:val="none" w:sz="0" w:space="0" w:color="auto"/>
        <w:right w:val="none" w:sz="0" w:space="0" w:color="auto"/>
      </w:divBdr>
    </w:div>
    <w:div w:id="1549295857">
      <w:bodyDiv w:val="1"/>
      <w:marLeft w:val="0"/>
      <w:marRight w:val="0"/>
      <w:marTop w:val="0"/>
      <w:marBottom w:val="0"/>
      <w:divBdr>
        <w:top w:val="none" w:sz="0" w:space="0" w:color="auto"/>
        <w:left w:val="none" w:sz="0" w:space="0" w:color="auto"/>
        <w:bottom w:val="none" w:sz="0" w:space="0" w:color="auto"/>
        <w:right w:val="none" w:sz="0" w:space="0" w:color="auto"/>
      </w:divBdr>
    </w:div>
    <w:div w:id="1550844849">
      <w:bodyDiv w:val="1"/>
      <w:marLeft w:val="0"/>
      <w:marRight w:val="0"/>
      <w:marTop w:val="0"/>
      <w:marBottom w:val="0"/>
      <w:divBdr>
        <w:top w:val="none" w:sz="0" w:space="0" w:color="auto"/>
        <w:left w:val="none" w:sz="0" w:space="0" w:color="auto"/>
        <w:bottom w:val="none" w:sz="0" w:space="0" w:color="auto"/>
        <w:right w:val="none" w:sz="0" w:space="0" w:color="auto"/>
      </w:divBdr>
    </w:div>
    <w:div w:id="1551651896">
      <w:bodyDiv w:val="1"/>
      <w:marLeft w:val="0"/>
      <w:marRight w:val="0"/>
      <w:marTop w:val="0"/>
      <w:marBottom w:val="0"/>
      <w:divBdr>
        <w:top w:val="none" w:sz="0" w:space="0" w:color="auto"/>
        <w:left w:val="none" w:sz="0" w:space="0" w:color="auto"/>
        <w:bottom w:val="none" w:sz="0" w:space="0" w:color="auto"/>
        <w:right w:val="none" w:sz="0" w:space="0" w:color="auto"/>
      </w:divBdr>
    </w:div>
    <w:div w:id="1560021326">
      <w:bodyDiv w:val="1"/>
      <w:marLeft w:val="0"/>
      <w:marRight w:val="0"/>
      <w:marTop w:val="0"/>
      <w:marBottom w:val="0"/>
      <w:divBdr>
        <w:top w:val="none" w:sz="0" w:space="0" w:color="auto"/>
        <w:left w:val="none" w:sz="0" w:space="0" w:color="auto"/>
        <w:bottom w:val="none" w:sz="0" w:space="0" w:color="auto"/>
        <w:right w:val="none" w:sz="0" w:space="0" w:color="auto"/>
      </w:divBdr>
    </w:div>
    <w:div w:id="1570995878">
      <w:bodyDiv w:val="1"/>
      <w:marLeft w:val="0"/>
      <w:marRight w:val="0"/>
      <w:marTop w:val="0"/>
      <w:marBottom w:val="0"/>
      <w:divBdr>
        <w:top w:val="none" w:sz="0" w:space="0" w:color="auto"/>
        <w:left w:val="none" w:sz="0" w:space="0" w:color="auto"/>
        <w:bottom w:val="none" w:sz="0" w:space="0" w:color="auto"/>
        <w:right w:val="none" w:sz="0" w:space="0" w:color="auto"/>
      </w:divBdr>
    </w:div>
    <w:div w:id="1585067379">
      <w:bodyDiv w:val="1"/>
      <w:marLeft w:val="0"/>
      <w:marRight w:val="0"/>
      <w:marTop w:val="0"/>
      <w:marBottom w:val="0"/>
      <w:divBdr>
        <w:top w:val="none" w:sz="0" w:space="0" w:color="auto"/>
        <w:left w:val="none" w:sz="0" w:space="0" w:color="auto"/>
        <w:bottom w:val="none" w:sz="0" w:space="0" w:color="auto"/>
        <w:right w:val="none" w:sz="0" w:space="0" w:color="auto"/>
      </w:divBdr>
    </w:div>
    <w:div w:id="1589004055">
      <w:bodyDiv w:val="1"/>
      <w:marLeft w:val="0"/>
      <w:marRight w:val="0"/>
      <w:marTop w:val="0"/>
      <w:marBottom w:val="0"/>
      <w:divBdr>
        <w:top w:val="none" w:sz="0" w:space="0" w:color="auto"/>
        <w:left w:val="none" w:sz="0" w:space="0" w:color="auto"/>
        <w:bottom w:val="none" w:sz="0" w:space="0" w:color="auto"/>
        <w:right w:val="none" w:sz="0" w:space="0" w:color="auto"/>
      </w:divBdr>
    </w:div>
    <w:div w:id="1607689338">
      <w:bodyDiv w:val="1"/>
      <w:marLeft w:val="0"/>
      <w:marRight w:val="0"/>
      <w:marTop w:val="0"/>
      <w:marBottom w:val="0"/>
      <w:divBdr>
        <w:top w:val="none" w:sz="0" w:space="0" w:color="auto"/>
        <w:left w:val="none" w:sz="0" w:space="0" w:color="auto"/>
        <w:bottom w:val="none" w:sz="0" w:space="0" w:color="auto"/>
        <w:right w:val="none" w:sz="0" w:space="0" w:color="auto"/>
      </w:divBdr>
    </w:div>
    <w:div w:id="1614944314">
      <w:bodyDiv w:val="1"/>
      <w:marLeft w:val="0"/>
      <w:marRight w:val="0"/>
      <w:marTop w:val="0"/>
      <w:marBottom w:val="0"/>
      <w:divBdr>
        <w:top w:val="none" w:sz="0" w:space="0" w:color="auto"/>
        <w:left w:val="none" w:sz="0" w:space="0" w:color="auto"/>
        <w:bottom w:val="none" w:sz="0" w:space="0" w:color="auto"/>
        <w:right w:val="none" w:sz="0" w:space="0" w:color="auto"/>
      </w:divBdr>
    </w:div>
    <w:div w:id="1620448148">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5817260">
      <w:bodyDiv w:val="1"/>
      <w:marLeft w:val="0"/>
      <w:marRight w:val="0"/>
      <w:marTop w:val="0"/>
      <w:marBottom w:val="0"/>
      <w:divBdr>
        <w:top w:val="none" w:sz="0" w:space="0" w:color="auto"/>
        <w:left w:val="none" w:sz="0" w:space="0" w:color="auto"/>
        <w:bottom w:val="none" w:sz="0" w:space="0" w:color="auto"/>
        <w:right w:val="none" w:sz="0" w:space="0" w:color="auto"/>
      </w:divBdr>
    </w:div>
    <w:div w:id="1651398964">
      <w:bodyDiv w:val="1"/>
      <w:marLeft w:val="0"/>
      <w:marRight w:val="0"/>
      <w:marTop w:val="0"/>
      <w:marBottom w:val="0"/>
      <w:divBdr>
        <w:top w:val="none" w:sz="0" w:space="0" w:color="auto"/>
        <w:left w:val="none" w:sz="0" w:space="0" w:color="auto"/>
        <w:bottom w:val="none" w:sz="0" w:space="0" w:color="auto"/>
        <w:right w:val="none" w:sz="0" w:space="0" w:color="auto"/>
      </w:divBdr>
    </w:div>
    <w:div w:id="1667399387">
      <w:bodyDiv w:val="1"/>
      <w:marLeft w:val="0"/>
      <w:marRight w:val="0"/>
      <w:marTop w:val="0"/>
      <w:marBottom w:val="0"/>
      <w:divBdr>
        <w:top w:val="none" w:sz="0" w:space="0" w:color="auto"/>
        <w:left w:val="none" w:sz="0" w:space="0" w:color="auto"/>
        <w:bottom w:val="none" w:sz="0" w:space="0" w:color="auto"/>
        <w:right w:val="none" w:sz="0" w:space="0" w:color="auto"/>
      </w:divBdr>
    </w:div>
    <w:div w:id="1677422942">
      <w:bodyDiv w:val="1"/>
      <w:marLeft w:val="0"/>
      <w:marRight w:val="0"/>
      <w:marTop w:val="0"/>
      <w:marBottom w:val="0"/>
      <w:divBdr>
        <w:top w:val="none" w:sz="0" w:space="0" w:color="auto"/>
        <w:left w:val="none" w:sz="0" w:space="0" w:color="auto"/>
        <w:bottom w:val="none" w:sz="0" w:space="0" w:color="auto"/>
        <w:right w:val="none" w:sz="0" w:space="0" w:color="auto"/>
      </w:divBdr>
    </w:div>
    <w:div w:id="1691371803">
      <w:bodyDiv w:val="1"/>
      <w:marLeft w:val="0"/>
      <w:marRight w:val="0"/>
      <w:marTop w:val="0"/>
      <w:marBottom w:val="0"/>
      <w:divBdr>
        <w:top w:val="none" w:sz="0" w:space="0" w:color="auto"/>
        <w:left w:val="none" w:sz="0" w:space="0" w:color="auto"/>
        <w:bottom w:val="none" w:sz="0" w:space="0" w:color="auto"/>
        <w:right w:val="none" w:sz="0" w:space="0" w:color="auto"/>
      </w:divBdr>
    </w:div>
    <w:div w:id="1698389058">
      <w:bodyDiv w:val="1"/>
      <w:marLeft w:val="0"/>
      <w:marRight w:val="0"/>
      <w:marTop w:val="0"/>
      <w:marBottom w:val="0"/>
      <w:divBdr>
        <w:top w:val="none" w:sz="0" w:space="0" w:color="auto"/>
        <w:left w:val="none" w:sz="0" w:space="0" w:color="auto"/>
        <w:bottom w:val="none" w:sz="0" w:space="0" w:color="auto"/>
        <w:right w:val="none" w:sz="0" w:space="0" w:color="auto"/>
      </w:divBdr>
    </w:div>
    <w:div w:id="1699430965">
      <w:bodyDiv w:val="1"/>
      <w:marLeft w:val="0"/>
      <w:marRight w:val="0"/>
      <w:marTop w:val="0"/>
      <w:marBottom w:val="0"/>
      <w:divBdr>
        <w:top w:val="none" w:sz="0" w:space="0" w:color="auto"/>
        <w:left w:val="none" w:sz="0" w:space="0" w:color="auto"/>
        <w:bottom w:val="none" w:sz="0" w:space="0" w:color="auto"/>
        <w:right w:val="none" w:sz="0" w:space="0" w:color="auto"/>
      </w:divBdr>
    </w:div>
    <w:div w:id="1704204861">
      <w:bodyDiv w:val="1"/>
      <w:marLeft w:val="0"/>
      <w:marRight w:val="0"/>
      <w:marTop w:val="0"/>
      <w:marBottom w:val="0"/>
      <w:divBdr>
        <w:top w:val="none" w:sz="0" w:space="0" w:color="auto"/>
        <w:left w:val="none" w:sz="0" w:space="0" w:color="auto"/>
        <w:bottom w:val="none" w:sz="0" w:space="0" w:color="auto"/>
        <w:right w:val="none" w:sz="0" w:space="0" w:color="auto"/>
      </w:divBdr>
    </w:div>
    <w:div w:id="1722317581">
      <w:bodyDiv w:val="1"/>
      <w:marLeft w:val="0"/>
      <w:marRight w:val="0"/>
      <w:marTop w:val="0"/>
      <w:marBottom w:val="0"/>
      <w:divBdr>
        <w:top w:val="none" w:sz="0" w:space="0" w:color="auto"/>
        <w:left w:val="none" w:sz="0" w:space="0" w:color="auto"/>
        <w:bottom w:val="none" w:sz="0" w:space="0" w:color="auto"/>
        <w:right w:val="none" w:sz="0" w:space="0" w:color="auto"/>
      </w:divBdr>
    </w:div>
    <w:div w:id="1724449175">
      <w:bodyDiv w:val="1"/>
      <w:marLeft w:val="0"/>
      <w:marRight w:val="0"/>
      <w:marTop w:val="0"/>
      <w:marBottom w:val="0"/>
      <w:divBdr>
        <w:top w:val="none" w:sz="0" w:space="0" w:color="auto"/>
        <w:left w:val="none" w:sz="0" w:space="0" w:color="auto"/>
        <w:bottom w:val="none" w:sz="0" w:space="0" w:color="auto"/>
        <w:right w:val="none" w:sz="0" w:space="0" w:color="auto"/>
      </w:divBdr>
    </w:div>
    <w:div w:id="1737168328">
      <w:bodyDiv w:val="1"/>
      <w:marLeft w:val="0"/>
      <w:marRight w:val="0"/>
      <w:marTop w:val="0"/>
      <w:marBottom w:val="0"/>
      <w:divBdr>
        <w:top w:val="none" w:sz="0" w:space="0" w:color="auto"/>
        <w:left w:val="none" w:sz="0" w:space="0" w:color="auto"/>
        <w:bottom w:val="none" w:sz="0" w:space="0" w:color="auto"/>
        <w:right w:val="none" w:sz="0" w:space="0" w:color="auto"/>
      </w:divBdr>
    </w:div>
    <w:div w:id="1739018117">
      <w:bodyDiv w:val="1"/>
      <w:marLeft w:val="0"/>
      <w:marRight w:val="0"/>
      <w:marTop w:val="0"/>
      <w:marBottom w:val="0"/>
      <w:divBdr>
        <w:top w:val="none" w:sz="0" w:space="0" w:color="auto"/>
        <w:left w:val="none" w:sz="0" w:space="0" w:color="auto"/>
        <w:bottom w:val="none" w:sz="0" w:space="0" w:color="auto"/>
        <w:right w:val="none" w:sz="0" w:space="0" w:color="auto"/>
      </w:divBdr>
    </w:div>
    <w:div w:id="1744987441">
      <w:bodyDiv w:val="1"/>
      <w:marLeft w:val="0"/>
      <w:marRight w:val="0"/>
      <w:marTop w:val="0"/>
      <w:marBottom w:val="0"/>
      <w:divBdr>
        <w:top w:val="none" w:sz="0" w:space="0" w:color="auto"/>
        <w:left w:val="none" w:sz="0" w:space="0" w:color="auto"/>
        <w:bottom w:val="none" w:sz="0" w:space="0" w:color="auto"/>
        <w:right w:val="none" w:sz="0" w:space="0" w:color="auto"/>
      </w:divBdr>
    </w:div>
    <w:div w:id="1750232120">
      <w:bodyDiv w:val="1"/>
      <w:marLeft w:val="0"/>
      <w:marRight w:val="0"/>
      <w:marTop w:val="0"/>
      <w:marBottom w:val="0"/>
      <w:divBdr>
        <w:top w:val="none" w:sz="0" w:space="0" w:color="auto"/>
        <w:left w:val="none" w:sz="0" w:space="0" w:color="auto"/>
        <w:bottom w:val="none" w:sz="0" w:space="0" w:color="auto"/>
        <w:right w:val="none" w:sz="0" w:space="0" w:color="auto"/>
      </w:divBdr>
    </w:div>
    <w:div w:id="1750734233">
      <w:bodyDiv w:val="1"/>
      <w:marLeft w:val="0"/>
      <w:marRight w:val="0"/>
      <w:marTop w:val="0"/>
      <w:marBottom w:val="0"/>
      <w:divBdr>
        <w:top w:val="none" w:sz="0" w:space="0" w:color="auto"/>
        <w:left w:val="none" w:sz="0" w:space="0" w:color="auto"/>
        <w:bottom w:val="none" w:sz="0" w:space="0" w:color="auto"/>
        <w:right w:val="none" w:sz="0" w:space="0" w:color="auto"/>
      </w:divBdr>
    </w:div>
    <w:div w:id="1752042683">
      <w:bodyDiv w:val="1"/>
      <w:marLeft w:val="0"/>
      <w:marRight w:val="0"/>
      <w:marTop w:val="0"/>
      <w:marBottom w:val="0"/>
      <w:divBdr>
        <w:top w:val="none" w:sz="0" w:space="0" w:color="auto"/>
        <w:left w:val="none" w:sz="0" w:space="0" w:color="auto"/>
        <w:bottom w:val="none" w:sz="0" w:space="0" w:color="auto"/>
        <w:right w:val="none" w:sz="0" w:space="0" w:color="auto"/>
      </w:divBdr>
    </w:div>
    <w:div w:id="1787191251">
      <w:bodyDiv w:val="1"/>
      <w:marLeft w:val="0"/>
      <w:marRight w:val="0"/>
      <w:marTop w:val="0"/>
      <w:marBottom w:val="0"/>
      <w:divBdr>
        <w:top w:val="none" w:sz="0" w:space="0" w:color="auto"/>
        <w:left w:val="none" w:sz="0" w:space="0" w:color="auto"/>
        <w:bottom w:val="none" w:sz="0" w:space="0" w:color="auto"/>
        <w:right w:val="none" w:sz="0" w:space="0" w:color="auto"/>
      </w:divBdr>
    </w:div>
    <w:div w:id="1793398503">
      <w:bodyDiv w:val="1"/>
      <w:marLeft w:val="0"/>
      <w:marRight w:val="0"/>
      <w:marTop w:val="0"/>
      <w:marBottom w:val="0"/>
      <w:divBdr>
        <w:top w:val="none" w:sz="0" w:space="0" w:color="auto"/>
        <w:left w:val="none" w:sz="0" w:space="0" w:color="auto"/>
        <w:bottom w:val="none" w:sz="0" w:space="0" w:color="auto"/>
        <w:right w:val="none" w:sz="0" w:space="0" w:color="auto"/>
      </w:divBdr>
    </w:div>
    <w:div w:id="1795564064">
      <w:bodyDiv w:val="1"/>
      <w:marLeft w:val="0"/>
      <w:marRight w:val="0"/>
      <w:marTop w:val="0"/>
      <w:marBottom w:val="0"/>
      <w:divBdr>
        <w:top w:val="none" w:sz="0" w:space="0" w:color="auto"/>
        <w:left w:val="none" w:sz="0" w:space="0" w:color="auto"/>
        <w:bottom w:val="none" w:sz="0" w:space="0" w:color="auto"/>
        <w:right w:val="none" w:sz="0" w:space="0" w:color="auto"/>
      </w:divBdr>
    </w:div>
    <w:div w:id="1803573592">
      <w:bodyDiv w:val="1"/>
      <w:marLeft w:val="0"/>
      <w:marRight w:val="0"/>
      <w:marTop w:val="0"/>
      <w:marBottom w:val="0"/>
      <w:divBdr>
        <w:top w:val="none" w:sz="0" w:space="0" w:color="auto"/>
        <w:left w:val="none" w:sz="0" w:space="0" w:color="auto"/>
        <w:bottom w:val="none" w:sz="0" w:space="0" w:color="auto"/>
        <w:right w:val="none" w:sz="0" w:space="0" w:color="auto"/>
      </w:divBdr>
    </w:div>
    <w:div w:id="1804302453">
      <w:bodyDiv w:val="1"/>
      <w:marLeft w:val="0"/>
      <w:marRight w:val="0"/>
      <w:marTop w:val="0"/>
      <w:marBottom w:val="0"/>
      <w:divBdr>
        <w:top w:val="none" w:sz="0" w:space="0" w:color="auto"/>
        <w:left w:val="none" w:sz="0" w:space="0" w:color="auto"/>
        <w:bottom w:val="none" w:sz="0" w:space="0" w:color="auto"/>
        <w:right w:val="none" w:sz="0" w:space="0" w:color="auto"/>
      </w:divBdr>
    </w:div>
    <w:div w:id="1809545344">
      <w:bodyDiv w:val="1"/>
      <w:marLeft w:val="0"/>
      <w:marRight w:val="0"/>
      <w:marTop w:val="0"/>
      <w:marBottom w:val="0"/>
      <w:divBdr>
        <w:top w:val="none" w:sz="0" w:space="0" w:color="auto"/>
        <w:left w:val="none" w:sz="0" w:space="0" w:color="auto"/>
        <w:bottom w:val="none" w:sz="0" w:space="0" w:color="auto"/>
        <w:right w:val="none" w:sz="0" w:space="0" w:color="auto"/>
      </w:divBdr>
    </w:div>
    <w:div w:id="1813713621">
      <w:bodyDiv w:val="1"/>
      <w:marLeft w:val="0"/>
      <w:marRight w:val="0"/>
      <w:marTop w:val="0"/>
      <w:marBottom w:val="0"/>
      <w:divBdr>
        <w:top w:val="none" w:sz="0" w:space="0" w:color="auto"/>
        <w:left w:val="none" w:sz="0" w:space="0" w:color="auto"/>
        <w:bottom w:val="none" w:sz="0" w:space="0" w:color="auto"/>
        <w:right w:val="none" w:sz="0" w:space="0" w:color="auto"/>
      </w:divBdr>
    </w:div>
    <w:div w:id="1833636864">
      <w:bodyDiv w:val="1"/>
      <w:marLeft w:val="0"/>
      <w:marRight w:val="0"/>
      <w:marTop w:val="0"/>
      <w:marBottom w:val="0"/>
      <w:divBdr>
        <w:top w:val="none" w:sz="0" w:space="0" w:color="auto"/>
        <w:left w:val="none" w:sz="0" w:space="0" w:color="auto"/>
        <w:bottom w:val="none" w:sz="0" w:space="0" w:color="auto"/>
        <w:right w:val="none" w:sz="0" w:space="0" w:color="auto"/>
      </w:divBdr>
    </w:div>
    <w:div w:id="1834953642">
      <w:bodyDiv w:val="1"/>
      <w:marLeft w:val="0"/>
      <w:marRight w:val="0"/>
      <w:marTop w:val="0"/>
      <w:marBottom w:val="0"/>
      <w:divBdr>
        <w:top w:val="none" w:sz="0" w:space="0" w:color="auto"/>
        <w:left w:val="none" w:sz="0" w:space="0" w:color="auto"/>
        <w:bottom w:val="none" w:sz="0" w:space="0" w:color="auto"/>
        <w:right w:val="none" w:sz="0" w:space="0" w:color="auto"/>
      </w:divBdr>
    </w:div>
    <w:div w:id="1835532490">
      <w:bodyDiv w:val="1"/>
      <w:marLeft w:val="0"/>
      <w:marRight w:val="0"/>
      <w:marTop w:val="0"/>
      <w:marBottom w:val="0"/>
      <w:divBdr>
        <w:top w:val="none" w:sz="0" w:space="0" w:color="auto"/>
        <w:left w:val="none" w:sz="0" w:space="0" w:color="auto"/>
        <w:bottom w:val="none" w:sz="0" w:space="0" w:color="auto"/>
        <w:right w:val="none" w:sz="0" w:space="0" w:color="auto"/>
      </w:divBdr>
    </w:div>
    <w:div w:id="1841651740">
      <w:bodyDiv w:val="1"/>
      <w:marLeft w:val="0"/>
      <w:marRight w:val="0"/>
      <w:marTop w:val="0"/>
      <w:marBottom w:val="0"/>
      <w:divBdr>
        <w:top w:val="none" w:sz="0" w:space="0" w:color="auto"/>
        <w:left w:val="none" w:sz="0" w:space="0" w:color="auto"/>
        <w:bottom w:val="none" w:sz="0" w:space="0" w:color="auto"/>
        <w:right w:val="none" w:sz="0" w:space="0" w:color="auto"/>
      </w:divBdr>
    </w:div>
    <w:div w:id="1842357154">
      <w:bodyDiv w:val="1"/>
      <w:marLeft w:val="0"/>
      <w:marRight w:val="0"/>
      <w:marTop w:val="0"/>
      <w:marBottom w:val="0"/>
      <w:divBdr>
        <w:top w:val="none" w:sz="0" w:space="0" w:color="auto"/>
        <w:left w:val="none" w:sz="0" w:space="0" w:color="auto"/>
        <w:bottom w:val="none" w:sz="0" w:space="0" w:color="auto"/>
        <w:right w:val="none" w:sz="0" w:space="0" w:color="auto"/>
      </w:divBdr>
    </w:div>
    <w:div w:id="1846556785">
      <w:bodyDiv w:val="1"/>
      <w:marLeft w:val="0"/>
      <w:marRight w:val="0"/>
      <w:marTop w:val="0"/>
      <w:marBottom w:val="0"/>
      <w:divBdr>
        <w:top w:val="none" w:sz="0" w:space="0" w:color="auto"/>
        <w:left w:val="none" w:sz="0" w:space="0" w:color="auto"/>
        <w:bottom w:val="none" w:sz="0" w:space="0" w:color="auto"/>
        <w:right w:val="none" w:sz="0" w:space="0" w:color="auto"/>
      </w:divBdr>
    </w:div>
    <w:div w:id="1853182556">
      <w:bodyDiv w:val="1"/>
      <w:marLeft w:val="0"/>
      <w:marRight w:val="0"/>
      <w:marTop w:val="0"/>
      <w:marBottom w:val="0"/>
      <w:divBdr>
        <w:top w:val="none" w:sz="0" w:space="0" w:color="auto"/>
        <w:left w:val="none" w:sz="0" w:space="0" w:color="auto"/>
        <w:bottom w:val="none" w:sz="0" w:space="0" w:color="auto"/>
        <w:right w:val="none" w:sz="0" w:space="0" w:color="auto"/>
      </w:divBdr>
    </w:div>
    <w:div w:id="1854682319">
      <w:bodyDiv w:val="1"/>
      <w:marLeft w:val="0"/>
      <w:marRight w:val="0"/>
      <w:marTop w:val="0"/>
      <w:marBottom w:val="0"/>
      <w:divBdr>
        <w:top w:val="none" w:sz="0" w:space="0" w:color="auto"/>
        <w:left w:val="none" w:sz="0" w:space="0" w:color="auto"/>
        <w:bottom w:val="none" w:sz="0" w:space="0" w:color="auto"/>
        <w:right w:val="none" w:sz="0" w:space="0" w:color="auto"/>
      </w:divBdr>
    </w:div>
    <w:div w:id="1859272523">
      <w:bodyDiv w:val="1"/>
      <w:marLeft w:val="0"/>
      <w:marRight w:val="0"/>
      <w:marTop w:val="0"/>
      <w:marBottom w:val="0"/>
      <w:divBdr>
        <w:top w:val="none" w:sz="0" w:space="0" w:color="auto"/>
        <w:left w:val="none" w:sz="0" w:space="0" w:color="auto"/>
        <w:bottom w:val="none" w:sz="0" w:space="0" w:color="auto"/>
        <w:right w:val="none" w:sz="0" w:space="0" w:color="auto"/>
      </w:divBdr>
    </w:div>
    <w:div w:id="1871603858">
      <w:bodyDiv w:val="1"/>
      <w:marLeft w:val="0"/>
      <w:marRight w:val="0"/>
      <w:marTop w:val="0"/>
      <w:marBottom w:val="0"/>
      <w:divBdr>
        <w:top w:val="none" w:sz="0" w:space="0" w:color="auto"/>
        <w:left w:val="none" w:sz="0" w:space="0" w:color="auto"/>
        <w:bottom w:val="none" w:sz="0" w:space="0" w:color="auto"/>
        <w:right w:val="none" w:sz="0" w:space="0" w:color="auto"/>
      </w:divBdr>
    </w:div>
    <w:div w:id="1873228856">
      <w:bodyDiv w:val="1"/>
      <w:marLeft w:val="0"/>
      <w:marRight w:val="0"/>
      <w:marTop w:val="0"/>
      <w:marBottom w:val="0"/>
      <w:divBdr>
        <w:top w:val="none" w:sz="0" w:space="0" w:color="auto"/>
        <w:left w:val="none" w:sz="0" w:space="0" w:color="auto"/>
        <w:bottom w:val="none" w:sz="0" w:space="0" w:color="auto"/>
        <w:right w:val="none" w:sz="0" w:space="0" w:color="auto"/>
      </w:divBdr>
    </w:div>
    <w:div w:id="1873763483">
      <w:bodyDiv w:val="1"/>
      <w:marLeft w:val="0"/>
      <w:marRight w:val="0"/>
      <w:marTop w:val="0"/>
      <w:marBottom w:val="0"/>
      <w:divBdr>
        <w:top w:val="none" w:sz="0" w:space="0" w:color="auto"/>
        <w:left w:val="none" w:sz="0" w:space="0" w:color="auto"/>
        <w:bottom w:val="none" w:sz="0" w:space="0" w:color="auto"/>
        <w:right w:val="none" w:sz="0" w:space="0" w:color="auto"/>
      </w:divBdr>
    </w:div>
    <w:div w:id="1885214123">
      <w:bodyDiv w:val="1"/>
      <w:marLeft w:val="0"/>
      <w:marRight w:val="0"/>
      <w:marTop w:val="0"/>
      <w:marBottom w:val="0"/>
      <w:divBdr>
        <w:top w:val="none" w:sz="0" w:space="0" w:color="auto"/>
        <w:left w:val="none" w:sz="0" w:space="0" w:color="auto"/>
        <w:bottom w:val="none" w:sz="0" w:space="0" w:color="auto"/>
        <w:right w:val="none" w:sz="0" w:space="0" w:color="auto"/>
      </w:divBdr>
    </w:div>
    <w:div w:id="1887329301">
      <w:bodyDiv w:val="1"/>
      <w:marLeft w:val="0"/>
      <w:marRight w:val="0"/>
      <w:marTop w:val="0"/>
      <w:marBottom w:val="0"/>
      <w:divBdr>
        <w:top w:val="none" w:sz="0" w:space="0" w:color="auto"/>
        <w:left w:val="none" w:sz="0" w:space="0" w:color="auto"/>
        <w:bottom w:val="none" w:sz="0" w:space="0" w:color="auto"/>
        <w:right w:val="none" w:sz="0" w:space="0" w:color="auto"/>
      </w:divBdr>
    </w:div>
    <w:div w:id="1887989373">
      <w:bodyDiv w:val="1"/>
      <w:marLeft w:val="0"/>
      <w:marRight w:val="0"/>
      <w:marTop w:val="0"/>
      <w:marBottom w:val="0"/>
      <w:divBdr>
        <w:top w:val="none" w:sz="0" w:space="0" w:color="auto"/>
        <w:left w:val="none" w:sz="0" w:space="0" w:color="auto"/>
        <w:bottom w:val="none" w:sz="0" w:space="0" w:color="auto"/>
        <w:right w:val="none" w:sz="0" w:space="0" w:color="auto"/>
      </w:divBdr>
    </w:div>
    <w:div w:id="1890797688">
      <w:bodyDiv w:val="1"/>
      <w:marLeft w:val="0"/>
      <w:marRight w:val="0"/>
      <w:marTop w:val="0"/>
      <w:marBottom w:val="0"/>
      <w:divBdr>
        <w:top w:val="none" w:sz="0" w:space="0" w:color="auto"/>
        <w:left w:val="none" w:sz="0" w:space="0" w:color="auto"/>
        <w:bottom w:val="none" w:sz="0" w:space="0" w:color="auto"/>
        <w:right w:val="none" w:sz="0" w:space="0" w:color="auto"/>
      </w:divBdr>
    </w:div>
    <w:div w:id="1902982511">
      <w:bodyDiv w:val="1"/>
      <w:marLeft w:val="0"/>
      <w:marRight w:val="0"/>
      <w:marTop w:val="0"/>
      <w:marBottom w:val="0"/>
      <w:divBdr>
        <w:top w:val="none" w:sz="0" w:space="0" w:color="auto"/>
        <w:left w:val="none" w:sz="0" w:space="0" w:color="auto"/>
        <w:bottom w:val="none" w:sz="0" w:space="0" w:color="auto"/>
        <w:right w:val="none" w:sz="0" w:space="0" w:color="auto"/>
      </w:divBdr>
    </w:div>
    <w:div w:id="1904631908">
      <w:bodyDiv w:val="1"/>
      <w:marLeft w:val="0"/>
      <w:marRight w:val="0"/>
      <w:marTop w:val="0"/>
      <w:marBottom w:val="0"/>
      <w:divBdr>
        <w:top w:val="none" w:sz="0" w:space="0" w:color="auto"/>
        <w:left w:val="none" w:sz="0" w:space="0" w:color="auto"/>
        <w:bottom w:val="none" w:sz="0" w:space="0" w:color="auto"/>
        <w:right w:val="none" w:sz="0" w:space="0" w:color="auto"/>
      </w:divBdr>
    </w:div>
    <w:div w:id="1905601862">
      <w:bodyDiv w:val="1"/>
      <w:marLeft w:val="0"/>
      <w:marRight w:val="0"/>
      <w:marTop w:val="0"/>
      <w:marBottom w:val="0"/>
      <w:divBdr>
        <w:top w:val="none" w:sz="0" w:space="0" w:color="auto"/>
        <w:left w:val="none" w:sz="0" w:space="0" w:color="auto"/>
        <w:bottom w:val="none" w:sz="0" w:space="0" w:color="auto"/>
        <w:right w:val="none" w:sz="0" w:space="0" w:color="auto"/>
      </w:divBdr>
    </w:div>
    <w:div w:id="1918781593">
      <w:bodyDiv w:val="1"/>
      <w:marLeft w:val="0"/>
      <w:marRight w:val="0"/>
      <w:marTop w:val="0"/>
      <w:marBottom w:val="0"/>
      <w:divBdr>
        <w:top w:val="none" w:sz="0" w:space="0" w:color="auto"/>
        <w:left w:val="none" w:sz="0" w:space="0" w:color="auto"/>
        <w:bottom w:val="none" w:sz="0" w:space="0" w:color="auto"/>
        <w:right w:val="none" w:sz="0" w:space="0" w:color="auto"/>
      </w:divBdr>
    </w:div>
    <w:div w:id="1918860904">
      <w:bodyDiv w:val="1"/>
      <w:marLeft w:val="0"/>
      <w:marRight w:val="0"/>
      <w:marTop w:val="0"/>
      <w:marBottom w:val="0"/>
      <w:divBdr>
        <w:top w:val="none" w:sz="0" w:space="0" w:color="auto"/>
        <w:left w:val="none" w:sz="0" w:space="0" w:color="auto"/>
        <w:bottom w:val="none" w:sz="0" w:space="0" w:color="auto"/>
        <w:right w:val="none" w:sz="0" w:space="0" w:color="auto"/>
      </w:divBdr>
    </w:div>
    <w:div w:id="1919097715">
      <w:bodyDiv w:val="1"/>
      <w:marLeft w:val="0"/>
      <w:marRight w:val="0"/>
      <w:marTop w:val="0"/>
      <w:marBottom w:val="0"/>
      <w:divBdr>
        <w:top w:val="none" w:sz="0" w:space="0" w:color="auto"/>
        <w:left w:val="none" w:sz="0" w:space="0" w:color="auto"/>
        <w:bottom w:val="none" w:sz="0" w:space="0" w:color="auto"/>
        <w:right w:val="none" w:sz="0" w:space="0" w:color="auto"/>
      </w:divBdr>
    </w:div>
    <w:div w:id="1921597092">
      <w:bodyDiv w:val="1"/>
      <w:marLeft w:val="0"/>
      <w:marRight w:val="0"/>
      <w:marTop w:val="0"/>
      <w:marBottom w:val="0"/>
      <w:divBdr>
        <w:top w:val="none" w:sz="0" w:space="0" w:color="auto"/>
        <w:left w:val="none" w:sz="0" w:space="0" w:color="auto"/>
        <w:bottom w:val="none" w:sz="0" w:space="0" w:color="auto"/>
        <w:right w:val="none" w:sz="0" w:space="0" w:color="auto"/>
      </w:divBdr>
    </w:div>
    <w:div w:id="1933052814">
      <w:bodyDiv w:val="1"/>
      <w:marLeft w:val="0"/>
      <w:marRight w:val="0"/>
      <w:marTop w:val="0"/>
      <w:marBottom w:val="0"/>
      <w:divBdr>
        <w:top w:val="none" w:sz="0" w:space="0" w:color="auto"/>
        <w:left w:val="none" w:sz="0" w:space="0" w:color="auto"/>
        <w:bottom w:val="none" w:sz="0" w:space="0" w:color="auto"/>
        <w:right w:val="none" w:sz="0" w:space="0" w:color="auto"/>
      </w:divBdr>
    </w:div>
    <w:div w:id="1934195929">
      <w:bodyDiv w:val="1"/>
      <w:marLeft w:val="0"/>
      <w:marRight w:val="0"/>
      <w:marTop w:val="0"/>
      <w:marBottom w:val="0"/>
      <w:divBdr>
        <w:top w:val="none" w:sz="0" w:space="0" w:color="auto"/>
        <w:left w:val="none" w:sz="0" w:space="0" w:color="auto"/>
        <w:bottom w:val="none" w:sz="0" w:space="0" w:color="auto"/>
        <w:right w:val="none" w:sz="0" w:space="0" w:color="auto"/>
      </w:divBdr>
    </w:div>
    <w:div w:id="1961910036">
      <w:bodyDiv w:val="1"/>
      <w:marLeft w:val="0"/>
      <w:marRight w:val="0"/>
      <w:marTop w:val="0"/>
      <w:marBottom w:val="0"/>
      <w:divBdr>
        <w:top w:val="none" w:sz="0" w:space="0" w:color="auto"/>
        <w:left w:val="none" w:sz="0" w:space="0" w:color="auto"/>
        <w:bottom w:val="none" w:sz="0" w:space="0" w:color="auto"/>
        <w:right w:val="none" w:sz="0" w:space="0" w:color="auto"/>
      </w:divBdr>
    </w:div>
    <w:div w:id="1979384293">
      <w:bodyDiv w:val="1"/>
      <w:marLeft w:val="0"/>
      <w:marRight w:val="0"/>
      <w:marTop w:val="0"/>
      <w:marBottom w:val="0"/>
      <w:divBdr>
        <w:top w:val="none" w:sz="0" w:space="0" w:color="auto"/>
        <w:left w:val="none" w:sz="0" w:space="0" w:color="auto"/>
        <w:bottom w:val="none" w:sz="0" w:space="0" w:color="auto"/>
        <w:right w:val="none" w:sz="0" w:space="0" w:color="auto"/>
      </w:divBdr>
    </w:div>
    <w:div w:id="1988588750">
      <w:bodyDiv w:val="1"/>
      <w:marLeft w:val="0"/>
      <w:marRight w:val="0"/>
      <w:marTop w:val="0"/>
      <w:marBottom w:val="0"/>
      <w:divBdr>
        <w:top w:val="none" w:sz="0" w:space="0" w:color="auto"/>
        <w:left w:val="none" w:sz="0" w:space="0" w:color="auto"/>
        <w:bottom w:val="none" w:sz="0" w:space="0" w:color="auto"/>
        <w:right w:val="none" w:sz="0" w:space="0" w:color="auto"/>
      </w:divBdr>
    </w:div>
    <w:div w:id="1991862925">
      <w:bodyDiv w:val="1"/>
      <w:marLeft w:val="0"/>
      <w:marRight w:val="0"/>
      <w:marTop w:val="0"/>
      <w:marBottom w:val="0"/>
      <w:divBdr>
        <w:top w:val="none" w:sz="0" w:space="0" w:color="auto"/>
        <w:left w:val="none" w:sz="0" w:space="0" w:color="auto"/>
        <w:bottom w:val="none" w:sz="0" w:space="0" w:color="auto"/>
        <w:right w:val="none" w:sz="0" w:space="0" w:color="auto"/>
      </w:divBdr>
    </w:div>
    <w:div w:id="1992831869">
      <w:bodyDiv w:val="1"/>
      <w:marLeft w:val="0"/>
      <w:marRight w:val="0"/>
      <w:marTop w:val="0"/>
      <w:marBottom w:val="0"/>
      <w:divBdr>
        <w:top w:val="none" w:sz="0" w:space="0" w:color="auto"/>
        <w:left w:val="none" w:sz="0" w:space="0" w:color="auto"/>
        <w:bottom w:val="none" w:sz="0" w:space="0" w:color="auto"/>
        <w:right w:val="none" w:sz="0" w:space="0" w:color="auto"/>
      </w:divBdr>
    </w:div>
    <w:div w:id="1997220733">
      <w:bodyDiv w:val="1"/>
      <w:marLeft w:val="0"/>
      <w:marRight w:val="0"/>
      <w:marTop w:val="0"/>
      <w:marBottom w:val="0"/>
      <w:divBdr>
        <w:top w:val="none" w:sz="0" w:space="0" w:color="auto"/>
        <w:left w:val="none" w:sz="0" w:space="0" w:color="auto"/>
        <w:bottom w:val="none" w:sz="0" w:space="0" w:color="auto"/>
        <w:right w:val="none" w:sz="0" w:space="0" w:color="auto"/>
      </w:divBdr>
    </w:div>
    <w:div w:id="2000230579">
      <w:bodyDiv w:val="1"/>
      <w:marLeft w:val="0"/>
      <w:marRight w:val="0"/>
      <w:marTop w:val="0"/>
      <w:marBottom w:val="0"/>
      <w:divBdr>
        <w:top w:val="none" w:sz="0" w:space="0" w:color="auto"/>
        <w:left w:val="none" w:sz="0" w:space="0" w:color="auto"/>
        <w:bottom w:val="none" w:sz="0" w:space="0" w:color="auto"/>
        <w:right w:val="none" w:sz="0" w:space="0" w:color="auto"/>
      </w:divBdr>
    </w:div>
    <w:div w:id="2023437657">
      <w:bodyDiv w:val="1"/>
      <w:marLeft w:val="0"/>
      <w:marRight w:val="0"/>
      <w:marTop w:val="0"/>
      <w:marBottom w:val="0"/>
      <w:divBdr>
        <w:top w:val="none" w:sz="0" w:space="0" w:color="auto"/>
        <w:left w:val="none" w:sz="0" w:space="0" w:color="auto"/>
        <w:bottom w:val="none" w:sz="0" w:space="0" w:color="auto"/>
        <w:right w:val="none" w:sz="0" w:space="0" w:color="auto"/>
      </w:divBdr>
    </w:div>
    <w:div w:id="2026900842">
      <w:bodyDiv w:val="1"/>
      <w:marLeft w:val="0"/>
      <w:marRight w:val="0"/>
      <w:marTop w:val="0"/>
      <w:marBottom w:val="0"/>
      <w:divBdr>
        <w:top w:val="none" w:sz="0" w:space="0" w:color="auto"/>
        <w:left w:val="none" w:sz="0" w:space="0" w:color="auto"/>
        <w:bottom w:val="none" w:sz="0" w:space="0" w:color="auto"/>
        <w:right w:val="none" w:sz="0" w:space="0" w:color="auto"/>
      </w:divBdr>
    </w:div>
    <w:div w:id="2047635121">
      <w:bodyDiv w:val="1"/>
      <w:marLeft w:val="0"/>
      <w:marRight w:val="0"/>
      <w:marTop w:val="0"/>
      <w:marBottom w:val="0"/>
      <w:divBdr>
        <w:top w:val="none" w:sz="0" w:space="0" w:color="auto"/>
        <w:left w:val="none" w:sz="0" w:space="0" w:color="auto"/>
        <w:bottom w:val="none" w:sz="0" w:space="0" w:color="auto"/>
        <w:right w:val="none" w:sz="0" w:space="0" w:color="auto"/>
      </w:divBdr>
    </w:div>
    <w:div w:id="2052608523">
      <w:bodyDiv w:val="1"/>
      <w:marLeft w:val="0"/>
      <w:marRight w:val="0"/>
      <w:marTop w:val="0"/>
      <w:marBottom w:val="0"/>
      <w:divBdr>
        <w:top w:val="none" w:sz="0" w:space="0" w:color="auto"/>
        <w:left w:val="none" w:sz="0" w:space="0" w:color="auto"/>
        <w:bottom w:val="none" w:sz="0" w:space="0" w:color="auto"/>
        <w:right w:val="none" w:sz="0" w:space="0" w:color="auto"/>
      </w:divBdr>
    </w:div>
    <w:div w:id="2063824212">
      <w:bodyDiv w:val="1"/>
      <w:marLeft w:val="0"/>
      <w:marRight w:val="0"/>
      <w:marTop w:val="0"/>
      <w:marBottom w:val="0"/>
      <w:divBdr>
        <w:top w:val="none" w:sz="0" w:space="0" w:color="auto"/>
        <w:left w:val="none" w:sz="0" w:space="0" w:color="auto"/>
        <w:bottom w:val="none" w:sz="0" w:space="0" w:color="auto"/>
        <w:right w:val="none" w:sz="0" w:space="0" w:color="auto"/>
      </w:divBdr>
    </w:div>
    <w:div w:id="2068719760">
      <w:bodyDiv w:val="1"/>
      <w:marLeft w:val="0"/>
      <w:marRight w:val="0"/>
      <w:marTop w:val="0"/>
      <w:marBottom w:val="0"/>
      <w:divBdr>
        <w:top w:val="none" w:sz="0" w:space="0" w:color="auto"/>
        <w:left w:val="none" w:sz="0" w:space="0" w:color="auto"/>
        <w:bottom w:val="none" w:sz="0" w:space="0" w:color="auto"/>
        <w:right w:val="none" w:sz="0" w:space="0" w:color="auto"/>
      </w:divBdr>
    </w:div>
    <w:div w:id="2094666610">
      <w:bodyDiv w:val="1"/>
      <w:marLeft w:val="0"/>
      <w:marRight w:val="0"/>
      <w:marTop w:val="0"/>
      <w:marBottom w:val="0"/>
      <w:divBdr>
        <w:top w:val="none" w:sz="0" w:space="0" w:color="auto"/>
        <w:left w:val="none" w:sz="0" w:space="0" w:color="auto"/>
        <w:bottom w:val="none" w:sz="0" w:space="0" w:color="auto"/>
        <w:right w:val="none" w:sz="0" w:space="0" w:color="auto"/>
      </w:divBdr>
    </w:div>
    <w:div w:id="2101945318">
      <w:bodyDiv w:val="1"/>
      <w:marLeft w:val="0"/>
      <w:marRight w:val="0"/>
      <w:marTop w:val="0"/>
      <w:marBottom w:val="0"/>
      <w:divBdr>
        <w:top w:val="none" w:sz="0" w:space="0" w:color="auto"/>
        <w:left w:val="none" w:sz="0" w:space="0" w:color="auto"/>
        <w:bottom w:val="none" w:sz="0" w:space="0" w:color="auto"/>
        <w:right w:val="none" w:sz="0" w:space="0" w:color="auto"/>
      </w:divBdr>
    </w:div>
    <w:div w:id="2124611597">
      <w:bodyDiv w:val="1"/>
      <w:marLeft w:val="0"/>
      <w:marRight w:val="0"/>
      <w:marTop w:val="0"/>
      <w:marBottom w:val="0"/>
      <w:divBdr>
        <w:top w:val="none" w:sz="0" w:space="0" w:color="auto"/>
        <w:left w:val="none" w:sz="0" w:space="0" w:color="auto"/>
        <w:bottom w:val="none" w:sz="0" w:space="0" w:color="auto"/>
        <w:right w:val="none" w:sz="0" w:space="0" w:color="auto"/>
      </w:divBdr>
    </w:div>
    <w:div w:id="2133591113">
      <w:bodyDiv w:val="1"/>
      <w:marLeft w:val="0"/>
      <w:marRight w:val="0"/>
      <w:marTop w:val="0"/>
      <w:marBottom w:val="0"/>
      <w:divBdr>
        <w:top w:val="none" w:sz="0" w:space="0" w:color="auto"/>
        <w:left w:val="none" w:sz="0" w:space="0" w:color="auto"/>
        <w:bottom w:val="none" w:sz="0" w:space="0" w:color="auto"/>
        <w:right w:val="none" w:sz="0" w:space="0" w:color="auto"/>
      </w:divBdr>
    </w:div>
    <w:div w:id="2137092188">
      <w:bodyDiv w:val="1"/>
      <w:marLeft w:val="0"/>
      <w:marRight w:val="0"/>
      <w:marTop w:val="0"/>
      <w:marBottom w:val="0"/>
      <w:divBdr>
        <w:top w:val="none" w:sz="0" w:space="0" w:color="auto"/>
        <w:left w:val="none" w:sz="0" w:space="0" w:color="auto"/>
        <w:bottom w:val="none" w:sz="0" w:space="0" w:color="auto"/>
        <w:right w:val="none" w:sz="0" w:space="0" w:color="auto"/>
      </w:divBdr>
    </w:div>
    <w:div w:id="2139831377">
      <w:bodyDiv w:val="1"/>
      <w:marLeft w:val="0"/>
      <w:marRight w:val="0"/>
      <w:marTop w:val="0"/>
      <w:marBottom w:val="0"/>
      <w:divBdr>
        <w:top w:val="none" w:sz="0" w:space="0" w:color="auto"/>
        <w:left w:val="none" w:sz="0" w:space="0" w:color="auto"/>
        <w:bottom w:val="none" w:sz="0" w:space="0" w:color="auto"/>
        <w:right w:val="none" w:sz="0" w:space="0" w:color="auto"/>
      </w:divBdr>
    </w:div>
    <w:div w:id="21428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efp.gob.mx/ixDOCs/2017/271-241230.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efp.gob.mx/ixDOCs/2017/284-250102.pdf" TargetMode="External"/><Relationship Id="rId7" Type="http://schemas.openxmlformats.org/officeDocument/2006/relationships/endnotes" Target="endnotes.xml"/><Relationship Id="rId12" Type="http://schemas.openxmlformats.org/officeDocument/2006/relationships/hyperlink" Target="https://www.banxico.org.mx/publicaciones-y-prensa/anuncios-de-las-decisiones-de-politica-monetaria/%7B939FDDA6-702A-F315-37B0-4E422044D13E%7D.pdf"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egi.org.mx/contenidos/saladeprensa/boletines/2025/inpc/inpc_2q2025_01.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efp.gob.mx/ixDOCs/2017/263-24123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inegi.org.mx/contenidos/saladeprensa/boletines/2024/pib_pconst/pib_pconst2024_11.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78F6F-1917-4D36-AFF9-1CD2E829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14</Pages>
  <Words>4186</Words>
  <Characters>23024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Margarita Nereyda Caballero Urbina</cp:lastModifiedBy>
  <cp:revision>11</cp:revision>
  <cp:lastPrinted>2023-03-31T22:03:00Z</cp:lastPrinted>
  <dcterms:created xsi:type="dcterms:W3CDTF">2024-03-19T22:22:00Z</dcterms:created>
  <dcterms:modified xsi:type="dcterms:W3CDTF">2025-03-19T21:03:00Z</dcterms:modified>
</cp:coreProperties>
</file>