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Style w:val="Tablaconcuadrcula"/>
        <w:tblW w:w="14034" w:type="dxa"/>
        <w:tblInd w:w="-885" w:type="dxa"/>
        <w:tblLook w:val="04A0" w:firstRow="1" w:lastRow="0" w:firstColumn="1" w:lastColumn="0" w:noHBand="0" w:noVBand="1"/>
      </w:tblPr>
      <w:tblGrid>
        <w:gridCol w:w="1196"/>
        <w:gridCol w:w="1444"/>
        <w:gridCol w:w="2315"/>
        <w:gridCol w:w="1356"/>
        <w:gridCol w:w="833"/>
        <w:gridCol w:w="1507"/>
        <w:gridCol w:w="1740"/>
        <w:gridCol w:w="1071"/>
        <w:gridCol w:w="2572"/>
      </w:tblGrid>
      <w:tr w:rsidR="007A3266" w:rsidRPr="007A3266" w:rsidTr="00095391">
        <w:trPr>
          <w:trHeight w:val="914"/>
        </w:trPr>
        <w:tc>
          <w:tcPr>
            <w:tcW w:w="1196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1444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Método de cálculo</w:t>
            </w:r>
          </w:p>
        </w:tc>
        <w:tc>
          <w:tcPr>
            <w:tcW w:w="1356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833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1507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Tipo-dimensión-frecuencia</w:t>
            </w:r>
          </w:p>
        </w:tc>
        <w:tc>
          <w:tcPr>
            <w:tcW w:w="1740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Realizado en el periodo (1er trimestre 2023)</w:t>
            </w:r>
          </w:p>
        </w:tc>
        <w:tc>
          <w:tcPr>
            <w:tcW w:w="1071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Avance respecto a la meta anual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Justificaciones</w:t>
            </w:r>
          </w:p>
        </w:tc>
      </w:tr>
      <w:tr w:rsidR="007A3266" w:rsidRPr="007A3266" w:rsidTr="00095391">
        <w:trPr>
          <w:trHeight w:val="1125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Tasa de variación de abandono escolar en educación pública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(( Porcentaje de deserción escolar del año t )/(Porcentaje de deserción escolar del año t-1)-1)*100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Alumnos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-3%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Anual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-2.72%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 xml:space="preserve"> -2.72%  resultado anual</w:t>
            </w:r>
          </w:p>
        </w:tc>
      </w:tr>
      <w:tr w:rsidR="007A3266" w:rsidRPr="007A3266" w:rsidTr="00095391">
        <w:trPr>
          <w:trHeight w:val="1500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Tasa de variación de alumnos becados que concluyen el ciclo escolar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(( total de alumnos becados que concluyen el ciclo escolar t/ total de alumnos becados que concluyen el ciclo escolar t-1)-1)*100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Alumnos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3%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Anual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3.61%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 xml:space="preserve">3.61% resultado anual. Periodo enero - junio 2022, Alumnos becados 6949, deserción 405. 92.18% concluyeron el periodo. Periodo enero - junio 2023, Alumnos becados 6135, deserción 117. 95.51% concluyeron el periodo. Nota. La </w:t>
            </w:r>
            <w:proofErr w:type="spellStart"/>
            <w:r w:rsidRPr="007A3266">
              <w:rPr>
                <w:rFonts w:ascii="Encode Sans" w:hAnsi="Encode Sans" w:cs="DIN Pro Regular"/>
                <w:sz w:val="20"/>
                <w:szCs w:val="20"/>
              </w:rPr>
              <w:t>formula</w:t>
            </w:r>
            <w:proofErr w:type="spellEnd"/>
            <w:r w:rsidRPr="007A3266">
              <w:rPr>
                <w:rFonts w:ascii="Encode Sans" w:hAnsi="Encode Sans" w:cs="DIN Pro Regular"/>
                <w:sz w:val="20"/>
                <w:szCs w:val="20"/>
              </w:rPr>
              <w:t xml:space="preserve"> se </w:t>
            </w:r>
            <w:proofErr w:type="spellStart"/>
            <w:r w:rsidRPr="007A3266">
              <w:rPr>
                <w:rFonts w:ascii="Encode Sans" w:hAnsi="Encode Sans" w:cs="DIN Pro Regular"/>
                <w:sz w:val="20"/>
                <w:szCs w:val="20"/>
              </w:rPr>
              <w:t>aplico</w:t>
            </w:r>
            <w:proofErr w:type="spellEnd"/>
            <w:r w:rsidRPr="007A3266">
              <w:rPr>
                <w:rFonts w:ascii="Encode Sans" w:hAnsi="Encode Sans" w:cs="DIN Pro Regular"/>
                <w:sz w:val="20"/>
                <w:szCs w:val="20"/>
              </w:rPr>
              <w:t xml:space="preserve"> solo en nivel superior, debido a que en el año 2022 no hubo entrega de becas de nivel básico.</w:t>
            </w:r>
          </w:p>
        </w:tc>
      </w:tr>
      <w:tr w:rsidR="007A3266" w:rsidRPr="007A3266" w:rsidTr="00095391">
        <w:trPr>
          <w:trHeight w:val="1125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lastRenderedPageBreak/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cobertura de becas entregadas de nivel básico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becas entregadas / total de becas programadas)*100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Alumnos becados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Semestral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99.03%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99.03 resultado anual</w:t>
            </w:r>
          </w:p>
        </w:tc>
      </w:tr>
      <w:tr w:rsidR="007A3266" w:rsidRPr="007A3266" w:rsidTr="00095391">
        <w:trPr>
          <w:trHeight w:val="1125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cobertura de becas entregadas de nivel medio superior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becas entregadas/Total becas programadas)*100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Alumnos becados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Semestral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100.00%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 resultado anual</w:t>
            </w:r>
          </w:p>
        </w:tc>
      </w:tr>
      <w:tr w:rsidR="007A3266" w:rsidRPr="007A3266" w:rsidTr="00095391">
        <w:trPr>
          <w:trHeight w:val="1125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 xml:space="preserve">Tasa de </w:t>
            </w:r>
            <w:proofErr w:type="spellStart"/>
            <w:r w:rsidRPr="007A3266">
              <w:rPr>
                <w:rFonts w:ascii="Encode Sans" w:hAnsi="Encode Sans" w:cs="DIN Pro Regular"/>
                <w:sz w:val="20"/>
                <w:szCs w:val="20"/>
              </w:rPr>
              <w:t>Variacion</w:t>
            </w:r>
            <w:proofErr w:type="spellEnd"/>
            <w:r w:rsidRPr="007A3266">
              <w:rPr>
                <w:rFonts w:ascii="Encode Sans" w:hAnsi="Encode Sans" w:cs="DIN Pro Regular"/>
                <w:sz w:val="20"/>
                <w:szCs w:val="20"/>
              </w:rPr>
              <w:t xml:space="preserve"> de cobertura de becas entregadas en el nivel superior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((total de alumnos becados en el nivel superior t )/ total de alumnos becados en el nivel superior t-1 )-1*100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Alumnos becados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Semestral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</w:tblGrid>
            <w:tr w:rsidR="007A3266" w:rsidRPr="007A3266" w:rsidTr="007A3266">
              <w:trPr>
                <w:trHeight w:val="1125"/>
                <w:tblCellSpacing w:w="0" w:type="dxa"/>
              </w:trPr>
              <w:tc>
                <w:tcPr>
                  <w:tcW w:w="855" w:type="dxa"/>
                  <w:shd w:val="clear" w:color="auto" w:fill="auto"/>
                  <w:noWrap/>
                  <w:vAlign w:val="center"/>
                  <w:hideMark/>
                </w:tcPr>
                <w:p w:rsidR="007A3266" w:rsidRPr="007A3266" w:rsidRDefault="007A3266">
                  <w:pPr>
                    <w:jc w:val="center"/>
                    <w:rPr>
                      <w:rFonts w:ascii="Encode Sans" w:hAnsi="Encode Sans" w:cs="DIN Pro Regular"/>
                      <w:sz w:val="20"/>
                      <w:szCs w:val="20"/>
                    </w:rPr>
                  </w:pPr>
                  <w:r w:rsidRPr="007A3266">
                    <w:rPr>
                      <w:rFonts w:ascii="Encode Sans" w:hAnsi="Encode Sans" w:cs="DIN Pro Regular"/>
                      <w:sz w:val="20"/>
                      <w:szCs w:val="20"/>
                    </w:rPr>
                    <w:t>-14.46%</w:t>
                  </w:r>
                </w:p>
              </w:tc>
            </w:tr>
          </w:tbl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 xml:space="preserve">   -14.46% resultado anual. Estaba programado para entrega 10,000 becas de nivel superior, y no alcanzamos la meta de las solicitudes validadas, y dado que el año anterior se entregaron 10729 becas, no tuvimos avance.</w:t>
            </w:r>
          </w:p>
        </w:tc>
      </w:tr>
      <w:tr w:rsidR="007A3266" w:rsidRPr="007A3266" w:rsidTr="00095391">
        <w:trPr>
          <w:trHeight w:val="1125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solicitudes validadas de nivel básico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solicitudes validadas registradas en el portal web/total de solicitudes registradas en el portal web para validación)*100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Solicitudes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Trimestral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85.07%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85.07% resultado anual</w:t>
            </w:r>
          </w:p>
        </w:tc>
      </w:tr>
      <w:tr w:rsidR="007A3266" w:rsidRPr="007A3266" w:rsidTr="00095391">
        <w:trPr>
          <w:trHeight w:val="750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lastRenderedPageBreak/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solicitudes aprobadas de nivel básico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solicitudes aprobadas )/(Total de solicitudes programadas para aprobar ) 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Solicitudes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Trimestral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88.82%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88.82% resultado anual</w:t>
            </w:r>
          </w:p>
        </w:tc>
      </w:tr>
      <w:tr w:rsidR="007A3266" w:rsidRPr="007A3266" w:rsidTr="00095391">
        <w:trPr>
          <w:trHeight w:val="750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cheques cobrados nivel básico.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cheques cobrados )/(Total de cheques emitidos )* 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Cheques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Trimestral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99.23%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99.23 resultado anual</w:t>
            </w:r>
          </w:p>
        </w:tc>
      </w:tr>
      <w:tr w:rsidR="007A3266" w:rsidRPr="007A3266" w:rsidTr="00095391">
        <w:trPr>
          <w:trHeight w:val="1125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solicitudes validadas de nivel medio superior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solicitudes validadas registradas en el portal web/total de solicitudes registradas en el portal web para validación)*100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Solicitudes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Trimestral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95.16%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95.16 resultado anual</w:t>
            </w:r>
          </w:p>
        </w:tc>
      </w:tr>
      <w:tr w:rsidR="007A3266" w:rsidRPr="007A3266" w:rsidTr="00095391">
        <w:trPr>
          <w:trHeight w:val="1125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solicitudes aprobadas de nivel medio superior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solicitudes aprobadas )/(Total de solicitudes programadas para aprobar ) 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Solicitudes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Trimestral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100.00%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 resultado anual</w:t>
            </w:r>
          </w:p>
        </w:tc>
      </w:tr>
      <w:tr w:rsidR="007A3266" w:rsidRPr="007A3266" w:rsidTr="00095391">
        <w:trPr>
          <w:trHeight w:val="1125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cheques cobrados de nivel medio superior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cheques cobrados )/(Total de cheques emitidos )* 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Cheques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Trimestral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99.72%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99.72 resultado anual</w:t>
            </w:r>
          </w:p>
        </w:tc>
      </w:tr>
      <w:tr w:rsidR="007A3266" w:rsidRPr="007A3266" w:rsidTr="00095391">
        <w:trPr>
          <w:trHeight w:val="1125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lastRenderedPageBreak/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solicitudes validadas de nivel superior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solicitudes validadas registradas en el portal web/total de solicitudes registradas en el portal web para validación)*100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Solicitudes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Trimestral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70.95%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70.95 resultado anual</w:t>
            </w:r>
          </w:p>
        </w:tc>
      </w:tr>
      <w:tr w:rsidR="007A3266" w:rsidRPr="007A3266" w:rsidTr="00095391">
        <w:trPr>
          <w:trHeight w:val="750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solicitudes aprobadas de nivel superior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solicitudes aprobadas )/(Total de solicitudes programadas para aprobar ) *100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Solicitudes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Trimestral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88.50%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88.50 resultado anual</w:t>
            </w:r>
          </w:p>
        </w:tc>
      </w:tr>
      <w:tr w:rsidR="007A3266" w:rsidRPr="007A3266" w:rsidTr="00095391">
        <w:trPr>
          <w:trHeight w:val="750"/>
        </w:trPr>
        <w:tc>
          <w:tcPr>
            <w:tcW w:w="1196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S151</w:t>
            </w:r>
          </w:p>
        </w:tc>
        <w:tc>
          <w:tcPr>
            <w:tcW w:w="1444" w:type="dxa"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Porcentaje de cheques cobrados de nivel superior</w:t>
            </w:r>
          </w:p>
        </w:tc>
        <w:tc>
          <w:tcPr>
            <w:tcW w:w="2315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(Total de cheques cobrados )/(Total de cheques emitidos )* 100</w:t>
            </w:r>
          </w:p>
        </w:tc>
        <w:tc>
          <w:tcPr>
            <w:tcW w:w="1356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Cheques</w:t>
            </w:r>
          </w:p>
        </w:tc>
        <w:tc>
          <w:tcPr>
            <w:tcW w:w="833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100%</w:t>
            </w:r>
          </w:p>
        </w:tc>
        <w:tc>
          <w:tcPr>
            <w:tcW w:w="1507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Trimestral</w:t>
            </w:r>
          </w:p>
        </w:tc>
        <w:tc>
          <w:tcPr>
            <w:tcW w:w="1740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2023</w:t>
            </w:r>
          </w:p>
        </w:tc>
        <w:tc>
          <w:tcPr>
            <w:tcW w:w="1071" w:type="dxa"/>
            <w:noWrap/>
            <w:hideMark/>
          </w:tcPr>
          <w:p w:rsidR="007A3266" w:rsidRPr="007A3266" w:rsidRDefault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99.33%</w:t>
            </w:r>
          </w:p>
        </w:tc>
        <w:tc>
          <w:tcPr>
            <w:tcW w:w="2572" w:type="dxa"/>
            <w:hideMark/>
          </w:tcPr>
          <w:p w:rsidR="007A3266" w:rsidRPr="007A3266" w:rsidRDefault="007A3266" w:rsidP="007A3266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7A3266">
              <w:rPr>
                <w:rFonts w:ascii="Encode Sans" w:hAnsi="Encode Sans" w:cs="DIN Pro Regular"/>
                <w:sz w:val="20"/>
                <w:szCs w:val="20"/>
              </w:rPr>
              <w:t>99.33 resultado anual</w:t>
            </w:r>
          </w:p>
        </w:tc>
      </w:tr>
    </w:tbl>
    <w:p w:rsidR="00A7165F" w:rsidRPr="00CA0775" w:rsidRDefault="00A7165F" w:rsidP="004866B2">
      <w:pPr>
        <w:tabs>
          <w:tab w:val="left" w:pos="11760"/>
        </w:tabs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7A3266" w:rsidRDefault="007A3266" w:rsidP="007A3266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  <w:bookmarkStart w:id="0" w:name="_GoBack"/>
      <w:bookmarkEnd w:id="0"/>
      <w:r>
        <w:rPr>
          <w:rFonts w:ascii="Calibri" w:hAnsi="Calibri" w:cs="DIN Pro Regular"/>
          <w:b/>
          <w:sz w:val="20"/>
        </w:rPr>
        <w:t xml:space="preserve">   </w:t>
      </w:r>
    </w:p>
    <w:p w:rsidR="00AB13B7" w:rsidRPr="00CA0775" w:rsidRDefault="00AB13B7" w:rsidP="007A3266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AB13B7" w:rsidRPr="00CA0775" w:rsidSect="007A3266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69" w:rsidRDefault="00727F69" w:rsidP="00EA5418">
      <w:pPr>
        <w:spacing w:after="0" w:line="240" w:lineRule="auto"/>
      </w:pPr>
      <w:r>
        <w:separator/>
      </w:r>
    </w:p>
  </w:endnote>
  <w:endnote w:type="continuationSeparator" w:id="0">
    <w:p w:rsidR="00727F69" w:rsidRDefault="00727F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DDB3695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27627C" w:rsidRPr="0027627C">
      <w:rPr>
        <w:rFonts w:ascii="Arial" w:hAnsi="Arial" w:cs="Arial"/>
        <w:noProof/>
        <w:lang w:val="es-ES"/>
      </w:rPr>
      <w:t>4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69" w:rsidRDefault="00727F69" w:rsidP="00EA5418">
      <w:pPr>
        <w:spacing w:after="0" w:line="240" w:lineRule="auto"/>
      </w:pPr>
      <w:r>
        <w:separator/>
      </w:r>
    </w:p>
  </w:footnote>
  <w:footnote w:type="continuationSeparator" w:id="0">
    <w:p w:rsidR="00727F69" w:rsidRDefault="00727F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26" style="position:absolute;margin-left:231pt;margin-top:-21.9pt;width:249.8pt;height:39.25pt;z-index:25165670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02DA8F6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095391" w:rsidP="007A3266">
    <w:pPr>
      <w:pStyle w:val="Encabezado"/>
      <w:tabs>
        <w:tab w:val="center" w:pos="6219"/>
        <w:tab w:val="right" w:pos="12438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53B1DF2E" wp14:editId="69CBC85E">
          <wp:simplePos x="0" y="0"/>
          <wp:positionH relativeFrom="margin">
            <wp:posOffset>-461010</wp:posOffset>
          </wp:positionH>
          <wp:positionV relativeFrom="margin">
            <wp:posOffset>-782955</wp:posOffset>
          </wp:positionV>
          <wp:extent cx="1971675" cy="685800"/>
          <wp:effectExtent l="0" t="0" r="9525" b="0"/>
          <wp:wrapSquare wrapText="bothSides"/>
          <wp:docPr id="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266">
      <w:rPr>
        <w:rFonts w:ascii="Encode Sans" w:hAnsi="Encode Sans" w:cs="Arial"/>
        <w:noProof/>
        <w:lang w:eastAsia="es-MX"/>
      </w:rPr>
      <w:drawing>
        <wp:anchor distT="0" distB="0" distL="114300" distR="114300" simplePos="0" relativeHeight="251658752" behindDoc="1" locked="0" layoutInCell="1" allowOverlap="1" wp14:anchorId="7311BE7B" wp14:editId="0AC571F8">
          <wp:simplePos x="0" y="0"/>
          <wp:positionH relativeFrom="column">
            <wp:posOffset>6577965</wp:posOffset>
          </wp:positionH>
          <wp:positionV relativeFrom="paragraph">
            <wp:posOffset>-8890</wp:posOffset>
          </wp:positionV>
          <wp:extent cx="1800000" cy="439405"/>
          <wp:effectExtent l="0" t="0" r="0" b="0"/>
          <wp:wrapTight wrapText="bothSides">
            <wp:wrapPolygon edited="0">
              <wp:start x="2287" y="0"/>
              <wp:lineTo x="0" y="1876"/>
              <wp:lineTo x="0" y="15004"/>
              <wp:lineTo x="457" y="16880"/>
              <wp:lineTo x="2058" y="20631"/>
              <wp:lineTo x="2744" y="20631"/>
              <wp:lineTo x="20350" y="20631"/>
              <wp:lineTo x="20350" y="15004"/>
              <wp:lineTo x="21265" y="12191"/>
              <wp:lineTo x="21265" y="0"/>
              <wp:lineTo x="2287" y="0"/>
            </wp:wrapPolygon>
          </wp:wrapTight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B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3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266">
      <w:rPr>
        <w:rFonts w:ascii="Arial" w:hAnsi="Arial" w:cs="Arial"/>
      </w:rPr>
      <w:tab/>
    </w:r>
    <w:r w:rsidR="007A3266">
      <w:rPr>
        <w:rFonts w:ascii="Arial" w:hAnsi="Arial" w:cs="Arial"/>
      </w:rPr>
      <w:tab/>
    </w:r>
    <w:r w:rsidR="007A3266">
      <w:rPr>
        <w:rFonts w:ascii="Arial" w:hAnsi="Arial" w:cs="Arial"/>
      </w:rPr>
      <w:tab/>
    </w:r>
    <w:r w:rsidR="007A3266">
      <w:rPr>
        <w:rFonts w:ascii="Arial" w:hAnsi="Arial" w:cs="Arial"/>
      </w:rPr>
      <w:tab/>
    </w:r>
  </w:p>
  <w:p w:rsidR="00B064CB" w:rsidRPr="004C5C47" w:rsidRDefault="002C2F08" w:rsidP="0013011C">
    <w:pPr>
      <w:pStyle w:val="Encabezado"/>
      <w:jc w:val="center"/>
      <w:rPr>
        <w:rFonts w:ascii="Arial" w:hAnsi="Arial" w:cs="Arial"/>
      </w:rPr>
    </w:pPr>
    <w:r w:rsidRPr="002C2F08">
      <w:rPr>
        <w:rFonts w:ascii="Encode Sans" w:hAnsi="Encode Sans" w:cs="Arial"/>
      </w:rPr>
      <w:t>Instituto Tamaulipeco de Becas, Estímulos y Créditos Educativos</w:t>
    </w:r>
    <w:r w:rsidR="00F22116">
      <w:rPr>
        <w:rFonts w:ascii="Arial" w:hAnsi="Arial" w:cs="Arial"/>
        <w:noProof/>
        <w:lang w:eastAsia="es-MX"/>
      </w:rPr>
      <w:drawing>
        <wp:inline distT="0" distB="0" distL="0" distR="0" wp14:anchorId="4257CFBD" wp14:editId="3DC96D49">
          <wp:extent cx="6193790" cy="24130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95391"/>
    <w:rsid w:val="000D401B"/>
    <w:rsid w:val="0013011C"/>
    <w:rsid w:val="001764C2"/>
    <w:rsid w:val="001B1B72"/>
    <w:rsid w:val="001B3103"/>
    <w:rsid w:val="00217114"/>
    <w:rsid w:val="0027627C"/>
    <w:rsid w:val="00284A01"/>
    <w:rsid w:val="002943A3"/>
    <w:rsid w:val="002A70B3"/>
    <w:rsid w:val="002A7AD2"/>
    <w:rsid w:val="002C2F08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27F69"/>
    <w:rsid w:val="0079582C"/>
    <w:rsid w:val="007A3266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9F182C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95A54"/>
    <w:rsid w:val="00C964D3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A52A1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A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A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BE37-0BF0-4B8C-909C-7C37456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3</cp:revision>
  <cp:lastPrinted>2024-02-26T15:42:00Z</cp:lastPrinted>
  <dcterms:created xsi:type="dcterms:W3CDTF">2024-03-07T19:33:00Z</dcterms:created>
  <dcterms:modified xsi:type="dcterms:W3CDTF">2024-03-07T19:33:00Z</dcterms:modified>
</cp:coreProperties>
</file>