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785A" w14:textId="77777777" w:rsidR="00375C20" w:rsidRPr="000931E9" w:rsidRDefault="00375C20" w:rsidP="000931E9">
      <w:pPr>
        <w:pStyle w:val="Texto"/>
      </w:pPr>
    </w:p>
    <w:p w14:paraId="1B4916A0"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5DF5AA66" w14:textId="77777777" w:rsidR="00F7023E" w:rsidRPr="00F7023E" w:rsidRDefault="00F7023E" w:rsidP="00540418">
      <w:pPr>
        <w:pStyle w:val="Texto"/>
        <w:spacing w:after="0" w:line="240" w:lineRule="exact"/>
        <w:jc w:val="center"/>
        <w:rPr>
          <w:rFonts w:ascii="Calibri" w:hAnsi="Calibri" w:cs="DIN Pro Regular"/>
          <w:b/>
          <w:sz w:val="24"/>
          <w:szCs w:val="24"/>
        </w:rPr>
      </w:pPr>
    </w:p>
    <w:p w14:paraId="349706B0"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20E85C8A"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0D32E25E"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7422E785"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7A18BC12" w14:textId="77777777" w:rsidR="00B31AAA" w:rsidRDefault="00B31AAA" w:rsidP="00B31AAA">
      <w:pPr>
        <w:pStyle w:val="Texto"/>
        <w:spacing w:after="0" w:line="240" w:lineRule="exact"/>
        <w:ind w:firstLine="0"/>
        <w:jc w:val="left"/>
        <w:rPr>
          <w:rFonts w:ascii="Calibri" w:hAnsi="Calibri" w:cs="DIN Pro Regular"/>
          <w:b/>
          <w:sz w:val="20"/>
          <w:lang w:val="es-MX"/>
        </w:rPr>
      </w:pPr>
    </w:p>
    <w:p w14:paraId="21F3E7F7" w14:textId="77777777" w:rsidR="0066023E" w:rsidRPr="00B31AAA" w:rsidRDefault="0066023E" w:rsidP="00B31AAA">
      <w:pPr>
        <w:pStyle w:val="Texto"/>
        <w:spacing w:after="0" w:line="240" w:lineRule="exact"/>
        <w:ind w:firstLine="0"/>
        <w:jc w:val="left"/>
        <w:rPr>
          <w:rFonts w:ascii="Calibri" w:hAnsi="Calibri" w:cs="DIN Pro Regular"/>
          <w:b/>
          <w:sz w:val="20"/>
          <w:lang w:val="es-MX"/>
        </w:rPr>
      </w:pPr>
    </w:p>
    <w:p w14:paraId="2516B816" w14:textId="77777777" w:rsidR="00B31AAA" w:rsidRDefault="009B3AE6" w:rsidP="00AB19D0">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14:paraId="73A0F729" w14:textId="77777777" w:rsidR="00AB19D0" w:rsidRPr="00BC7D6F" w:rsidRDefault="00AB19D0" w:rsidP="00AB19D0">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En 1869 con porción territorial de los Municipios de Burgos y Reynosa, se formó el municipio de Méndez.</w:t>
      </w:r>
    </w:p>
    <w:p w14:paraId="0136D191" w14:textId="77777777" w:rsidR="00AB19D0" w:rsidRPr="00BC7D6F" w:rsidRDefault="00AB19D0" w:rsidP="00AB19D0">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La cabecera del Municipio de la Villa de Méndez se llamó Congregación de la Laja y al erigirse en Villa, se cambió por el que tiene actualmente para honrar la memoria del General Tamaulipeco Pedro J. Méndez.</w:t>
      </w:r>
    </w:p>
    <w:p w14:paraId="2F1249EB" w14:textId="77777777" w:rsidR="00AB19D0" w:rsidRPr="00B31AAA" w:rsidRDefault="00AB19D0" w:rsidP="00AB19D0">
      <w:pPr>
        <w:pStyle w:val="Texto"/>
        <w:spacing w:after="0" w:line="240" w:lineRule="exact"/>
        <w:ind w:left="708" w:firstLine="0"/>
        <w:rPr>
          <w:rFonts w:ascii="Calibri" w:hAnsi="Calibri" w:cs="DIN Pro Regular"/>
          <w:sz w:val="20"/>
        </w:rPr>
      </w:pPr>
    </w:p>
    <w:p w14:paraId="6BAA9695" w14:textId="77777777" w:rsidR="00B31AAA" w:rsidRDefault="00B31AAA" w:rsidP="0066023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14:paraId="0A5FD226" w14:textId="77777777" w:rsidR="00AB19D0" w:rsidRPr="00BC7D6F" w:rsidRDefault="00AB19D0" w:rsidP="00AB19D0">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La Comisión Municipal de Agua con el Presupuesto de Ingresos y Presupuesto de Egresos; donde en los mismos se contempla el panorama económico y financiero del organismo.</w:t>
      </w:r>
    </w:p>
    <w:p w14:paraId="190DA8FD" w14:textId="77777777" w:rsidR="00AB19D0" w:rsidRDefault="00AB19D0" w:rsidP="00B31AAA">
      <w:pPr>
        <w:pStyle w:val="Texto"/>
        <w:spacing w:after="0" w:line="240" w:lineRule="exact"/>
        <w:rPr>
          <w:rFonts w:ascii="Calibri" w:hAnsi="Calibri" w:cs="DIN Pro Regular"/>
          <w:sz w:val="20"/>
          <w:lang w:val="es-MX"/>
        </w:rPr>
      </w:pPr>
    </w:p>
    <w:p w14:paraId="3C18B9B1"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1B989598" w14:textId="77777777" w:rsidR="00AB19D0" w:rsidRDefault="00AB19D0" w:rsidP="00AB19D0">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La Comisión Municipal de Agua Potable y Alcantarillado de Méndez Tamaulipas es un Organismo Público Descentralizado del Municipio de Casas Tamaulipas, con personalidad jurídica, patrimonio propio y funciones administrativas y cuyas atribuciones le son conferidas por la Ley de Aguas del Estado de Tamaulipas</w:t>
      </w:r>
    </w:p>
    <w:p w14:paraId="47AF96F9"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363FB57C"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14:paraId="45222685" w14:textId="77777777" w:rsidR="00AB19D0" w:rsidRPr="00B31AAA" w:rsidRDefault="00AB19D0" w:rsidP="0066023E">
      <w:pPr>
        <w:pStyle w:val="Prrafodelista"/>
        <w:ind w:left="708"/>
        <w:jc w:val="both"/>
        <w:rPr>
          <w:rFonts w:cs="DIN Pro Regular"/>
          <w:sz w:val="20"/>
        </w:rPr>
      </w:pPr>
      <w:r w:rsidRPr="00AB19D0">
        <w:rPr>
          <w:rFonts w:asciiTheme="minorHAnsi" w:hAnsiTheme="minorHAnsi" w:cstheme="minorHAnsi"/>
          <w:sz w:val="20"/>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 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14:paraId="4A2C994D"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14:paraId="2C0208C6" w14:textId="77777777" w:rsidR="00AB19D0" w:rsidRPr="00B31AAA" w:rsidRDefault="00AB19D0" w:rsidP="00AB19D0">
      <w:pPr>
        <w:pStyle w:val="Texto"/>
        <w:spacing w:after="0" w:line="240" w:lineRule="exact"/>
        <w:ind w:left="708" w:firstLine="0"/>
        <w:rPr>
          <w:rFonts w:ascii="Calibri" w:hAnsi="Calibri" w:cs="DIN Pro Regular"/>
          <w:sz w:val="20"/>
          <w:lang w:val="es-MX"/>
        </w:rPr>
      </w:pPr>
      <w:r w:rsidRPr="00BC7D6F">
        <w:rPr>
          <w:rFonts w:asciiTheme="minorHAnsi" w:hAnsiTheme="minorHAnsi" w:cstheme="minorHAnsi"/>
          <w:sz w:val="20"/>
          <w:lang w:val="es-MX"/>
        </w:rPr>
        <w:t>La Comisión Municipal de Agua Potable y Alcantarillado de Méndez Tamaulipas no aplica para este concepto</w:t>
      </w:r>
    </w:p>
    <w:p w14:paraId="651759B0"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4BD892E6"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14:paraId="4E8852DA" w14:textId="77777777" w:rsidR="00AB19D0" w:rsidRDefault="00AB19D0" w:rsidP="00AB19D0">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La Comisión Municipal de Agua Potable y Alcantarillado de Méndez Tamaulipas no aplica para este concepto</w:t>
      </w:r>
      <w:r>
        <w:rPr>
          <w:rFonts w:asciiTheme="minorHAnsi" w:hAnsiTheme="minorHAnsi" w:cstheme="minorHAnsi"/>
          <w:sz w:val="20"/>
          <w:lang w:val="es-MX"/>
        </w:rPr>
        <w:t>.</w:t>
      </w:r>
    </w:p>
    <w:p w14:paraId="5EDF521B"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385DB8A4" w14:textId="77777777" w:rsidR="00AB19D0"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14:paraId="7E813574" w14:textId="77777777" w:rsidR="00AB19D0" w:rsidRPr="00B31AAA" w:rsidRDefault="00AB19D0" w:rsidP="00AB19D0">
      <w:pPr>
        <w:pStyle w:val="Texto"/>
        <w:spacing w:after="0" w:line="240" w:lineRule="exact"/>
        <w:ind w:left="708" w:firstLine="0"/>
        <w:rPr>
          <w:rFonts w:ascii="Calibri" w:hAnsi="Calibri" w:cs="DIN Pro Regular"/>
          <w:sz w:val="20"/>
          <w:lang w:val="es-MX"/>
        </w:rPr>
      </w:pPr>
      <w:r w:rsidRPr="00BC7D6F">
        <w:rPr>
          <w:rFonts w:asciiTheme="minorHAnsi" w:hAnsiTheme="minorHAnsi" w:cstheme="minorHAnsi"/>
          <w:sz w:val="20"/>
          <w:lang w:val="es-MX"/>
        </w:rPr>
        <w:t>La Comisión Municipal de Agua Potable y Alcantarillado de Méndez Tamaulipas no aplica para este concepto</w:t>
      </w:r>
    </w:p>
    <w:p w14:paraId="3DECA717" w14:textId="77777777" w:rsidR="00AB19D0" w:rsidRDefault="00AB19D0" w:rsidP="00AB19D0">
      <w:pPr>
        <w:pStyle w:val="Texto"/>
        <w:spacing w:after="0" w:line="240" w:lineRule="exact"/>
        <w:ind w:left="708" w:firstLine="0"/>
        <w:rPr>
          <w:rFonts w:ascii="Calibri" w:hAnsi="Calibri" w:cs="DIN Pro Regular"/>
          <w:sz w:val="20"/>
          <w:lang w:val="es-MX"/>
        </w:rPr>
      </w:pPr>
    </w:p>
    <w:p w14:paraId="3AD2F240"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14:paraId="49A4535F" w14:textId="77777777" w:rsidR="00AB19D0" w:rsidRPr="00B31AAA" w:rsidRDefault="00AB19D0" w:rsidP="00AB19D0">
      <w:pPr>
        <w:pStyle w:val="Texto"/>
        <w:spacing w:after="0" w:line="240" w:lineRule="exact"/>
        <w:ind w:left="708" w:firstLine="0"/>
        <w:rPr>
          <w:rFonts w:ascii="Calibri" w:hAnsi="Calibri" w:cs="DIN Pro Regular"/>
          <w:sz w:val="20"/>
          <w:lang w:val="es-MX"/>
        </w:rPr>
      </w:pPr>
      <w:r w:rsidRPr="00BC7D6F">
        <w:rPr>
          <w:rFonts w:asciiTheme="minorHAnsi" w:hAnsiTheme="minorHAnsi" w:cstheme="minorHAnsi"/>
          <w:sz w:val="20"/>
          <w:lang w:val="es-MX"/>
        </w:rPr>
        <w:t>La Comisión Municipal de Agua Potable y Alcantarillado de Méndez Tamaulipas no aplica para este concepto</w:t>
      </w:r>
    </w:p>
    <w:p w14:paraId="401F4059"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09F47233"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14:paraId="01CDB62B" w14:textId="77777777" w:rsidR="0066023E" w:rsidRDefault="0066023E" w:rsidP="0066023E">
      <w:pPr>
        <w:pStyle w:val="Texto"/>
        <w:spacing w:after="0" w:line="240" w:lineRule="exact"/>
        <w:ind w:left="708" w:firstLine="0"/>
        <w:rPr>
          <w:rFonts w:asciiTheme="minorHAnsi" w:hAnsiTheme="minorHAnsi" w:cstheme="minorHAnsi"/>
          <w:sz w:val="20"/>
          <w:lang w:val="es-MX"/>
        </w:rPr>
      </w:pPr>
      <w:r w:rsidRPr="00BC7D6F">
        <w:rPr>
          <w:rFonts w:asciiTheme="minorHAnsi" w:hAnsiTheme="minorHAnsi" w:cstheme="minorHAnsi"/>
          <w:sz w:val="20"/>
          <w:lang w:val="es-MX"/>
        </w:rPr>
        <w:t>Las cifras que presentan en el reporte de consumo son en base a la facturación, documento que emite la     comisión estatal de agua de Tamaulipas, para el organismo operador de agua, desglosado por doméstico, comercio, y público.</w:t>
      </w:r>
    </w:p>
    <w:p w14:paraId="4BD24678" w14:textId="77777777" w:rsidR="0066023E" w:rsidRDefault="0066023E" w:rsidP="0066023E">
      <w:pPr>
        <w:pStyle w:val="Texto"/>
        <w:spacing w:after="0" w:line="240" w:lineRule="exact"/>
        <w:ind w:left="708" w:firstLine="0"/>
        <w:rPr>
          <w:rFonts w:ascii="Calibri" w:hAnsi="Calibri" w:cs="DIN Pro Regular"/>
          <w:sz w:val="20"/>
          <w:lang w:val="es-MX"/>
        </w:rPr>
      </w:pPr>
    </w:p>
    <w:p w14:paraId="5CE641EF" w14:textId="77777777" w:rsidR="00351ED0" w:rsidRDefault="00351ED0" w:rsidP="0066023E">
      <w:pPr>
        <w:pStyle w:val="Texto"/>
        <w:spacing w:after="0" w:line="240" w:lineRule="exact"/>
        <w:ind w:left="708" w:firstLine="0"/>
        <w:rPr>
          <w:rFonts w:ascii="Calibri" w:hAnsi="Calibri" w:cs="DIN Pro Regular"/>
          <w:sz w:val="20"/>
          <w:lang w:val="es-MX"/>
        </w:rPr>
      </w:pPr>
    </w:p>
    <w:p w14:paraId="087C6497" w14:textId="77777777" w:rsidR="00AB19D0" w:rsidRDefault="00AB19D0" w:rsidP="00AB19D0">
      <w:pPr>
        <w:pStyle w:val="Texto"/>
        <w:spacing w:after="0" w:line="240" w:lineRule="exact"/>
        <w:ind w:left="708" w:firstLine="0"/>
        <w:rPr>
          <w:rFonts w:ascii="Calibri" w:hAnsi="Calibri" w:cs="DIN Pro Regular"/>
          <w:sz w:val="20"/>
          <w:lang w:val="es-MX"/>
        </w:rPr>
      </w:pPr>
    </w:p>
    <w:tbl>
      <w:tblPr>
        <w:tblW w:w="0" w:type="auto"/>
        <w:jc w:val="center"/>
        <w:tblLayout w:type="fixed"/>
        <w:tblLook w:val="0000" w:firstRow="0" w:lastRow="0" w:firstColumn="0" w:lastColumn="0" w:noHBand="0" w:noVBand="0"/>
      </w:tblPr>
      <w:tblGrid>
        <w:gridCol w:w="3115"/>
        <w:gridCol w:w="1013"/>
      </w:tblGrid>
      <w:tr w:rsidR="00AB19D0" w:rsidRPr="00AB19D0" w14:paraId="1AC66031" w14:textId="77777777" w:rsidTr="0066023E">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272BA483" w14:textId="77777777" w:rsidR="00AB19D0" w:rsidRPr="00AB19D0" w:rsidRDefault="00AB19D0" w:rsidP="00AB19D0">
            <w:pPr>
              <w:spacing w:after="0" w:line="224" w:lineRule="exact"/>
              <w:jc w:val="center"/>
              <w:rPr>
                <w:rFonts w:ascii="Encode Sans" w:eastAsia="Times New Roman" w:hAnsi="Encode Sans" w:cs="DIN Pro Regular"/>
                <w:sz w:val="20"/>
                <w:szCs w:val="20"/>
                <w:lang w:eastAsia="es-ES"/>
              </w:rPr>
            </w:pPr>
            <w:r w:rsidRPr="00AB19D0">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5052FD25" w14:textId="77777777" w:rsidR="00AB19D0" w:rsidRPr="00AB19D0" w:rsidRDefault="00AB19D0" w:rsidP="00AB19D0">
            <w:pPr>
              <w:spacing w:after="0" w:line="224" w:lineRule="exact"/>
              <w:jc w:val="center"/>
              <w:rPr>
                <w:rFonts w:asciiTheme="minorHAnsi" w:eastAsia="Times New Roman" w:hAnsiTheme="minorHAnsi" w:cs="DIN Pro Regular"/>
                <w:b/>
                <w:color w:val="FFFFFF"/>
                <w:sz w:val="20"/>
                <w:szCs w:val="20"/>
                <w:lang w:eastAsia="es-ES"/>
              </w:rPr>
            </w:pPr>
            <w:r w:rsidRPr="00AB19D0">
              <w:rPr>
                <w:rFonts w:asciiTheme="minorHAnsi" w:eastAsia="Times New Roman" w:hAnsiTheme="minorHAnsi" w:cs="DIN Pro Regular"/>
                <w:b/>
                <w:color w:val="FFFFFF"/>
                <w:sz w:val="20"/>
                <w:szCs w:val="20"/>
                <w:lang w:eastAsia="es-ES"/>
              </w:rPr>
              <w:t>Importe</w:t>
            </w:r>
          </w:p>
        </w:tc>
      </w:tr>
      <w:tr w:rsidR="00AB19D0" w:rsidRPr="00AB19D0" w14:paraId="42CBE378" w14:textId="77777777" w:rsidTr="0066023E">
        <w:trPr>
          <w:cantSplit/>
          <w:jc w:val="center"/>
        </w:trPr>
        <w:tc>
          <w:tcPr>
            <w:tcW w:w="3115" w:type="dxa"/>
            <w:tcBorders>
              <w:top w:val="single" w:sz="6" w:space="0" w:color="auto"/>
              <w:left w:val="single" w:sz="6" w:space="0" w:color="auto"/>
              <w:bottom w:val="single" w:sz="6" w:space="0" w:color="auto"/>
              <w:right w:val="single" w:sz="6" w:space="0" w:color="auto"/>
            </w:tcBorders>
          </w:tcPr>
          <w:p w14:paraId="4764F2EB" w14:textId="1A426E08" w:rsidR="00AB19D0" w:rsidRPr="00AB19D0" w:rsidRDefault="00D27144" w:rsidP="00AB19D0">
            <w:pPr>
              <w:spacing w:after="80" w:line="203" w:lineRule="exact"/>
              <w:jc w:val="both"/>
              <w:rPr>
                <w:rFonts w:eastAsia="Times New Roman" w:cs="DIN Pro Regular"/>
                <w:sz w:val="20"/>
                <w:szCs w:val="20"/>
                <w:lang w:eastAsia="es-ES"/>
              </w:rPr>
            </w:pPr>
            <w:r>
              <w:rPr>
                <w:rFonts w:eastAsia="Times New Roman" w:cs="DIN Pro Regular"/>
                <w:sz w:val="20"/>
                <w:szCs w:val="20"/>
                <w:lang w:eastAsia="es-ES"/>
              </w:rPr>
              <w:t>Ingresos por venta de bien</w:t>
            </w:r>
            <w:r w:rsidR="00AB19D0" w:rsidRPr="00AB19D0">
              <w:rPr>
                <w:rFonts w:eastAsia="Times New Roman" w:cs="DIN Pro Regular"/>
                <w:sz w:val="20"/>
                <w:szCs w:val="20"/>
                <w:lang w:eastAsia="es-ES"/>
              </w:rPr>
              <w:t>es y prestación de servicios</w:t>
            </w:r>
          </w:p>
        </w:tc>
        <w:tc>
          <w:tcPr>
            <w:tcW w:w="1013" w:type="dxa"/>
            <w:tcBorders>
              <w:top w:val="single" w:sz="6" w:space="0" w:color="auto"/>
              <w:left w:val="single" w:sz="6" w:space="0" w:color="auto"/>
              <w:bottom w:val="single" w:sz="6" w:space="0" w:color="auto"/>
              <w:right w:val="single" w:sz="6" w:space="0" w:color="auto"/>
            </w:tcBorders>
          </w:tcPr>
          <w:p w14:paraId="06C80747" w14:textId="77777777" w:rsidR="00AB19D0" w:rsidRPr="00AB19D0" w:rsidRDefault="00AB19D0" w:rsidP="00AB19D0">
            <w:pPr>
              <w:spacing w:after="101" w:line="224" w:lineRule="exact"/>
              <w:jc w:val="center"/>
              <w:rPr>
                <w:rFonts w:eastAsia="Times New Roman" w:cs="DIN Pro Regular"/>
                <w:sz w:val="20"/>
                <w:szCs w:val="20"/>
                <w:lang w:eastAsia="es-ES"/>
              </w:rPr>
            </w:pPr>
            <w:r w:rsidRPr="00AB19D0">
              <w:rPr>
                <w:rFonts w:eastAsia="Times New Roman" w:cs="DIN Pro Regular"/>
                <w:sz w:val="20"/>
                <w:szCs w:val="20"/>
                <w:lang w:eastAsia="es-ES"/>
              </w:rPr>
              <w:t>$</w:t>
            </w:r>
            <w:r>
              <w:rPr>
                <w:rFonts w:eastAsia="Times New Roman" w:cs="DIN Pro Regular"/>
                <w:sz w:val="20"/>
                <w:szCs w:val="20"/>
                <w:lang w:eastAsia="es-ES"/>
              </w:rPr>
              <w:t>120,896</w:t>
            </w:r>
          </w:p>
        </w:tc>
      </w:tr>
    </w:tbl>
    <w:p w14:paraId="22E240AC" w14:textId="77777777" w:rsidR="00AB19D0" w:rsidRDefault="00AB19D0" w:rsidP="00AB19D0">
      <w:pPr>
        <w:pStyle w:val="Texto"/>
        <w:spacing w:after="0" w:line="240" w:lineRule="exact"/>
        <w:ind w:left="708" w:firstLine="0"/>
        <w:rPr>
          <w:rFonts w:ascii="Calibri" w:hAnsi="Calibri" w:cs="DIN Pro Regular"/>
          <w:sz w:val="20"/>
          <w:lang w:val="es-MX"/>
        </w:rPr>
      </w:pPr>
    </w:p>
    <w:p w14:paraId="5CD7C44C" w14:textId="77777777" w:rsidR="00AB19D0" w:rsidRDefault="00AB19D0" w:rsidP="00AB19D0">
      <w:pPr>
        <w:pStyle w:val="Texto"/>
        <w:spacing w:after="0" w:line="240" w:lineRule="exact"/>
        <w:ind w:left="708" w:firstLine="0"/>
        <w:rPr>
          <w:rFonts w:ascii="Calibri" w:hAnsi="Calibri" w:cs="DIN Pro Regular"/>
          <w:sz w:val="20"/>
          <w:lang w:val="es-MX"/>
        </w:rPr>
      </w:pPr>
    </w:p>
    <w:p w14:paraId="5C929231" w14:textId="77777777" w:rsidR="00351ED0" w:rsidRPr="00B31AAA" w:rsidRDefault="00351ED0" w:rsidP="00AB19D0">
      <w:pPr>
        <w:pStyle w:val="Texto"/>
        <w:spacing w:after="0" w:line="240" w:lineRule="exact"/>
        <w:ind w:left="708" w:firstLine="0"/>
        <w:rPr>
          <w:rFonts w:ascii="Calibri" w:hAnsi="Calibri" w:cs="DIN Pro Regular"/>
          <w:sz w:val="20"/>
          <w:lang w:val="es-MX"/>
        </w:rPr>
      </w:pPr>
    </w:p>
    <w:p w14:paraId="7DFF41EE"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14:paraId="44914963"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14B9339C"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1FFD9694"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14:paraId="5E867A5D"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68113061"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7679D6F8"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bookmarkStart w:id="0" w:name="_GoBack"/>
      <w:bookmarkEnd w:id="0"/>
    </w:p>
    <w:p w14:paraId="3B38F137"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128A8E0B"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68780546"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14:paraId="5F6F40FE"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4A1D460F"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60159BF8"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380D4FDD"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1BD91CC" w14:textId="77777777" w:rsidR="00AB19D0" w:rsidRPr="00B31AAA" w:rsidRDefault="00AB19D0" w:rsidP="00AB19D0">
      <w:pPr>
        <w:pStyle w:val="Texto"/>
        <w:spacing w:after="0" w:line="240" w:lineRule="exact"/>
        <w:ind w:left="708" w:firstLine="0"/>
        <w:rPr>
          <w:rFonts w:ascii="Calibri" w:hAnsi="Calibri" w:cs="DIN Pro Regular"/>
          <w:sz w:val="20"/>
          <w:lang w:val="es-MX"/>
        </w:rPr>
      </w:pPr>
    </w:p>
    <w:p w14:paraId="108F2803" w14:textId="77777777" w:rsidR="00B31AAA" w:rsidRDefault="00B31AAA" w:rsidP="00AB19D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14:paraId="5EFEB9F4" w14:textId="77777777" w:rsidR="00AB19D0" w:rsidRDefault="00AB19D0" w:rsidP="00AB19D0">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6D30AEB0" w14:textId="77777777" w:rsidR="00AB19D0" w:rsidRDefault="00AB19D0" w:rsidP="00AB19D0">
      <w:pPr>
        <w:pStyle w:val="Texto"/>
        <w:spacing w:after="0" w:line="240" w:lineRule="exact"/>
        <w:ind w:left="708" w:firstLine="0"/>
        <w:rPr>
          <w:rFonts w:ascii="Calibri" w:hAnsi="Calibri" w:cs="DIN Pro Regular"/>
          <w:sz w:val="20"/>
          <w:lang w:val="es-MX"/>
        </w:rPr>
      </w:pPr>
    </w:p>
    <w:p w14:paraId="7FAA8919" w14:textId="77777777"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14:paraId="4C5A8B54" w14:textId="77777777" w:rsidR="00B31AAA" w:rsidRPr="00B31AAA" w:rsidRDefault="00B31AAA" w:rsidP="00B31AAA">
      <w:pPr>
        <w:pStyle w:val="Texto"/>
        <w:spacing w:after="0" w:line="240" w:lineRule="exact"/>
        <w:ind w:firstLine="0"/>
        <w:rPr>
          <w:rFonts w:ascii="Calibri" w:hAnsi="Calibri" w:cs="DIN Pro Regular"/>
          <w:sz w:val="20"/>
        </w:rPr>
      </w:pPr>
    </w:p>
    <w:p w14:paraId="489FEA1C" w14:textId="77777777" w:rsidR="00B31AAA" w:rsidRPr="00B31AAA" w:rsidRDefault="00B31AAA" w:rsidP="00B31AAA">
      <w:pPr>
        <w:pStyle w:val="Texto"/>
        <w:spacing w:after="0" w:line="240" w:lineRule="exact"/>
        <w:ind w:firstLine="0"/>
        <w:rPr>
          <w:rFonts w:ascii="Calibri" w:hAnsi="Calibri" w:cs="DIN Pro Regular"/>
          <w:sz w:val="20"/>
        </w:rPr>
      </w:pPr>
    </w:p>
    <w:p w14:paraId="39E510C9" w14:textId="77777777" w:rsidR="00B31AAA" w:rsidRDefault="00B31AAA" w:rsidP="00B31AAA">
      <w:pPr>
        <w:pStyle w:val="Texto"/>
        <w:spacing w:after="0" w:line="240" w:lineRule="exact"/>
        <w:ind w:firstLine="0"/>
        <w:rPr>
          <w:rFonts w:ascii="Calibri" w:hAnsi="Calibri" w:cs="DIN Pro Regular"/>
          <w:sz w:val="20"/>
        </w:rPr>
      </w:pPr>
    </w:p>
    <w:p w14:paraId="23C1B5FB" w14:textId="77777777" w:rsidR="0076444A" w:rsidRDefault="0076444A" w:rsidP="00B31AAA">
      <w:pPr>
        <w:pStyle w:val="Texto"/>
        <w:spacing w:after="0" w:line="240" w:lineRule="exact"/>
        <w:ind w:firstLine="0"/>
        <w:rPr>
          <w:rFonts w:ascii="Calibri" w:hAnsi="Calibri" w:cs="DIN Pro Regular"/>
          <w:sz w:val="20"/>
        </w:rPr>
      </w:pPr>
    </w:p>
    <w:p w14:paraId="596F122F" w14:textId="77777777" w:rsidR="0076444A" w:rsidRDefault="0076444A" w:rsidP="00B31AAA">
      <w:pPr>
        <w:pStyle w:val="Texto"/>
        <w:spacing w:after="0" w:line="240" w:lineRule="exact"/>
        <w:ind w:firstLine="0"/>
        <w:rPr>
          <w:rFonts w:ascii="Calibri" w:hAnsi="Calibri" w:cs="DIN Pro Regular"/>
          <w:sz w:val="20"/>
        </w:rPr>
      </w:pPr>
    </w:p>
    <w:p w14:paraId="1519712A" w14:textId="77777777" w:rsidR="0076444A" w:rsidRPr="00B31AAA" w:rsidRDefault="0076444A" w:rsidP="00B31AAA">
      <w:pPr>
        <w:pStyle w:val="Texto"/>
        <w:spacing w:after="0" w:line="240" w:lineRule="exact"/>
        <w:ind w:firstLine="0"/>
        <w:rPr>
          <w:rFonts w:ascii="Calibri" w:hAnsi="Calibri" w:cs="DIN Pro Regular"/>
          <w:sz w:val="20"/>
        </w:rPr>
      </w:pPr>
    </w:p>
    <w:p w14:paraId="0C1714CE"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6C85CD51" w14:textId="77777777" w:rsidR="00B31AAA" w:rsidRDefault="00B31AAA" w:rsidP="00B31AAA">
      <w:pPr>
        <w:pStyle w:val="Texto"/>
        <w:spacing w:after="0" w:line="240" w:lineRule="exact"/>
        <w:ind w:firstLine="0"/>
        <w:rPr>
          <w:rFonts w:ascii="Calibri" w:hAnsi="Calibri" w:cs="DIN Pro Regular"/>
          <w:sz w:val="20"/>
        </w:rPr>
      </w:pPr>
    </w:p>
    <w:p w14:paraId="64229C40" w14:textId="77777777" w:rsidR="0076444A" w:rsidRDefault="0076444A" w:rsidP="00B31AAA">
      <w:pPr>
        <w:pStyle w:val="Texto"/>
        <w:spacing w:after="0" w:line="240" w:lineRule="exact"/>
        <w:ind w:firstLine="0"/>
        <w:rPr>
          <w:rFonts w:ascii="Calibri" w:hAnsi="Calibri" w:cs="DIN Pro Regular"/>
          <w:sz w:val="20"/>
        </w:rPr>
      </w:pPr>
    </w:p>
    <w:p w14:paraId="1ED13EF5" w14:textId="77777777" w:rsidR="0076444A" w:rsidRDefault="0076444A" w:rsidP="00B31AAA">
      <w:pPr>
        <w:pStyle w:val="Texto"/>
        <w:spacing w:after="0" w:line="240" w:lineRule="exact"/>
        <w:ind w:firstLine="0"/>
        <w:rPr>
          <w:rFonts w:ascii="Calibri" w:hAnsi="Calibri" w:cs="DIN Pro Regular"/>
          <w:sz w:val="20"/>
        </w:rPr>
      </w:pPr>
    </w:p>
    <w:p w14:paraId="5C691292" w14:textId="77777777" w:rsidR="0076444A" w:rsidRPr="00B31AAA" w:rsidRDefault="0076444A" w:rsidP="00B31AAA">
      <w:pPr>
        <w:pStyle w:val="Texto"/>
        <w:spacing w:after="0" w:line="240" w:lineRule="exact"/>
        <w:ind w:firstLine="0"/>
        <w:rPr>
          <w:rFonts w:ascii="Calibri" w:hAnsi="Calibri" w:cs="DIN Pro Regular"/>
          <w:sz w:val="20"/>
        </w:rPr>
      </w:pPr>
    </w:p>
    <w:p w14:paraId="45FA5583" w14:textId="77777777" w:rsidR="00B31AAA" w:rsidRPr="00B31AAA" w:rsidRDefault="00B31AAA" w:rsidP="00B31AAA">
      <w:pPr>
        <w:pStyle w:val="Texto"/>
        <w:spacing w:after="0" w:line="240" w:lineRule="exact"/>
        <w:ind w:firstLine="0"/>
        <w:rPr>
          <w:rFonts w:ascii="Calibri" w:hAnsi="Calibri" w:cs="DIN Pro Regular"/>
          <w:sz w:val="20"/>
        </w:rPr>
      </w:pPr>
    </w:p>
    <w:p w14:paraId="2FAF60B3" w14:textId="77777777" w:rsidR="00B31AAA" w:rsidRPr="00B31AAA" w:rsidRDefault="00B31AAA" w:rsidP="00B31AAA">
      <w:pPr>
        <w:pStyle w:val="Texto"/>
        <w:spacing w:after="0" w:line="240" w:lineRule="exact"/>
        <w:rPr>
          <w:rFonts w:ascii="Calibri" w:hAnsi="Calibri" w:cs="DIN Pro Regular"/>
          <w:sz w:val="20"/>
        </w:rPr>
      </w:pPr>
    </w:p>
    <w:p w14:paraId="06AB084B" w14:textId="08E4E246" w:rsidR="00B31AAA" w:rsidRDefault="00B31AAA" w:rsidP="007A5B39">
      <w:pPr>
        <w:pStyle w:val="Texto"/>
        <w:spacing w:after="0" w:line="240" w:lineRule="exact"/>
        <w:ind w:firstLine="0"/>
        <w:rPr>
          <w:rFonts w:ascii="Calibri" w:hAnsi="Calibri" w:cs="DIN Pro Regular"/>
          <w:b/>
          <w:sz w:val="20"/>
        </w:rPr>
      </w:pPr>
    </w:p>
    <w:p w14:paraId="4FC95B04" w14:textId="019FD87C" w:rsidR="00D27144" w:rsidRDefault="00D27144" w:rsidP="007A5B39">
      <w:pPr>
        <w:pStyle w:val="Texto"/>
        <w:spacing w:after="0" w:line="240" w:lineRule="exact"/>
        <w:ind w:firstLine="0"/>
        <w:rPr>
          <w:rFonts w:ascii="Calibri" w:hAnsi="Calibri" w:cs="DIN Pro Regular"/>
          <w:b/>
          <w:sz w:val="20"/>
        </w:rPr>
      </w:pPr>
    </w:p>
    <w:p w14:paraId="6C40B548" w14:textId="77777777" w:rsidR="00D27144" w:rsidRDefault="00D27144" w:rsidP="007A5B39">
      <w:pPr>
        <w:pStyle w:val="Texto"/>
        <w:spacing w:after="0" w:line="240" w:lineRule="exact"/>
        <w:ind w:firstLine="0"/>
        <w:rPr>
          <w:rFonts w:ascii="Calibri" w:hAnsi="Calibri" w:cs="DIN Pro Regular"/>
          <w:b/>
          <w:sz w:val="20"/>
        </w:rPr>
      </w:pPr>
    </w:p>
    <w:p w14:paraId="6A69D832" w14:textId="77777777" w:rsidR="00B31AAA" w:rsidRDefault="00B31AAA" w:rsidP="007A5B39">
      <w:pPr>
        <w:pStyle w:val="Texto"/>
        <w:spacing w:after="0" w:line="240" w:lineRule="exact"/>
        <w:ind w:firstLine="0"/>
        <w:rPr>
          <w:rFonts w:ascii="Calibri" w:hAnsi="Calibri" w:cs="DIN Pro Regular"/>
          <w:b/>
          <w:sz w:val="20"/>
        </w:rPr>
      </w:pPr>
    </w:p>
    <w:p w14:paraId="7997E3C8" w14:textId="77777777" w:rsidR="00B31AAA" w:rsidRDefault="00B31AAA" w:rsidP="007A5B39">
      <w:pPr>
        <w:pStyle w:val="Texto"/>
        <w:spacing w:after="0" w:line="240" w:lineRule="exact"/>
        <w:ind w:firstLine="0"/>
        <w:rPr>
          <w:rFonts w:ascii="Calibri" w:hAnsi="Calibri" w:cs="DIN Pro Regular"/>
          <w:b/>
          <w:sz w:val="20"/>
        </w:rPr>
      </w:pPr>
    </w:p>
    <w:p w14:paraId="530A65E4" w14:textId="77777777" w:rsidR="00B31AAA" w:rsidRDefault="00B31AAA" w:rsidP="007A5B39">
      <w:pPr>
        <w:pStyle w:val="Texto"/>
        <w:spacing w:after="0" w:line="240" w:lineRule="exact"/>
        <w:ind w:firstLine="0"/>
        <w:rPr>
          <w:rFonts w:ascii="Calibri" w:hAnsi="Calibri" w:cs="DIN Pro Regular"/>
          <w:b/>
          <w:sz w:val="20"/>
        </w:rPr>
      </w:pPr>
    </w:p>
    <w:p w14:paraId="50F3CDF1" w14:textId="77777777" w:rsidR="00B31AAA" w:rsidRDefault="00B31AAA" w:rsidP="007A5B39">
      <w:pPr>
        <w:pStyle w:val="Texto"/>
        <w:spacing w:after="0" w:line="240" w:lineRule="exact"/>
        <w:ind w:firstLine="0"/>
        <w:rPr>
          <w:rFonts w:ascii="Calibri" w:hAnsi="Calibri" w:cs="DIN Pro Regular"/>
          <w:b/>
          <w:sz w:val="20"/>
        </w:rPr>
      </w:pPr>
    </w:p>
    <w:p w14:paraId="343088E4" w14:textId="77777777" w:rsidR="00B31AAA" w:rsidRDefault="00B31AAA" w:rsidP="007A5B39">
      <w:pPr>
        <w:pStyle w:val="Texto"/>
        <w:spacing w:after="0" w:line="240" w:lineRule="exact"/>
        <w:ind w:firstLine="0"/>
        <w:rPr>
          <w:rFonts w:ascii="Calibri" w:hAnsi="Calibri" w:cs="DIN Pro Regular"/>
          <w:b/>
          <w:sz w:val="20"/>
        </w:rPr>
      </w:pPr>
    </w:p>
    <w:p w14:paraId="450073B6" w14:textId="77777777" w:rsidR="00B31AAA" w:rsidRDefault="00B31AAA" w:rsidP="007A5B39">
      <w:pPr>
        <w:pStyle w:val="Texto"/>
        <w:spacing w:after="0" w:line="240" w:lineRule="exact"/>
        <w:ind w:firstLine="0"/>
        <w:rPr>
          <w:rFonts w:ascii="Calibri" w:hAnsi="Calibri" w:cs="DIN Pro Regular"/>
          <w:b/>
          <w:sz w:val="20"/>
        </w:rPr>
      </w:pPr>
    </w:p>
    <w:p w14:paraId="3D63E1A3" w14:textId="77777777" w:rsidR="00B31AAA" w:rsidRDefault="00B31AAA" w:rsidP="007A5B39">
      <w:pPr>
        <w:pStyle w:val="Texto"/>
        <w:spacing w:after="0" w:line="240" w:lineRule="exact"/>
        <w:ind w:firstLine="0"/>
        <w:rPr>
          <w:rFonts w:ascii="Calibri" w:hAnsi="Calibri" w:cs="DIN Pro Regular"/>
          <w:b/>
          <w:sz w:val="20"/>
        </w:rPr>
      </w:pPr>
    </w:p>
    <w:p w14:paraId="3BD3FFDC" w14:textId="77777777" w:rsidR="00B31AAA" w:rsidRDefault="00B31AAA" w:rsidP="007A5B39">
      <w:pPr>
        <w:pStyle w:val="Texto"/>
        <w:spacing w:after="0" w:line="240" w:lineRule="exact"/>
        <w:ind w:firstLine="0"/>
        <w:rPr>
          <w:rFonts w:ascii="Calibri" w:hAnsi="Calibri" w:cs="DIN Pro Regular"/>
          <w:b/>
          <w:sz w:val="20"/>
        </w:rPr>
      </w:pPr>
    </w:p>
    <w:p w14:paraId="4F0B6600" w14:textId="77777777" w:rsidR="00B31AAA" w:rsidRDefault="00B31AAA" w:rsidP="007A5B39">
      <w:pPr>
        <w:pStyle w:val="Texto"/>
        <w:spacing w:after="0" w:line="240" w:lineRule="exact"/>
        <w:ind w:firstLine="0"/>
        <w:rPr>
          <w:rFonts w:ascii="Calibri" w:hAnsi="Calibri" w:cs="DIN Pro Regular"/>
          <w:b/>
          <w:sz w:val="20"/>
        </w:rPr>
      </w:pPr>
    </w:p>
    <w:p w14:paraId="0354E7FE" w14:textId="77777777" w:rsidR="00205DB8" w:rsidRDefault="00205DB8" w:rsidP="00540418">
      <w:pPr>
        <w:pStyle w:val="Texto"/>
        <w:spacing w:after="0" w:line="240" w:lineRule="exact"/>
        <w:jc w:val="center"/>
        <w:rPr>
          <w:rFonts w:ascii="Calibri" w:hAnsi="Calibri" w:cs="DIN Pro Regular"/>
          <w:b/>
          <w:sz w:val="24"/>
          <w:szCs w:val="24"/>
        </w:rPr>
      </w:pPr>
    </w:p>
    <w:p w14:paraId="6B54B484" w14:textId="77777777" w:rsidR="00540418"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2B9E2378" w14:textId="77777777" w:rsidR="00351ED0" w:rsidRDefault="00351ED0" w:rsidP="00540418">
      <w:pPr>
        <w:pStyle w:val="Texto"/>
        <w:spacing w:after="0" w:line="240" w:lineRule="exact"/>
        <w:jc w:val="center"/>
        <w:rPr>
          <w:rFonts w:ascii="Calibri" w:hAnsi="Calibri" w:cs="DIN Pro Regular"/>
          <w:b/>
          <w:sz w:val="24"/>
          <w:szCs w:val="24"/>
        </w:rPr>
      </w:pPr>
    </w:p>
    <w:p w14:paraId="6CC37235" w14:textId="77777777" w:rsidR="00351ED0" w:rsidRPr="00F7023E" w:rsidRDefault="00351ED0" w:rsidP="00540418">
      <w:pPr>
        <w:pStyle w:val="Texto"/>
        <w:spacing w:after="0" w:line="240" w:lineRule="exact"/>
        <w:jc w:val="center"/>
        <w:rPr>
          <w:rFonts w:ascii="Calibri" w:hAnsi="Calibri" w:cs="DIN Pro Regular"/>
          <w:b/>
          <w:sz w:val="24"/>
          <w:szCs w:val="24"/>
        </w:rPr>
      </w:pPr>
    </w:p>
    <w:p w14:paraId="21013D43" w14:textId="77777777" w:rsidR="00B31AAA" w:rsidRDefault="00B31AAA" w:rsidP="00540418">
      <w:pPr>
        <w:pStyle w:val="Texto"/>
        <w:spacing w:after="0" w:line="240" w:lineRule="exact"/>
        <w:jc w:val="center"/>
        <w:rPr>
          <w:rFonts w:ascii="Calibri" w:hAnsi="Calibri" w:cs="DIN Pro Regular"/>
          <w:b/>
          <w:sz w:val="20"/>
        </w:rPr>
      </w:pPr>
    </w:p>
    <w:p w14:paraId="4797FD4B"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2CDD0ACD" w14:textId="77777777" w:rsidR="00540418" w:rsidRPr="00B31AAA" w:rsidRDefault="00540418" w:rsidP="00540418">
      <w:pPr>
        <w:pStyle w:val="Texto"/>
        <w:spacing w:after="0" w:line="240" w:lineRule="exact"/>
        <w:rPr>
          <w:rFonts w:ascii="Calibri" w:hAnsi="Calibri" w:cs="DIN Pro Regular"/>
          <w:sz w:val="20"/>
          <w:lang w:val="es-MX"/>
        </w:rPr>
      </w:pPr>
    </w:p>
    <w:p w14:paraId="36F42B2C"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50290283" w14:textId="77777777" w:rsidR="0066023E" w:rsidRDefault="0066023E" w:rsidP="00AF5955">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tblGrid>
      <w:tr w:rsidR="0066023E" w:rsidRPr="008A011E" w14:paraId="481890FE" w14:textId="77777777" w:rsidTr="0066023E">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0523906" w14:textId="77777777" w:rsidR="0066023E" w:rsidRPr="00010BEF" w:rsidRDefault="0066023E" w:rsidP="0066023E">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D62886C" w14:textId="77777777" w:rsidR="0066023E" w:rsidRPr="00C71B04" w:rsidRDefault="0066023E" w:rsidP="0066023E">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66023E" w:rsidRPr="008A011E" w14:paraId="58EB293D" w14:textId="77777777" w:rsidTr="0066023E">
        <w:trPr>
          <w:cantSplit/>
          <w:jc w:val="center"/>
        </w:trPr>
        <w:tc>
          <w:tcPr>
            <w:tcW w:w="3115" w:type="dxa"/>
            <w:tcBorders>
              <w:top w:val="single" w:sz="6" w:space="0" w:color="auto"/>
              <w:left w:val="single" w:sz="6" w:space="0" w:color="auto"/>
              <w:bottom w:val="single" w:sz="6" w:space="0" w:color="auto"/>
              <w:right w:val="single" w:sz="6" w:space="0" w:color="auto"/>
            </w:tcBorders>
          </w:tcPr>
          <w:p w14:paraId="717F408E" w14:textId="77777777" w:rsidR="0066023E" w:rsidRPr="001B2FD9" w:rsidRDefault="0066023E" w:rsidP="0066023E">
            <w:pPr>
              <w:pStyle w:val="Texto"/>
              <w:spacing w:after="0" w:line="203" w:lineRule="exact"/>
              <w:ind w:firstLine="0"/>
              <w:rPr>
                <w:rFonts w:ascii="Calibri" w:hAnsi="Calibri" w:cs="DIN Pro Regular"/>
                <w:sz w:val="20"/>
                <w:lang w:val="es-MX"/>
              </w:rPr>
            </w:pPr>
            <w:r>
              <w:rPr>
                <w:rFonts w:ascii="Calibri" w:hAnsi="Calibri" w:cs="DIN Pro Regular"/>
                <w:sz w:val="20"/>
                <w:lang w:val="es-MX"/>
              </w:rPr>
              <w:t>Ingresos por venta de bienes y prestación de servicios</w:t>
            </w:r>
          </w:p>
        </w:tc>
        <w:tc>
          <w:tcPr>
            <w:tcW w:w="1013" w:type="dxa"/>
            <w:tcBorders>
              <w:top w:val="single" w:sz="6" w:space="0" w:color="auto"/>
              <w:left w:val="single" w:sz="6" w:space="0" w:color="auto"/>
              <w:bottom w:val="single" w:sz="6" w:space="0" w:color="auto"/>
              <w:right w:val="single" w:sz="6" w:space="0" w:color="auto"/>
            </w:tcBorders>
          </w:tcPr>
          <w:p w14:paraId="39DC7116" w14:textId="77777777" w:rsidR="0066023E" w:rsidRPr="008A011E" w:rsidRDefault="0066023E" w:rsidP="0066023E">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$120,896</w:t>
            </w:r>
          </w:p>
        </w:tc>
      </w:tr>
    </w:tbl>
    <w:p w14:paraId="5099F79B" w14:textId="77777777" w:rsidR="0066023E" w:rsidRPr="00B31AAA" w:rsidRDefault="0066023E" w:rsidP="00AF5955">
      <w:pPr>
        <w:pStyle w:val="ROMANOS"/>
        <w:spacing w:after="0" w:line="240" w:lineRule="exact"/>
        <w:ind w:left="1140"/>
        <w:rPr>
          <w:rFonts w:ascii="Calibri" w:hAnsi="Calibri" w:cs="DIN Pro Regular"/>
          <w:b/>
          <w:sz w:val="20"/>
          <w:szCs w:val="20"/>
          <w:lang w:val="es-MX"/>
        </w:rPr>
      </w:pPr>
    </w:p>
    <w:p w14:paraId="3DBCC51C"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0DE287CF"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4680D25C" w14:textId="77777777" w:rsidR="0066023E" w:rsidRDefault="0066023E" w:rsidP="00AF5955">
      <w:pPr>
        <w:pStyle w:val="ROMANOS"/>
        <w:spacing w:after="0" w:line="240" w:lineRule="exact"/>
        <w:ind w:left="114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252"/>
        <w:gridCol w:w="1057"/>
      </w:tblGrid>
      <w:tr w:rsidR="0066023E" w:rsidRPr="008A011E" w14:paraId="39949DB9" w14:textId="77777777" w:rsidTr="0066023E">
        <w:trPr>
          <w:cantSplit/>
          <w:trHeight w:val="202"/>
          <w:jc w:val="center"/>
        </w:trPr>
        <w:tc>
          <w:tcPr>
            <w:tcW w:w="3252" w:type="dxa"/>
            <w:tcBorders>
              <w:top w:val="single" w:sz="6" w:space="0" w:color="auto"/>
              <w:left w:val="single" w:sz="6" w:space="0" w:color="auto"/>
              <w:bottom w:val="single" w:sz="6" w:space="0" w:color="auto"/>
              <w:right w:val="single" w:sz="6" w:space="0" w:color="auto"/>
            </w:tcBorders>
            <w:shd w:val="clear" w:color="auto" w:fill="AB0033"/>
          </w:tcPr>
          <w:p w14:paraId="5712FC2C" w14:textId="77777777" w:rsidR="0066023E" w:rsidRPr="00010BEF" w:rsidRDefault="0066023E" w:rsidP="0066023E">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57" w:type="dxa"/>
            <w:tcBorders>
              <w:top w:val="single" w:sz="6" w:space="0" w:color="auto"/>
              <w:left w:val="single" w:sz="6" w:space="0" w:color="auto"/>
              <w:bottom w:val="single" w:sz="6" w:space="0" w:color="auto"/>
              <w:right w:val="single" w:sz="6" w:space="0" w:color="auto"/>
            </w:tcBorders>
            <w:shd w:val="clear" w:color="auto" w:fill="AB0033"/>
          </w:tcPr>
          <w:p w14:paraId="0E60FB47" w14:textId="77777777" w:rsidR="0066023E" w:rsidRPr="00C71B04" w:rsidRDefault="0066023E" w:rsidP="0066023E">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66023E" w:rsidRPr="008A011E" w14:paraId="6E26D269" w14:textId="77777777" w:rsidTr="0066023E">
        <w:trPr>
          <w:cantSplit/>
          <w:trHeight w:val="232"/>
          <w:jc w:val="center"/>
        </w:trPr>
        <w:tc>
          <w:tcPr>
            <w:tcW w:w="3252" w:type="dxa"/>
            <w:tcBorders>
              <w:top w:val="single" w:sz="6" w:space="0" w:color="auto"/>
              <w:left w:val="single" w:sz="6" w:space="0" w:color="auto"/>
              <w:bottom w:val="single" w:sz="6" w:space="0" w:color="auto"/>
              <w:right w:val="single" w:sz="6" w:space="0" w:color="auto"/>
            </w:tcBorders>
          </w:tcPr>
          <w:p w14:paraId="15738E43" w14:textId="77777777" w:rsidR="0066023E" w:rsidRPr="001B2FD9" w:rsidRDefault="0066023E" w:rsidP="0066023E">
            <w:pPr>
              <w:pStyle w:val="Texto"/>
              <w:spacing w:after="0" w:line="203" w:lineRule="exact"/>
              <w:ind w:firstLine="0"/>
              <w:rPr>
                <w:rFonts w:ascii="Calibri" w:hAnsi="Calibri" w:cs="DIN Pro Regular"/>
                <w:sz w:val="20"/>
                <w:lang w:val="es-MX"/>
              </w:rPr>
            </w:pPr>
            <w:r>
              <w:rPr>
                <w:rFonts w:ascii="Calibri" w:hAnsi="Calibri" w:cs="DIN Pro Regular"/>
                <w:sz w:val="20"/>
                <w:lang w:val="es-MX"/>
              </w:rPr>
              <w:t>Servicios Personales</w:t>
            </w:r>
          </w:p>
        </w:tc>
        <w:tc>
          <w:tcPr>
            <w:tcW w:w="1057" w:type="dxa"/>
            <w:tcBorders>
              <w:top w:val="single" w:sz="6" w:space="0" w:color="auto"/>
              <w:left w:val="single" w:sz="6" w:space="0" w:color="auto"/>
              <w:bottom w:val="single" w:sz="6" w:space="0" w:color="auto"/>
              <w:right w:val="single" w:sz="6" w:space="0" w:color="auto"/>
            </w:tcBorders>
          </w:tcPr>
          <w:p w14:paraId="0D2561D5" w14:textId="77777777" w:rsidR="0066023E" w:rsidRPr="008A011E" w:rsidRDefault="0066023E" w:rsidP="0066023E">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$142,531</w:t>
            </w:r>
          </w:p>
        </w:tc>
      </w:tr>
      <w:tr w:rsidR="0066023E" w:rsidRPr="008A011E" w14:paraId="32A42554" w14:textId="77777777" w:rsidTr="0066023E">
        <w:trPr>
          <w:cantSplit/>
          <w:trHeight w:val="220"/>
          <w:jc w:val="center"/>
        </w:trPr>
        <w:tc>
          <w:tcPr>
            <w:tcW w:w="3252" w:type="dxa"/>
            <w:tcBorders>
              <w:top w:val="single" w:sz="6" w:space="0" w:color="auto"/>
              <w:left w:val="single" w:sz="6" w:space="0" w:color="auto"/>
              <w:bottom w:val="single" w:sz="6" w:space="0" w:color="auto"/>
              <w:right w:val="single" w:sz="6" w:space="0" w:color="auto"/>
            </w:tcBorders>
          </w:tcPr>
          <w:p w14:paraId="62630286" w14:textId="77777777" w:rsidR="0066023E" w:rsidRDefault="0066023E" w:rsidP="0066023E">
            <w:pPr>
              <w:pStyle w:val="Texto"/>
              <w:spacing w:after="0" w:line="203" w:lineRule="exact"/>
              <w:ind w:firstLine="0"/>
              <w:rPr>
                <w:rFonts w:ascii="Calibri" w:hAnsi="Calibri" w:cs="DIN Pro Regular"/>
                <w:sz w:val="20"/>
                <w:lang w:val="es-MX"/>
              </w:rPr>
            </w:pPr>
            <w:r>
              <w:rPr>
                <w:rFonts w:ascii="Calibri" w:hAnsi="Calibri" w:cs="DIN Pro Regular"/>
                <w:sz w:val="20"/>
                <w:lang w:val="es-MX"/>
              </w:rPr>
              <w:t>Material y Suministros</w:t>
            </w:r>
          </w:p>
        </w:tc>
        <w:tc>
          <w:tcPr>
            <w:tcW w:w="1057" w:type="dxa"/>
            <w:tcBorders>
              <w:top w:val="single" w:sz="6" w:space="0" w:color="auto"/>
              <w:left w:val="single" w:sz="6" w:space="0" w:color="auto"/>
              <w:bottom w:val="single" w:sz="6" w:space="0" w:color="auto"/>
              <w:right w:val="single" w:sz="6" w:space="0" w:color="auto"/>
            </w:tcBorders>
          </w:tcPr>
          <w:p w14:paraId="0B64BC9A" w14:textId="49BFA662" w:rsidR="0066023E" w:rsidRPr="008A011E" w:rsidRDefault="00951130" w:rsidP="0066023E">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  3,462</w:t>
            </w:r>
          </w:p>
        </w:tc>
      </w:tr>
      <w:tr w:rsidR="0066023E" w:rsidRPr="008A011E" w14:paraId="28D0DD2C" w14:textId="77777777" w:rsidTr="0066023E">
        <w:trPr>
          <w:cantSplit/>
          <w:trHeight w:val="334"/>
          <w:jc w:val="center"/>
        </w:trPr>
        <w:tc>
          <w:tcPr>
            <w:tcW w:w="3252" w:type="dxa"/>
            <w:tcBorders>
              <w:top w:val="single" w:sz="6" w:space="0" w:color="auto"/>
              <w:left w:val="single" w:sz="6" w:space="0" w:color="auto"/>
              <w:bottom w:val="single" w:sz="6" w:space="0" w:color="auto"/>
              <w:right w:val="single" w:sz="6" w:space="0" w:color="auto"/>
            </w:tcBorders>
          </w:tcPr>
          <w:p w14:paraId="5E38E8FF" w14:textId="77777777" w:rsidR="0066023E" w:rsidRPr="003953FB" w:rsidRDefault="0066023E" w:rsidP="0066023E">
            <w:pPr>
              <w:pStyle w:val="Texto"/>
              <w:spacing w:after="0" w:line="203" w:lineRule="exact"/>
              <w:ind w:firstLine="0"/>
              <w:jc w:val="right"/>
              <w:rPr>
                <w:rFonts w:ascii="Calibri" w:hAnsi="Calibri" w:cs="DIN Pro Regular"/>
                <w:b/>
                <w:sz w:val="20"/>
                <w:lang w:val="es-MX"/>
              </w:rPr>
            </w:pPr>
            <w:r w:rsidRPr="003953FB">
              <w:rPr>
                <w:rFonts w:ascii="Calibri" w:hAnsi="Calibri" w:cs="DIN Pro Regular"/>
                <w:b/>
                <w:sz w:val="20"/>
                <w:lang w:val="es-MX"/>
              </w:rPr>
              <w:t>Total</w:t>
            </w:r>
          </w:p>
        </w:tc>
        <w:tc>
          <w:tcPr>
            <w:tcW w:w="1057" w:type="dxa"/>
            <w:tcBorders>
              <w:top w:val="single" w:sz="6" w:space="0" w:color="auto"/>
              <w:left w:val="single" w:sz="6" w:space="0" w:color="auto"/>
              <w:bottom w:val="single" w:sz="6" w:space="0" w:color="auto"/>
              <w:right w:val="single" w:sz="6" w:space="0" w:color="auto"/>
            </w:tcBorders>
          </w:tcPr>
          <w:p w14:paraId="484F648A" w14:textId="659314C7" w:rsidR="0066023E" w:rsidRPr="003953FB" w:rsidRDefault="0066023E" w:rsidP="0066023E">
            <w:pPr>
              <w:spacing w:after="0" w:line="224" w:lineRule="exact"/>
              <w:rPr>
                <w:rFonts w:eastAsia="Times New Roman" w:cs="DIN Pro Regular"/>
                <w:b/>
                <w:sz w:val="20"/>
                <w:szCs w:val="20"/>
                <w:lang w:eastAsia="es-ES"/>
              </w:rPr>
            </w:pPr>
            <w:r>
              <w:rPr>
                <w:rFonts w:eastAsia="Times New Roman" w:cs="DIN Pro Regular"/>
                <w:b/>
                <w:sz w:val="20"/>
                <w:szCs w:val="20"/>
                <w:lang w:eastAsia="es-ES"/>
              </w:rPr>
              <w:t xml:space="preserve"> </w:t>
            </w:r>
            <w:r w:rsidRPr="003953FB">
              <w:rPr>
                <w:rFonts w:eastAsia="Times New Roman" w:cs="DIN Pro Regular"/>
                <w:b/>
                <w:sz w:val="20"/>
                <w:szCs w:val="20"/>
                <w:lang w:eastAsia="es-ES"/>
              </w:rPr>
              <w:t>$</w:t>
            </w:r>
            <w:r w:rsidR="00951130">
              <w:rPr>
                <w:rFonts w:eastAsia="Times New Roman" w:cs="DIN Pro Regular"/>
                <w:b/>
                <w:sz w:val="20"/>
                <w:szCs w:val="20"/>
                <w:lang w:eastAsia="es-ES"/>
              </w:rPr>
              <w:t>145,993</w:t>
            </w:r>
          </w:p>
        </w:tc>
      </w:tr>
    </w:tbl>
    <w:p w14:paraId="6FC1AF0F" w14:textId="77777777" w:rsidR="0066023E" w:rsidRPr="00B31AAA" w:rsidRDefault="0066023E" w:rsidP="00AF5955">
      <w:pPr>
        <w:pStyle w:val="ROMANOS"/>
        <w:spacing w:after="0" w:line="240" w:lineRule="exact"/>
        <w:ind w:left="1140"/>
        <w:rPr>
          <w:rFonts w:ascii="Calibri" w:hAnsi="Calibri" w:cs="DIN Pro Regular"/>
          <w:sz w:val="20"/>
          <w:szCs w:val="20"/>
          <w:lang w:val="es-MX"/>
        </w:rPr>
      </w:pPr>
    </w:p>
    <w:p w14:paraId="7465B6A0"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7D1C12C7"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390969D5"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392DEEDD"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3231700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2DA27011" w14:textId="77777777" w:rsidR="0066023E" w:rsidRDefault="0066023E" w:rsidP="00AF595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3115"/>
        <w:gridCol w:w="1013"/>
      </w:tblGrid>
      <w:tr w:rsidR="0066023E" w:rsidRPr="008A011E" w14:paraId="77B31F0B" w14:textId="77777777" w:rsidTr="0066023E">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4BB1FB44" w14:textId="77777777" w:rsidR="0066023E" w:rsidRPr="00010BEF" w:rsidRDefault="0066023E" w:rsidP="0066023E">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0601374C" w14:textId="77777777" w:rsidR="0066023E" w:rsidRPr="00C71B04" w:rsidRDefault="0066023E" w:rsidP="0066023E">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66023E" w:rsidRPr="008A011E" w14:paraId="3D84D8FB" w14:textId="77777777" w:rsidTr="0066023E">
        <w:trPr>
          <w:cantSplit/>
          <w:jc w:val="center"/>
        </w:trPr>
        <w:tc>
          <w:tcPr>
            <w:tcW w:w="3115" w:type="dxa"/>
            <w:tcBorders>
              <w:top w:val="single" w:sz="6" w:space="0" w:color="auto"/>
              <w:left w:val="single" w:sz="6" w:space="0" w:color="auto"/>
              <w:bottom w:val="single" w:sz="6" w:space="0" w:color="auto"/>
              <w:right w:val="single" w:sz="6" w:space="0" w:color="auto"/>
            </w:tcBorders>
          </w:tcPr>
          <w:p w14:paraId="2DBAF14B" w14:textId="77777777" w:rsidR="0066023E" w:rsidRPr="001B2FD9" w:rsidRDefault="0066023E" w:rsidP="0066023E">
            <w:pPr>
              <w:pStyle w:val="Texto"/>
              <w:spacing w:after="0" w:line="203" w:lineRule="exact"/>
              <w:ind w:firstLine="0"/>
              <w:rPr>
                <w:rFonts w:ascii="Calibri" w:hAnsi="Calibri" w:cs="DIN Pro Regular"/>
                <w:sz w:val="20"/>
                <w:lang w:val="es-MX"/>
              </w:rPr>
            </w:pPr>
            <w:r>
              <w:rPr>
                <w:rFonts w:ascii="Calibri" w:hAnsi="Calibri" w:cs="DIN Pro Regular"/>
                <w:sz w:val="20"/>
                <w:lang w:val="es-MX"/>
              </w:rPr>
              <w:t>Efectivo</w:t>
            </w:r>
          </w:p>
        </w:tc>
        <w:tc>
          <w:tcPr>
            <w:tcW w:w="1013" w:type="dxa"/>
            <w:tcBorders>
              <w:top w:val="single" w:sz="6" w:space="0" w:color="auto"/>
              <w:left w:val="single" w:sz="6" w:space="0" w:color="auto"/>
              <w:bottom w:val="single" w:sz="6" w:space="0" w:color="auto"/>
              <w:right w:val="single" w:sz="6" w:space="0" w:color="auto"/>
            </w:tcBorders>
          </w:tcPr>
          <w:p w14:paraId="77C78D4E" w14:textId="77777777" w:rsidR="0066023E" w:rsidRPr="008A011E" w:rsidRDefault="0066023E" w:rsidP="007C77F3">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w:t>
            </w:r>
            <w:r w:rsidR="007C77F3">
              <w:rPr>
                <w:rFonts w:eastAsia="Times New Roman" w:cs="DIN Pro Regular"/>
                <w:sz w:val="20"/>
                <w:szCs w:val="20"/>
                <w:lang w:eastAsia="es-ES"/>
              </w:rPr>
              <w:t>41,566</w:t>
            </w:r>
          </w:p>
        </w:tc>
      </w:tr>
    </w:tbl>
    <w:p w14:paraId="2C84E189" w14:textId="77777777" w:rsidR="0066023E" w:rsidRDefault="0066023E" w:rsidP="00AF5955">
      <w:pPr>
        <w:pStyle w:val="Texto"/>
        <w:spacing w:after="80" w:line="203" w:lineRule="exact"/>
        <w:ind w:left="624" w:firstLine="0"/>
        <w:rPr>
          <w:rFonts w:ascii="Calibri" w:hAnsi="Calibri" w:cs="DIN Pro Regular"/>
          <w:b/>
          <w:sz w:val="20"/>
          <w:lang w:val="es-MX"/>
        </w:rPr>
      </w:pPr>
    </w:p>
    <w:p w14:paraId="00CD2222" w14:textId="77777777" w:rsidR="0066023E" w:rsidRPr="00B31AAA" w:rsidRDefault="0066023E" w:rsidP="00AF5955">
      <w:pPr>
        <w:pStyle w:val="Texto"/>
        <w:spacing w:after="80" w:line="203" w:lineRule="exact"/>
        <w:ind w:left="624" w:firstLine="0"/>
        <w:rPr>
          <w:rFonts w:ascii="Calibri" w:hAnsi="Calibri" w:cs="DIN Pro Regular"/>
          <w:b/>
          <w:sz w:val="20"/>
          <w:lang w:val="es-MX"/>
        </w:rPr>
      </w:pPr>
    </w:p>
    <w:p w14:paraId="58A33244"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07CC3239" w14:textId="77777777" w:rsidR="007C77F3" w:rsidRDefault="007C77F3" w:rsidP="007C77F3">
      <w:pPr>
        <w:pStyle w:val="Texto"/>
        <w:spacing w:after="80" w:line="276" w:lineRule="auto"/>
        <w:ind w:left="624" w:firstLine="0"/>
        <w:rPr>
          <w:rFonts w:asciiTheme="minorHAnsi" w:hAnsiTheme="minorHAnsi" w:cstheme="minorHAnsi"/>
          <w:bCs/>
          <w:sz w:val="20"/>
          <w:lang w:val="es-MX"/>
        </w:rPr>
      </w:pPr>
      <w:r w:rsidRPr="003953FB">
        <w:rPr>
          <w:rFonts w:asciiTheme="minorHAnsi" w:hAnsiTheme="minorHAnsi" w:cstheme="minorHAnsi"/>
          <w:bCs/>
          <w:sz w:val="20"/>
          <w:lang w:val="es-MX"/>
        </w:rPr>
        <w:t>Respecto al importe pendiente de cobro y recuperación, lo consideramos un saldo correspondiente de   $</w:t>
      </w:r>
      <w:r>
        <w:rPr>
          <w:rFonts w:asciiTheme="minorHAnsi" w:hAnsiTheme="minorHAnsi" w:cstheme="minorHAnsi"/>
          <w:bCs/>
          <w:sz w:val="20"/>
          <w:lang w:val="es-MX"/>
        </w:rPr>
        <w:t xml:space="preserve">35,277 </w:t>
      </w:r>
      <w:r w:rsidRPr="003953FB">
        <w:rPr>
          <w:rFonts w:asciiTheme="minorHAnsi" w:hAnsiTheme="minorHAnsi" w:cstheme="minorHAnsi"/>
          <w:bCs/>
          <w:sz w:val="20"/>
          <w:lang w:val="es-MX"/>
        </w:rPr>
        <w:t>a subsidio al empleo de la Comisión Municipal de Agua Potable y Alcantarillado de Méndez al cierre del ejercicio.</w:t>
      </w:r>
    </w:p>
    <w:p w14:paraId="3FAF79A4" w14:textId="77777777" w:rsidR="007C77F3" w:rsidRDefault="007C77F3" w:rsidP="007C77F3">
      <w:pPr>
        <w:pStyle w:val="Texto"/>
        <w:spacing w:after="80" w:line="276" w:lineRule="auto"/>
        <w:ind w:firstLine="624"/>
        <w:rPr>
          <w:rFonts w:asciiTheme="minorHAnsi" w:hAnsiTheme="minorHAnsi" w:cstheme="minorHAnsi"/>
          <w:bCs/>
          <w:sz w:val="20"/>
          <w:lang w:val="es-MX"/>
        </w:rPr>
      </w:pPr>
      <w:r w:rsidRPr="003953FB">
        <w:rPr>
          <w:rFonts w:asciiTheme="minorHAnsi" w:hAnsiTheme="minorHAnsi" w:cstheme="minorHAnsi"/>
          <w:bCs/>
          <w:sz w:val="20"/>
          <w:lang w:val="es-MX"/>
        </w:rPr>
        <w:t>Se registra un importe de IVA acreditable de $</w:t>
      </w:r>
      <w:r>
        <w:rPr>
          <w:rFonts w:asciiTheme="minorHAnsi" w:hAnsiTheme="minorHAnsi" w:cstheme="minorHAnsi"/>
          <w:bCs/>
          <w:sz w:val="20"/>
          <w:lang w:val="es-MX"/>
        </w:rPr>
        <w:t>46,290</w:t>
      </w:r>
      <w:r w:rsidRPr="003953FB">
        <w:rPr>
          <w:rFonts w:asciiTheme="minorHAnsi" w:hAnsiTheme="minorHAnsi" w:cstheme="minorHAnsi"/>
          <w:bCs/>
          <w:sz w:val="20"/>
          <w:lang w:val="es-MX"/>
        </w:rPr>
        <w:t xml:space="preserve"> y consumo de agua por $55,880</w:t>
      </w:r>
    </w:p>
    <w:p w14:paraId="49DA669D" w14:textId="77777777" w:rsidR="007C77F3" w:rsidRDefault="007C77F3" w:rsidP="007C77F3">
      <w:pPr>
        <w:pStyle w:val="Texto"/>
        <w:spacing w:after="80" w:line="276" w:lineRule="auto"/>
        <w:ind w:firstLine="624"/>
        <w:rPr>
          <w:rFonts w:asciiTheme="minorHAnsi" w:hAnsiTheme="minorHAnsi" w:cstheme="minorHAnsi"/>
          <w:bCs/>
          <w:sz w:val="20"/>
          <w:lang w:val="es-MX"/>
        </w:rPr>
      </w:pPr>
    </w:p>
    <w:tbl>
      <w:tblPr>
        <w:tblW w:w="0" w:type="auto"/>
        <w:jc w:val="center"/>
        <w:tblLayout w:type="fixed"/>
        <w:tblLook w:val="0000" w:firstRow="0" w:lastRow="0" w:firstColumn="0" w:lastColumn="0" w:noHBand="0" w:noVBand="0"/>
      </w:tblPr>
      <w:tblGrid>
        <w:gridCol w:w="2771"/>
        <w:gridCol w:w="1357"/>
      </w:tblGrid>
      <w:tr w:rsidR="007C77F3" w:rsidRPr="008A011E" w14:paraId="3F374B0C" w14:textId="77777777" w:rsidTr="00A67F94">
        <w:trPr>
          <w:cantSplit/>
          <w:trHeight w:val="200"/>
          <w:jc w:val="center"/>
        </w:trPr>
        <w:tc>
          <w:tcPr>
            <w:tcW w:w="2771" w:type="dxa"/>
            <w:tcBorders>
              <w:top w:val="single" w:sz="6" w:space="0" w:color="auto"/>
              <w:left w:val="single" w:sz="6" w:space="0" w:color="auto"/>
              <w:bottom w:val="single" w:sz="6" w:space="0" w:color="auto"/>
              <w:right w:val="single" w:sz="6" w:space="0" w:color="auto"/>
            </w:tcBorders>
            <w:shd w:val="clear" w:color="auto" w:fill="AB0033"/>
          </w:tcPr>
          <w:p w14:paraId="5A9F6D4D" w14:textId="77777777" w:rsidR="007C77F3" w:rsidRPr="00010BEF" w:rsidRDefault="007C77F3" w:rsidP="00A67F94">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14:paraId="3130FBC4" w14:textId="77777777" w:rsidR="007C77F3" w:rsidRPr="00C71B04" w:rsidRDefault="007C77F3" w:rsidP="00A67F94">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7C77F3" w:rsidRPr="008A011E" w14:paraId="243E9D59" w14:textId="77777777" w:rsidTr="00A67F94">
        <w:trPr>
          <w:cantSplit/>
          <w:jc w:val="center"/>
        </w:trPr>
        <w:tc>
          <w:tcPr>
            <w:tcW w:w="2771" w:type="dxa"/>
            <w:tcBorders>
              <w:top w:val="single" w:sz="6" w:space="0" w:color="auto"/>
              <w:left w:val="single" w:sz="6" w:space="0" w:color="auto"/>
              <w:bottom w:val="single" w:sz="6" w:space="0" w:color="auto"/>
              <w:right w:val="single" w:sz="6" w:space="0" w:color="auto"/>
            </w:tcBorders>
          </w:tcPr>
          <w:p w14:paraId="4746D1B8" w14:textId="77777777" w:rsidR="007C77F3" w:rsidRPr="001B2FD9" w:rsidRDefault="007C77F3" w:rsidP="00A67F94">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Subsidio al empleo</w:t>
            </w:r>
          </w:p>
        </w:tc>
        <w:tc>
          <w:tcPr>
            <w:tcW w:w="1357" w:type="dxa"/>
            <w:tcBorders>
              <w:top w:val="single" w:sz="6" w:space="0" w:color="auto"/>
              <w:left w:val="single" w:sz="6" w:space="0" w:color="auto"/>
              <w:bottom w:val="single" w:sz="6" w:space="0" w:color="auto"/>
              <w:right w:val="single" w:sz="6" w:space="0" w:color="auto"/>
            </w:tcBorders>
          </w:tcPr>
          <w:p w14:paraId="02E848D4" w14:textId="77777777" w:rsidR="007C77F3" w:rsidRPr="008A011E" w:rsidRDefault="007C77F3" w:rsidP="00A67F94">
            <w:pPr>
              <w:spacing w:after="0" w:line="224" w:lineRule="exact"/>
              <w:rPr>
                <w:rFonts w:eastAsia="Times New Roman" w:cs="DIN Pro Regular"/>
                <w:sz w:val="20"/>
                <w:szCs w:val="20"/>
                <w:lang w:eastAsia="es-ES"/>
              </w:rPr>
            </w:pPr>
            <w:r>
              <w:rPr>
                <w:rFonts w:eastAsia="Times New Roman" w:cs="DIN Pro Regular"/>
                <w:sz w:val="20"/>
                <w:szCs w:val="20"/>
                <w:lang w:eastAsia="es-ES"/>
              </w:rPr>
              <w:t>$35,277</w:t>
            </w:r>
          </w:p>
        </w:tc>
      </w:tr>
      <w:tr w:rsidR="007C77F3" w:rsidRPr="008A011E" w14:paraId="21901DD8" w14:textId="77777777" w:rsidTr="00A67F94">
        <w:trPr>
          <w:cantSplit/>
          <w:jc w:val="center"/>
        </w:trPr>
        <w:tc>
          <w:tcPr>
            <w:tcW w:w="2771" w:type="dxa"/>
            <w:tcBorders>
              <w:top w:val="single" w:sz="6" w:space="0" w:color="auto"/>
              <w:left w:val="single" w:sz="6" w:space="0" w:color="auto"/>
              <w:bottom w:val="single" w:sz="6" w:space="0" w:color="auto"/>
              <w:right w:val="single" w:sz="6" w:space="0" w:color="auto"/>
            </w:tcBorders>
          </w:tcPr>
          <w:p w14:paraId="112718E2" w14:textId="77777777" w:rsidR="007C77F3" w:rsidRDefault="007C77F3" w:rsidP="00A67F94">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Iva Acreditable</w:t>
            </w:r>
          </w:p>
        </w:tc>
        <w:tc>
          <w:tcPr>
            <w:tcW w:w="1357" w:type="dxa"/>
            <w:tcBorders>
              <w:top w:val="single" w:sz="6" w:space="0" w:color="auto"/>
              <w:left w:val="single" w:sz="6" w:space="0" w:color="auto"/>
              <w:bottom w:val="single" w:sz="6" w:space="0" w:color="auto"/>
              <w:right w:val="single" w:sz="6" w:space="0" w:color="auto"/>
            </w:tcBorders>
          </w:tcPr>
          <w:p w14:paraId="23F24D67" w14:textId="77777777" w:rsidR="007C77F3" w:rsidRPr="008A011E" w:rsidRDefault="007C77F3" w:rsidP="007C77F3">
            <w:pPr>
              <w:spacing w:after="0" w:line="224" w:lineRule="exact"/>
              <w:rPr>
                <w:rFonts w:eastAsia="Times New Roman" w:cs="DIN Pro Regular"/>
                <w:sz w:val="20"/>
                <w:szCs w:val="20"/>
                <w:lang w:eastAsia="es-ES"/>
              </w:rPr>
            </w:pPr>
            <w:r>
              <w:rPr>
                <w:rFonts w:eastAsia="Times New Roman" w:cs="DIN Pro Regular"/>
                <w:sz w:val="20"/>
                <w:szCs w:val="20"/>
                <w:lang w:eastAsia="es-ES"/>
              </w:rPr>
              <w:t>$46,290</w:t>
            </w:r>
          </w:p>
        </w:tc>
      </w:tr>
      <w:tr w:rsidR="007C77F3" w:rsidRPr="008A011E" w14:paraId="2347D459" w14:textId="77777777" w:rsidTr="00A67F94">
        <w:trPr>
          <w:cantSplit/>
          <w:jc w:val="center"/>
        </w:trPr>
        <w:tc>
          <w:tcPr>
            <w:tcW w:w="2771" w:type="dxa"/>
            <w:tcBorders>
              <w:top w:val="single" w:sz="6" w:space="0" w:color="auto"/>
              <w:left w:val="single" w:sz="6" w:space="0" w:color="auto"/>
              <w:bottom w:val="single" w:sz="6" w:space="0" w:color="auto"/>
              <w:right w:val="single" w:sz="6" w:space="0" w:color="auto"/>
            </w:tcBorders>
          </w:tcPr>
          <w:p w14:paraId="30D5AE81" w14:textId="77777777" w:rsidR="007C77F3" w:rsidRDefault="007C77F3" w:rsidP="00A67F94">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Consumo de agua</w:t>
            </w:r>
          </w:p>
        </w:tc>
        <w:tc>
          <w:tcPr>
            <w:tcW w:w="1357" w:type="dxa"/>
            <w:tcBorders>
              <w:top w:val="single" w:sz="6" w:space="0" w:color="auto"/>
              <w:left w:val="single" w:sz="6" w:space="0" w:color="auto"/>
              <w:bottom w:val="single" w:sz="6" w:space="0" w:color="auto"/>
              <w:right w:val="single" w:sz="6" w:space="0" w:color="auto"/>
            </w:tcBorders>
          </w:tcPr>
          <w:p w14:paraId="109445D6" w14:textId="77777777" w:rsidR="007C77F3" w:rsidRPr="008A011E" w:rsidRDefault="007C77F3" w:rsidP="00A67F94">
            <w:pPr>
              <w:spacing w:after="0" w:line="224" w:lineRule="exact"/>
              <w:rPr>
                <w:rFonts w:eastAsia="Times New Roman" w:cs="DIN Pro Regular"/>
                <w:sz w:val="20"/>
                <w:szCs w:val="20"/>
                <w:lang w:eastAsia="es-ES"/>
              </w:rPr>
            </w:pPr>
            <w:r>
              <w:rPr>
                <w:rFonts w:eastAsia="Times New Roman" w:cs="DIN Pro Regular"/>
                <w:sz w:val="20"/>
                <w:szCs w:val="20"/>
                <w:lang w:eastAsia="es-ES"/>
              </w:rPr>
              <w:t>$55,880</w:t>
            </w:r>
          </w:p>
        </w:tc>
      </w:tr>
      <w:tr w:rsidR="007C77F3" w:rsidRPr="008A011E" w14:paraId="03A455A1" w14:textId="77777777" w:rsidTr="00A67F94">
        <w:trPr>
          <w:cantSplit/>
          <w:jc w:val="center"/>
        </w:trPr>
        <w:tc>
          <w:tcPr>
            <w:tcW w:w="2771" w:type="dxa"/>
            <w:tcBorders>
              <w:top w:val="single" w:sz="6" w:space="0" w:color="auto"/>
              <w:left w:val="single" w:sz="6" w:space="0" w:color="auto"/>
              <w:bottom w:val="single" w:sz="6" w:space="0" w:color="auto"/>
              <w:right w:val="single" w:sz="6" w:space="0" w:color="auto"/>
            </w:tcBorders>
          </w:tcPr>
          <w:p w14:paraId="15AA1740" w14:textId="77777777" w:rsidR="007C77F3" w:rsidRPr="003953FB" w:rsidRDefault="007C77F3" w:rsidP="00A67F94">
            <w:pPr>
              <w:pStyle w:val="Texto"/>
              <w:spacing w:after="0" w:line="203" w:lineRule="exact"/>
              <w:ind w:firstLine="0"/>
              <w:jc w:val="right"/>
              <w:rPr>
                <w:rFonts w:ascii="Calibri" w:hAnsi="Calibri" w:cs="DIN Pro Regular"/>
                <w:b/>
                <w:sz w:val="20"/>
                <w:lang w:val="es-MX"/>
              </w:rPr>
            </w:pPr>
            <w:r w:rsidRPr="003953FB">
              <w:rPr>
                <w:rFonts w:ascii="Calibri" w:hAnsi="Calibri" w:cs="DIN Pro Regular"/>
                <w:b/>
                <w:sz w:val="20"/>
                <w:lang w:val="es-MX"/>
              </w:rPr>
              <w:t>Total</w:t>
            </w:r>
          </w:p>
        </w:tc>
        <w:tc>
          <w:tcPr>
            <w:tcW w:w="1357" w:type="dxa"/>
            <w:tcBorders>
              <w:top w:val="single" w:sz="6" w:space="0" w:color="auto"/>
              <w:left w:val="single" w:sz="6" w:space="0" w:color="auto"/>
              <w:bottom w:val="single" w:sz="6" w:space="0" w:color="auto"/>
              <w:right w:val="single" w:sz="6" w:space="0" w:color="auto"/>
            </w:tcBorders>
          </w:tcPr>
          <w:p w14:paraId="394ABF94" w14:textId="77777777" w:rsidR="007C77F3" w:rsidRPr="003953FB" w:rsidRDefault="007C77F3" w:rsidP="007C77F3">
            <w:pPr>
              <w:spacing w:after="0" w:line="224" w:lineRule="exact"/>
              <w:rPr>
                <w:rFonts w:eastAsia="Times New Roman" w:cs="DIN Pro Regular"/>
                <w:b/>
                <w:sz w:val="20"/>
                <w:szCs w:val="20"/>
                <w:lang w:eastAsia="es-ES"/>
              </w:rPr>
            </w:pPr>
            <w:r w:rsidRPr="003953FB">
              <w:rPr>
                <w:rFonts w:eastAsia="Times New Roman" w:cs="DIN Pro Regular"/>
                <w:b/>
                <w:sz w:val="20"/>
                <w:szCs w:val="20"/>
                <w:lang w:eastAsia="es-ES"/>
              </w:rPr>
              <w:t>$</w:t>
            </w:r>
            <w:r>
              <w:rPr>
                <w:rFonts w:eastAsia="Times New Roman" w:cs="DIN Pro Regular"/>
                <w:b/>
                <w:sz w:val="20"/>
                <w:szCs w:val="20"/>
                <w:lang w:eastAsia="es-ES"/>
              </w:rPr>
              <w:t>137,447</w:t>
            </w:r>
          </w:p>
        </w:tc>
      </w:tr>
    </w:tbl>
    <w:p w14:paraId="5275B231" w14:textId="77777777" w:rsidR="007C77F3" w:rsidRDefault="007C77F3" w:rsidP="007C77F3">
      <w:pPr>
        <w:pStyle w:val="Texto"/>
        <w:spacing w:after="80" w:line="276" w:lineRule="auto"/>
        <w:ind w:firstLine="624"/>
        <w:rPr>
          <w:rFonts w:ascii="Calibri" w:hAnsi="Calibri" w:cs="DIN Pro Regular"/>
          <w:b/>
          <w:sz w:val="20"/>
          <w:lang w:val="es-MX"/>
        </w:rPr>
      </w:pPr>
    </w:p>
    <w:p w14:paraId="0841DE31"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61F5AFDA" w14:textId="7777777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296824EC"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1B5D4CB3" w14:textId="77777777" w:rsidR="007C77F3" w:rsidRDefault="007C77F3" w:rsidP="00AF5955">
      <w:pPr>
        <w:pStyle w:val="Texto"/>
        <w:spacing w:after="80" w:line="203" w:lineRule="exact"/>
        <w:ind w:left="624" w:firstLine="0"/>
        <w:rPr>
          <w:rFonts w:ascii="Calibri" w:hAnsi="Calibri" w:cs="DIN Pro Regular"/>
          <w:b/>
          <w:sz w:val="20"/>
          <w:lang w:val="es-MX"/>
        </w:rPr>
      </w:pPr>
    </w:p>
    <w:p w14:paraId="65543622" w14:textId="77777777" w:rsidR="00351ED0" w:rsidRDefault="00351ED0" w:rsidP="00AF5955">
      <w:pPr>
        <w:pStyle w:val="Texto"/>
        <w:spacing w:after="80" w:line="203" w:lineRule="exact"/>
        <w:ind w:left="624" w:firstLine="0"/>
        <w:rPr>
          <w:rFonts w:ascii="Calibri" w:hAnsi="Calibri" w:cs="DIN Pro Regular"/>
          <w:b/>
          <w:sz w:val="20"/>
          <w:lang w:val="es-MX"/>
        </w:rPr>
      </w:pPr>
    </w:p>
    <w:p w14:paraId="6AAD9EA6" w14:textId="77777777"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21AC4084"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6833C53E"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2522CBB1"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42ED1BEB"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1D54DF50"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5C07CAD7"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31FD7E96"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64EE0A38"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1B0AFC5C"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0F800C1F"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3E5DCBAA"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2F5B20C2"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560490CF" w14:textId="77777777" w:rsidR="007C77F3" w:rsidRPr="001B2FD9" w:rsidRDefault="007C77F3" w:rsidP="007C77F3">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14:paraId="08344958" w14:textId="77777777" w:rsidR="007C77F3" w:rsidRPr="00B31AAA" w:rsidRDefault="007C77F3" w:rsidP="00AF5955">
      <w:pPr>
        <w:pStyle w:val="Texto"/>
        <w:spacing w:after="80" w:line="203" w:lineRule="exact"/>
        <w:ind w:left="624" w:firstLine="0"/>
        <w:rPr>
          <w:rFonts w:ascii="Calibri" w:hAnsi="Calibri" w:cs="DIN Pro Regular"/>
          <w:b/>
          <w:sz w:val="20"/>
          <w:lang w:val="es-MX"/>
        </w:rPr>
      </w:pPr>
    </w:p>
    <w:p w14:paraId="58EE56E9" w14:textId="77777777" w:rsidR="00351ED0"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w:t>
      </w:r>
    </w:p>
    <w:p w14:paraId="4A890D59"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06D1EDF8"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3EA30661" w14:textId="77777777"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14:paraId="0F38956D" w14:textId="77777777" w:rsidR="007C77F3" w:rsidRDefault="007C77F3" w:rsidP="007C77F3">
      <w:pPr>
        <w:pStyle w:val="ROMANOS"/>
        <w:spacing w:after="0" w:line="240" w:lineRule="exact"/>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054"/>
        <w:gridCol w:w="1074"/>
      </w:tblGrid>
      <w:tr w:rsidR="007C77F3" w:rsidRPr="007C77F3" w14:paraId="1665DCC1" w14:textId="77777777" w:rsidTr="00A67F94">
        <w:trPr>
          <w:cantSplit/>
          <w:trHeight w:val="200"/>
          <w:jc w:val="center"/>
        </w:trPr>
        <w:tc>
          <w:tcPr>
            <w:tcW w:w="3054" w:type="dxa"/>
            <w:tcBorders>
              <w:top w:val="single" w:sz="6" w:space="0" w:color="auto"/>
              <w:left w:val="single" w:sz="6" w:space="0" w:color="auto"/>
              <w:bottom w:val="single" w:sz="6" w:space="0" w:color="auto"/>
              <w:right w:val="single" w:sz="6" w:space="0" w:color="auto"/>
            </w:tcBorders>
            <w:shd w:val="clear" w:color="auto" w:fill="AB0033"/>
          </w:tcPr>
          <w:p w14:paraId="08C93671" w14:textId="77777777" w:rsidR="007C77F3" w:rsidRPr="007C77F3" w:rsidRDefault="007C77F3" w:rsidP="007C77F3">
            <w:pPr>
              <w:spacing w:after="0" w:line="224" w:lineRule="exact"/>
              <w:jc w:val="center"/>
              <w:rPr>
                <w:rFonts w:ascii="Encode Sans" w:eastAsia="Times New Roman" w:hAnsi="Encode Sans" w:cs="DIN Pro Regular"/>
                <w:sz w:val="20"/>
                <w:szCs w:val="20"/>
                <w:lang w:eastAsia="es-ES"/>
              </w:rPr>
            </w:pPr>
            <w:r w:rsidRPr="007C77F3">
              <w:rPr>
                <w:rFonts w:asciiTheme="minorHAnsi" w:eastAsia="Times New Roman" w:hAnsiTheme="minorHAnsi" w:cs="DIN Pro Regular"/>
                <w:b/>
                <w:color w:val="FFFFFF"/>
                <w:sz w:val="20"/>
                <w:szCs w:val="20"/>
                <w:lang w:eastAsia="es-ES"/>
              </w:rPr>
              <w:t>Concepto</w:t>
            </w:r>
          </w:p>
        </w:tc>
        <w:tc>
          <w:tcPr>
            <w:tcW w:w="1074" w:type="dxa"/>
            <w:tcBorders>
              <w:top w:val="single" w:sz="6" w:space="0" w:color="auto"/>
              <w:left w:val="single" w:sz="6" w:space="0" w:color="auto"/>
              <w:bottom w:val="single" w:sz="6" w:space="0" w:color="auto"/>
              <w:right w:val="single" w:sz="6" w:space="0" w:color="auto"/>
            </w:tcBorders>
            <w:shd w:val="clear" w:color="auto" w:fill="AB0033"/>
          </w:tcPr>
          <w:p w14:paraId="2A3A373D" w14:textId="77777777" w:rsidR="007C77F3" w:rsidRPr="007C77F3" w:rsidRDefault="007C77F3" w:rsidP="007C77F3">
            <w:pPr>
              <w:spacing w:after="0" w:line="224" w:lineRule="exact"/>
              <w:jc w:val="center"/>
              <w:rPr>
                <w:rFonts w:asciiTheme="minorHAnsi" w:eastAsia="Times New Roman" w:hAnsiTheme="minorHAnsi" w:cs="DIN Pro Regular"/>
                <w:b/>
                <w:color w:val="FFFFFF"/>
                <w:sz w:val="20"/>
                <w:szCs w:val="20"/>
                <w:lang w:eastAsia="es-ES"/>
              </w:rPr>
            </w:pPr>
            <w:r w:rsidRPr="007C77F3">
              <w:rPr>
                <w:rFonts w:asciiTheme="minorHAnsi" w:eastAsia="Times New Roman" w:hAnsiTheme="minorHAnsi" w:cs="DIN Pro Regular"/>
                <w:b/>
                <w:color w:val="FFFFFF"/>
                <w:sz w:val="20"/>
                <w:szCs w:val="20"/>
                <w:lang w:eastAsia="es-ES"/>
              </w:rPr>
              <w:t>Importe</w:t>
            </w:r>
          </w:p>
        </w:tc>
      </w:tr>
      <w:tr w:rsidR="007C77F3" w:rsidRPr="007C77F3" w14:paraId="5050FC28" w14:textId="77777777" w:rsidTr="00A67F94">
        <w:trPr>
          <w:cantSplit/>
          <w:jc w:val="center"/>
        </w:trPr>
        <w:tc>
          <w:tcPr>
            <w:tcW w:w="3054" w:type="dxa"/>
            <w:tcBorders>
              <w:top w:val="single" w:sz="6" w:space="0" w:color="auto"/>
              <w:left w:val="single" w:sz="6" w:space="0" w:color="auto"/>
              <w:bottom w:val="single" w:sz="6" w:space="0" w:color="auto"/>
              <w:right w:val="single" w:sz="6" w:space="0" w:color="auto"/>
            </w:tcBorders>
          </w:tcPr>
          <w:p w14:paraId="5CD2976D" w14:textId="77777777" w:rsidR="007C77F3" w:rsidRPr="007C77F3" w:rsidRDefault="007C77F3" w:rsidP="007C77F3">
            <w:pPr>
              <w:spacing w:after="0" w:line="203" w:lineRule="exact"/>
              <w:jc w:val="both"/>
              <w:rPr>
                <w:rFonts w:eastAsia="Times New Roman" w:cs="DIN Pro Regular"/>
                <w:sz w:val="20"/>
                <w:szCs w:val="20"/>
                <w:lang w:eastAsia="es-ES"/>
              </w:rPr>
            </w:pPr>
            <w:r w:rsidRPr="007C77F3">
              <w:rPr>
                <w:rFonts w:eastAsia="Times New Roman" w:cs="DIN Pro Regular"/>
                <w:sz w:val="20"/>
                <w:szCs w:val="20"/>
                <w:lang w:eastAsia="es-ES"/>
              </w:rPr>
              <w:t>Cuentas por pagar</w:t>
            </w:r>
          </w:p>
        </w:tc>
        <w:tc>
          <w:tcPr>
            <w:tcW w:w="1074" w:type="dxa"/>
            <w:tcBorders>
              <w:top w:val="single" w:sz="6" w:space="0" w:color="auto"/>
              <w:left w:val="single" w:sz="6" w:space="0" w:color="auto"/>
              <w:bottom w:val="single" w:sz="6" w:space="0" w:color="auto"/>
              <w:right w:val="single" w:sz="6" w:space="0" w:color="auto"/>
            </w:tcBorders>
          </w:tcPr>
          <w:p w14:paraId="16081D19" w14:textId="77777777" w:rsidR="007C77F3" w:rsidRPr="007C77F3" w:rsidRDefault="007C77F3" w:rsidP="007C77F3">
            <w:pPr>
              <w:spacing w:after="0" w:line="224" w:lineRule="exact"/>
              <w:jc w:val="center"/>
              <w:rPr>
                <w:rFonts w:eastAsia="Times New Roman" w:cs="DIN Pro Regular"/>
                <w:sz w:val="20"/>
                <w:szCs w:val="20"/>
                <w:lang w:eastAsia="es-ES"/>
              </w:rPr>
            </w:pPr>
            <w:r w:rsidRPr="007C77F3">
              <w:rPr>
                <w:rFonts w:eastAsia="Times New Roman" w:cs="DIN Pro Regular"/>
                <w:sz w:val="20"/>
                <w:szCs w:val="20"/>
                <w:lang w:eastAsia="es-ES"/>
              </w:rPr>
              <w:t>$</w:t>
            </w:r>
            <w:r>
              <w:rPr>
                <w:rFonts w:eastAsia="Times New Roman" w:cs="DIN Pro Regular"/>
                <w:sz w:val="20"/>
                <w:szCs w:val="20"/>
                <w:lang w:eastAsia="es-ES"/>
              </w:rPr>
              <w:t>17,636</w:t>
            </w:r>
          </w:p>
        </w:tc>
      </w:tr>
    </w:tbl>
    <w:p w14:paraId="4DE66D96" w14:textId="77777777" w:rsidR="007C77F3" w:rsidRPr="00B31AAA" w:rsidRDefault="007C77F3" w:rsidP="007C77F3">
      <w:pPr>
        <w:pStyle w:val="ROMANOS"/>
        <w:spacing w:after="0" w:line="240" w:lineRule="exact"/>
        <w:rPr>
          <w:rFonts w:ascii="Calibri" w:hAnsi="Calibri" w:cs="DIN Pro Regular"/>
          <w:sz w:val="20"/>
          <w:szCs w:val="20"/>
          <w:lang w:val="es-MX"/>
        </w:rPr>
      </w:pPr>
    </w:p>
    <w:p w14:paraId="1C06F247"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51895F04" w14:textId="77777777" w:rsidR="007C77F3" w:rsidRPr="003953FB" w:rsidRDefault="007C77F3" w:rsidP="007C77F3">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14:paraId="1E0EF266" w14:textId="77777777" w:rsidR="007C77F3" w:rsidRDefault="007C77F3" w:rsidP="007C77F3">
      <w:pPr>
        <w:pStyle w:val="ROMANOS"/>
        <w:spacing w:after="0" w:line="240" w:lineRule="exact"/>
        <w:ind w:left="1083" w:firstLine="0"/>
        <w:rPr>
          <w:rFonts w:ascii="Calibri" w:hAnsi="Calibri" w:cs="DIN Pro Regular"/>
          <w:sz w:val="20"/>
          <w:szCs w:val="20"/>
          <w:lang w:val="es-MX"/>
        </w:rPr>
      </w:pPr>
    </w:p>
    <w:p w14:paraId="3E75F3A5"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4E10CA72" w14:textId="77777777" w:rsidR="007C77F3" w:rsidRPr="003953FB" w:rsidRDefault="007C77F3" w:rsidP="007C77F3">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14:paraId="75335885" w14:textId="77777777" w:rsidR="007C77F3" w:rsidRDefault="007C77F3" w:rsidP="007C77F3">
      <w:pPr>
        <w:pStyle w:val="ROMANOS"/>
        <w:spacing w:after="0" w:line="240" w:lineRule="exact"/>
        <w:ind w:left="1083" w:firstLine="0"/>
        <w:rPr>
          <w:rFonts w:ascii="Calibri" w:hAnsi="Calibri" w:cs="DIN Pro Regular"/>
          <w:sz w:val="20"/>
          <w:szCs w:val="20"/>
          <w:lang w:val="es-MX"/>
        </w:rPr>
      </w:pPr>
    </w:p>
    <w:p w14:paraId="4DD7CFBD"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6B497560" w14:textId="77777777" w:rsidR="007C77F3" w:rsidRPr="003953FB" w:rsidRDefault="007C77F3" w:rsidP="007C77F3">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14:paraId="7C28DD68" w14:textId="77777777" w:rsidR="007C77F3" w:rsidRPr="00B31AAA" w:rsidRDefault="007C77F3" w:rsidP="007C77F3">
      <w:pPr>
        <w:pStyle w:val="ROMANOS"/>
        <w:spacing w:after="0" w:line="240" w:lineRule="exact"/>
        <w:ind w:left="1083" w:firstLine="0"/>
        <w:rPr>
          <w:rFonts w:ascii="Calibri" w:hAnsi="Calibri" w:cs="DIN Pro Regular"/>
          <w:sz w:val="20"/>
          <w:szCs w:val="20"/>
          <w:lang w:val="es-MX"/>
        </w:rPr>
      </w:pPr>
    </w:p>
    <w:p w14:paraId="46C2D099"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3AC95420" w14:textId="77777777" w:rsidR="007C77F3" w:rsidRPr="003953FB" w:rsidRDefault="007C77F3" w:rsidP="007C77F3">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14:paraId="58AD2198" w14:textId="77777777" w:rsidR="007C77F3" w:rsidRPr="00B31AAA" w:rsidRDefault="007C77F3" w:rsidP="007C77F3">
      <w:pPr>
        <w:pStyle w:val="ROMANOS"/>
        <w:spacing w:after="0" w:line="240" w:lineRule="exact"/>
        <w:ind w:left="1083" w:firstLine="0"/>
        <w:rPr>
          <w:rFonts w:ascii="Calibri" w:hAnsi="Calibri" w:cs="DIN Pro Regular"/>
          <w:sz w:val="20"/>
          <w:szCs w:val="20"/>
          <w:lang w:val="es-MX"/>
        </w:rPr>
      </w:pPr>
    </w:p>
    <w:p w14:paraId="04EEB97C"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554E87C9" w14:textId="77777777" w:rsidR="00351ED0" w:rsidRDefault="00351ED0" w:rsidP="00540418">
      <w:pPr>
        <w:pStyle w:val="INCISO"/>
        <w:spacing w:after="0" w:line="240" w:lineRule="exact"/>
        <w:ind w:left="360"/>
        <w:rPr>
          <w:rFonts w:ascii="Calibri" w:hAnsi="Calibri" w:cs="DIN Pro Regular"/>
          <w:b/>
          <w:smallCaps/>
          <w:sz w:val="20"/>
          <w:szCs w:val="20"/>
        </w:rPr>
      </w:pPr>
    </w:p>
    <w:p w14:paraId="40BC1DA2"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0BC9B41C" w14:textId="77777777" w:rsidR="007C77F3" w:rsidRPr="003953FB" w:rsidRDefault="007C77F3" w:rsidP="007C77F3">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14:paraId="540F4AFF" w14:textId="77777777" w:rsidR="007C77F3" w:rsidRDefault="007C77F3" w:rsidP="00540418">
      <w:pPr>
        <w:pStyle w:val="INCISO"/>
        <w:spacing w:after="0" w:line="240" w:lineRule="exact"/>
        <w:ind w:left="360"/>
        <w:rPr>
          <w:rFonts w:ascii="Calibri" w:hAnsi="Calibri" w:cs="DIN Pro Regular"/>
          <w:b/>
          <w:smallCaps/>
          <w:sz w:val="20"/>
          <w:szCs w:val="20"/>
        </w:rPr>
      </w:pPr>
    </w:p>
    <w:p w14:paraId="69BCF4A5"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1102603F" w14:textId="77777777" w:rsidR="00351ED0" w:rsidRDefault="00351ED0" w:rsidP="00540418">
      <w:pPr>
        <w:pStyle w:val="INCISO"/>
        <w:spacing w:after="0" w:line="240" w:lineRule="exact"/>
        <w:ind w:left="360"/>
        <w:rPr>
          <w:rFonts w:ascii="Calibri" w:hAnsi="Calibri" w:cs="DIN Pro Regular"/>
          <w:b/>
          <w:smallCaps/>
          <w:sz w:val="20"/>
          <w:szCs w:val="20"/>
        </w:rPr>
      </w:pPr>
    </w:p>
    <w:p w14:paraId="2332FF7F"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76805DDC"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359DC000"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7FDB9C3C" w14:textId="77777777" w:rsidR="005774F0" w:rsidRPr="00351ED0"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27059AA4" w14:textId="77777777" w:rsidR="00351ED0" w:rsidRDefault="00351ED0" w:rsidP="00351ED0">
      <w:pPr>
        <w:pStyle w:val="ROMANOS"/>
        <w:spacing w:after="0" w:line="240" w:lineRule="exact"/>
        <w:rPr>
          <w:rFonts w:ascii="Calibri" w:hAnsi="Calibri" w:cs="DIN Pro Regular"/>
          <w:sz w:val="20"/>
          <w:szCs w:val="20"/>
          <w:lang w:val="es-MX"/>
        </w:rPr>
      </w:pPr>
    </w:p>
    <w:p w14:paraId="1D0A4E56" w14:textId="77777777" w:rsidR="00351ED0" w:rsidRDefault="00351ED0" w:rsidP="00351ED0">
      <w:pPr>
        <w:pStyle w:val="ROMANOS"/>
        <w:spacing w:after="0" w:line="240" w:lineRule="exact"/>
        <w:rPr>
          <w:rFonts w:ascii="Calibri" w:hAnsi="Calibri" w:cs="DIN Pro Regular"/>
          <w:sz w:val="20"/>
          <w:szCs w:val="20"/>
          <w:lang w:val="es-MX"/>
        </w:rPr>
      </w:pPr>
    </w:p>
    <w:p w14:paraId="2F6BFB08" w14:textId="77777777" w:rsidR="00351ED0" w:rsidRDefault="00351ED0" w:rsidP="00351ED0">
      <w:pPr>
        <w:pStyle w:val="ROMANOS"/>
        <w:spacing w:after="0" w:line="240" w:lineRule="exact"/>
        <w:rPr>
          <w:rFonts w:ascii="Calibri" w:hAnsi="Calibri" w:cs="DIN Pro Regular"/>
          <w:sz w:val="20"/>
          <w:szCs w:val="20"/>
          <w:lang w:val="es-MX"/>
        </w:rPr>
      </w:pPr>
    </w:p>
    <w:p w14:paraId="5C8A27D0" w14:textId="77777777" w:rsidR="00351ED0" w:rsidRDefault="00351ED0" w:rsidP="00351ED0">
      <w:pPr>
        <w:pStyle w:val="ROMANOS"/>
        <w:spacing w:after="0" w:line="240" w:lineRule="exact"/>
        <w:rPr>
          <w:rFonts w:ascii="Calibri" w:hAnsi="Calibri" w:cs="DIN Pro Regular"/>
          <w:sz w:val="20"/>
          <w:szCs w:val="20"/>
          <w:lang w:val="es-MX"/>
        </w:rPr>
      </w:pPr>
    </w:p>
    <w:p w14:paraId="3B264276" w14:textId="77777777" w:rsidR="00351ED0" w:rsidRDefault="00351ED0" w:rsidP="00351ED0">
      <w:pPr>
        <w:pStyle w:val="ROMANOS"/>
        <w:spacing w:after="0" w:line="240" w:lineRule="exact"/>
        <w:rPr>
          <w:rFonts w:ascii="Calibri" w:hAnsi="Calibri" w:cs="DIN Pro Regular"/>
          <w:sz w:val="20"/>
          <w:szCs w:val="20"/>
          <w:lang w:val="es-MX"/>
        </w:rPr>
      </w:pPr>
    </w:p>
    <w:p w14:paraId="45D071EC" w14:textId="77777777" w:rsidR="00351ED0" w:rsidRPr="00B31AAA" w:rsidRDefault="00351ED0" w:rsidP="00351ED0">
      <w:pPr>
        <w:pStyle w:val="ROMANOS"/>
        <w:spacing w:after="0" w:line="240" w:lineRule="exact"/>
        <w:rPr>
          <w:rFonts w:ascii="Calibri" w:hAnsi="Calibri" w:cs="DIN Pro Regular"/>
          <w:b/>
          <w:sz w:val="20"/>
          <w:szCs w:val="20"/>
          <w:lang w:val="es-MX"/>
        </w:rPr>
      </w:pPr>
    </w:p>
    <w:p w14:paraId="68AF4865"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14:paraId="11ED579B"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2779267B"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6DC603B7"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608964D0"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2B5E8BEF"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59469931"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046FDC5F" w14:textId="77777777" w:rsidR="005774F0" w:rsidRPr="00B31AAA" w:rsidRDefault="007C77F3"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41,566</w:t>
            </w:r>
          </w:p>
        </w:tc>
        <w:tc>
          <w:tcPr>
            <w:tcW w:w="1058" w:type="dxa"/>
            <w:tcBorders>
              <w:top w:val="single" w:sz="6" w:space="0" w:color="auto"/>
              <w:left w:val="single" w:sz="6" w:space="0" w:color="auto"/>
              <w:bottom w:val="single" w:sz="6" w:space="0" w:color="auto"/>
              <w:right w:val="single" w:sz="6" w:space="0" w:color="auto"/>
            </w:tcBorders>
          </w:tcPr>
          <w:p w14:paraId="5265EDBF" w14:textId="77777777" w:rsidR="005774F0" w:rsidRPr="00B31AAA" w:rsidRDefault="007C77F3"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54,584</w:t>
            </w:r>
          </w:p>
        </w:tc>
      </w:tr>
      <w:tr w:rsidR="005774F0" w:rsidRPr="00B31AAA" w14:paraId="3CD85B0E"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652B179B"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41356F99"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14:paraId="3A0715B4"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5774F0" w:rsidRPr="00B31AAA" w14:paraId="5D9443E2"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5329F88F"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0C3162F0"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14:paraId="5DAD549F"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4C09C1" w:rsidRPr="00B31AAA" w14:paraId="67D3097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BFD1310"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56D11E1C" w14:textId="77777777" w:rsidR="004C09C1" w:rsidRPr="00B31AAA" w:rsidRDefault="004C09C1"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14:paraId="2F7CF516" w14:textId="77777777" w:rsidR="004C09C1" w:rsidRPr="00B31AAA" w:rsidRDefault="004C09C1"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5774F0" w:rsidRPr="00B31AAA" w14:paraId="6F2CECF2"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61EBDC0"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14:paraId="046225FA"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14:paraId="44579647"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5774F0" w:rsidRPr="00B31AAA" w14:paraId="3BF3DB6A"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98AE0DF"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4FE1A6A6"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14:paraId="1EC30DC4" w14:textId="77777777" w:rsidR="005774F0" w:rsidRPr="00B31AAA" w:rsidRDefault="005774F0" w:rsidP="005774F0">
            <w:pPr>
              <w:spacing w:after="101" w:line="224" w:lineRule="exact"/>
              <w:jc w:val="center"/>
              <w:rPr>
                <w:rFonts w:eastAsia="Times New Roman" w:cs="DIN Pro Regular"/>
                <w:sz w:val="20"/>
                <w:szCs w:val="20"/>
                <w:lang w:eastAsia="es-ES"/>
              </w:rPr>
            </w:pPr>
            <w:r w:rsidRPr="00B31AAA">
              <w:rPr>
                <w:rFonts w:eastAsia="Times New Roman" w:cs="DIN Pro Regular"/>
                <w:sz w:val="20"/>
                <w:szCs w:val="20"/>
                <w:lang w:eastAsia="es-ES"/>
              </w:rPr>
              <w:t>X</w:t>
            </w:r>
          </w:p>
        </w:tc>
      </w:tr>
      <w:tr w:rsidR="0020554C" w:rsidRPr="00B31AAA" w14:paraId="3601453E"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153548BA"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3833CB88" w14:textId="77777777" w:rsidR="0020554C" w:rsidRPr="00B31AAA" w:rsidRDefault="0020554C" w:rsidP="0020554C">
            <w:pPr>
              <w:jc w:val="center"/>
              <w:rPr>
                <w:rFonts w:cs="DIN Pro Regular"/>
                <w:sz w:val="20"/>
                <w:szCs w:val="20"/>
              </w:rPr>
            </w:pPr>
            <w:r w:rsidRPr="00B31AAA">
              <w:rPr>
                <w:rFonts w:cs="DIN Pro Regular"/>
                <w:sz w:val="20"/>
                <w:szCs w:val="20"/>
              </w:rPr>
              <w:t>X</w:t>
            </w:r>
          </w:p>
        </w:tc>
        <w:tc>
          <w:tcPr>
            <w:tcW w:w="1058" w:type="dxa"/>
            <w:tcBorders>
              <w:top w:val="single" w:sz="6" w:space="0" w:color="auto"/>
              <w:left w:val="single" w:sz="6" w:space="0" w:color="auto"/>
              <w:bottom w:val="single" w:sz="6" w:space="0" w:color="auto"/>
              <w:right w:val="single" w:sz="6" w:space="0" w:color="auto"/>
            </w:tcBorders>
          </w:tcPr>
          <w:p w14:paraId="3613F095" w14:textId="77777777" w:rsidR="0020554C" w:rsidRPr="00B31AAA" w:rsidRDefault="0020554C" w:rsidP="0020554C">
            <w:pPr>
              <w:jc w:val="center"/>
              <w:rPr>
                <w:rFonts w:cs="DIN Pro Regular"/>
                <w:sz w:val="20"/>
                <w:szCs w:val="20"/>
              </w:rPr>
            </w:pPr>
            <w:r w:rsidRPr="00B31AAA">
              <w:rPr>
                <w:rFonts w:cs="DIN Pro Regular"/>
                <w:sz w:val="20"/>
                <w:szCs w:val="20"/>
              </w:rPr>
              <w:t>X</w:t>
            </w:r>
          </w:p>
        </w:tc>
      </w:tr>
      <w:tr w:rsidR="005774F0" w:rsidRPr="00B31AAA" w14:paraId="33EB2E66"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69CA2F71"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14:paraId="0C8AECAD" w14:textId="77777777" w:rsidR="005774F0" w:rsidRPr="00E06B4E" w:rsidRDefault="007C77F3"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41,566</w:t>
            </w:r>
          </w:p>
        </w:tc>
        <w:tc>
          <w:tcPr>
            <w:tcW w:w="1058" w:type="dxa"/>
            <w:tcBorders>
              <w:top w:val="single" w:sz="6" w:space="0" w:color="auto"/>
              <w:left w:val="single" w:sz="6" w:space="0" w:color="auto"/>
              <w:bottom w:val="single" w:sz="6" w:space="0" w:color="auto"/>
              <w:right w:val="single" w:sz="6" w:space="0" w:color="auto"/>
            </w:tcBorders>
          </w:tcPr>
          <w:p w14:paraId="48A66E88" w14:textId="77777777" w:rsidR="005774F0" w:rsidRPr="00E06B4E" w:rsidRDefault="007C77F3"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54,584</w:t>
            </w:r>
          </w:p>
        </w:tc>
      </w:tr>
    </w:tbl>
    <w:p w14:paraId="605FD479" w14:textId="77777777" w:rsidR="005774F0" w:rsidRDefault="005774F0" w:rsidP="000E6439">
      <w:pPr>
        <w:pStyle w:val="ROMANOS"/>
        <w:spacing w:after="0" w:line="240" w:lineRule="exact"/>
        <w:ind w:left="1140"/>
        <w:rPr>
          <w:rFonts w:ascii="Calibri" w:hAnsi="Calibri" w:cs="DIN Pro Regular"/>
          <w:b/>
          <w:sz w:val="20"/>
          <w:szCs w:val="20"/>
          <w:lang w:val="es-MX"/>
        </w:rPr>
      </w:pPr>
    </w:p>
    <w:p w14:paraId="5767027E" w14:textId="77777777" w:rsidR="00351ED0" w:rsidRPr="00B31AAA" w:rsidRDefault="00351ED0" w:rsidP="000E6439">
      <w:pPr>
        <w:pStyle w:val="ROMANOS"/>
        <w:spacing w:after="0" w:line="240" w:lineRule="exact"/>
        <w:ind w:left="1140"/>
        <w:rPr>
          <w:rFonts w:ascii="Calibri" w:hAnsi="Calibri" w:cs="DIN Pro Regular"/>
          <w:b/>
          <w:sz w:val="20"/>
          <w:szCs w:val="20"/>
          <w:lang w:val="es-MX"/>
        </w:rPr>
      </w:pPr>
    </w:p>
    <w:p w14:paraId="25D78221"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57A7E41C" w14:textId="77777777" w:rsidR="007C77F3" w:rsidRDefault="003F39C5" w:rsidP="007C77F3">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14:paraId="5EE6E1E2" w14:textId="77777777" w:rsidR="003F39C5" w:rsidRPr="007C77F3" w:rsidRDefault="007C77F3" w:rsidP="007C77F3">
      <w:pPr>
        <w:pStyle w:val="ROMANOS"/>
        <w:spacing w:after="0" w:line="240" w:lineRule="exact"/>
        <w:ind w:left="1068" w:firstLine="0"/>
        <w:rPr>
          <w:rFonts w:ascii="Calibri" w:hAnsi="Calibri" w:cs="DIN Pro Regular"/>
          <w:sz w:val="20"/>
          <w:szCs w:val="20"/>
          <w:lang w:val="es-MX"/>
        </w:rPr>
      </w:pPr>
      <w:r w:rsidRPr="007C77F3">
        <w:rPr>
          <w:rFonts w:ascii="Calibri" w:hAnsi="Calibri" w:cs="DIN Pro Regular"/>
          <w:sz w:val="20"/>
          <w:szCs w:val="20"/>
          <w:lang w:val="es-MX"/>
        </w:rPr>
        <w:t>No aplica</w:t>
      </w:r>
    </w:p>
    <w:p w14:paraId="5A748187" w14:textId="77777777" w:rsidR="003F39C5" w:rsidRDefault="003F39C5" w:rsidP="006975DA">
      <w:pPr>
        <w:pStyle w:val="ROMANOS"/>
        <w:spacing w:after="0" w:line="240" w:lineRule="exact"/>
        <w:ind w:left="0" w:firstLine="0"/>
        <w:rPr>
          <w:rFonts w:ascii="Calibri" w:hAnsi="Calibri" w:cs="DIN Pro Regular"/>
          <w:b/>
          <w:sz w:val="20"/>
          <w:szCs w:val="20"/>
          <w:lang w:val="es-MX"/>
        </w:rPr>
      </w:pPr>
    </w:p>
    <w:p w14:paraId="4299FD7F" w14:textId="77777777" w:rsidR="00351ED0" w:rsidRPr="00B31AAA" w:rsidRDefault="00351ED0" w:rsidP="006975DA">
      <w:pPr>
        <w:pStyle w:val="ROMANOS"/>
        <w:spacing w:after="0" w:line="240" w:lineRule="exact"/>
        <w:ind w:left="0" w:firstLine="0"/>
        <w:rPr>
          <w:rFonts w:ascii="Calibri" w:hAnsi="Calibri" w:cs="DIN Pro Regular"/>
          <w:b/>
          <w:sz w:val="20"/>
          <w:szCs w:val="20"/>
          <w:lang w:val="es-MX"/>
        </w:rPr>
      </w:pPr>
    </w:p>
    <w:p w14:paraId="289EC8BB"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6E876E5F" w14:textId="77777777" w:rsidR="003F39C5" w:rsidRDefault="003F39C5" w:rsidP="000E6439">
      <w:pPr>
        <w:pStyle w:val="ROMANOS"/>
        <w:spacing w:after="0" w:line="240" w:lineRule="exact"/>
        <w:ind w:left="1140"/>
        <w:rPr>
          <w:rFonts w:ascii="Calibri" w:hAnsi="Calibri" w:cs="DIN Pro Regular"/>
          <w:b/>
          <w:sz w:val="20"/>
          <w:szCs w:val="20"/>
          <w:lang w:val="es-MX"/>
        </w:rPr>
      </w:pPr>
    </w:p>
    <w:p w14:paraId="5CA21471" w14:textId="77777777" w:rsidR="00351ED0" w:rsidRPr="00B31AAA" w:rsidRDefault="00351ED0"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6AFFC63A"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50F71C79"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330C3D9A"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7A40925"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1C3461E1"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1648D96"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3998B0B3" w14:textId="77777777" w:rsidR="003F39C5" w:rsidRPr="00B31AAA" w:rsidRDefault="006975DA"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25,097</w:t>
            </w:r>
          </w:p>
        </w:tc>
        <w:tc>
          <w:tcPr>
            <w:tcW w:w="1134" w:type="dxa"/>
            <w:tcBorders>
              <w:top w:val="single" w:sz="6" w:space="0" w:color="auto"/>
              <w:left w:val="single" w:sz="6" w:space="0" w:color="auto"/>
              <w:bottom w:val="single" w:sz="6" w:space="0" w:color="auto"/>
              <w:right w:val="single" w:sz="6" w:space="0" w:color="auto"/>
            </w:tcBorders>
          </w:tcPr>
          <w:p w14:paraId="31BF8A96" w14:textId="77777777" w:rsidR="003F39C5" w:rsidRPr="00B31AAA" w:rsidRDefault="006975DA"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2,559</w:t>
            </w:r>
          </w:p>
        </w:tc>
      </w:tr>
      <w:tr w:rsidR="003F39C5" w:rsidRPr="00B31AAA" w14:paraId="1E5F715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09BAFDC"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FB64A77"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F536BE7"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625CD913"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E8C943D"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21FBC62"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14:paraId="168AB560"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14:paraId="5DFCDD0F"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F009D66"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5A31051"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14:paraId="0BB5F175"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14:paraId="25D2D782"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8B97432"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DAB83A6"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14:paraId="07E636D9"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14:paraId="191C841A"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4A2644E"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04EEC228"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14:paraId="569B2663"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14:paraId="34BE70BF"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76048EA4"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27E1286F"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14:paraId="03D8F1BC"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r w:rsidRPr="00B31AAA">
              <w:rPr>
                <w:rFonts w:ascii="Calibri" w:hAnsi="Calibri" w:cs="DIN Pro Regular"/>
                <w:sz w:val="20"/>
                <w:lang w:val="es-MX"/>
              </w:rPr>
              <w:t>(X)</w:t>
            </w:r>
          </w:p>
        </w:tc>
      </w:tr>
      <w:tr w:rsidR="003F39C5" w:rsidRPr="00B31AAA" w14:paraId="389B5CE7"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08F812C0"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2FF40E8B" w14:textId="77777777" w:rsidR="003F39C5" w:rsidRPr="00B31AAA" w:rsidRDefault="006975DA"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12,079</w:t>
            </w:r>
          </w:p>
        </w:tc>
        <w:tc>
          <w:tcPr>
            <w:tcW w:w="1134" w:type="dxa"/>
            <w:tcBorders>
              <w:top w:val="single" w:sz="6" w:space="0" w:color="auto"/>
              <w:left w:val="single" w:sz="6" w:space="0" w:color="auto"/>
              <w:bottom w:val="single" w:sz="6" w:space="0" w:color="auto"/>
              <w:right w:val="single" w:sz="6" w:space="0" w:color="auto"/>
            </w:tcBorders>
          </w:tcPr>
          <w:p w14:paraId="40DEA637" w14:textId="77777777" w:rsidR="003F39C5" w:rsidRPr="00B31AAA" w:rsidRDefault="006975DA"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1,296</w:t>
            </w:r>
          </w:p>
        </w:tc>
      </w:tr>
      <w:tr w:rsidR="003F39C5" w:rsidRPr="00B31AAA" w14:paraId="1BA5D03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B47EA5A"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50F64FC4" w14:textId="77777777" w:rsidR="003F39C5" w:rsidRPr="00654EC4" w:rsidRDefault="006975DA" w:rsidP="00264F1F">
            <w:pPr>
              <w:pStyle w:val="Texto"/>
              <w:spacing w:after="0" w:line="240" w:lineRule="exact"/>
              <w:ind w:firstLine="0"/>
              <w:jc w:val="center"/>
              <w:rPr>
                <w:rFonts w:ascii="Calibri" w:hAnsi="Calibri" w:cs="DIN Pro Regular"/>
                <w:b/>
                <w:sz w:val="20"/>
                <w:lang w:val="es-MX"/>
              </w:rPr>
            </w:pPr>
            <w:r w:rsidRPr="00654EC4">
              <w:rPr>
                <w:rFonts w:ascii="Calibri" w:hAnsi="Calibri" w:cs="DIN Pro Regular"/>
                <w:b/>
                <w:sz w:val="20"/>
                <w:lang w:val="es-MX"/>
              </w:rPr>
              <w:t>13,018</w:t>
            </w:r>
          </w:p>
        </w:tc>
        <w:tc>
          <w:tcPr>
            <w:tcW w:w="1134" w:type="dxa"/>
            <w:tcBorders>
              <w:top w:val="single" w:sz="6" w:space="0" w:color="auto"/>
              <w:left w:val="single" w:sz="6" w:space="0" w:color="auto"/>
              <w:bottom w:val="single" w:sz="6" w:space="0" w:color="auto"/>
              <w:right w:val="single" w:sz="6" w:space="0" w:color="auto"/>
            </w:tcBorders>
          </w:tcPr>
          <w:p w14:paraId="145F0093" w14:textId="77777777" w:rsidR="003F39C5" w:rsidRPr="00654EC4" w:rsidRDefault="006975DA" w:rsidP="00264F1F">
            <w:pPr>
              <w:pStyle w:val="Texto"/>
              <w:spacing w:after="0" w:line="240" w:lineRule="exact"/>
              <w:ind w:firstLine="0"/>
              <w:jc w:val="center"/>
              <w:rPr>
                <w:rFonts w:ascii="Calibri" w:hAnsi="Calibri" w:cs="DIN Pro Regular"/>
                <w:b/>
                <w:sz w:val="20"/>
                <w:lang w:val="es-MX"/>
              </w:rPr>
            </w:pPr>
            <w:r w:rsidRPr="00654EC4">
              <w:rPr>
                <w:rFonts w:ascii="Calibri" w:hAnsi="Calibri" w:cs="DIN Pro Regular"/>
                <w:b/>
                <w:sz w:val="20"/>
                <w:lang w:val="es-MX"/>
              </w:rPr>
              <w:t>1,263</w:t>
            </w:r>
          </w:p>
        </w:tc>
      </w:tr>
    </w:tbl>
    <w:p w14:paraId="4332568D"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7D2F475F" w14:textId="77777777" w:rsidR="00DF01DA" w:rsidRPr="00B31AAA" w:rsidRDefault="00DF01DA" w:rsidP="000E6439">
      <w:pPr>
        <w:pStyle w:val="ROMANOS"/>
        <w:spacing w:after="0" w:line="240" w:lineRule="exact"/>
        <w:ind w:left="1140"/>
        <w:rPr>
          <w:rFonts w:ascii="Calibri" w:hAnsi="Calibri" w:cs="DIN Pro Regular"/>
          <w:b/>
          <w:sz w:val="20"/>
          <w:szCs w:val="20"/>
          <w:lang w:val="es-MX"/>
        </w:rPr>
      </w:pPr>
    </w:p>
    <w:p w14:paraId="19D1F3C9"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26822BA1" w14:textId="77777777" w:rsidR="00174108" w:rsidRDefault="00174108" w:rsidP="002C576A">
      <w:pPr>
        <w:pStyle w:val="INCISO"/>
        <w:spacing w:after="0" w:line="240" w:lineRule="exact"/>
        <w:ind w:left="360"/>
        <w:rPr>
          <w:rFonts w:ascii="Calibri" w:hAnsi="Calibri" w:cs="DIN Pro Regular"/>
          <w:b/>
          <w:smallCaps/>
          <w:sz w:val="20"/>
          <w:szCs w:val="20"/>
        </w:rPr>
      </w:pPr>
    </w:p>
    <w:p w14:paraId="6AD08F82" w14:textId="77777777" w:rsidR="00351ED0" w:rsidRDefault="00351ED0" w:rsidP="002C576A">
      <w:pPr>
        <w:pStyle w:val="INCISO"/>
        <w:spacing w:after="0" w:line="240" w:lineRule="exact"/>
        <w:ind w:left="360"/>
        <w:rPr>
          <w:rFonts w:ascii="Calibri" w:hAnsi="Calibri" w:cs="DIN Pro Regular"/>
          <w:b/>
          <w:smallCaps/>
          <w:sz w:val="20"/>
          <w:szCs w:val="20"/>
        </w:rPr>
      </w:pPr>
    </w:p>
    <w:p w14:paraId="5E1E6E21" w14:textId="77777777" w:rsidR="00351ED0" w:rsidRDefault="00351ED0" w:rsidP="002C576A">
      <w:pPr>
        <w:pStyle w:val="INCISO"/>
        <w:spacing w:after="0" w:line="240" w:lineRule="exact"/>
        <w:ind w:left="360"/>
        <w:rPr>
          <w:rFonts w:ascii="Calibri" w:hAnsi="Calibri" w:cs="DIN Pro Regular"/>
          <w:b/>
          <w:smallCaps/>
          <w:sz w:val="20"/>
          <w:szCs w:val="20"/>
        </w:rPr>
      </w:pPr>
    </w:p>
    <w:p w14:paraId="5073C439" w14:textId="77777777" w:rsidR="00351ED0" w:rsidRDefault="00351ED0" w:rsidP="002C576A">
      <w:pPr>
        <w:pStyle w:val="INCISO"/>
        <w:spacing w:after="0" w:line="240" w:lineRule="exact"/>
        <w:ind w:left="360"/>
        <w:rPr>
          <w:rFonts w:ascii="Calibri" w:hAnsi="Calibri" w:cs="DIN Pro Regular"/>
          <w:b/>
          <w:smallCaps/>
          <w:sz w:val="20"/>
          <w:szCs w:val="20"/>
        </w:rPr>
      </w:pPr>
    </w:p>
    <w:p w14:paraId="043BAF8E" w14:textId="77777777" w:rsidR="00351ED0" w:rsidRDefault="00351ED0" w:rsidP="002C576A">
      <w:pPr>
        <w:pStyle w:val="INCISO"/>
        <w:spacing w:after="0" w:line="240" w:lineRule="exact"/>
        <w:ind w:left="360"/>
        <w:rPr>
          <w:rFonts w:ascii="Calibri" w:hAnsi="Calibri" w:cs="DIN Pro Regular"/>
          <w:b/>
          <w:smallCaps/>
          <w:sz w:val="20"/>
          <w:szCs w:val="20"/>
        </w:rPr>
      </w:pPr>
    </w:p>
    <w:p w14:paraId="00CA7CD5" w14:textId="2696DC96" w:rsidR="00351ED0" w:rsidRDefault="00351ED0" w:rsidP="002C576A">
      <w:pPr>
        <w:pStyle w:val="INCISO"/>
        <w:spacing w:after="0" w:line="240" w:lineRule="exact"/>
        <w:ind w:left="360"/>
        <w:rPr>
          <w:rFonts w:ascii="Calibri" w:hAnsi="Calibri" w:cs="DIN Pro Regular"/>
          <w:b/>
          <w:smallCaps/>
          <w:sz w:val="20"/>
          <w:szCs w:val="20"/>
        </w:rPr>
      </w:pPr>
    </w:p>
    <w:p w14:paraId="0499233A" w14:textId="01D8FD43" w:rsidR="00D27144" w:rsidRDefault="00D27144" w:rsidP="002C576A">
      <w:pPr>
        <w:pStyle w:val="INCISO"/>
        <w:spacing w:after="0" w:line="240" w:lineRule="exact"/>
        <w:ind w:left="360"/>
        <w:rPr>
          <w:rFonts w:ascii="Calibri" w:hAnsi="Calibri" w:cs="DIN Pro Regular"/>
          <w:b/>
          <w:smallCaps/>
          <w:sz w:val="20"/>
          <w:szCs w:val="20"/>
        </w:rPr>
      </w:pPr>
    </w:p>
    <w:p w14:paraId="7C78AAC9" w14:textId="79414E08" w:rsidR="00D27144" w:rsidRDefault="00D27144" w:rsidP="002C576A">
      <w:pPr>
        <w:pStyle w:val="INCISO"/>
        <w:spacing w:after="0" w:line="240" w:lineRule="exact"/>
        <w:ind w:left="360"/>
        <w:rPr>
          <w:rFonts w:ascii="Calibri" w:hAnsi="Calibri" w:cs="DIN Pro Regular"/>
          <w:b/>
          <w:smallCaps/>
          <w:sz w:val="20"/>
          <w:szCs w:val="20"/>
        </w:rPr>
      </w:pPr>
    </w:p>
    <w:p w14:paraId="595B8656" w14:textId="77777777" w:rsidR="00D27144" w:rsidRDefault="00D27144" w:rsidP="002C576A">
      <w:pPr>
        <w:pStyle w:val="INCISO"/>
        <w:spacing w:after="0" w:line="240" w:lineRule="exact"/>
        <w:ind w:left="360"/>
        <w:rPr>
          <w:rFonts w:ascii="Calibri" w:hAnsi="Calibri" w:cs="DIN Pro Regular"/>
          <w:b/>
          <w:smallCaps/>
          <w:sz w:val="20"/>
          <w:szCs w:val="20"/>
        </w:rPr>
      </w:pPr>
    </w:p>
    <w:p w14:paraId="7323AB3A" w14:textId="77777777" w:rsidR="00351ED0" w:rsidRDefault="00351ED0" w:rsidP="002C576A">
      <w:pPr>
        <w:pStyle w:val="INCISO"/>
        <w:spacing w:after="0" w:line="240" w:lineRule="exact"/>
        <w:ind w:left="360"/>
        <w:rPr>
          <w:rFonts w:ascii="Calibri" w:hAnsi="Calibri" w:cs="DIN Pro Regular"/>
          <w:b/>
          <w:smallCaps/>
          <w:sz w:val="20"/>
          <w:szCs w:val="20"/>
        </w:rPr>
      </w:pPr>
    </w:p>
    <w:p w14:paraId="3A6CC496" w14:textId="77777777" w:rsidR="00351ED0" w:rsidRPr="00B31AAA" w:rsidRDefault="00351ED0"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1C16C6D9"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79BE7EE3" w14:textId="77777777" w:rsidR="002164CC" w:rsidRPr="00B31AAA" w:rsidRDefault="00351ED0"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lastRenderedPageBreak/>
              <w:t>COMISIÒN MUNICIPAL E AGUA POTABLE Y ALCANTARILLADO DE MÈNDEZ</w:t>
            </w:r>
          </w:p>
        </w:tc>
      </w:tr>
      <w:tr w:rsidR="002164CC" w:rsidRPr="00B31AAA" w14:paraId="4BE7D3B6"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30D73A64"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1B4FA97D"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7B1CE9A"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786C7B10"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5A25D515"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35F34A6C"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74BA1F5A"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2351BA5B"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166F5E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65D053B"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17AE5FA"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72D5925E" w14:textId="77777777" w:rsidR="002164CC" w:rsidRPr="00B31AAA" w:rsidRDefault="002164CC" w:rsidP="006975DA">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6975DA">
              <w:rPr>
                <w:rFonts w:eastAsia="Times New Roman" w:cs="DIN Pro Regular"/>
                <w:b/>
                <w:color w:val="000000"/>
                <w:sz w:val="20"/>
                <w:szCs w:val="20"/>
                <w:lang w:eastAsia="es-MX"/>
              </w:rPr>
              <w:t>120,896</w:t>
            </w:r>
          </w:p>
        </w:tc>
      </w:tr>
      <w:tr w:rsidR="002164CC" w:rsidRPr="00B31AAA" w14:paraId="167BB2CE"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399E5D42"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B6C88FE"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DD02DD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A79D4C9"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2873B91"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904DC07" w14:textId="7BC305BB" w:rsidR="002164CC" w:rsidRPr="00B31AAA" w:rsidRDefault="00951130" w:rsidP="0095113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32CC4A63"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7EE4C722"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29B85252"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1F3AEE14" w14:textId="6EFABE07"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14:paraId="3CCB6DC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24E78A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777688F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1971225B" w14:textId="6C25599F"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43FC09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C03168D"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633ED20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C0CC1A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106E9684" w14:textId="6FEC13AF"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D90EDE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D4F2C3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D84E714"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4EA1CB86"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3009A4AE" w14:textId="4EBC0235"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CFF683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77AE6F6"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15F8F5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1A0B15B0"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364BB7F0" w14:textId="1DAD78CF"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1DC321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7AF0DDB"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B4B33"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5380C994" w14:textId="2300509A"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0EC21BB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54E3FAE"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21B36F7D"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7BC8DB95"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639CE6C7" w14:textId="77777777" w:rsidR="002164CC" w:rsidRPr="00B31AAA" w:rsidRDefault="002164CC" w:rsidP="00951130">
            <w:pPr>
              <w:spacing w:after="0" w:line="240" w:lineRule="auto"/>
              <w:jc w:val="center"/>
              <w:rPr>
                <w:rFonts w:eastAsia="Times New Roman" w:cs="DIN Pro Regular"/>
                <w:color w:val="000000"/>
                <w:sz w:val="20"/>
                <w:szCs w:val="20"/>
                <w:lang w:eastAsia="es-MX"/>
              </w:rPr>
            </w:pPr>
          </w:p>
        </w:tc>
      </w:tr>
      <w:tr w:rsidR="002164CC" w:rsidRPr="00B31AAA" w14:paraId="54341D58"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5EDB273"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AE3E77B" w14:textId="001854F2" w:rsidR="002164CC" w:rsidRPr="00B31AAA" w:rsidRDefault="00951130" w:rsidP="0095113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797723BE"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E5693A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A6A7F74"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32A83146" w14:textId="5E20EEA6"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14:paraId="03B1B0B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AA31DA4"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0EB512E5"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3A28766" w14:textId="307033D1"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D31345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7DF00C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2D63945"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7F5FFA82"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201A4364" w14:textId="5B80A6C6" w:rsidR="002164CC"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A98180A"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6703DC0"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312D1D78"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2AD05C4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797AAB2"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AFDA632"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FDDB5E4" w14:textId="77777777" w:rsidR="002164CC" w:rsidRPr="00B31AAA" w:rsidRDefault="006975DA" w:rsidP="002164CC">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Pr>
                <w:rFonts w:eastAsia="Times New Roman" w:cs="DIN Pro Regular"/>
                <w:b/>
                <w:color w:val="000000"/>
                <w:sz w:val="20"/>
                <w:szCs w:val="20"/>
                <w:lang w:eastAsia="es-MX"/>
              </w:rPr>
              <w:t>120,896</w:t>
            </w:r>
          </w:p>
        </w:tc>
      </w:tr>
    </w:tbl>
    <w:p w14:paraId="307C315A"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277E1680" w14:textId="77777777" w:rsidR="007006CA" w:rsidRDefault="007006CA" w:rsidP="00AE777E">
      <w:pPr>
        <w:spacing w:after="0"/>
        <w:rPr>
          <w:rFonts w:cs="DIN Pro Regular"/>
          <w:sz w:val="20"/>
          <w:szCs w:val="20"/>
        </w:rPr>
      </w:pPr>
      <w:r w:rsidRPr="00B31AAA">
        <w:rPr>
          <w:rFonts w:cs="DIN Pro Regular"/>
          <w:sz w:val="20"/>
          <w:szCs w:val="20"/>
        </w:rPr>
        <w:t xml:space="preserve">                                                             </w:t>
      </w:r>
    </w:p>
    <w:p w14:paraId="2B31E6F2" w14:textId="77777777" w:rsidR="00351ED0" w:rsidRDefault="00351ED0" w:rsidP="00AE777E">
      <w:pPr>
        <w:spacing w:after="0"/>
        <w:rPr>
          <w:rFonts w:cs="DIN Pro Regular"/>
          <w:sz w:val="20"/>
          <w:szCs w:val="20"/>
        </w:rPr>
      </w:pPr>
    </w:p>
    <w:tbl>
      <w:tblPr>
        <w:tblW w:w="8485" w:type="dxa"/>
        <w:jc w:val="center"/>
        <w:tblCellMar>
          <w:left w:w="70" w:type="dxa"/>
          <w:right w:w="70" w:type="dxa"/>
        </w:tblCellMar>
        <w:tblLook w:val="04A0" w:firstRow="1" w:lastRow="0" w:firstColumn="1" w:lastColumn="0" w:noHBand="0" w:noVBand="1"/>
      </w:tblPr>
      <w:tblGrid>
        <w:gridCol w:w="1199"/>
        <w:gridCol w:w="4635"/>
        <w:gridCol w:w="2467"/>
        <w:gridCol w:w="46"/>
        <w:gridCol w:w="138"/>
      </w:tblGrid>
      <w:tr w:rsidR="00174108" w:rsidRPr="00B31AAA" w14:paraId="1F7371FF" w14:textId="77777777" w:rsidTr="00351ED0">
        <w:trPr>
          <w:gridAfter w:val="1"/>
          <w:wAfter w:w="138" w:type="dxa"/>
          <w:trHeight w:val="317"/>
          <w:jc w:val="center"/>
        </w:trPr>
        <w:tc>
          <w:tcPr>
            <w:tcW w:w="8347" w:type="dxa"/>
            <w:gridSpan w:val="4"/>
            <w:tcBorders>
              <w:left w:val="single" w:sz="8" w:space="0" w:color="auto"/>
              <w:bottom w:val="nil"/>
              <w:right w:val="single" w:sz="8" w:space="0" w:color="000000"/>
            </w:tcBorders>
            <w:shd w:val="clear" w:color="auto" w:fill="AB0033"/>
            <w:vAlign w:val="center"/>
            <w:hideMark/>
          </w:tcPr>
          <w:p w14:paraId="34759F77" w14:textId="77777777" w:rsidR="00174108" w:rsidRPr="00B31AAA" w:rsidRDefault="00351ED0" w:rsidP="00DF6363">
            <w:pPr>
              <w:spacing w:after="0" w:line="240" w:lineRule="auto"/>
              <w:jc w:val="center"/>
              <w:rPr>
                <w:rFonts w:eastAsia="Times New Roman" w:cs="DIN Pro Regular"/>
                <w:b/>
                <w:bCs/>
                <w:color w:val="FFFFFF"/>
                <w:sz w:val="20"/>
                <w:szCs w:val="20"/>
                <w:lang w:eastAsia="es-MX"/>
              </w:rPr>
            </w:pPr>
            <w:r>
              <w:rPr>
                <w:rFonts w:cs="DIN Pro Regular"/>
                <w:sz w:val="20"/>
                <w:szCs w:val="20"/>
              </w:rPr>
              <w:br w:type="page"/>
            </w:r>
            <w:r>
              <w:rPr>
                <w:rFonts w:eastAsia="Times New Roman" w:cs="DIN Pro Regular"/>
                <w:b/>
                <w:bCs/>
                <w:color w:val="FFFFFF"/>
                <w:sz w:val="20"/>
                <w:szCs w:val="20"/>
                <w:lang w:eastAsia="es-MX"/>
              </w:rPr>
              <w:t>COMISIÒN MUNICIPAL E AGUA POTABLE Y ALCANTARILLADO DE MÈNDEZ</w:t>
            </w:r>
          </w:p>
        </w:tc>
      </w:tr>
      <w:tr w:rsidR="00174108" w:rsidRPr="00B31AAA" w14:paraId="49D7FD1E" w14:textId="77777777" w:rsidTr="00351ED0">
        <w:trPr>
          <w:gridAfter w:val="1"/>
          <w:wAfter w:w="138" w:type="dxa"/>
          <w:trHeight w:val="317"/>
          <w:jc w:val="center"/>
        </w:trPr>
        <w:tc>
          <w:tcPr>
            <w:tcW w:w="8347" w:type="dxa"/>
            <w:gridSpan w:val="4"/>
            <w:tcBorders>
              <w:top w:val="nil"/>
              <w:left w:val="single" w:sz="8" w:space="0" w:color="auto"/>
              <w:bottom w:val="nil"/>
              <w:right w:val="single" w:sz="8" w:space="0" w:color="000000"/>
            </w:tcBorders>
            <w:shd w:val="clear" w:color="auto" w:fill="AB0033"/>
            <w:vAlign w:val="center"/>
            <w:hideMark/>
          </w:tcPr>
          <w:p w14:paraId="2AE90E58"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3518D606" w14:textId="77777777" w:rsidTr="00351ED0">
        <w:trPr>
          <w:gridAfter w:val="1"/>
          <w:wAfter w:w="138" w:type="dxa"/>
          <w:trHeight w:val="317"/>
          <w:jc w:val="center"/>
        </w:trPr>
        <w:tc>
          <w:tcPr>
            <w:tcW w:w="8347" w:type="dxa"/>
            <w:gridSpan w:val="4"/>
            <w:tcBorders>
              <w:top w:val="nil"/>
              <w:left w:val="single" w:sz="8" w:space="0" w:color="auto"/>
              <w:bottom w:val="nil"/>
              <w:right w:val="single" w:sz="8" w:space="0" w:color="000000"/>
            </w:tcBorders>
            <w:shd w:val="clear" w:color="auto" w:fill="AB0033"/>
            <w:vAlign w:val="center"/>
            <w:hideMark/>
          </w:tcPr>
          <w:p w14:paraId="7E1635BF"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2B12CB98" w14:textId="77777777" w:rsidTr="00351ED0">
        <w:trPr>
          <w:gridAfter w:val="1"/>
          <w:wAfter w:w="138" w:type="dxa"/>
          <w:trHeight w:val="333"/>
          <w:jc w:val="center"/>
        </w:trPr>
        <w:tc>
          <w:tcPr>
            <w:tcW w:w="8347" w:type="dxa"/>
            <w:gridSpan w:val="4"/>
            <w:tcBorders>
              <w:top w:val="nil"/>
              <w:left w:val="single" w:sz="8" w:space="0" w:color="auto"/>
              <w:bottom w:val="single" w:sz="8" w:space="0" w:color="auto"/>
              <w:right w:val="single" w:sz="8" w:space="0" w:color="000000"/>
            </w:tcBorders>
            <w:shd w:val="clear" w:color="auto" w:fill="AB0033"/>
            <w:vAlign w:val="center"/>
            <w:hideMark/>
          </w:tcPr>
          <w:p w14:paraId="14D784EA"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5A8D5706" w14:textId="77777777" w:rsidTr="00351ED0">
        <w:trPr>
          <w:gridAfter w:val="2"/>
          <w:wAfter w:w="184" w:type="dxa"/>
          <w:trHeight w:val="95"/>
          <w:jc w:val="center"/>
        </w:trPr>
        <w:tc>
          <w:tcPr>
            <w:tcW w:w="1199" w:type="dxa"/>
            <w:tcBorders>
              <w:top w:val="nil"/>
              <w:left w:val="nil"/>
              <w:bottom w:val="nil"/>
              <w:right w:val="nil"/>
            </w:tcBorders>
            <w:shd w:val="clear" w:color="auto" w:fill="auto"/>
            <w:noWrap/>
            <w:vAlign w:val="bottom"/>
            <w:hideMark/>
          </w:tcPr>
          <w:p w14:paraId="0B193DBF"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635" w:type="dxa"/>
            <w:tcBorders>
              <w:top w:val="nil"/>
              <w:left w:val="nil"/>
              <w:bottom w:val="nil"/>
              <w:right w:val="nil"/>
            </w:tcBorders>
            <w:shd w:val="clear" w:color="auto" w:fill="auto"/>
            <w:noWrap/>
            <w:vAlign w:val="bottom"/>
            <w:hideMark/>
          </w:tcPr>
          <w:p w14:paraId="62626C5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467" w:type="dxa"/>
            <w:tcBorders>
              <w:top w:val="nil"/>
              <w:left w:val="nil"/>
              <w:bottom w:val="single" w:sz="4" w:space="0" w:color="auto"/>
              <w:right w:val="nil"/>
            </w:tcBorders>
            <w:shd w:val="clear" w:color="auto" w:fill="auto"/>
            <w:noWrap/>
            <w:vAlign w:val="bottom"/>
            <w:hideMark/>
          </w:tcPr>
          <w:p w14:paraId="74E399B9"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6491A6E6" w14:textId="77777777" w:rsidTr="00351ED0">
        <w:trPr>
          <w:gridAfter w:val="2"/>
          <w:wAfter w:w="184" w:type="dxa"/>
          <w:trHeight w:val="317"/>
          <w:jc w:val="center"/>
        </w:trPr>
        <w:tc>
          <w:tcPr>
            <w:tcW w:w="583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B507517"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F37B" w14:textId="77777777" w:rsidR="00591EE2" w:rsidRPr="00B31AAA" w:rsidRDefault="006975DA" w:rsidP="006D41B9">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$ 145,99</w:t>
            </w:r>
            <w:r w:rsidR="00351ED0">
              <w:rPr>
                <w:rFonts w:eastAsia="Times New Roman" w:cs="DIN Pro Regular"/>
                <w:b/>
                <w:color w:val="000000"/>
                <w:sz w:val="20"/>
                <w:szCs w:val="20"/>
                <w:lang w:eastAsia="es-MX"/>
              </w:rPr>
              <w:t>4</w:t>
            </w:r>
          </w:p>
        </w:tc>
      </w:tr>
      <w:tr w:rsidR="00591EE2" w:rsidRPr="00B31AAA" w14:paraId="23AFE03A" w14:textId="77777777" w:rsidTr="00351ED0">
        <w:trPr>
          <w:gridAfter w:val="2"/>
          <w:wAfter w:w="184" w:type="dxa"/>
          <w:trHeight w:val="142"/>
          <w:jc w:val="center"/>
        </w:trPr>
        <w:tc>
          <w:tcPr>
            <w:tcW w:w="1199" w:type="dxa"/>
            <w:tcBorders>
              <w:top w:val="nil"/>
              <w:left w:val="nil"/>
              <w:bottom w:val="nil"/>
              <w:right w:val="nil"/>
            </w:tcBorders>
            <w:shd w:val="clear" w:color="auto" w:fill="auto"/>
            <w:noWrap/>
            <w:vAlign w:val="bottom"/>
            <w:hideMark/>
          </w:tcPr>
          <w:p w14:paraId="42BCB101"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635" w:type="dxa"/>
            <w:tcBorders>
              <w:top w:val="nil"/>
              <w:left w:val="nil"/>
              <w:bottom w:val="nil"/>
              <w:right w:val="nil"/>
            </w:tcBorders>
            <w:shd w:val="clear" w:color="auto" w:fill="auto"/>
            <w:noWrap/>
            <w:vAlign w:val="bottom"/>
            <w:hideMark/>
          </w:tcPr>
          <w:p w14:paraId="5BDF38F8"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467" w:type="dxa"/>
            <w:tcBorders>
              <w:top w:val="nil"/>
              <w:left w:val="nil"/>
              <w:bottom w:val="nil"/>
              <w:right w:val="nil"/>
            </w:tcBorders>
            <w:shd w:val="clear" w:color="auto" w:fill="auto"/>
            <w:noWrap/>
            <w:vAlign w:val="bottom"/>
            <w:hideMark/>
          </w:tcPr>
          <w:p w14:paraId="1D99787C"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39460D68" w14:textId="77777777" w:rsidTr="00351ED0">
        <w:trPr>
          <w:gridAfter w:val="2"/>
          <w:wAfter w:w="184" w:type="dxa"/>
          <w:trHeight w:val="317"/>
          <w:jc w:val="center"/>
        </w:trPr>
        <w:tc>
          <w:tcPr>
            <w:tcW w:w="583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D39C6DF"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1C8F1C86" w14:textId="092F6921" w:rsidR="00591EE2" w:rsidRPr="00B31AAA" w:rsidRDefault="00951130" w:rsidP="0095113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14:paraId="2C3A7182" w14:textId="77777777" w:rsidTr="00351ED0">
        <w:trPr>
          <w:trHeight w:val="430"/>
          <w:jc w:val="center"/>
        </w:trPr>
        <w:tc>
          <w:tcPr>
            <w:tcW w:w="1199" w:type="dxa"/>
            <w:tcBorders>
              <w:top w:val="nil"/>
              <w:left w:val="single" w:sz="4" w:space="0" w:color="auto"/>
              <w:bottom w:val="single" w:sz="4" w:space="0" w:color="auto"/>
              <w:right w:val="nil"/>
            </w:tcBorders>
            <w:shd w:val="clear" w:color="auto" w:fill="auto"/>
            <w:vAlign w:val="center"/>
          </w:tcPr>
          <w:p w14:paraId="4F7D289F"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635" w:type="dxa"/>
            <w:tcBorders>
              <w:top w:val="nil"/>
              <w:left w:val="nil"/>
              <w:bottom w:val="single" w:sz="4" w:space="0" w:color="auto"/>
              <w:right w:val="single" w:sz="4" w:space="0" w:color="auto"/>
            </w:tcBorders>
            <w:shd w:val="clear" w:color="auto" w:fill="auto"/>
            <w:vAlign w:val="center"/>
          </w:tcPr>
          <w:p w14:paraId="0F8C2D70"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467" w:type="dxa"/>
            <w:tcBorders>
              <w:top w:val="nil"/>
              <w:left w:val="nil"/>
              <w:bottom w:val="single" w:sz="4" w:space="0" w:color="auto"/>
              <w:right w:val="single" w:sz="4" w:space="0" w:color="auto"/>
            </w:tcBorders>
            <w:shd w:val="clear" w:color="auto" w:fill="auto"/>
            <w:vAlign w:val="center"/>
          </w:tcPr>
          <w:p w14:paraId="0FB7D4B8" w14:textId="7C5C262B" w:rsidR="006D41B9"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1A683EB5"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6B6E924F"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59215434"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635" w:type="dxa"/>
            <w:tcBorders>
              <w:top w:val="nil"/>
              <w:left w:val="nil"/>
              <w:bottom w:val="single" w:sz="4" w:space="0" w:color="auto"/>
              <w:right w:val="single" w:sz="4" w:space="0" w:color="auto"/>
            </w:tcBorders>
            <w:shd w:val="clear" w:color="auto" w:fill="auto"/>
            <w:vAlign w:val="center"/>
          </w:tcPr>
          <w:p w14:paraId="6EA82FC5"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467" w:type="dxa"/>
            <w:tcBorders>
              <w:top w:val="nil"/>
              <w:left w:val="nil"/>
              <w:bottom w:val="single" w:sz="4" w:space="0" w:color="auto"/>
              <w:right w:val="single" w:sz="4" w:space="0" w:color="auto"/>
            </w:tcBorders>
            <w:shd w:val="clear" w:color="auto" w:fill="auto"/>
            <w:vAlign w:val="center"/>
          </w:tcPr>
          <w:p w14:paraId="453D9373" w14:textId="18065DA9" w:rsidR="006D41B9"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664E786B"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B95DB4E"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0BEFE10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635" w:type="dxa"/>
            <w:tcBorders>
              <w:top w:val="nil"/>
              <w:left w:val="nil"/>
              <w:bottom w:val="single" w:sz="4" w:space="0" w:color="auto"/>
              <w:right w:val="single" w:sz="4" w:space="0" w:color="auto"/>
            </w:tcBorders>
            <w:shd w:val="clear" w:color="auto" w:fill="auto"/>
            <w:vAlign w:val="center"/>
            <w:hideMark/>
          </w:tcPr>
          <w:p w14:paraId="0C998F69"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467" w:type="dxa"/>
            <w:tcBorders>
              <w:top w:val="nil"/>
              <w:left w:val="nil"/>
              <w:bottom w:val="single" w:sz="4" w:space="0" w:color="auto"/>
              <w:right w:val="single" w:sz="4" w:space="0" w:color="auto"/>
            </w:tcBorders>
            <w:shd w:val="clear" w:color="auto" w:fill="auto"/>
            <w:vAlign w:val="center"/>
            <w:hideMark/>
          </w:tcPr>
          <w:p w14:paraId="7A1F60E5" w14:textId="5121C809"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20D5226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E700F1F"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2F0B0BE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635" w:type="dxa"/>
            <w:tcBorders>
              <w:top w:val="nil"/>
              <w:left w:val="nil"/>
              <w:bottom w:val="single" w:sz="4" w:space="0" w:color="auto"/>
              <w:right w:val="single" w:sz="4" w:space="0" w:color="auto"/>
            </w:tcBorders>
            <w:shd w:val="clear" w:color="auto" w:fill="auto"/>
            <w:vAlign w:val="center"/>
            <w:hideMark/>
          </w:tcPr>
          <w:p w14:paraId="55D4DBE9"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467" w:type="dxa"/>
            <w:tcBorders>
              <w:top w:val="nil"/>
              <w:left w:val="nil"/>
              <w:bottom w:val="single" w:sz="4" w:space="0" w:color="auto"/>
              <w:right w:val="single" w:sz="4" w:space="0" w:color="auto"/>
            </w:tcBorders>
            <w:shd w:val="clear" w:color="auto" w:fill="auto"/>
            <w:vAlign w:val="center"/>
            <w:hideMark/>
          </w:tcPr>
          <w:p w14:paraId="6205538F" w14:textId="7A2B478B"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01636D9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6CEE686"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0C010D3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635" w:type="dxa"/>
            <w:tcBorders>
              <w:top w:val="nil"/>
              <w:left w:val="nil"/>
              <w:bottom w:val="single" w:sz="4" w:space="0" w:color="auto"/>
              <w:right w:val="single" w:sz="4" w:space="0" w:color="auto"/>
            </w:tcBorders>
            <w:shd w:val="clear" w:color="auto" w:fill="auto"/>
            <w:vAlign w:val="center"/>
            <w:hideMark/>
          </w:tcPr>
          <w:p w14:paraId="1F653DC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467" w:type="dxa"/>
            <w:tcBorders>
              <w:top w:val="nil"/>
              <w:left w:val="nil"/>
              <w:bottom w:val="single" w:sz="4" w:space="0" w:color="auto"/>
              <w:right w:val="single" w:sz="4" w:space="0" w:color="auto"/>
            </w:tcBorders>
            <w:shd w:val="clear" w:color="auto" w:fill="auto"/>
            <w:vAlign w:val="center"/>
            <w:hideMark/>
          </w:tcPr>
          <w:p w14:paraId="09FF5DED" w14:textId="5396893C"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24C2F8C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3495669"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2A6E82A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635" w:type="dxa"/>
            <w:tcBorders>
              <w:top w:val="nil"/>
              <w:left w:val="nil"/>
              <w:bottom w:val="single" w:sz="4" w:space="0" w:color="auto"/>
              <w:right w:val="single" w:sz="4" w:space="0" w:color="auto"/>
            </w:tcBorders>
            <w:shd w:val="clear" w:color="auto" w:fill="auto"/>
            <w:vAlign w:val="center"/>
            <w:hideMark/>
          </w:tcPr>
          <w:p w14:paraId="6C97816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467" w:type="dxa"/>
            <w:tcBorders>
              <w:top w:val="nil"/>
              <w:left w:val="nil"/>
              <w:bottom w:val="single" w:sz="4" w:space="0" w:color="auto"/>
              <w:right w:val="single" w:sz="4" w:space="0" w:color="auto"/>
            </w:tcBorders>
            <w:shd w:val="clear" w:color="auto" w:fill="auto"/>
            <w:vAlign w:val="center"/>
            <w:hideMark/>
          </w:tcPr>
          <w:p w14:paraId="0B4B6D56" w14:textId="3F156CFB"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67AE42E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1F358C1"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4F84C05A"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lastRenderedPageBreak/>
              <w:t>2.7</w:t>
            </w:r>
          </w:p>
        </w:tc>
        <w:tc>
          <w:tcPr>
            <w:tcW w:w="4635" w:type="dxa"/>
            <w:tcBorders>
              <w:top w:val="nil"/>
              <w:left w:val="nil"/>
              <w:bottom w:val="single" w:sz="4" w:space="0" w:color="auto"/>
              <w:right w:val="single" w:sz="4" w:space="0" w:color="auto"/>
            </w:tcBorders>
            <w:shd w:val="clear" w:color="auto" w:fill="auto"/>
            <w:vAlign w:val="center"/>
            <w:hideMark/>
          </w:tcPr>
          <w:p w14:paraId="32D41E1A"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467" w:type="dxa"/>
            <w:tcBorders>
              <w:top w:val="nil"/>
              <w:left w:val="nil"/>
              <w:bottom w:val="single" w:sz="4" w:space="0" w:color="auto"/>
              <w:right w:val="single" w:sz="4" w:space="0" w:color="auto"/>
            </w:tcBorders>
            <w:shd w:val="clear" w:color="auto" w:fill="auto"/>
            <w:vAlign w:val="center"/>
            <w:hideMark/>
          </w:tcPr>
          <w:p w14:paraId="0E93AA62" w14:textId="2AF0EC34"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51FC2A65"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4FFE9C0E"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7FA0CBC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635" w:type="dxa"/>
            <w:tcBorders>
              <w:top w:val="nil"/>
              <w:left w:val="nil"/>
              <w:bottom w:val="single" w:sz="4" w:space="0" w:color="auto"/>
              <w:right w:val="single" w:sz="4" w:space="0" w:color="auto"/>
            </w:tcBorders>
            <w:shd w:val="clear" w:color="auto" w:fill="auto"/>
            <w:vAlign w:val="center"/>
            <w:hideMark/>
          </w:tcPr>
          <w:p w14:paraId="56B7D36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467" w:type="dxa"/>
            <w:tcBorders>
              <w:top w:val="nil"/>
              <w:left w:val="nil"/>
              <w:bottom w:val="single" w:sz="4" w:space="0" w:color="auto"/>
              <w:right w:val="single" w:sz="4" w:space="0" w:color="auto"/>
            </w:tcBorders>
            <w:shd w:val="clear" w:color="auto" w:fill="auto"/>
            <w:vAlign w:val="center"/>
            <w:hideMark/>
          </w:tcPr>
          <w:p w14:paraId="65355B4C" w14:textId="02FBB226"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4AFC66BF"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080CCF96"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75B5A9C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635" w:type="dxa"/>
            <w:tcBorders>
              <w:top w:val="nil"/>
              <w:left w:val="nil"/>
              <w:bottom w:val="single" w:sz="4" w:space="0" w:color="auto"/>
              <w:right w:val="single" w:sz="4" w:space="0" w:color="auto"/>
            </w:tcBorders>
            <w:shd w:val="clear" w:color="auto" w:fill="auto"/>
            <w:vAlign w:val="center"/>
            <w:hideMark/>
          </w:tcPr>
          <w:p w14:paraId="553F8904"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467" w:type="dxa"/>
            <w:tcBorders>
              <w:top w:val="nil"/>
              <w:left w:val="nil"/>
              <w:bottom w:val="single" w:sz="4" w:space="0" w:color="auto"/>
              <w:right w:val="single" w:sz="4" w:space="0" w:color="auto"/>
            </w:tcBorders>
            <w:shd w:val="clear" w:color="auto" w:fill="auto"/>
            <w:vAlign w:val="center"/>
            <w:hideMark/>
          </w:tcPr>
          <w:p w14:paraId="0178482E" w14:textId="1DB86619"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7E75CB7F"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43965E3B"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6E8463A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635" w:type="dxa"/>
            <w:tcBorders>
              <w:top w:val="nil"/>
              <w:left w:val="nil"/>
              <w:bottom w:val="single" w:sz="4" w:space="0" w:color="auto"/>
              <w:right w:val="single" w:sz="4" w:space="0" w:color="auto"/>
            </w:tcBorders>
            <w:shd w:val="clear" w:color="auto" w:fill="auto"/>
            <w:vAlign w:val="center"/>
            <w:hideMark/>
          </w:tcPr>
          <w:p w14:paraId="67F0571C"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467" w:type="dxa"/>
            <w:tcBorders>
              <w:top w:val="nil"/>
              <w:left w:val="nil"/>
              <w:bottom w:val="single" w:sz="4" w:space="0" w:color="auto"/>
              <w:right w:val="single" w:sz="4" w:space="0" w:color="auto"/>
            </w:tcBorders>
            <w:shd w:val="clear" w:color="auto" w:fill="auto"/>
            <w:vAlign w:val="center"/>
            <w:hideMark/>
          </w:tcPr>
          <w:p w14:paraId="0A4AABCF" w14:textId="75D726B2"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6DADE77B"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02A5E01B"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7AA9E3B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635" w:type="dxa"/>
            <w:tcBorders>
              <w:top w:val="nil"/>
              <w:left w:val="nil"/>
              <w:bottom w:val="single" w:sz="4" w:space="0" w:color="auto"/>
              <w:right w:val="single" w:sz="4" w:space="0" w:color="auto"/>
            </w:tcBorders>
            <w:shd w:val="clear" w:color="auto" w:fill="auto"/>
            <w:vAlign w:val="center"/>
            <w:hideMark/>
          </w:tcPr>
          <w:p w14:paraId="629194A2"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467" w:type="dxa"/>
            <w:tcBorders>
              <w:top w:val="nil"/>
              <w:left w:val="nil"/>
              <w:bottom w:val="single" w:sz="4" w:space="0" w:color="auto"/>
              <w:right w:val="single" w:sz="4" w:space="0" w:color="auto"/>
            </w:tcBorders>
            <w:shd w:val="clear" w:color="auto" w:fill="auto"/>
            <w:vAlign w:val="center"/>
            <w:hideMark/>
          </w:tcPr>
          <w:p w14:paraId="05FFEAB0" w14:textId="60706E8B"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45DB21A0"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6D41B9" w:rsidRPr="00B31AAA" w14:paraId="34579535"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30930B48"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635" w:type="dxa"/>
            <w:tcBorders>
              <w:top w:val="nil"/>
              <w:left w:val="nil"/>
              <w:bottom w:val="single" w:sz="4" w:space="0" w:color="auto"/>
              <w:right w:val="single" w:sz="4" w:space="0" w:color="auto"/>
            </w:tcBorders>
            <w:shd w:val="clear" w:color="auto" w:fill="auto"/>
            <w:vAlign w:val="center"/>
          </w:tcPr>
          <w:p w14:paraId="142487BA"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467" w:type="dxa"/>
            <w:tcBorders>
              <w:top w:val="nil"/>
              <w:left w:val="nil"/>
              <w:bottom w:val="single" w:sz="4" w:space="0" w:color="auto"/>
              <w:right w:val="single" w:sz="4" w:space="0" w:color="auto"/>
            </w:tcBorders>
            <w:shd w:val="clear" w:color="auto" w:fill="auto"/>
            <w:vAlign w:val="center"/>
          </w:tcPr>
          <w:p w14:paraId="5877A863" w14:textId="7BBEE6A5" w:rsidR="006D41B9"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0183B230" w14:textId="77777777" w:rsidR="006D41B9" w:rsidRPr="00B31AAA" w:rsidRDefault="006D41B9" w:rsidP="00951130">
            <w:pPr>
              <w:spacing w:after="0" w:line="240" w:lineRule="auto"/>
              <w:jc w:val="center"/>
              <w:rPr>
                <w:rFonts w:eastAsia="Times New Roman" w:cs="DIN Pro Regular"/>
                <w:color w:val="000000"/>
                <w:sz w:val="20"/>
                <w:szCs w:val="20"/>
                <w:lang w:eastAsia="es-MX"/>
              </w:rPr>
            </w:pPr>
          </w:p>
        </w:tc>
      </w:tr>
      <w:tr w:rsidR="00174108" w:rsidRPr="00B31AAA" w14:paraId="283C96D7"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1F03EDD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635" w:type="dxa"/>
            <w:tcBorders>
              <w:top w:val="nil"/>
              <w:left w:val="nil"/>
              <w:bottom w:val="single" w:sz="4" w:space="0" w:color="auto"/>
              <w:right w:val="single" w:sz="4" w:space="0" w:color="auto"/>
            </w:tcBorders>
            <w:shd w:val="clear" w:color="auto" w:fill="auto"/>
            <w:vAlign w:val="center"/>
            <w:hideMark/>
          </w:tcPr>
          <w:p w14:paraId="74C74EEA"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467" w:type="dxa"/>
            <w:tcBorders>
              <w:top w:val="nil"/>
              <w:left w:val="nil"/>
              <w:bottom w:val="single" w:sz="4" w:space="0" w:color="auto"/>
              <w:right w:val="single" w:sz="4" w:space="0" w:color="auto"/>
            </w:tcBorders>
            <w:shd w:val="clear" w:color="auto" w:fill="auto"/>
            <w:vAlign w:val="center"/>
            <w:hideMark/>
          </w:tcPr>
          <w:p w14:paraId="1D2B635B" w14:textId="1F21E09D"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248F4AFD"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483C655F"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3773822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635" w:type="dxa"/>
            <w:tcBorders>
              <w:top w:val="nil"/>
              <w:left w:val="nil"/>
              <w:bottom w:val="single" w:sz="4" w:space="0" w:color="auto"/>
              <w:right w:val="single" w:sz="4" w:space="0" w:color="auto"/>
            </w:tcBorders>
            <w:shd w:val="clear" w:color="auto" w:fill="auto"/>
            <w:vAlign w:val="center"/>
            <w:hideMark/>
          </w:tcPr>
          <w:p w14:paraId="65552061"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467" w:type="dxa"/>
            <w:tcBorders>
              <w:top w:val="nil"/>
              <w:left w:val="nil"/>
              <w:bottom w:val="single" w:sz="4" w:space="0" w:color="auto"/>
              <w:right w:val="single" w:sz="4" w:space="0" w:color="auto"/>
            </w:tcBorders>
            <w:shd w:val="clear" w:color="auto" w:fill="auto"/>
            <w:vAlign w:val="center"/>
            <w:hideMark/>
          </w:tcPr>
          <w:p w14:paraId="0DC82001" w14:textId="4A54B849"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51807604"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1FEE565E"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5009D94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635" w:type="dxa"/>
            <w:tcBorders>
              <w:top w:val="nil"/>
              <w:left w:val="nil"/>
              <w:bottom w:val="single" w:sz="4" w:space="0" w:color="auto"/>
              <w:right w:val="single" w:sz="4" w:space="0" w:color="auto"/>
            </w:tcBorders>
            <w:shd w:val="clear" w:color="auto" w:fill="auto"/>
            <w:vAlign w:val="center"/>
            <w:hideMark/>
          </w:tcPr>
          <w:p w14:paraId="24E09A7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467" w:type="dxa"/>
            <w:tcBorders>
              <w:top w:val="nil"/>
              <w:left w:val="nil"/>
              <w:bottom w:val="single" w:sz="4" w:space="0" w:color="auto"/>
              <w:right w:val="single" w:sz="4" w:space="0" w:color="auto"/>
            </w:tcBorders>
            <w:shd w:val="clear" w:color="auto" w:fill="auto"/>
            <w:vAlign w:val="center"/>
            <w:hideMark/>
          </w:tcPr>
          <w:p w14:paraId="57926068" w14:textId="0F0F5590"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258950D2"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6D41B9" w:rsidRPr="00B31AAA" w14:paraId="29D4013F" w14:textId="77777777" w:rsidTr="00351ED0">
        <w:trPr>
          <w:trHeight w:val="237"/>
          <w:jc w:val="center"/>
        </w:trPr>
        <w:tc>
          <w:tcPr>
            <w:tcW w:w="1199" w:type="dxa"/>
            <w:tcBorders>
              <w:top w:val="nil"/>
              <w:left w:val="single" w:sz="4" w:space="0" w:color="auto"/>
              <w:bottom w:val="single" w:sz="4" w:space="0" w:color="auto"/>
              <w:right w:val="nil"/>
            </w:tcBorders>
            <w:shd w:val="clear" w:color="auto" w:fill="auto"/>
            <w:vAlign w:val="center"/>
          </w:tcPr>
          <w:p w14:paraId="157411F8"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635" w:type="dxa"/>
            <w:tcBorders>
              <w:top w:val="nil"/>
              <w:left w:val="nil"/>
              <w:bottom w:val="single" w:sz="4" w:space="0" w:color="auto"/>
              <w:right w:val="single" w:sz="4" w:space="0" w:color="auto"/>
            </w:tcBorders>
            <w:shd w:val="clear" w:color="auto" w:fill="auto"/>
            <w:vAlign w:val="center"/>
          </w:tcPr>
          <w:p w14:paraId="20E204F4"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467" w:type="dxa"/>
            <w:tcBorders>
              <w:top w:val="nil"/>
              <w:left w:val="nil"/>
              <w:bottom w:val="single" w:sz="4" w:space="0" w:color="auto"/>
              <w:right w:val="single" w:sz="4" w:space="0" w:color="auto"/>
            </w:tcBorders>
            <w:shd w:val="clear" w:color="auto" w:fill="auto"/>
            <w:vAlign w:val="center"/>
          </w:tcPr>
          <w:p w14:paraId="19E4BE6A" w14:textId="1811EE80" w:rsidR="006D41B9" w:rsidRPr="00B31AAA" w:rsidRDefault="00951130" w:rsidP="00951130">
            <w:pPr>
              <w:spacing w:after="0" w:line="240" w:lineRule="auto"/>
              <w:jc w:val="center"/>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77699DB4" w14:textId="77777777" w:rsidR="006D41B9" w:rsidRPr="00B31AAA" w:rsidRDefault="006D41B9" w:rsidP="00951130">
            <w:pPr>
              <w:spacing w:after="0" w:line="240" w:lineRule="auto"/>
              <w:jc w:val="center"/>
              <w:rPr>
                <w:rFonts w:eastAsia="Times New Roman" w:cs="DIN Pro Regular"/>
                <w:color w:val="000000"/>
                <w:sz w:val="20"/>
                <w:szCs w:val="20"/>
                <w:lang w:eastAsia="es-MX"/>
              </w:rPr>
            </w:pPr>
          </w:p>
        </w:tc>
      </w:tr>
      <w:tr w:rsidR="00174108" w:rsidRPr="00B31AAA" w14:paraId="134A1EC8" w14:textId="77777777" w:rsidTr="00351ED0">
        <w:trPr>
          <w:trHeight w:val="444"/>
          <w:jc w:val="center"/>
        </w:trPr>
        <w:tc>
          <w:tcPr>
            <w:tcW w:w="1199" w:type="dxa"/>
            <w:tcBorders>
              <w:top w:val="nil"/>
              <w:left w:val="single" w:sz="4" w:space="0" w:color="auto"/>
              <w:bottom w:val="single" w:sz="4" w:space="0" w:color="auto"/>
              <w:right w:val="nil"/>
            </w:tcBorders>
            <w:shd w:val="clear" w:color="auto" w:fill="auto"/>
            <w:vAlign w:val="center"/>
            <w:hideMark/>
          </w:tcPr>
          <w:p w14:paraId="4540954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635" w:type="dxa"/>
            <w:tcBorders>
              <w:top w:val="nil"/>
              <w:left w:val="nil"/>
              <w:bottom w:val="single" w:sz="4" w:space="0" w:color="auto"/>
              <w:right w:val="single" w:sz="4" w:space="0" w:color="auto"/>
            </w:tcBorders>
            <w:shd w:val="clear" w:color="auto" w:fill="auto"/>
            <w:vAlign w:val="center"/>
            <w:hideMark/>
          </w:tcPr>
          <w:p w14:paraId="59AC3C0E"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467" w:type="dxa"/>
            <w:tcBorders>
              <w:top w:val="nil"/>
              <w:left w:val="nil"/>
              <w:bottom w:val="single" w:sz="4" w:space="0" w:color="auto"/>
              <w:right w:val="single" w:sz="4" w:space="0" w:color="auto"/>
            </w:tcBorders>
            <w:shd w:val="clear" w:color="auto" w:fill="auto"/>
            <w:vAlign w:val="center"/>
            <w:hideMark/>
          </w:tcPr>
          <w:p w14:paraId="3F88CECF" w14:textId="1A7D397A"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7E72C059"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5E2F0510" w14:textId="77777777" w:rsidTr="00351ED0">
        <w:trPr>
          <w:trHeight w:val="444"/>
          <w:jc w:val="center"/>
        </w:trPr>
        <w:tc>
          <w:tcPr>
            <w:tcW w:w="1199" w:type="dxa"/>
            <w:tcBorders>
              <w:top w:val="nil"/>
              <w:left w:val="single" w:sz="4" w:space="0" w:color="auto"/>
              <w:bottom w:val="single" w:sz="4" w:space="0" w:color="auto"/>
              <w:right w:val="nil"/>
            </w:tcBorders>
            <w:shd w:val="clear" w:color="auto" w:fill="auto"/>
            <w:vAlign w:val="center"/>
            <w:hideMark/>
          </w:tcPr>
          <w:p w14:paraId="1D8B894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635" w:type="dxa"/>
            <w:tcBorders>
              <w:top w:val="nil"/>
              <w:left w:val="nil"/>
              <w:bottom w:val="single" w:sz="4" w:space="0" w:color="auto"/>
              <w:right w:val="single" w:sz="4" w:space="0" w:color="auto"/>
            </w:tcBorders>
            <w:shd w:val="clear" w:color="auto" w:fill="auto"/>
            <w:vAlign w:val="center"/>
            <w:hideMark/>
          </w:tcPr>
          <w:p w14:paraId="0D1EC34A"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467" w:type="dxa"/>
            <w:tcBorders>
              <w:top w:val="nil"/>
              <w:left w:val="nil"/>
              <w:bottom w:val="single" w:sz="4" w:space="0" w:color="auto"/>
              <w:right w:val="single" w:sz="4" w:space="0" w:color="auto"/>
            </w:tcBorders>
            <w:shd w:val="clear" w:color="auto" w:fill="auto"/>
            <w:vAlign w:val="center"/>
            <w:hideMark/>
          </w:tcPr>
          <w:p w14:paraId="70369478" w14:textId="4FBAECD0"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78EAAE56"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7D1BFC5B"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4CE21F5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635" w:type="dxa"/>
            <w:tcBorders>
              <w:top w:val="nil"/>
              <w:left w:val="nil"/>
              <w:bottom w:val="single" w:sz="4" w:space="0" w:color="auto"/>
              <w:right w:val="single" w:sz="4" w:space="0" w:color="auto"/>
            </w:tcBorders>
            <w:shd w:val="clear" w:color="auto" w:fill="auto"/>
            <w:vAlign w:val="center"/>
            <w:hideMark/>
          </w:tcPr>
          <w:p w14:paraId="19D90EFF"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467" w:type="dxa"/>
            <w:tcBorders>
              <w:top w:val="nil"/>
              <w:left w:val="nil"/>
              <w:bottom w:val="single" w:sz="4" w:space="0" w:color="auto"/>
              <w:right w:val="single" w:sz="4" w:space="0" w:color="auto"/>
            </w:tcBorders>
            <w:shd w:val="clear" w:color="auto" w:fill="auto"/>
            <w:vAlign w:val="center"/>
            <w:hideMark/>
          </w:tcPr>
          <w:p w14:paraId="3720FD91" w14:textId="408D6ECB"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07AC6E9C"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50B1CBE1"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35AD3D4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635" w:type="dxa"/>
            <w:tcBorders>
              <w:top w:val="nil"/>
              <w:left w:val="nil"/>
              <w:bottom w:val="single" w:sz="4" w:space="0" w:color="auto"/>
              <w:right w:val="single" w:sz="4" w:space="0" w:color="auto"/>
            </w:tcBorders>
            <w:shd w:val="clear" w:color="auto" w:fill="auto"/>
            <w:vAlign w:val="center"/>
            <w:hideMark/>
          </w:tcPr>
          <w:p w14:paraId="521476FA"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467" w:type="dxa"/>
            <w:tcBorders>
              <w:top w:val="nil"/>
              <w:left w:val="nil"/>
              <w:bottom w:val="single" w:sz="4" w:space="0" w:color="auto"/>
              <w:right w:val="single" w:sz="4" w:space="0" w:color="auto"/>
            </w:tcBorders>
            <w:shd w:val="clear" w:color="auto" w:fill="auto"/>
            <w:vAlign w:val="center"/>
            <w:hideMark/>
          </w:tcPr>
          <w:p w14:paraId="762538C6" w14:textId="2B00F180"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0CFFE99C"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7460DF" w:rsidRPr="00B31AAA" w14:paraId="47935B89"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4FE75825"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635" w:type="dxa"/>
            <w:tcBorders>
              <w:top w:val="nil"/>
              <w:left w:val="nil"/>
              <w:bottom w:val="single" w:sz="4" w:space="0" w:color="auto"/>
              <w:right w:val="single" w:sz="4" w:space="0" w:color="auto"/>
            </w:tcBorders>
            <w:shd w:val="clear" w:color="auto" w:fill="auto"/>
            <w:vAlign w:val="center"/>
          </w:tcPr>
          <w:p w14:paraId="792D625F"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467" w:type="dxa"/>
            <w:tcBorders>
              <w:top w:val="nil"/>
              <w:left w:val="nil"/>
              <w:bottom w:val="single" w:sz="4" w:space="0" w:color="auto"/>
              <w:right w:val="single" w:sz="4" w:space="0" w:color="auto"/>
            </w:tcBorders>
            <w:shd w:val="clear" w:color="auto" w:fill="auto"/>
            <w:vAlign w:val="center"/>
          </w:tcPr>
          <w:p w14:paraId="5D23DC08" w14:textId="4EE16742" w:rsidR="007460DF"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43BD131F" w14:textId="77777777" w:rsidR="007460DF" w:rsidRPr="00B31AAA" w:rsidRDefault="007460DF" w:rsidP="00951130">
            <w:pPr>
              <w:spacing w:after="0" w:line="240" w:lineRule="auto"/>
              <w:jc w:val="center"/>
              <w:rPr>
                <w:rFonts w:eastAsia="Times New Roman" w:cs="DIN Pro Regular"/>
                <w:color w:val="000000"/>
                <w:sz w:val="20"/>
                <w:szCs w:val="20"/>
                <w:lang w:eastAsia="es-MX"/>
              </w:rPr>
            </w:pPr>
          </w:p>
        </w:tc>
      </w:tr>
      <w:tr w:rsidR="00591EE2" w:rsidRPr="00B31AAA" w14:paraId="72385D84" w14:textId="77777777" w:rsidTr="00351ED0">
        <w:trPr>
          <w:gridAfter w:val="2"/>
          <w:wAfter w:w="184" w:type="dxa"/>
          <w:trHeight w:val="317"/>
          <w:jc w:val="center"/>
        </w:trPr>
        <w:tc>
          <w:tcPr>
            <w:tcW w:w="5834" w:type="dxa"/>
            <w:gridSpan w:val="2"/>
            <w:tcBorders>
              <w:top w:val="nil"/>
              <w:left w:val="single" w:sz="4" w:space="0" w:color="auto"/>
              <w:bottom w:val="single" w:sz="4" w:space="0" w:color="auto"/>
              <w:right w:val="single" w:sz="4" w:space="0" w:color="000000"/>
            </w:tcBorders>
            <w:shd w:val="clear" w:color="auto" w:fill="AB0033"/>
            <w:vAlign w:val="center"/>
            <w:hideMark/>
          </w:tcPr>
          <w:p w14:paraId="7B2B7759"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467" w:type="dxa"/>
            <w:tcBorders>
              <w:top w:val="nil"/>
              <w:left w:val="nil"/>
              <w:bottom w:val="single" w:sz="4" w:space="0" w:color="auto"/>
              <w:right w:val="single" w:sz="4" w:space="0" w:color="auto"/>
            </w:tcBorders>
            <w:shd w:val="clear" w:color="auto" w:fill="auto"/>
            <w:vAlign w:val="center"/>
            <w:hideMark/>
          </w:tcPr>
          <w:p w14:paraId="4D8E96B4" w14:textId="6DEC129E" w:rsidR="00591EE2" w:rsidRPr="00B31AAA" w:rsidRDefault="00951130" w:rsidP="0095113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174108" w:rsidRPr="00B31AAA" w14:paraId="7EA54372" w14:textId="77777777" w:rsidTr="00351ED0">
        <w:trPr>
          <w:trHeight w:val="444"/>
          <w:jc w:val="center"/>
        </w:trPr>
        <w:tc>
          <w:tcPr>
            <w:tcW w:w="1199" w:type="dxa"/>
            <w:tcBorders>
              <w:top w:val="nil"/>
              <w:left w:val="single" w:sz="4" w:space="0" w:color="auto"/>
              <w:bottom w:val="single" w:sz="4" w:space="0" w:color="auto"/>
              <w:right w:val="nil"/>
            </w:tcBorders>
            <w:shd w:val="clear" w:color="auto" w:fill="auto"/>
            <w:vAlign w:val="center"/>
            <w:hideMark/>
          </w:tcPr>
          <w:p w14:paraId="776880E5"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635" w:type="dxa"/>
            <w:tcBorders>
              <w:top w:val="nil"/>
              <w:left w:val="nil"/>
              <w:bottom w:val="single" w:sz="4" w:space="0" w:color="auto"/>
              <w:right w:val="single" w:sz="4" w:space="0" w:color="auto"/>
            </w:tcBorders>
            <w:shd w:val="clear" w:color="auto" w:fill="auto"/>
            <w:vAlign w:val="center"/>
            <w:hideMark/>
          </w:tcPr>
          <w:p w14:paraId="7F25B96A"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467" w:type="dxa"/>
            <w:tcBorders>
              <w:top w:val="nil"/>
              <w:left w:val="nil"/>
              <w:bottom w:val="single" w:sz="4" w:space="0" w:color="auto"/>
              <w:right w:val="single" w:sz="4" w:space="0" w:color="auto"/>
            </w:tcBorders>
            <w:shd w:val="clear" w:color="auto" w:fill="auto"/>
            <w:vAlign w:val="center"/>
            <w:hideMark/>
          </w:tcPr>
          <w:p w14:paraId="65470AD2" w14:textId="732C5E6E"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7177091B"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3730D9A8"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25196952"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635" w:type="dxa"/>
            <w:tcBorders>
              <w:top w:val="nil"/>
              <w:left w:val="nil"/>
              <w:bottom w:val="single" w:sz="4" w:space="0" w:color="auto"/>
              <w:right w:val="single" w:sz="4" w:space="0" w:color="auto"/>
            </w:tcBorders>
            <w:shd w:val="clear" w:color="auto" w:fill="auto"/>
            <w:vAlign w:val="center"/>
            <w:hideMark/>
          </w:tcPr>
          <w:p w14:paraId="5AEA40D6"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467" w:type="dxa"/>
            <w:tcBorders>
              <w:top w:val="nil"/>
              <w:left w:val="nil"/>
              <w:bottom w:val="single" w:sz="4" w:space="0" w:color="auto"/>
              <w:right w:val="single" w:sz="4" w:space="0" w:color="auto"/>
            </w:tcBorders>
            <w:shd w:val="clear" w:color="auto" w:fill="auto"/>
            <w:vAlign w:val="center"/>
            <w:hideMark/>
          </w:tcPr>
          <w:p w14:paraId="67C6279C" w14:textId="082F86E5"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37EA6BA8"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21E5EEB5"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681AE2C3"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635" w:type="dxa"/>
            <w:tcBorders>
              <w:top w:val="nil"/>
              <w:left w:val="nil"/>
              <w:bottom w:val="single" w:sz="4" w:space="0" w:color="auto"/>
              <w:right w:val="single" w:sz="4" w:space="0" w:color="auto"/>
            </w:tcBorders>
            <w:shd w:val="clear" w:color="auto" w:fill="auto"/>
            <w:vAlign w:val="center"/>
            <w:hideMark/>
          </w:tcPr>
          <w:p w14:paraId="6A7A3FC9"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467" w:type="dxa"/>
            <w:tcBorders>
              <w:top w:val="nil"/>
              <w:left w:val="nil"/>
              <w:bottom w:val="single" w:sz="4" w:space="0" w:color="auto"/>
              <w:right w:val="single" w:sz="4" w:space="0" w:color="auto"/>
            </w:tcBorders>
            <w:shd w:val="clear" w:color="auto" w:fill="auto"/>
            <w:vAlign w:val="center"/>
            <w:hideMark/>
          </w:tcPr>
          <w:p w14:paraId="6EEDDFE7" w14:textId="2256A615"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36B3919C"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174108" w:rsidRPr="00B31AAA" w14:paraId="599A944D"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hideMark/>
          </w:tcPr>
          <w:p w14:paraId="0D0351DA"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635" w:type="dxa"/>
            <w:tcBorders>
              <w:top w:val="nil"/>
              <w:left w:val="nil"/>
              <w:bottom w:val="single" w:sz="4" w:space="0" w:color="auto"/>
              <w:right w:val="single" w:sz="4" w:space="0" w:color="auto"/>
            </w:tcBorders>
            <w:shd w:val="clear" w:color="auto" w:fill="auto"/>
            <w:vAlign w:val="center"/>
            <w:hideMark/>
          </w:tcPr>
          <w:p w14:paraId="5367BF3B"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467" w:type="dxa"/>
            <w:tcBorders>
              <w:top w:val="nil"/>
              <w:left w:val="nil"/>
              <w:bottom w:val="single" w:sz="4" w:space="0" w:color="auto"/>
              <w:right w:val="single" w:sz="4" w:space="0" w:color="auto"/>
            </w:tcBorders>
            <w:shd w:val="clear" w:color="auto" w:fill="auto"/>
            <w:vAlign w:val="center"/>
            <w:hideMark/>
          </w:tcPr>
          <w:p w14:paraId="4E202CA0" w14:textId="712E3184" w:rsidR="00174108"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hideMark/>
          </w:tcPr>
          <w:p w14:paraId="435CC912" w14:textId="77777777" w:rsidR="00174108" w:rsidRPr="00B31AAA" w:rsidRDefault="00174108" w:rsidP="00951130">
            <w:pPr>
              <w:spacing w:after="0" w:line="240" w:lineRule="auto"/>
              <w:jc w:val="center"/>
              <w:rPr>
                <w:rFonts w:eastAsia="Times New Roman" w:cs="DIN Pro Regular"/>
                <w:color w:val="000000"/>
                <w:sz w:val="20"/>
                <w:szCs w:val="20"/>
                <w:lang w:eastAsia="es-MX"/>
              </w:rPr>
            </w:pPr>
          </w:p>
        </w:tc>
      </w:tr>
      <w:tr w:rsidR="00041200" w:rsidRPr="00B31AAA" w14:paraId="4CBCD907"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1A3822DE"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635" w:type="dxa"/>
            <w:tcBorders>
              <w:top w:val="nil"/>
              <w:left w:val="nil"/>
              <w:bottom w:val="single" w:sz="4" w:space="0" w:color="auto"/>
              <w:right w:val="single" w:sz="4" w:space="0" w:color="auto"/>
            </w:tcBorders>
            <w:shd w:val="clear" w:color="auto" w:fill="auto"/>
            <w:vAlign w:val="center"/>
          </w:tcPr>
          <w:p w14:paraId="769E70C4"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467" w:type="dxa"/>
            <w:tcBorders>
              <w:top w:val="nil"/>
              <w:left w:val="nil"/>
              <w:bottom w:val="single" w:sz="4" w:space="0" w:color="auto"/>
              <w:right w:val="single" w:sz="4" w:space="0" w:color="auto"/>
            </w:tcBorders>
            <w:shd w:val="clear" w:color="auto" w:fill="auto"/>
            <w:vAlign w:val="center"/>
          </w:tcPr>
          <w:p w14:paraId="37591267" w14:textId="67D140B6" w:rsidR="00041200"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6F23D55A" w14:textId="77777777" w:rsidR="00041200" w:rsidRPr="00B31AAA" w:rsidRDefault="00041200" w:rsidP="00951130">
            <w:pPr>
              <w:spacing w:after="0" w:line="240" w:lineRule="auto"/>
              <w:jc w:val="center"/>
              <w:rPr>
                <w:rFonts w:eastAsia="Times New Roman" w:cs="DIN Pro Regular"/>
                <w:color w:val="000000"/>
                <w:sz w:val="20"/>
                <w:szCs w:val="20"/>
                <w:lang w:eastAsia="es-MX"/>
              </w:rPr>
            </w:pPr>
          </w:p>
        </w:tc>
      </w:tr>
      <w:tr w:rsidR="00761310" w:rsidRPr="00B31AAA" w14:paraId="7EC8FCC0"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03DEBAC9"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635" w:type="dxa"/>
            <w:tcBorders>
              <w:top w:val="nil"/>
              <w:left w:val="nil"/>
              <w:bottom w:val="single" w:sz="4" w:space="0" w:color="auto"/>
              <w:right w:val="single" w:sz="4" w:space="0" w:color="auto"/>
            </w:tcBorders>
            <w:shd w:val="clear" w:color="auto" w:fill="auto"/>
            <w:vAlign w:val="center"/>
          </w:tcPr>
          <w:p w14:paraId="12B07150"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467" w:type="dxa"/>
            <w:tcBorders>
              <w:top w:val="nil"/>
              <w:left w:val="nil"/>
              <w:bottom w:val="single" w:sz="4" w:space="0" w:color="auto"/>
              <w:right w:val="single" w:sz="4" w:space="0" w:color="auto"/>
            </w:tcBorders>
            <w:shd w:val="clear" w:color="auto" w:fill="auto"/>
            <w:vAlign w:val="center"/>
          </w:tcPr>
          <w:p w14:paraId="15F7B7B2" w14:textId="69503975" w:rsidR="00761310"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5B4EF2E4" w14:textId="77777777" w:rsidR="00761310" w:rsidRPr="00B31AAA" w:rsidRDefault="00761310" w:rsidP="00951130">
            <w:pPr>
              <w:spacing w:after="0" w:line="240" w:lineRule="auto"/>
              <w:jc w:val="center"/>
              <w:rPr>
                <w:rFonts w:eastAsia="Times New Roman" w:cs="DIN Pro Regular"/>
                <w:color w:val="000000"/>
                <w:sz w:val="20"/>
                <w:szCs w:val="20"/>
                <w:lang w:eastAsia="es-MX"/>
              </w:rPr>
            </w:pPr>
          </w:p>
        </w:tc>
      </w:tr>
      <w:tr w:rsidR="00761310" w:rsidRPr="00B31AAA" w14:paraId="0FD8AA2C" w14:textId="77777777" w:rsidTr="00351ED0">
        <w:trPr>
          <w:trHeight w:val="299"/>
          <w:jc w:val="center"/>
        </w:trPr>
        <w:tc>
          <w:tcPr>
            <w:tcW w:w="1199" w:type="dxa"/>
            <w:tcBorders>
              <w:top w:val="nil"/>
              <w:left w:val="single" w:sz="4" w:space="0" w:color="auto"/>
              <w:bottom w:val="single" w:sz="4" w:space="0" w:color="auto"/>
              <w:right w:val="nil"/>
            </w:tcBorders>
            <w:shd w:val="clear" w:color="auto" w:fill="auto"/>
            <w:vAlign w:val="center"/>
          </w:tcPr>
          <w:p w14:paraId="7F954F7A"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635" w:type="dxa"/>
            <w:tcBorders>
              <w:top w:val="nil"/>
              <w:left w:val="nil"/>
              <w:bottom w:val="single" w:sz="4" w:space="0" w:color="auto"/>
              <w:right w:val="single" w:sz="4" w:space="0" w:color="auto"/>
            </w:tcBorders>
            <w:shd w:val="clear" w:color="auto" w:fill="auto"/>
            <w:vAlign w:val="center"/>
          </w:tcPr>
          <w:p w14:paraId="1E16F3BC"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467" w:type="dxa"/>
            <w:tcBorders>
              <w:top w:val="nil"/>
              <w:left w:val="nil"/>
              <w:bottom w:val="single" w:sz="4" w:space="0" w:color="auto"/>
              <w:right w:val="single" w:sz="4" w:space="0" w:color="auto"/>
            </w:tcBorders>
            <w:shd w:val="clear" w:color="auto" w:fill="auto"/>
            <w:vAlign w:val="center"/>
          </w:tcPr>
          <w:p w14:paraId="719122E0" w14:textId="20AE9FEA" w:rsidR="00761310" w:rsidRPr="00B31AAA" w:rsidRDefault="00951130" w:rsidP="0095113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84" w:type="dxa"/>
            <w:gridSpan w:val="2"/>
            <w:tcBorders>
              <w:top w:val="nil"/>
              <w:left w:val="nil"/>
              <w:bottom w:val="nil"/>
              <w:right w:val="nil"/>
            </w:tcBorders>
            <w:shd w:val="clear" w:color="auto" w:fill="auto"/>
            <w:noWrap/>
            <w:vAlign w:val="bottom"/>
          </w:tcPr>
          <w:p w14:paraId="67F3D253" w14:textId="77777777" w:rsidR="00761310" w:rsidRPr="00B31AAA" w:rsidRDefault="00761310" w:rsidP="00951130">
            <w:pPr>
              <w:spacing w:after="0" w:line="240" w:lineRule="auto"/>
              <w:jc w:val="center"/>
              <w:rPr>
                <w:rFonts w:eastAsia="Times New Roman" w:cs="DIN Pro Regular"/>
                <w:color w:val="000000"/>
                <w:sz w:val="20"/>
                <w:szCs w:val="20"/>
                <w:lang w:eastAsia="es-MX"/>
              </w:rPr>
            </w:pPr>
          </w:p>
        </w:tc>
      </w:tr>
      <w:tr w:rsidR="002C7C1D" w:rsidRPr="00B31AAA" w14:paraId="606CDB75" w14:textId="77777777" w:rsidTr="00351ED0">
        <w:trPr>
          <w:trHeight w:val="158"/>
          <w:jc w:val="center"/>
        </w:trPr>
        <w:tc>
          <w:tcPr>
            <w:tcW w:w="1199" w:type="dxa"/>
            <w:tcBorders>
              <w:top w:val="nil"/>
              <w:left w:val="nil"/>
              <w:bottom w:val="nil"/>
              <w:right w:val="nil"/>
            </w:tcBorders>
            <w:shd w:val="clear" w:color="auto" w:fill="auto"/>
            <w:noWrap/>
            <w:vAlign w:val="bottom"/>
            <w:hideMark/>
          </w:tcPr>
          <w:p w14:paraId="060522AB"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635" w:type="dxa"/>
            <w:tcBorders>
              <w:top w:val="nil"/>
              <w:left w:val="nil"/>
              <w:bottom w:val="nil"/>
              <w:right w:val="nil"/>
            </w:tcBorders>
            <w:shd w:val="clear" w:color="auto" w:fill="auto"/>
            <w:noWrap/>
            <w:vAlign w:val="bottom"/>
            <w:hideMark/>
          </w:tcPr>
          <w:p w14:paraId="0E0FB4F1"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467" w:type="dxa"/>
            <w:tcBorders>
              <w:top w:val="nil"/>
              <w:left w:val="nil"/>
              <w:bottom w:val="single" w:sz="4" w:space="0" w:color="auto"/>
              <w:right w:val="nil"/>
            </w:tcBorders>
            <w:shd w:val="clear" w:color="auto" w:fill="auto"/>
            <w:noWrap/>
            <w:vAlign w:val="bottom"/>
            <w:hideMark/>
          </w:tcPr>
          <w:p w14:paraId="0B9D4B95"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84" w:type="dxa"/>
            <w:gridSpan w:val="2"/>
            <w:tcBorders>
              <w:top w:val="nil"/>
              <w:left w:val="nil"/>
              <w:bottom w:val="nil"/>
              <w:right w:val="nil"/>
            </w:tcBorders>
            <w:shd w:val="clear" w:color="auto" w:fill="auto"/>
            <w:noWrap/>
            <w:vAlign w:val="bottom"/>
            <w:hideMark/>
          </w:tcPr>
          <w:p w14:paraId="2C69584A"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02D5DB54" w14:textId="77777777" w:rsidTr="00351ED0">
        <w:trPr>
          <w:gridAfter w:val="2"/>
          <w:wAfter w:w="184" w:type="dxa"/>
          <w:trHeight w:val="317"/>
          <w:jc w:val="center"/>
        </w:trPr>
        <w:tc>
          <w:tcPr>
            <w:tcW w:w="5834"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4B2C09C5"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A47A" w14:textId="77777777" w:rsidR="002C7C1D" w:rsidRPr="00B31AAA" w:rsidRDefault="00351ED0"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$ 145,994</w:t>
            </w:r>
          </w:p>
        </w:tc>
      </w:tr>
    </w:tbl>
    <w:p w14:paraId="614BD47E"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3523E1B5"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3C96B7DE" w14:textId="77777777" w:rsidR="00D96C81" w:rsidRDefault="00D96C81" w:rsidP="00D96C81">
      <w:pPr>
        <w:spacing w:after="0"/>
        <w:rPr>
          <w:rFonts w:cs="DIN Pro Regular"/>
          <w:sz w:val="20"/>
          <w:szCs w:val="20"/>
        </w:rPr>
      </w:pPr>
    </w:p>
    <w:p w14:paraId="7D1894B0" w14:textId="77777777" w:rsidR="00D96C81" w:rsidRDefault="00D96C81" w:rsidP="00D96C81">
      <w:pPr>
        <w:spacing w:after="0"/>
        <w:rPr>
          <w:rFonts w:cs="DIN Pro Regular"/>
          <w:sz w:val="20"/>
          <w:szCs w:val="20"/>
        </w:rPr>
      </w:pPr>
    </w:p>
    <w:p w14:paraId="330D2A5C"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1B1EE02B" w14:textId="77777777" w:rsidR="000D5EFE" w:rsidRPr="00B31AAA" w:rsidRDefault="000D5EFE" w:rsidP="00D10273">
      <w:pPr>
        <w:pStyle w:val="Texto"/>
        <w:spacing w:after="0" w:line="240" w:lineRule="exact"/>
        <w:ind w:firstLine="0"/>
        <w:rPr>
          <w:rFonts w:ascii="Calibri" w:hAnsi="Calibri" w:cs="DIN Pro Regular"/>
          <w:b/>
          <w:smallCaps/>
          <w:sz w:val="20"/>
        </w:rPr>
      </w:pPr>
    </w:p>
    <w:p w14:paraId="0A8A95CF" w14:textId="77777777" w:rsidR="00174108" w:rsidRPr="00B31AAA" w:rsidRDefault="00174108" w:rsidP="00D10273">
      <w:pPr>
        <w:pStyle w:val="Texto"/>
        <w:spacing w:after="0" w:line="240" w:lineRule="exact"/>
        <w:ind w:firstLine="0"/>
        <w:rPr>
          <w:rFonts w:ascii="Calibri" w:hAnsi="Calibri" w:cs="DIN Pro Regular"/>
          <w:b/>
          <w:smallCaps/>
          <w:sz w:val="20"/>
        </w:rPr>
      </w:pPr>
    </w:p>
    <w:p w14:paraId="01A1E4EB" w14:textId="77777777" w:rsidR="00D96C81" w:rsidRDefault="00D96C81" w:rsidP="00D10273">
      <w:pPr>
        <w:pStyle w:val="Texto"/>
        <w:spacing w:after="0" w:line="240" w:lineRule="exact"/>
        <w:ind w:firstLine="0"/>
        <w:rPr>
          <w:rFonts w:ascii="Calibri" w:hAnsi="Calibri" w:cs="DIN Pro Regular"/>
          <w:b/>
          <w:smallCaps/>
          <w:sz w:val="20"/>
          <w:lang w:val="es-MX"/>
        </w:rPr>
      </w:pPr>
    </w:p>
    <w:p w14:paraId="3AD7C01F" w14:textId="77777777" w:rsidR="00D96C81" w:rsidRDefault="00D96C81" w:rsidP="00D10273">
      <w:pPr>
        <w:pStyle w:val="Texto"/>
        <w:spacing w:after="0" w:line="240" w:lineRule="exact"/>
        <w:ind w:firstLine="0"/>
        <w:rPr>
          <w:rFonts w:ascii="Calibri" w:hAnsi="Calibri" w:cs="DIN Pro Regular"/>
          <w:b/>
          <w:smallCaps/>
          <w:sz w:val="20"/>
          <w:lang w:val="es-MX"/>
        </w:rPr>
      </w:pPr>
    </w:p>
    <w:p w14:paraId="01F23A50" w14:textId="77777777" w:rsidR="00041200" w:rsidRDefault="00041200" w:rsidP="00D10273">
      <w:pPr>
        <w:pStyle w:val="Texto"/>
        <w:spacing w:after="0" w:line="240" w:lineRule="exact"/>
        <w:ind w:firstLine="0"/>
        <w:rPr>
          <w:rFonts w:ascii="Calibri" w:hAnsi="Calibri" w:cs="DIN Pro Regular"/>
          <w:b/>
          <w:smallCaps/>
          <w:sz w:val="20"/>
          <w:lang w:val="es-MX"/>
        </w:rPr>
      </w:pPr>
    </w:p>
    <w:p w14:paraId="44B3ADDC" w14:textId="77777777" w:rsidR="00041200" w:rsidRDefault="00041200" w:rsidP="00D10273">
      <w:pPr>
        <w:pStyle w:val="Texto"/>
        <w:spacing w:after="0" w:line="240" w:lineRule="exact"/>
        <w:ind w:firstLine="0"/>
        <w:rPr>
          <w:rFonts w:ascii="Calibri" w:hAnsi="Calibri" w:cs="DIN Pro Regular"/>
          <w:b/>
          <w:smallCaps/>
          <w:sz w:val="20"/>
          <w:lang w:val="es-MX"/>
        </w:rPr>
      </w:pPr>
    </w:p>
    <w:p w14:paraId="3C219D80" w14:textId="7873FA4F" w:rsidR="00D96C81" w:rsidRDefault="00D96C81" w:rsidP="00D10273">
      <w:pPr>
        <w:pStyle w:val="Texto"/>
        <w:spacing w:after="0" w:line="240" w:lineRule="exact"/>
        <w:ind w:firstLine="0"/>
        <w:rPr>
          <w:rFonts w:ascii="Calibri" w:hAnsi="Calibri" w:cs="DIN Pro Regular"/>
          <w:b/>
          <w:smallCaps/>
          <w:sz w:val="20"/>
          <w:lang w:val="es-MX"/>
        </w:rPr>
      </w:pPr>
    </w:p>
    <w:p w14:paraId="14568E01" w14:textId="667F5D75" w:rsidR="00D27144" w:rsidRDefault="00D27144" w:rsidP="00D10273">
      <w:pPr>
        <w:pStyle w:val="Texto"/>
        <w:spacing w:after="0" w:line="240" w:lineRule="exact"/>
        <w:ind w:firstLine="0"/>
        <w:rPr>
          <w:rFonts w:ascii="Calibri" w:hAnsi="Calibri" w:cs="DIN Pro Regular"/>
          <w:b/>
          <w:smallCaps/>
          <w:sz w:val="20"/>
          <w:lang w:val="es-MX"/>
        </w:rPr>
      </w:pPr>
    </w:p>
    <w:p w14:paraId="3F312EB7" w14:textId="77777777" w:rsidR="00D27144" w:rsidRPr="00B31AAA" w:rsidRDefault="00D27144" w:rsidP="00D10273">
      <w:pPr>
        <w:pStyle w:val="Texto"/>
        <w:spacing w:after="0" w:line="240" w:lineRule="exact"/>
        <w:ind w:firstLine="0"/>
        <w:rPr>
          <w:rFonts w:ascii="Calibri" w:hAnsi="Calibri" w:cs="DIN Pro Regular"/>
          <w:b/>
          <w:smallCaps/>
          <w:sz w:val="20"/>
          <w:lang w:val="es-MX"/>
        </w:rPr>
      </w:pPr>
    </w:p>
    <w:p w14:paraId="27ECAD44" w14:textId="77777777" w:rsidR="00EC7D4B" w:rsidRDefault="00EC7D4B" w:rsidP="00D10273">
      <w:pPr>
        <w:pStyle w:val="Texto"/>
        <w:spacing w:after="0" w:line="240" w:lineRule="exact"/>
        <w:ind w:firstLine="0"/>
        <w:rPr>
          <w:rFonts w:ascii="Calibri" w:hAnsi="Calibri" w:cs="DIN Pro Regular"/>
          <w:b/>
          <w:smallCaps/>
          <w:sz w:val="20"/>
          <w:lang w:val="es-MX"/>
        </w:rPr>
      </w:pPr>
    </w:p>
    <w:p w14:paraId="3DBFD66E" w14:textId="77777777" w:rsidR="00041200" w:rsidRDefault="00041200" w:rsidP="00D10273">
      <w:pPr>
        <w:pStyle w:val="Texto"/>
        <w:spacing w:after="0" w:line="240" w:lineRule="exact"/>
        <w:ind w:firstLine="0"/>
        <w:rPr>
          <w:rFonts w:ascii="Calibri" w:hAnsi="Calibri" w:cs="DIN Pro Regular"/>
          <w:b/>
          <w:smallCaps/>
          <w:sz w:val="20"/>
          <w:lang w:val="es-MX"/>
        </w:rPr>
      </w:pPr>
    </w:p>
    <w:p w14:paraId="039213CE" w14:textId="77777777" w:rsidR="00041200" w:rsidRDefault="00041200" w:rsidP="00D10273">
      <w:pPr>
        <w:pStyle w:val="Texto"/>
        <w:spacing w:after="0" w:line="240" w:lineRule="exact"/>
        <w:ind w:firstLine="0"/>
        <w:rPr>
          <w:rFonts w:ascii="Calibri" w:hAnsi="Calibri" w:cs="DIN Pro Regular"/>
          <w:b/>
          <w:smallCaps/>
          <w:sz w:val="20"/>
          <w:lang w:val="es-MX"/>
        </w:rPr>
      </w:pPr>
    </w:p>
    <w:p w14:paraId="160E7126" w14:textId="77777777" w:rsidR="00041200" w:rsidRDefault="00041200" w:rsidP="00D10273">
      <w:pPr>
        <w:pStyle w:val="Texto"/>
        <w:spacing w:after="0" w:line="240" w:lineRule="exact"/>
        <w:ind w:firstLine="0"/>
        <w:rPr>
          <w:rFonts w:ascii="Calibri" w:hAnsi="Calibri" w:cs="DIN Pro Regular"/>
          <w:b/>
          <w:smallCaps/>
          <w:sz w:val="20"/>
          <w:lang w:val="es-MX"/>
        </w:rPr>
      </w:pPr>
    </w:p>
    <w:p w14:paraId="431771D5"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7576C69A"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68ADF40F" w14:textId="77777777" w:rsidR="00B849EE" w:rsidRDefault="00B849EE" w:rsidP="00540418">
      <w:pPr>
        <w:pStyle w:val="Texto"/>
        <w:spacing w:after="0" w:line="240" w:lineRule="exact"/>
        <w:rPr>
          <w:rFonts w:ascii="Calibri" w:hAnsi="Calibri" w:cs="DIN Pro Regular"/>
          <w:sz w:val="20"/>
          <w:lang w:val="es-MX"/>
        </w:rPr>
      </w:pPr>
    </w:p>
    <w:p w14:paraId="7478D5DD" w14:textId="77777777" w:rsidR="00B31AAA" w:rsidRPr="00B31AAA" w:rsidRDefault="00B31AAA" w:rsidP="00540418">
      <w:pPr>
        <w:pStyle w:val="Texto"/>
        <w:spacing w:after="0" w:line="240" w:lineRule="exact"/>
        <w:rPr>
          <w:rFonts w:ascii="Calibri" w:hAnsi="Calibri" w:cs="DIN Pro Regular"/>
          <w:sz w:val="20"/>
          <w:lang w:val="es-MX"/>
        </w:rPr>
      </w:pPr>
    </w:p>
    <w:p w14:paraId="5AB16722"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62CE7A43" w14:textId="77777777" w:rsidR="00B31AAA" w:rsidRPr="00F7023E" w:rsidRDefault="00B31AAA" w:rsidP="00290E6D">
      <w:pPr>
        <w:pStyle w:val="Texto"/>
        <w:spacing w:after="0" w:line="240" w:lineRule="exact"/>
        <w:rPr>
          <w:rFonts w:ascii="Calibri" w:hAnsi="Calibri" w:cs="DIN Pro Regular"/>
          <w:b/>
          <w:sz w:val="22"/>
          <w:szCs w:val="22"/>
        </w:rPr>
      </w:pPr>
    </w:p>
    <w:p w14:paraId="2635404C" w14:textId="77777777" w:rsidR="00B31AAA" w:rsidRPr="00B31AAA" w:rsidRDefault="00B31AAA" w:rsidP="00290E6D">
      <w:pPr>
        <w:pStyle w:val="Texto"/>
        <w:spacing w:after="0" w:line="240" w:lineRule="exact"/>
        <w:rPr>
          <w:rFonts w:ascii="Calibri" w:hAnsi="Calibri" w:cs="DIN Pro Regular"/>
          <w:b/>
          <w:sz w:val="20"/>
        </w:rPr>
      </w:pPr>
    </w:p>
    <w:p w14:paraId="63F062EC" w14:textId="77777777" w:rsidR="00290E6D" w:rsidRPr="00B31AAA" w:rsidRDefault="00290E6D" w:rsidP="00290E6D">
      <w:pPr>
        <w:pStyle w:val="Texto"/>
        <w:spacing w:after="0" w:line="240" w:lineRule="exact"/>
        <w:rPr>
          <w:rFonts w:ascii="Calibri" w:hAnsi="Calibri" w:cs="DIN Pro Regular"/>
          <w:b/>
          <w:sz w:val="20"/>
        </w:rPr>
      </w:pPr>
    </w:p>
    <w:p w14:paraId="180FE43C"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34B385E0"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14:paraId="66239F11"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14:paraId="7F9A2DF5"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14:paraId="58E20797"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14:paraId="724A01CC" w14:textId="77777777" w:rsidR="00B60517" w:rsidRPr="00B31AAA" w:rsidRDefault="00B60517" w:rsidP="00290E6D">
      <w:pPr>
        <w:pStyle w:val="Texto"/>
        <w:spacing w:after="0" w:line="240" w:lineRule="exact"/>
        <w:ind w:left="2160" w:hanging="540"/>
        <w:rPr>
          <w:rFonts w:ascii="Calibri" w:hAnsi="Calibri" w:cs="DIN Pro Regular"/>
          <w:sz w:val="20"/>
        </w:rPr>
      </w:pPr>
    </w:p>
    <w:p w14:paraId="1C33D610" w14:textId="77777777" w:rsidR="00290E6D" w:rsidRPr="00B31AAA" w:rsidRDefault="00290E6D" w:rsidP="00290E6D">
      <w:pPr>
        <w:pStyle w:val="Texto"/>
        <w:spacing w:after="0" w:line="240" w:lineRule="exact"/>
        <w:ind w:left="2160" w:hanging="540"/>
        <w:rPr>
          <w:rFonts w:ascii="Calibri" w:hAnsi="Calibri" w:cs="DIN Pro Regular"/>
          <w:sz w:val="20"/>
        </w:rPr>
      </w:pPr>
    </w:p>
    <w:p w14:paraId="0BA7ED78"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444DDD46"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7A2EA79C" w14:textId="77777777" w:rsidR="007006CA" w:rsidRPr="00B31AAA" w:rsidRDefault="007006CA" w:rsidP="00290E6D">
      <w:pPr>
        <w:pStyle w:val="Texto"/>
        <w:spacing w:after="0" w:line="240" w:lineRule="exact"/>
        <w:ind w:left="2160" w:hanging="540"/>
        <w:rPr>
          <w:rFonts w:ascii="Calibri" w:hAnsi="Calibri" w:cs="DIN Pro Regular"/>
          <w:sz w:val="20"/>
        </w:rPr>
      </w:pPr>
    </w:p>
    <w:p w14:paraId="6AE0FC10" w14:textId="77777777"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14:paraId="5432DD55"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Pr>
          <w:rFonts w:ascii="Calibri" w:hAnsi="Calibri" w:cs="DIN Pro Regular"/>
          <w:sz w:val="20"/>
        </w:rPr>
        <w:t xml:space="preserve"> Ingresos Estimados        $357,500</w:t>
      </w:r>
    </w:p>
    <w:p w14:paraId="3E61F8E5"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Pr>
          <w:rFonts w:ascii="Calibri" w:hAnsi="Calibri" w:cs="DIN Pro Regular"/>
          <w:sz w:val="20"/>
        </w:rPr>
        <w:t xml:space="preserve"> Ingresos por Ejecutar    $236,604</w:t>
      </w:r>
    </w:p>
    <w:p w14:paraId="4F963C10"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Pr>
          <w:rFonts w:ascii="Calibri" w:hAnsi="Calibri" w:cs="DIN Pro Regular"/>
          <w:sz w:val="20"/>
        </w:rPr>
        <w:t xml:space="preserve"> Ingresos Modificados    </w:t>
      </w:r>
      <w:r>
        <w:rPr>
          <w:rFonts w:ascii="Calibri" w:hAnsi="Calibri" w:cs="DIN Pro Regular"/>
          <w:sz w:val="20"/>
        </w:rPr>
        <w:tab/>
        <w:t>0</w:t>
      </w:r>
    </w:p>
    <w:p w14:paraId="518B079B"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Pr>
          <w:rFonts w:ascii="Calibri" w:hAnsi="Calibri" w:cs="DIN Pro Regular"/>
          <w:sz w:val="20"/>
        </w:rPr>
        <w:t xml:space="preserve"> Ingresos Devengados     $120,896</w:t>
      </w:r>
    </w:p>
    <w:p w14:paraId="5DAF9E52"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Pr>
          <w:rFonts w:ascii="Calibri" w:hAnsi="Calibri" w:cs="DIN Pro Regular"/>
          <w:sz w:val="20"/>
        </w:rPr>
        <w:t xml:space="preserve"> Ingresos Recaudados     $120,896</w:t>
      </w:r>
    </w:p>
    <w:p w14:paraId="3559A7E6" w14:textId="77777777" w:rsidR="007006CA" w:rsidRPr="00B31AAA" w:rsidRDefault="007006CA" w:rsidP="00290E6D">
      <w:pPr>
        <w:pStyle w:val="Texto"/>
        <w:spacing w:after="0" w:line="240" w:lineRule="exact"/>
        <w:ind w:left="2160" w:hanging="540"/>
        <w:rPr>
          <w:rFonts w:ascii="Calibri" w:hAnsi="Calibri" w:cs="DIN Pro Regular"/>
          <w:sz w:val="20"/>
        </w:rPr>
      </w:pPr>
    </w:p>
    <w:p w14:paraId="4B8B02E9" w14:textId="77777777" w:rsidR="007006CA" w:rsidRPr="00B31AAA" w:rsidRDefault="007006CA" w:rsidP="00290E6D">
      <w:pPr>
        <w:pStyle w:val="Texto"/>
        <w:spacing w:after="0" w:line="240" w:lineRule="exact"/>
        <w:ind w:left="2160" w:hanging="540"/>
        <w:rPr>
          <w:rFonts w:ascii="Calibri" w:hAnsi="Calibri" w:cs="DIN Pro Regular"/>
          <w:sz w:val="20"/>
        </w:rPr>
      </w:pPr>
    </w:p>
    <w:p w14:paraId="2EFB951D"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p w14:paraId="049445AB"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Pr>
          <w:rFonts w:ascii="Calibri" w:hAnsi="Calibri" w:cs="DIN Pro Regular"/>
          <w:sz w:val="20"/>
        </w:rPr>
        <w:t xml:space="preserve"> Aprobado</w:t>
      </w:r>
      <w:r>
        <w:rPr>
          <w:rFonts w:ascii="Calibri" w:hAnsi="Calibri" w:cs="DIN Pro Regular"/>
          <w:sz w:val="20"/>
        </w:rPr>
        <w:tab/>
        <w:t xml:space="preserve">            $357,500</w:t>
      </w:r>
    </w:p>
    <w:p w14:paraId="47415337" w14:textId="29B111BF"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Pr>
          <w:rFonts w:ascii="Calibri" w:hAnsi="Calibri" w:cs="DIN Pro Regular"/>
          <w:sz w:val="20"/>
        </w:rPr>
        <w:t xml:space="preserve"> Egre</w:t>
      </w:r>
      <w:r w:rsidR="00951130">
        <w:rPr>
          <w:rFonts w:ascii="Calibri" w:hAnsi="Calibri" w:cs="DIN Pro Regular"/>
          <w:sz w:val="20"/>
        </w:rPr>
        <w:t>sos por ejercer         $211,507</w:t>
      </w:r>
    </w:p>
    <w:p w14:paraId="30223142" w14:textId="77777777"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Pr>
          <w:rFonts w:ascii="Calibri" w:hAnsi="Calibri" w:cs="DIN Pro Regular"/>
          <w:sz w:val="20"/>
        </w:rPr>
        <w:t xml:space="preserve"> Modificado                           0</w:t>
      </w:r>
    </w:p>
    <w:p w14:paraId="2AC8875F" w14:textId="1B17BB55"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Pr>
          <w:rFonts w:ascii="Calibri" w:hAnsi="Calibri" w:cs="DIN Pro Regular"/>
          <w:sz w:val="20"/>
        </w:rPr>
        <w:t xml:space="preserve"> Comp</w:t>
      </w:r>
      <w:r w:rsidR="00951130">
        <w:rPr>
          <w:rFonts w:ascii="Calibri" w:hAnsi="Calibri" w:cs="DIN Pro Regular"/>
          <w:sz w:val="20"/>
        </w:rPr>
        <w:t>rometido                $145,993</w:t>
      </w:r>
    </w:p>
    <w:p w14:paraId="69FE0B8B" w14:textId="595EF495"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Pr>
          <w:rFonts w:ascii="Calibri" w:hAnsi="Calibri" w:cs="DIN Pro Regular"/>
          <w:sz w:val="20"/>
        </w:rPr>
        <w:t xml:space="preserve"> Devengad</w:t>
      </w:r>
      <w:r w:rsidR="00951130">
        <w:rPr>
          <w:rFonts w:ascii="Calibri" w:hAnsi="Calibri" w:cs="DIN Pro Regular"/>
          <w:sz w:val="20"/>
        </w:rPr>
        <w:t>o                       $145,993</w:t>
      </w:r>
    </w:p>
    <w:p w14:paraId="520DD100" w14:textId="530F851D"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Pr>
          <w:rFonts w:ascii="Calibri" w:hAnsi="Calibri" w:cs="DIN Pro Regular"/>
          <w:sz w:val="20"/>
        </w:rPr>
        <w:t xml:space="preserve"> Ejercido     </w:t>
      </w:r>
      <w:r w:rsidR="00951130">
        <w:rPr>
          <w:rFonts w:ascii="Calibri" w:hAnsi="Calibri" w:cs="DIN Pro Regular"/>
          <w:sz w:val="20"/>
        </w:rPr>
        <w:t xml:space="preserve">                        $145,993</w:t>
      </w:r>
    </w:p>
    <w:p w14:paraId="7717D05A" w14:textId="1D289A38" w:rsidR="00351ED0" w:rsidRPr="008A011E" w:rsidRDefault="00351ED0" w:rsidP="00351ED0">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Pr>
          <w:rFonts w:ascii="Calibri" w:hAnsi="Calibri" w:cs="DIN Pro Regular"/>
          <w:sz w:val="20"/>
        </w:rPr>
        <w:t xml:space="preserve"> Pagado      </w:t>
      </w:r>
      <w:r w:rsidR="00951130">
        <w:rPr>
          <w:rFonts w:ascii="Calibri" w:hAnsi="Calibri" w:cs="DIN Pro Regular"/>
          <w:sz w:val="20"/>
        </w:rPr>
        <w:t xml:space="preserve">                        $145,993</w:t>
      </w:r>
    </w:p>
    <w:p w14:paraId="67A1075A" w14:textId="77777777" w:rsidR="00B31AAA" w:rsidRDefault="00B31AAA" w:rsidP="00290E6D">
      <w:pPr>
        <w:pStyle w:val="Texto"/>
        <w:spacing w:after="0" w:line="240" w:lineRule="exact"/>
        <w:ind w:left="2160" w:hanging="540"/>
        <w:rPr>
          <w:rFonts w:ascii="Calibri" w:hAnsi="Calibri" w:cs="DIN Pro Regular"/>
          <w:sz w:val="20"/>
        </w:rPr>
      </w:pPr>
    </w:p>
    <w:p w14:paraId="27A3EEE0" w14:textId="77777777" w:rsidR="00D96C81" w:rsidRDefault="00D96C81" w:rsidP="000D5EFE">
      <w:pPr>
        <w:pStyle w:val="Texto"/>
        <w:spacing w:after="0" w:line="240" w:lineRule="exact"/>
        <w:ind w:firstLine="0"/>
        <w:rPr>
          <w:rFonts w:ascii="Calibri" w:hAnsi="Calibri" w:cs="DIN Pro Regular"/>
          <w:sz w:val="20"/>
        </w:rPr>
      </w:pPr>
    </w:p>
    <w:p w14:paraId="570FBF6C" w14:textId="77777777" w:rsidR="00D96C81" w:rsidRDefault="00D96C81" w:rsidP="000D5EFE">
      <w:pPr>
        <w:pStyle w:val="Texto"/>
        <w:spacing w:after="0" w:line="240" w:lineRule="exact"/>
        <w:ind w:firstLine="0"/>
        <w:rPr>
          <w:rFonts w:ascii="Calibri" w:hAnsi="Calibri" w:cs="DIN Pro Regular"/>
          <w:sz w:val="20"/>
        </w:rPr>
      </w:pPr>
    </w:p>
    <w:p w14:paraId="122F66FB" w14:textId="77777777" w:rsidR="00D96C81" w:rsidRDefault="00D96C81" w:rsidP="000D5EFE">
      <w:pPr>
        <w:pStyle w:val="Texto"/>
        <w:spacing w:after="0" w:line="240" w:lineRule="exact"/>
        <w:ind w:firstLine="0"/>
        <w:rPr>
          <w:rFonts w:ascii="Calibri" w:hAnsi="Calibri" w:cs="DIN Pro Regular"/>
          <w:sz w:val="20"/>
        </w:rPr>
      </w:pPr>
    </w:p>
    <w:p w14:paraId="3F8E6F5E" w14:textId="77777777" w:rsidR="00D96C81" w:rsidRDefault="00D96C81" w:rsidP="000D5EFE">
      <w:pPr>
        <w:pStyle w:val="Texto"/>
        <w:spacing w:after="0" w:line="240" w:lineRule="exact"/>
        <w:ind w:firstLine="0"/>
        <w:rPr>
          <w:rFonts w:ascii="Calibri" w:hAnsi="Calibri" w:cs="DIN Pro Regular"/>
          <w:sz w:val="20"/>
        </w:rPr>
      </w:pPr>
    </w:p>
    <w:p w14:paraId="56534E3A" w14:textId="77777777" w:rsidR="00D96C81" w:rsidRDefault="00D96C81" w:rsidP="000D5EFE">
      <w:pPr>
        <w:pStyle w:val="Texto"/>
        <w:spacing w:after="0" w:line="240" w:lineRule="exact"/>
        <w:ind w:firstLine="0"/>
        <w:rPr>
          <w:rFonts w:ascii="Calibri" w:hAnsi="Calibri" w:cs="DIN Pro Regular"/>
          <w:sz w:val="20"/>
        </w:rPr>
      </w:pPr>
    </w:p>
    <w:p w14:paraId="54ECE22F"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1EADFA1F" w14:textId="77777777" w:rsidR="000D5EFE" w:rsidRPr="00B31AAA" w:rsidRDefault="000D5EFE" w:rsidP="00540418">
      <w:pPr>
        <w:pStyle w:val="Texto"/>
        <w:spacing w:after="0" w:line="240" w:lineRule="exact"/>
        <w:rPr>
          <w:rFonts w:ascii="Calibri" w:hAnsi="Calibri" w:cs="DIN Pro Regular"/>
          <w:sz w:val="20"/>
        </w:rPr>
      </w:pPr>
    </w:p>
    <w:p w14:paraId="136130F6" w14:textId="77777777" w:rsidR="000D5EFE" w:rsidRPr="00B31AAA" w:rsidRDefault="000D5EFE" w:rsidP="00540418">
      <w:pPr>
        <w:pStyle w:val="Texto"/>
        <w:spacing w:after="0" w:line="240" w:lineRule="exact"/>
        <w:rPr>
          <w:rFonts w:ascii="Calibri" w:hAnsi="Calibri" w:cs="DIN Pro Regular"/>
          <w:sz w:val="20"/>
        </w:rPr>
      </w:pPr>
    </w:p>
    <w:p w14:paraId="129FFB9A" w14:textId="77777777" w:rsidR="000D5EFE" w:rsidRPr="00B31AAA" w:rsidRDefault="000D5EFE" w:rsidP="00540418">
      <w:pPr>
        <w:pStyle w:val="Texto"/>
        <w:spacing w:after="0" w:line="240" w:lineRule="exact"/>
        <w:rPr>
          <w:rFonts w:ascii="Calibri" w:hAnsi="Calibri" w:cs="DIN Pro Regular"/>
          <w:sz w:val="20"/>
        </w:rPr>
      </w:pPr>
    </w:p>
    <w:p w14:paraId="1E83F932" w14:textId="77777777" w:rsidR="000D5EFE" w:rsidRPr="00B31AAA" w:rsidRDefault="000D5EFE" w:rsidP="00540418">
      <w:pPr>
        <w:pStyle w:val="Texto"/>
        <w:spacing w:after="0" w:line="240" w:lineRule="exact"/>
        <w:rPr>
          <w:rFonts w:ascii="Calibri" w:hAnsi="Calibri" w:cs="DIN Pro Regular"/>
          <w:sz w:val="20"/>
        </w:rPr>
      </w:pPr>
    </w:p>
    <w:p w14:paraId="47FBBA1F" w14:textId="77777777" w:rsidR="000D5EFE" w:rsidRPr="00B31AAA" w:rsidRDefault="000D5EFE" w:rsidP="00540418">
      <w:pPr>
        <w:pStyle w:val="Texto"/>
        <w:spacing w:after="0" w:line="240" w:lineRule="exact"/>
        <w:rPr>
          <w:rFonts w:ascii="Calibri" w:hAnsi="Calibri" w:cs="DIN Pro Regular"/>
          <w:sz w:val="20"/>
        </w:rPr>
      </w:pPr>
    </w:p>
    <w:p w14:paraId="1F2011A1"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9C4C" w14:textId="77777777" w:rsidR="00287EFD" w:rsidRDefault="00287EFD" w:rsidP="00EA5418">
      <w:pPr>
        <w:spacing w:after="0" w:line="240" w:lineRule="auto"/>
      </w:pPr>
      <w:r>
        <w:separator/>
      </w:r>
    </w:p>
  </w:endnote>
  <w:endnote w:type="continuationSeparator" w:id="0">
    <w:p w14:paraId="595445D4" w14:textId="77777777" w:rsidR="00287EFD" w:rsidRDefault="00287EF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A00002BF" w:usb1="4000207B" w:usb2="00000008" w:usb3="00000000" w:csb0="0000009F" w:csb1="00000000"/>
  </w:font>
  <w:font w:name="Encode Sans">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C16F" w14:textId="77777777" w:rsidR="0066023E" w:rsidRPr="00241D8F" w:rsidRDefault="0066023E" w:rsidP="0013011C">
    <w:pPr>
      <w:pStyle w:val="Piedepgina"/>
      <w:jc w:val="center"/>
      <w:rPr>
        <w:rFonts w:ascii="Arial" w:hAnsi="Arial" w:cs="Arial"/>
      </w:rPr>
    </w:pPr>
    <w:r>
      <w:rPr>
        <w:rFonts w:ascii="HelveticaNeueLT Std Lt" w:hAnsi="HelveticaNeueLT Std Lt" w:cs="Arial"/>
        <w:b/>
        <w:noProof/>
        <w:lang w:val="es-ES" w:eastAsia="es-ES"/>
      </w:rPr>
      <mc:AlternateContent>
        <mc:Choice Requires="wps">
          <w:drawing>
            <wp:anchor distT="0" distB="0" distL="114300" distR="114300" simplePos="0" relativeHeight="251670016" behindDoc="0" locked="0" layoutInCell="1" allowOverlap="1" wp14:anchorId="02E43429" wp14:editId="07B1AC7D">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52D82"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7F447545" w14:textId="77777777" w:rsidR="0066023E" w:rsidRDefault="006602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AF4D" w14:textId="32DCF577" w:rsidR="0066023E" w:rsidRPr="007818C6" w:rsidRDefault="0066023E" w:rsidP="008E3652">
    <w:pPr>
      <w:pStyle w:val="Piedepgina"/>
      <w:jc w:val="center"/>
      <w:rPr>
        <w:rFonts w:ascii="Helvetica" w:hAnsi="Helvetica" w:cs="Arial"/>
      </w:rPr>
    </w:pPr>
    <w:r>
      <w:rPr>
        <w:rFonts w:ascii="HelveticaNeueLT Std Lt" w:hAnsi="HelveticaNeueLT Std Lt" w:cs="Arial"/>
        <w:b/>
        <w:noProof/>
        <w:lang w:val="es-ES" w:eastAsia="es-ES"/>
      </w:rPr>
      <mc:AlternateContent>
        <mc:Choice Requires="wps">
          <w:drawing>
            <wp:anchor distT="0" distB="0" distL="114300" distR="114300" simplePos="0" relativeHeight="251667968" behindDoc="0" locked="0" layoutInCell="1" allowOverlap="1" wp14:anchorId="4632F59A" wp14:editId="2C04FCA3">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C7EBE"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D27144" w:rsidRPr="00D27144">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2491" w14:textId="77777777" w:rsidR="00287EFD" w:rsidRDefault="00287EFD" w:rsidP="00EA5418">
      <w:pPr>
        <w:spacing w:after="0" w:line="240" w:lineRule="auto"/>
      </w:pPr>
      <w:r>
        <w:separator/>
      </w:r>
    </w:p>
  </w:footnote>
  <w:footnote w:type="continuationSeparator" w:id="0">
    <w:p w14:paraId="4C1FF991" w14:textId="77777777" w:rsidR="00287EFD" w:rsidRDefault="00287EF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1AA6" w14:textId="77777777" w:rsidR="0066023E" w:rsidRDefault="0066023E" w:rsidP="00C7243C">
    <w:pPr>
      <w:pStyle w:val="Encabezado"/>
      <w:tabs>
        <w:tab w:val="clear" w:pos="4419"/>
        <w:tab w:val="clear" w:pos="8838"/>
        <w:tab w:val="center" w:pos="4680"/>
      </w:tabs>
    </w:pPr>
    <w:r>
      <w:rPr>
        <w:noProof/>
        <w:lang w:val="es-ES" w:eastAsia="es-ES"/>
      </w:rPr>
      <mc:AlternateContent>
        <mc:Choice Requires="wpg">
          <w:drawing>
            <wp:anchor distT="0" distB="0" distL="114300" distR="114300" simplePos="0" relativeHeight="251654656" behindDoc="0" locked="0" layoutInCell="1" allowOverlap="1" wp14:anchorId="6301A026" wp14:editId="5069B59C">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CD2C1" w14:textId="77777777" w:rsidR="0066023E" w:rsidRPr="008A011E" w:rsidRDefault="0066023E" w:rsidP="00040466">
                            <w:pPr>
                              <w:spacing w:after="120"/>
                              <w:jc w:val="right"/>
                              <w:rPr>
                                <w:rFonts w:cs="Arial"/>
                                <w:color w:val="808080"/>
                                <w:sz w:val="32"/>
                                <w:szCs w:val="32"/>
                              </w:rPr>
                            </w:pPr>
                            <w:r w:rsidRPr="008A011E">
                              <w:rPr>
                                <w:rFonts w:cs="Arial"/>
                                <w:color w:val="808080"/>
                                <w:sz w:val="32"/>
                                <w:szCs w:val="32"/>
                              </w:rPr>
                              <w:t>CUENTA PÚBLICA</w:t>
                            </w:r>
                          </w:p>
                          <w:p w14:paraId="420E1246" w14:textId="77777777" w:rsidR="0066023E" w:rsidRPr="00DF6363" w:rsidRDefault="0066023E"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90A11" w14:textId="77777777" w:rsidR="0066023E" w:rsidRDefault="0066023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1943E1A7" w14:textId="77777777" w:rsidR="0066023E" w:rsidRPr="008A011E" w:rsidRDefault="0066023E" w:rsidP="00040466">
                            <w:pPr>
                              <w:jc w:val="both"/>
                              <w:rPr>
                                <w:rFonts w:cs="Arial"/>
                                <w:color w:val="808080"/>
                                <w:sz w:val="42"/>
                                <w:szCs w:val="42"/>
                              </w:rPr>
                            </w:pPr>
                          </w:p>
                          <w:p w14:paraId="5C349557" w14:textId="77777777" w:rsidR="0066023E" w:rsidRDefault="0066023E" w:rsidP="00040466">
                            <w:pPr>
                              <w:jc w:val="both"/>
                              <w:rPr>
                                <w:rFonts w:ascii="Helvetica" w:hAnsi="Helvetica" w:cs="Arial"/>
                                <w:color w:val="808080"/>
                                <w:sz w:val="42"/>
                                <w:szCs w:val="42"/>
                              </w:rPr>
                            </w:pPr>
                          </w:p>
                          <w:p w14:paraId="685203FE" w14:textId="77777777" w:rsidR="0066023E" w:rsidRDefault="0066023E" w:rsidP="00040466">
                            <w:pPr>
                              <w:jc w:val="both"/>
                              <w:rPr>
                                <w:rFonts w:ascii="Helvetica" w:hAnsi="Helvetica" w:cs="Arial"/>
                                <w:color w:val="808080"/>
                                <w:sz w:val="42"/>
                                <w:szCs w:val="42"/>
                              </w:rPr>
                            </w:pPr>
                          </w:p>
                          <w:p w14:paraId="2D701BDD" w14:textId="77777777" w:rsidR="0066023E" w:rsidRPr="00DC53C5" w:rsidRDefault="0066023E" w:rsidP="00040466">
                            <w:pPr>
                              <w:jc w:val="both"/>
                              <w:rPr>
                                <w:rFonts w:ascii="Arial" w:hAnsi="Arial" w:cs="Arial"/>
                                <w:color w:val="808080"/>
                                <w:sz w:val="42"/>
                                <w:szCs w:val="42"/>
                              </w:rPr>
                            </w:pPr>
                          </w:p>
                          <w:p w14:paraId="40E9B90A" w14:textId="77777777" w:rsidR="0066023E" w:rsidRPr="00DC53C5" w:rsidRDefault="0066023E"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1A02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65CD2C1" w14:textId="77777777" w:rsidR="0066023E" w:rsidRPr="008A011E" w:rsidRDefault="0066023E" w:rsidP="00040466">
                      <w:pPr>
                        <w:spacing w:after="120"/>
                        <w:jc w:val="right"/>
                        <w:rPr>
                          <w:rFonts w:cs="Arial"/>
                          <w:color w:val="808080"/>
                          <w:sz w:val="32"/>
                          <w:szCs w:val="32"/>
                        </w:rPr>
                      </w:pPr>
                      <w:r w:rsidRPr="008A011E">
                        <w:rPr>
                          <w:rFonts w:cs="Arial"/>
                          <w:color w:val="808080"/>
                          <w:sz w:val="32"/>
                          <w:szCs w:val="32"/>
                        </w:rPr>
                        <w:t>CUENTA PÚBLICA</w:t>
                      </w:r>
                    </w:p>
                    <w:p w14:paraId="420E1246" w14:textId="77777777" w:rsidR="0066023E" w:rsidRPr="00DF6363" w:rsidRDefault="0066023E"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A390A11" w14:textId="77777777" w:rsidR="0066023E" w:rsidRDefault="0066023E"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1943E1A7" w14:textId="77777777" w:rsidR="0066023E" w:rsidRPr="008A011E" w:rsidRDefault="0066023E" w:rsidP="00040466">
                      <w:pPr>
                        <w:jc w:val="both"/>
                        <w:rPr>
                          <w:rFonts w:cs="Arial"/>
                          <w:color w:val="808080"/>
                          <w:sz w:val="42"/>
                          <w:szCs w:val="42"/>
                        </w:rPr>
                      </w:pPr>
                    </w:p>
                    <w:p w14:paraId="5C349557" w14:textId="77777777" w:rsidR="0066023E" w:rsidRDefault="0066023E" w:rsidP="00040466">
                      <w:pPr>
                        <w:jc w:val="both"/>
                        <w:rPr>
                          <w:rFonts w:ascii="Helvetica" w:hAnsi="Helvetica" w:cs="Arial"/>
                          <w:color w:val="808080"/>
                          <w:sz w:val="42"/>
                          <w:szCs w:val="42"/>
                        </w:rPr>
                      </w:pPr>
                    </w:p>
                    <w:p w14:paraId="685203FE" w14:textId="77777777" w:rsidR="0066023E" w:rsidRDefault="0066023E" w:rsidP="00040466">
                      <w:pPr>
                        <w:jc w:val="both"/>
                        <w:rPr>
                          <w:rFonts w:ascii="Helvetica" w:hAnsi="Helvetica" w:cs="Arial"/>
                          <w:color w:val="808080"/>
                          <w:sz w:val="42"/>
                          <w:szCs w:val="42"/>
                        </w:rPr>
                      </w:pPr>
                    </w:p>
                    <w:p w14:paraId="2D701BDD" w14:textId="77777777" w:rsidR="0066023E" w:rsidRPr="00DC53C5" w:rsidRDefault="0066023E" w:rsidP="00040466">
                      <w:pPr>
                        <w:jc w:val="both"/>
                        <w:rPr>
                          <w:rFonts w:ascii="Arial" w:hAnsi="Arial" w:cs="Arial"/>
                          <w:color w:val="808080"/>
                          <w:sz w:val="42"/>
                          <w:szCs w:val="42"/>
                        </w:rPr>
                      </w:pPr>
                    </w:p>
                    <w:p w14:paraId="40E9B90A" w14:textId="77777777" w:rsidR="0066023E" w:rsidRPr="00DC53C5" w:rsidRDefault="0066023E"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val="es-ES" w:eastAsia="es-ES"/>
      </w:rPr>
      <mc:AlternateContent>
        <mc:Choice Requires="wps">
          <w:drawing>
            <wp:anchor distT="0" distB="0" distL="114300" distR="114300" simplePos="0" relativeHeight="251665920" behindDoc="0" locked="0" layoutInCell="1" allowOverlap="1" wp14:anchorId="0268F96B" wp14:editId="103525E3">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9EBD2"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996D" w14:textId="77777777" w:rsidR="0066023E" w:rsidRDefault="0066023E" w:rsidP="00961E75">
    <w:pPr>
      <w:pStyle w:val="Encabezado"/>
      <w:tabs>
        <w:tab w:val="clear" w:pos="8838"/>
        <w:tab w:val="left" w:pos="7965"/>
      </w:tabs>
      <w:rPr>
        <w:rFonts w:ascii="Arial" w:hAnsi="Arial" w:cs="Arial"/>
      </w:rPr>
    </w:pPr>
    <w:r>
      <w:rPr>
        <w:noProof/>
        <w:lang w:val="es-ES" w:eastAsia="es-ES"/>
      </w:rPr>
      <w:drawing>
        <wp:anchor distT="0" distB="0" distL="114300" distR="114300" simplePos="0" relativeHeight="251661824" behindDoc="0" locked="0" layoutInCell="1" allowOverlap="1" wp14:anchorId="61FB28CB" wp14:editId="7B58CE7B">
          <wp:simplePos x="0" y="0"/>
          <wp:positionH relativeFrom="column">
            <wp:posOffset>4661789</wp:posOffset>
          </wp:positionH>
          <wp:positionV relativeFrom="paragraph">
            <wp:posOffset>112395</wp:posOffset>
          </wp:positionV>
          <wp:extent cx="1542148" cy="360000"/>
          <wp:effectExtent l="0" t="0" r="127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APA Mende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148" cy="3600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5680" behindDoc="0" locked="0" layoutInCell="1" allowOverlap="1" wp14:anchorId="18F6439D" wp14:editId="3A8CAC7C">
          <wp:simplePos x="0" y="0"/>
          <wp:positionH relativeFrom="column">
            <wp:posOffset>-400050</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1F89DE37" w14:textId="4FBDA0D5" w:rsidR="0066023E" w:rsidRDefault="0066023E"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val="es-ES" w:eastAsia="es-ES"/>
      </w:rPr>
      <mc:AlternateContent>
        <mc:Choice Requires="wps">
          <w:drawing>
            <wp:anchor distT="0" distB="0" distL="114300" distR="114300" simplePos="0" relativeHeight="251658752" behindDoc="0" locked="0" layoutInCell="1" allowOverlap="1" wp14:anchorId="41C1F1B4" wp14:editId="48626C5E">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232DB"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00951130">
      <w:rPr>
        <w:rFonts w:ascii="Encode Sans" w:hAnsi="Encode Sans" w:cs="Arial"/>
        <w:b/>
      </w:rPr>
      <w:t>Comisión Municipal de Agua Potable y</w:t>
    </w:r>
    <w:r w:rsidR="00056000">
      <w:rPr>
        <w:rFonts w:ascii="Encode Sans" w:hAnsi="Encode Sans" w:cs="Arial"/>
        <w:b/>
      </w:rPr>
      <w:t xml:space="preserve"> </w:t>
    </w:r>
  </w:p>
  <w:p w14:paraId="071EA1F3" w14:textId="3BCCAB72" w:rsidR="0066023E" w:rsidRPr="00010BEF" w:rsidRDefault="00951130" w:rsidP="002164CC">
    <w:pPr>
      <w:pStyle w:val="Encabezado"/>
      <w:tabs>
        <w:tab w:val="clear" w:pos="8838"/>
        <w:tab w:val="left" w:pos="7965"/>
      </w:tabs>
      <w:jc w:val="center"/>
      <w:rPr>
        <w:rFonts w:ascii="Encode Sans" w:hAnsi="Encode Sans" w:cs="Arial"/>
        <w:b/>
      </w:rPr>
    </w:pPr>
    <w:r>
      <w:rPr>
        <w:rFonts w:ascii="Encode Sans" w:hAnsi="Encode Sans" w:cs="Arial"/>
        <w:b/>
      </w:rPr>
      <w:t>Alcantarillado d</w:t>
    </w:r>
    <w:r w:rsidR="00056000">
      <w:rPr>
        <w:rFonts w:ascii="Encode Sans" w:hAnsi="Encode Sans" w:cs="Arial"/>
        <w:b/>
      </w:rPr>
      <w:t>e Méndez</w:t>
    </w:r>
    <w:r w:rsidR="00056000"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649153FF"/>
    <w:multiLevelType w:val="hybridMultilevel"/>
    <w:tmpl w:val="844237DE"/>
    <w:lvl w:ilvl="0" w:tplc="2A708FDC">
      <w:start w:val="1"/>
      <w:numFmt w:val="decimal"/>
      <w:lvlText w:val="%1."/>
      <w:lvlJc w:val="left"/>
      <w:pPr>
        <w:ind w:left="708" w:hanging="4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56000"/>
    <w:rsid w:val="00067F40"/>
    <w:rsid w:val="000803D2"/>
    <w:rsid w:val="00093161"/>
    <w:rsid w:val="000931E9"/>
    <w:rsid w:val="000A6616"/>
    <w:rsid w:val="000B3006"/>
    <w:rsid w:val="000C2849"/>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87EFD"/>
    <w:rsid w:val="00290E6D"/>
    <w:rsid w:val="002A70B3"/>
    <w:rsid w:val="002B3FDA"/>
    <w:rsid w:val="002C3BA7"/>
    <w:rsid w:val="002C576A"/>
    <w:rsid w:val="002C7C1D"/>
    <w:rsid w:val="002D015C"/>
    <w:rsid w:val="002D7A6B"/>
    <w:rsid w:val="002E2A04"/>
    <w:rsid w:val="00306E20"/>
    <w:rsid w:val="00351DD9"/>
    <w:rsid w:val="00351ED0"/>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E5C36"/>
    <w:rsid w:val="00600E8E"/>
    <w:rsid w:val="00626849"/>
    <w:rsid w:val="00654EC4"/>
    <w:rsid w:val="00655E50"/>
    <w:rsid w:val="0066023E"/>
    <w:rsid w:val="006627F1"/>
    <w:rsid w:val="00677336"/>
    <w:rsid w:val="00692CDF"/>
    <w:rsid w:val="006975DA"/>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582C"/>
    <w:rsid w:val="007A5B39"/>
    <w:rsid w:val="007B5517"/>
    <w:rsid w:val="007C77F3"/>
    <w:rsid w:val="007D6E9A"/>
    <w:rsid w:val="007E4A53"/>
    <w:rsid w:val="007F08FA"/>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6D58"/>
    <w:rsid w:val="00910AF6"/>
    <w:rsid w:val="00912A95"/>
    <w:rsid w:val="009426AC"/>
    <w:rsid w:val="00951130"/>
    <w:rsid w:val="00961E75"/>
    <w:rsid w:val="009915EB"/>
    <w:rsid w:val="00994738"/>
    <w:rsid w:val="009B3AE6"/>
    <w:rsid w:val="009B7FAD"/>
    <w:rsid w:val="009C5C3A"/>
    <w:rsid w:val="00A10572"/>
    <w:rsid w:val="00A35095"/>
    <w:rsid w:val="00A40022"/>
    <w:rsid w:val="00A65E01"/>
    <w:rsid w:val="00A74F12"/>
    <w:rsid w:val="00A752B2"/>
    <w:rsid w:val="00AA28D9"/>
    <w:rsid w:val="00AB19D0"/>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27144"/>
    <w:rsid w:val="00D846EF"/>
    <w:rsid w:val="00D85F71"/>
    <w:rsid w:val="00D9138F"/>
    <w:rsid w:val="00D96C81"/>
    <w:rsid w:val="00DC53C5"/>
    <w:rsid w:val="00DD2223"/>
    <w:rsid w:val="00DE0B18"/>
    <w:rsid w:val="00DF01DA"/>
    <w:rsid w:val="00DF166B"/>
    <w:rsid w:val="00DF6363"/>
    <w:rsid w:val="00E06B4E"/>
    <w:rsid w:val="00E07C35"/>
    <w:rsid w:val="00E32708"/>
    <w:rsid w:val="00E3534E"/>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442F9674"/>
  <w15:docId w15:val="{F6E0B6F5-9FB6-475E-BFB2-0D705AA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F3D0-672E-4839-A5FF-020E1C4E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Wen Soto</cp:lastModifiedBy>
  <cp:revision>57</cp:revision>
  <cp:lastPrinted>2023-01-06T19:59:00Z</cp:lastPrinted>
  <dcterms:created xsi:type="dcterms:W3CDTF">2021-01-09T00:40:00Z</dcterms:created>
  <dcterms:modified xsi:type="dcterms:W3CDTF">2024-02-27T16:32:00Z</dcterms:modified>
</cp:coreProperties>
</file>