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25CB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046C9C24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55AEB7D1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2ACEA33F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tbl>
      <w:tblPr>
        <w:tblpPr w:leftFromText="141" w:rightFromText="141" w:vertAnchor="text" w:horzAnchor="margin" w:tblpY="111"/>
        <w:tblW w:w="12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1091"/>
        <w:gridCol w:w="1842"/>
        <w:gridCol w:w="915"/>
        <w:gridCol w:w="1090"/>
        <w:gridCol w:w="1379"/>
        <w:gridCol w:w="1090"/>
        <w:gridCol w:w="1427"/>
        <w:gridCol w:w="1459"/>
      </w:tblGrid>
      <w:tr w:rsidR="00C35F2C" w:rsidRPr="00707EDC" w14:paraId="6FEACFD4" w14:textId="77777777" w:rsidTr="00C35F2C">
        <w:trPr>
          <w:trHeight w:val="57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545964F4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Nombre del Programa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0482BFE8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2708E3E6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1B1BC660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1395FFDC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7C854A20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Tipo-dimensión-frecuencia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2079981A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Realizado en el periodo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73CCD544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Avance respecto a la meta anual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141E77E9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Justificaciones</w:t>
            </w:r>
          </w:p>
        </w:tc>
      </w:tr>
      <w:tr w:rsidR="00C35F2C" w:rsidRPr="00707EDC" w14:paraId="77517462" w14:textId="77777777" w:rsidTr="00C35F2C">
        <w:trPr>
          <w:trHeight w:val="97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DBF9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Indicador Financiero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9EEC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Liquidez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97CE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Activo Circulante/Pasivo Circulante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8C08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Pesos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F2B6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Mayor de 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07DB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514C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A4C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0FB6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35F2C" w:rsidRPr="00707EDC" w14:paraId="4BF3DA6D" w14:textId="77777777" w:rsidTr="00C35F2C">
        <w:trPr>
          <w:trHeight w:val="97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C772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Indicador Financiero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0CFE" w14:textId="77777777" w:rsidR="00C35F2C" w:rsidRPr="00707EDC" w:rsidRDefault="00C35F2C" w:rsidP="00C35F2C">
            <w:pPr>
              <w:spacing w:after="0" w:line="240" w:lineRule="auto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Margen de Seguridad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6F66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(Act Circ.- Pasivo Circ. )/ Pasivo Circ.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7118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Pesos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AC23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Mayor de 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B5D2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23E9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8DC5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763C" w14:textId="77777777" w:rsidR="00C35F2C" w:rsidRPr="00707EDC" w:rsidRDefault="00C35F2C" w:rsidP="00C35F2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650F6089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19F758EA" w14:textId="77777777"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14:paraId="411AC720" w14:textId="77777777" w:rsidR="004C5C47" w:rsidRPr="00CA0775" w:rsidRDefault="004C5C47" w:rsidP="00D46585">
      <w:pPr>
        <w:jc w:val="both"/>
        <w:rPr>
          <w:rFonts w:cs="DIN Pro Regular"/>
        </w:rPr>
      </w:pPr>
    </w:p>
    <w:p w14:paraId="3B55E05B" w14:textId="77777777" w:rsidR="004C5C47" w:rsidRPr="00CA0775" w:rsidRDefault="004C5C47" w:rsidP="00D46585">
      <w:pPr>
        <w:jc w:val="both"/>
        <w:rPr>
          <w:rFonts w:cs="DIN Pro Regular"/>
        </w:rPr>
      </w:pPr>
    </w:p>
    <w:p w14:paraId="688CD2B5" w14:textId="77777777"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BAD94" w14:textId="77777777" w:rsidR="00D0235C" w:rsidRDefault="00D0235C" w:rsidP="00EA5418">
      <w:pPr>
        <w:spacing w:after="0" w:line="240" w:lineRule="auto"/>
      </w:pPr>
      <w:r>
        <w:separator/>
      </w:r>
    </w:p>
  </w:endnote>
  <w:endnote w:type="continuationSeparator" w:id="0">
    <w:p w14:paraId="111B4079" w14:textId="77777777" w:rsidR="00D0235C" w:rsidRDefault="00D023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928B2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3E065B" wp14:editId="0B1952E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4F9C4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690B322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6F0FC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w:drawing>
        <wp:inline distT="0" distB="0" distL="0" distR="0" wp14:anchorId="5ADB19EB" wp14:editId="227E2071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37D6AE" w14:textId="2934985D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C92F22" w:rsidRPr="00C92F22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90AE8" w14:textId="77777777" w:rsidR="00C92F22" w:rsidRDefault="00C92F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C2085" w14:textId="77777777" w:rsidR="00D0235C" w:rsidRDefault="00D0235C" w:rsidP="00EA5418">
      <w:pPr>
        <w:spacing w:after="0" w:line="240" w:lineRule="auto"/>
      </w:pPr>
      <w:r>
        <w:separator/>
      </w:r>
    </w:p>
  </w:footnote>
  <w:footnote w:type="continuationSeparator" w:id="0">
    <w:p w14:paraId="5DAF39C5" w14:textId="77777777" w:rsidR="00D0235C" w:rsidRDefault="00D023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C9A4" w14:textId="77777777" w:rsidR="0013011C" w:rsidRDefault="00284A01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8496FAD" wp14:editId="32D3C392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F613F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723291B0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07371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5829BD12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44741AA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496FAD" id="6 Grupo" o:spid="_x0000_s1026" style="position:absolute;margin-left:231pt;margin-top:-21.9pt;width:249.8pt;height:39.25pt;z-index:251656704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BAF613F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723291B0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E107371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5829BD12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44741AA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AC360F" wp14:editId="533EFF4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D39E2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0229" w14:textId="77777777" w:rsidR="00EB3E19" w:rsidRDefault="00442023" w:rsidP="0013011C">
    <w:pPr>
      <w:pStyle w:val="Encabezado"/>
      <w:jc w:val="center"/>
      <w:rPr>
        <w:rFonts w:ascii="Arial" w:hAnsi="Arial" w:cs="Arial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61FD55FD" wp14:editId="01029926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FA8FF" w14:textId="0245CADC" w:rsidR="00C35F2C" w:rsidRDefault="00C35F2C" w:rsidP="00442023">
    <w:pPr>
      <w:pStyle w:val="Encabezado"/>
      <w:jc w:val="center"/>
      <w:rPr>
        <w:rFonts w:ascii="Encode Sans" w:hAnsi="Encode Sans" w:cs="Arial"/>
      </w:rPr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D4870F7" wp14:editId="5BBA09DD">
          <wp:simplePos x="0" y="0"/>
          <wp:positionH relativeFrom="column">
            <wp:posOffset>6486525</wp:posOffset>
          </wp:positionH>
          <wp:positionV relativeFrom="paragraph">
            <wp:posOffset>27940</wp:posOffset>
          </wp:positionV>
          <wp:extent cx="1728000" cy="403037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APA Gueme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403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F22">
      <w:rPr>
        <w:rFonts w:ascii="Encode Sans" w:hAnsi="Encode Sans" w:cs="Arial"/>
      </w:rPr>
      <w:t>Comisión Municipal de Agua Potable y</w:t>
    </w:r>
  </w:p>
  <w:p w14:paraId="34833121" w14:textId="35A719CF" w:rsidR="00CF63D6" w:rsidRPr="00442023" w:rsidRDefault="00C92F22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 xml:space="preserve"> Alcantarillado d</w:t>
    </w:r>
    <w:bookmarkStart w:id="0" w:name="_GoBack"/>
    <w:bookmarkEnd w:id="0"/>
    <w:r w:rsidR="003E17A5">
      <w:rPr>
        <w:rFonts w:ascii="Encode Sans" w:hAnsi="Encode Sans" w:cs="Arial"/>
      </w:rPr>
      <w:t>e Méndez</w:t>
    </w:r>
  </w:p>
  <w:p w14:paraId="28008772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3758ECB1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w:drawing>
        <wp:inline distT="0" distB="0" distL="0" distR="0" wp14:anchorId="3E1C0F13" wp14:editId="557B321B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E7C79" w14:textId="77777777" w:rsidR="00C92F22" w:rsidRDefault="00C92F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17A5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35F2C"/>
    <w:rsid w:val="00C43DDF"/>
    <w:rsid w:val="00C50332"/>
    <w:rsid w:val="00C51F71"/>
    <w:rsid w:val="00C92F22"/>
    <w:rsid w:val="00CA0775"/>
    <w:rsid w:val="00CB17A2"/>
    <w:rsid w:val="00CF2FEA"/>
    <w:rsid w:val="00CF63D6"/>
    <w:rsid w:val="00D0235C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AE268"/>
  <w15:docId w15:val="{F317AF1B-4828-47BC-B35C-BF4FE9D5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153F-423D-4991-8197-58ECCCF3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Wen Soto</cp:lastModifiedBy>
  <cp:revision>22</cp:revision>
  <cp:lastPrinted>2022-12-20T20:35:00Z</cp:lastPrinted>
  <dcterms:created xsi:type="dcterms:W3CDTF">2021-01-09T00:44:00Z</dcterms:created>
  <dcterms:modified xsi:type="dcterms:W3CDTF">2024-02-27T16:30:00Z</dcterms:modified>
</cp:coreProperties>
</file>