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1230" w14:textId="77777777" w:rsidR="00375C20" w:rsidRPr="000931E9" w:rsidRDefault="00375C20" w:rsidP="000931E9">
      <w:pPr>
        <w:pStyle w:val="Texto"/>
      </w:pPr>
    </w:p>
    <w:p w14:paraId="799B97D2" w14:textId="77777777"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611C5211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16853CE8" w14:textId="77777777"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107E44E2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57255935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4EDC2E8E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6FF2D16E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51594C9D" w14:textId="0C5B85D1" w:rsidR="00B31AAA" w:rsidRDefault="009B3AE6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p w14:paraId="4984F298" w14:textId="1908CB52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  <w:r w:rsidRPr="002F20F7">
        <w:rPr>
          <w:rFonts w:ascii="Calibri" w:hAnsi="Calibri" w:cs="DIN Pro Regular"/>
          <w:sz w:val="20"/>
        </w:rPr>
        <w:t>La Comisión Municipal de Agua Potable y Alcantarillado de Cruillas, Tamaulipas, es un Organismo Público   Descentralizado, con personalidad jurídica y patrimonio propio, creada mediante Decreto Gubernamental publicado en el Periódico Oficial del Estado N° 149 anexo el 12 de diciembre de 2001.</w:t>
      </w:r>
    </w:p>
    <w:p w14:paraId="016CCB2E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69DD135A" w14:textId="1AACA741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14:paraId="0D734863" w14:textId="45BB54A4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Al inicio del ejercicio fiscal, se elabora un presupuesto de ingresos que permite tener un panorama del comportamiento del Organismo; además de marcar la pauta de la probable y aproximada cifra que se espera recaudar para solventar los gastos del Organismo, mediante el presupuesto de egresos; ambos documentos son presentados en sesión del Consejo de Administración, encargados de revisar, valorar y aprobar.</w:t>
      </w:r>
    </w:p>
    <w:p w14:paraId="3EAAE282" w14:textId="77777777" w:rsidR="009F503D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613C483F" w14:textId="53B7F34B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Organización y Objeto Social</w:t>
      </w:r>
    </w:p>
    <w:p w14:paraId="6692EDC1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Los Órganos de Gobierno de la Comisión Municipal de Agua Potable y Alcantarillado de Cruillas, son:</w:t>
      </w:r>
    </w:p>
    <w:p w14:paraId="2DB7EB51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I.- Consejo de Administración.</w:t>
      </w:r>
    </w:p>
    <w:p w14:paraId="03CB52FA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II.- Gerente General.</w:t>
      </w:r>
    </w:p>
    <w:p w14:paraId="2A3AFE6A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III.- Comisario.</w:t>
      </w:r>
    </w:p>
    <w:p w14:paraId="343EE7D3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Dentro de su estructura cuenta con 1 Gerente General y 3 integrantes.</w:t>
      </w:r>
    </w:p>
    <w:p w14:paraId="6C504FC8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La Comisión Municipal de Agua Potable y Alcantarillado de Cruillas, Tamaulipas, tiene carácter de Organismo Público Descentralizado y funciones de autoridad administrativa.</w:t>
      </w:r>
    </w:p>
    <w:p w14:paraId="6011AC75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Su objetivo principal es la prestación del servicio público de agua potable y alcantarillado en el municipio.</w:t>
      </w:r>
    </w:p>
    <w:p w14:paraId="2111E7A3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Realiza sus funciones en observancia de los principios de generalidad, continuidad, regularidad, calidad, eficiencia y cobertura, promoviendo las acciones necesarias para lograr su autosuficiencia técnica y financiera.</w:t>
      </w:r>
    </w:p>
    <w:p w14:paraId="46F0179B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 xml:space="preserve">Los recursos que perciba mediante el ejercicio de sus facultades serán aplicados únicamente para el cumplimiento de sus fines. </w:t>
      </w:r>
    </w:p>
    <w:p w14:paraId="03C6626A" w14:textId="77777777" w:rsidR="002F20F7" w:rsidRPr="002F20F7" w:rsidRDefault="002F20F7" w:rsidP="002F20F7">
      <w:pPr>
        <w:pStyle w:val="Texto"/>
        <w:spacing w:after="0" w:line="240" w:lineRule="exact"/>
        <w:ind w:left="708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El Régimen jurídico que rige su funcionamiento es:</w:t>
      </w:r>
    </w:p>
    <w:p w14:paraId="6CBA2C76" w14:textId="15A0356E" w:rsidR="002F20F7" w:rsidRPr="002F20F7" w:rsidRDefault="002F20F7" w:rsidP="002F20F7">
      <w:pPr>
        <w:pStyle w:val="Texto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Constitución Política de los Estados Unidos Mexicanos.</w:t>
      </w:r>
    </w:p>
    <w:p w14:paraId="3D488E4C" w14:textId="181A9929" w:rsidR="002F20F7" w:rsidRPr="002F20F7" w:rsidRDefault="002F20F7" w:rsidP="002F20F7">
      <w:pPr>
        <w:pStyle w:val="Texto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Constitución Política del Estado de Tamaulipas.</w:t>
      </w:r>
    </w:p>
    <w:p w14:paraId="2387D4F3" w14:textId="77E298C1" w:rsidR="002F20F7" w:rsidRPr="002F20F7" w:rsidRDefault="002F20F7" w:rsidP="002F20F7">
      <w:pPr>
        <w:pStyle w:val="Texto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Ley de Aguas para el Estado de Tamaulipas.</w:t>
      </w:r>
    </w:p>
    <w:p w14:paraId="2D0131DD" w14:textId="022D0F41" w:rsidR="002F20F7" w:rsidRPr="002F20F7" w:rsidRDefault="002F20F7" w:rsidP="002F20F7">
      <w:pPr>
        <w:pStyle w:val="Texto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Ley General de Contabilidad Gubernamental y los lineamientos de la CONAC.</w:t>
      </w:r>
    </w:p>
    <w:p w14:paraId="72A23429" w14:textId="3CC06CBE" w:rsidR="002F20F7" w:rsidRDefault="002F20F7" w:rsidP="002F20F7">
      <w:pPr>
        <w:pStyle w:val="Texto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Ley de Fiscalización y Rendición de Cuentas para el Estado de Tamaulipas</w:t>
      </w:r>
    </w:p>
    <w:p w14:paraId="3D1894DB" w14:textId="77777777" w:rsidR="009F503D" w:rsidRPr="00B31AAA" w:rsidRDefault="009F503D" w:rsidP="009F503D">
      <w:pPr>
        <w:pStyle w:val="Texto"/>
        <w:spacing w:after="0" w:line="240" w:lineRule="exact"/>
        <w:ind w:left="1716" w:firstLine="0"/>
        <w:rPr>
          <w:rFonts w:ascii="Calibri" w:hAnsi="Calibri" w:cs="DIN Pro Regular"/>
          <w:sz w:val="20"/>
          <w:lang w:val="es-MX"/>
        </w:rPr>
      </w:pPr>
    </w:p>
    <w:p w14:paraId="60AC8FF2" w14:textId="7C54AFD1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14:paraId="0498FDFE" w14:textId="73137B9C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La información financiera está preparada en base a las Normas de Información Financiera, a la Ley de Contabilidad Gubernamental y los lineamientos y clasificaciones emitidos por el Consejo Nacional de Armonización contable.</w:t>
      </w:r>
    </w:p>
    <w:p w14:paraId="4D79F8A5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71B28CE" w14:textId="60600E2E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Políticas de Contabilidad Significativas</w:t>
      </w:r>
    </w:p>
    <w:p w14:paraId="1D36F4F5" w14:textId="5B44BE36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Su contabilidad la realiza mediante el sistema SAACG.NET, que cumple con lineamientos emitidos por el CONAC.</w:t>
      </w:r>
    </w:p>
    <w:p w14:paraId="77420983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7F94445" w14:textId="34DB4BE0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</w:p>
    <w:p w14:paraId="3E649CAC" w14:textId="3B73D602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El Organismo, no realiza operaciones en moneda extranjera.</w:t>
      </w:r>
    </w:p>
    <w:p w14:paraId="65E5E876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0BCF850" w14:textId="6234AFE1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lastRenderedPageBreak/>
        <w:t>Reporte Analítico del Activo</w:t>
      </w:r>
    </w:p>
    <w:p w14:paraId="7DEF58F5" w14:textId="4013D99F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2F20F7">
        <w:rPr>
          <w:rFonts w:ascii="Calibri" w:hAnsi="Calibri" w:cs="DIN Pro Regular"/>
          <w:sz w:val="20"/>
          <w:lang w:val="es-MX"/>
        </w:rPr>
        <w:t>Muestra los movimientos que hubo en el ejercicio en las cuentas de activo</w:t>
      </w:r>
    </w:p>
    <w:p w14:paraId="54909209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C8EE876" w14:textId="563107FE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Fideicomisos, Mandatos y Análogos</w:t>
      </w:r>
    </w:p>
    <w:p w14:paraId="49EE4DF2" w14:textId="493F44FA" w:rsidR="002F20F7" w:rsidRDefault="002F20F7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14:paraId="1B45FF44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178B0B7" w14:textId="5A073D3C" w:rsidR="00B31AAA" w:rsidRDefault="00B31AAA" w:rsidP="002F20F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Reporte de la Recaudación</w:t>
      </w:r>
    </w:p>
    <w:p w14:paraId="188FA706" w14:textId="675EA260" w:rsidR="002F20F7" w:rsidRDefault="008005C0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Las cifras que se presentan en el Reporte de Consumo son en base a la facturación.</w:t>
      </w:r>
    </w:p>
    <w:p w14:paraId="34883270" w14:textId="77777777" w:rsidR="009F503D" w:rsidRPr="00B31AAA" w:rsidRDefault="009F503D" w:rsidP="002F20F7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E2018A7" w14:textId="1E9B444C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</w:p>
    <w:p w14:paraId="333F4DDF" w14:textId="6803CC4D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No tiene contratos de deuda pública.</w:t>
      </w:r>
    </w:p>
    <w:p w14:paraId="74C1891A" w14:textId="77777777" w:rsidR="009F503D" w:rsidRPr="00B31AAA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05E6CAE" w14:textId="1921E129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Calificaciones otorgadas</w:t>
      </w:r>
    </w:p>
    <w:p w14:paraId="6A675482" w14:textId="3FB59033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No se cuenta con calificaciones otorgadas o certificaciones</w:t>
      </w:r>
    </w:p>
    <w:p w14:paraId="3369C1C8" w14:textId="77777777" w:rsidR="009F503D" w:rsidRPr="00B31AAA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17BFC0E" w14:textId="6F4A07C1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Proceso de Mejora</w:t>
      </w:r>
    </w:p>
    <w:p w14:paraId="6835B412" w14:textId="7B3BD38B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El presupuesto de ingresos y egresos son ejercidos con economía, transparencia y racionalidad</w:t>
      </w:r>
    </w:p>
    <w:p w14:paraId="412F7D0C" w14:textId="77777777" w:rsidR="009F503D" w:rsidRPr="00B31AAA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C81870E" w14:textId="42B2325F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por Segmentos</w:t>
      </w:r>
    </w:p>
    <w:p w14:paraId="40241123" w14:textId="55DD1172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1CF32552" w14:textId="77777777" w:rsidR="009F503D" w:rsidRPr="00B31AAA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0270C17" w14:textId="4FB4F5CB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Eventos Posteriores al Cierre</w:t>
      </w:r>
    </w:p>
    <w:p w14:paraId="0C526337" w14:textId="36EB8BA3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No se presentaron eventos posteriores al cierre.</w:t>
      </w:r>
    </w:p>
    <w:p w14:paraId="0558C5AF" w14:textId="77777777" w:rsidR="009F503D" w:rsidRPr="00B31AAA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15078654" w14:textId="156A35F0" w:rsidR="00B31AAA" w:rsidRDefault="00B31AAA" w:rsidP="008005C0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Partes Relacionadas</w:t>
      </w:r>
    </w:p>
    <w:p w14:paraId="0D1FBB89" w14:textId="39A47968" w:rsidR="008005C0" w:rsidRDefault="008005C0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005C0">
        <w:rPr>
          <w:rFonts w:ascii="Calibri" w:hAnsi="Calibri" w:cs="DIN Pro Regular"/>
          <w:sz w:val="20"/>
          <w:lang w:val="es-MX"/>
        </w:rPr>
        <w:t>Se encuentra el Consejo de Administración al que se le informan de los eventos significativos del organismo.</w:t>
      </w:r>
    </w:p>
    <w:p w14:paraId="75D25269" w14:textId="77777777" w:rsidR="009F503D" w:rsidRDefault="009F503D" w:rsidP="008005C0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CB9124A" w14:textId="4C10B169" w:rsidR="00600E8E" w:rsidRDefault="00600E8E" w:rsidP="009F503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14:paraId="30201BCC" w14:textId="77777777" w:rsidR="009F503D" w:rsidRPr="009F503D" w:rsidRDefault="009F503D" w:rsidP="009F503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9F503D">
        <w:rPr>
          <w:rFonts w:ascii="Calibri" w:hAnsi="Calibri" w:cs="DIN Pro Regular"/>
          <w:sz w:val="20"/>
          <w:lang w:val="es-MX"/>
        </w:rPr>
        <w:t>El objetivo primordial y presentación de los estados financieros y sus notas respectivas es la revelación de los aspectos económicos financieros que sirvieron para reflejar la situación del Organismo Operador de Agua.</w:t>
      </w:r>
    </w:p>
    <w:p w14:paraId="585B9284" w14:textId="5AD7243E" w:rsidR="009F503D" w:rsidRPr="00B31AAA" w:rsidRDefault="009F503D" w:rsidP="009F503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9F503D">
        <w:rPr>
          <w:rFonts w:ascii="Calibri" w:hAnsi="Calibri" w:cs="DIN Pro Regular"/>
          <w:sz w:val="20"/>
          <w:lang w:val="es-MX"/>
        </w:rPr>
        <w:t>Se recopila información necesaria para obtener la cifra de recaudación y erogación que servirán para la correcta administración de la Comisión Municipal de Agua Potable y Alcantarillado de Cruillas, Tamaulipas, en base a las facultades conferidas en sus respectivas leyes</w:t>
      </w:r>
    </w:p>
    <w:p w14:paraId="42FF8F8D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132F8ED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B847ABB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4654196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B91CF76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3D0D603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DAED307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36E2BE9C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3B7454F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8EAAAFD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DAE63BA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634E323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00EF205" w14:textId="55D2A260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0CAC2D0C" w14:textId="44DFCFC5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593285AB" w14:textId="24926CE2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2067D5AC" w14:textId="0B879255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6B056E10" w14:textId="7C534661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21BFF7D1" w14:textId="72CE52AF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704702E0" w14:textId="77777777" w:rsidR="002F46FE" w:rsidRDefault="002F46FE" w:rsidP="002F46FE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</w:p>
    <w:p w14:paraId="1271A050" w14:textId="77777777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2C1FE18C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5E1C9272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092B1069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4213C53" w14:textId="3C762669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402"/>
        <w:gridCol w:w="2231"/>
      </w:tblGrid>
      <w:tr w:rsidR="009F503D" w:rsidRPr="00107F85" w14:paraId="621E45FC" w14:textId="77777777" w:rsidTr="00AD64F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3BE9D5BC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4B952D5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24AB7E70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 / Recaudado</w:t>
            </w:r>
          </w:p>
        </w:tc>
      </w:tr>
      <w:tr w:rsidR="009F503D" w:rsidRPr="00107F85" w14:paraId="03F220CF" w14:textId="77777777" w:rsidTr="00AD64F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B056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9A46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Agua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50C4" w14:textId="77777777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151,108</w:t>
            </w:r>
          </w:p>
        </w:tc>
      </w:tr>
      <w:tr w:rsidR="009F503D" w:rsidRPr="00107F85" w14:paraId="1C019888" w14:textId="77777777" w:rsidTr="00AD64F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621D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E63A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Rezago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03ED" w14:textId="77777777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60,763</w:t>
            </w:r>
          </w:p>
        </w:tc>
      </w:tr>
      <w:tr w:rsidR="009F503D" w:rsidRPr="00107F85" w14:paraId="7C999363" w14:textId="77777777" w:rsidTr="00AD64F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4F95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C71D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Recargos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A863" w14:textId="77777777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9,230</w:t>
            </w:r>
          </w:p>
        </w:tc>
      </w:tr>
      <w:tr w:rsidR="009F503D" w:rsidRPr="00107F85" w14:paraId="40B08014" w14:textId="77777777" w:rsidTr="00AD64F0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82A5D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ECC0" w14:textId="718DA382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221,101</w:t>
            </w:r>
          </w:p>
        </w:tc>
      </w:tr>
    </w:tbl>
    <w:p w14:paraId="1BAC4BEF" w14:textId="77777777" w:rsidR="009F503D" w:rsidRPr="00B31AAA" w:rsidRDefault="009F503D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A140E20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E6EB087" w14:textId="155B6415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4171"/>
        <w:gridCol w:w="1861"/>
      </w:tblGrid>
      <w:tr w:rsidR="009F503D" w:rsidRPr="00107F85" w14:paraId="72EDB943" w14:textId="77777777" w:rsidTr="00AD64F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F7D14DE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C963E00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4AD54610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Devengado/ Pagado</w:t>
            </w:r>
          </w:p>
        </w:tc>
      </w:tr>
      <w:tr w:rsidR="009F503D" w:rsidRPr="00107F85" w14:paraId="37461520" w14:textId="77777777" w:rsidTr="00AD64F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3D4C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5111-1131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4D20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SUELDOS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72A" w14:textId="1AE0BCC6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214,900</w:t>
            </w:r>
          </w:p>
        </w:tc>
      </w:tr>
      <w:tr w:rsidR="009F503D" w:rsidRPr="00107F85" w14:paraId="136CC546" w14:textId="77777777" w:rsidTr="00AD64F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2F50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07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5113-1322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CDD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07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GRATIFICACIÓN DE FIN DE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EB17" w14:textId="5F104D83" w:rsidR="009F503D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6,000</w:t>
            </w:r>
          </w:p>
        </w:tc>
      </w:tr>
      <w:tr w:rsidR="009F503D" w:rsidRPr="00107F85" w14:paraId="6A1E4534" w14:textId="77777777" w:rsidTr="00AD64F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1E8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5121-2151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B2F3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1407" w14:textId="493CAC0B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</w:t>
            </w:r>
          </w:p>
        </w:tc>
      </w:tr>
      <w:tr w:rsidR="009F503D" w:rsidRPr="00107F85" w14:paraId="5B7BD502" w14:textId="77777777" w:rsidTr="00AD64F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D50D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5126-2611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228C" w14:textId="77777777" w:rsidR="009F503D" w:rsidRPr="00107F85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COMBUESTIBLES LUBRICANTRES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3200" w14:textId="2B5AE9A4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</w:t>
            </w:r>
            <w:r w:rsidR="00F94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9F503D" w:rsidRPr="00107F85" w14:paraId="337E7812" w14:textId="77777777" w:rsidTr="00AD64F0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A7919B" w14:textId="77777777" w:rsidR="009F503D" w:rsidRPr="00107F85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C605" w14:textId="016C9109" w:rsidR="009F503D" w:rsidRPr="00107F85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222,41</w:t>
            </w:r>
            <w:r w:rsidR="00F94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</w:tbl>
    <w:p w14:paraId="6E1B2B14" w14:textId="77777777" w:rsidR="009F503D" w:rsidRPr="00B31AAA" w:rsidRDefault="009F503D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4776E8C9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37CD3445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565B1F52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0CD67FB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631ABDD5" w14:textId="5E71A641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14:paraId="427A8D73" w14:textId="381845C9" w:rsidR="009F503D" w:rsidRPr="009F503D" w:rsidRDefault="009F503D" w:rsidP="009F503D">
      <w:pPr>
        <w:pStyle w:val="Texto"/>
        <w:spacing w:after="80" w:line="203" w:lineRule="exact"/>
        <w:ind w:firstLine="624"/>
        <w:rPr>
          <w:rFonts w:ascii="Calibri" w:hAnsi="Calibri" w:cs="DIN Pro Regular"/>
          <w:bCs/>
          <w:sz w:val="20"/>
          <w:lang w:val="es-MX"/>
        </w:rPr>
      </w:pPr>
      <w:r w:rsidRPr="009F503D">
        <w:rPr>
          <w:rFonts w:ascii="Calibri" w:hAnsi="Calibri" w:cs="DIN Pro Regular"/>
          <w:bCs/>
          <w:sz w:val="20"/>
          <w:lang w:val="es-MX"/>
        </w:rPr>
        <w:t>Se cuenta con una Caja General que al 3</w:t>
      </w:r>
      <w:r>
        <w:rPr>
          <w:rFonts w:ascii="Calibri" w:hAnsi="Calibri" w:cs="DIN Pro Regular"/>
          <w:bCs/>
          <w:sz w:val="20"/>
          <w:lang w:val="es-MX"/>
        </w:rPr>
        <w:t>1</w:t>
      </w:r>
      <w:r w:rsidRPr="009F503D">
        <w:rPr>
          <w:rFonts w:ascii="Calibri" w:hAnsi="Calibri" w:cs="DIN Pro Regular"/>
          <w:bCs/>
          <w:sz w:val="20"/>
          <w:lang w:val="es-MX"/>
        </w:rPr>
        <w:t xml:space="preserve"> de </w:t>
      </w:r>
      <w:r>
        <w:rPr>
          <w:rFonts w:ascii="Calibri" w:hAnsi="Calibri" w:cs="DIN Pro Regular"/>
          <w:bCs/>
          <w:sz w:val="20"/>
          <w:lang w:val="es-MX"/>
        </w:rPr>
        <w:t>Diciembre</w:t>
      </w:r>
      <w:r w:rsidRPr="009F503D">
        <w:rPr>
          <w:rFonts w:ascii="Calibri" w:hAnsi="Calibri" w:cs="DIN Pro Regular"/>
          <w:bCs/>
          <w:sz w:val="20"/>
          <w:lang w:val="es-MX"/>
        </w:rPr>
        <w:t xml:space="preserve"> del 2023 presenta el siguiente saldo:</w:t>
      </w:r>
    </w:p>
    <w:p w14:paraId="729149D1" w14:textId="68AEFAAB" w:rsidR="009F503D" w:rsidRPr="009F503D" w:rsidRDefault="009F503D" w:rsidP="009F503D">
      <w:pPr>
        <w:pStyle w:val="Texto"/>
        <w:spacing w:after="80" w:line="203" w:lineRule="exact"/>
        <w:ind w:left="624"/>
        <w:rPr>
          <w:rFonts w:ascii="Calibri" w:hAnsi="Calibri" w:cs="DIN Pro Regular"/>
          <w:bCs/>
          <w:sz w:val="20"/>
          <w:lang w:val="es-MX"/>
        </w:rPr>
      </w:pPr>
      <w:r w:rsidRPr="009F503D">
        <w:rPr>
          <w:rFonts w:ascii="Calibri" w:hAnsi="Calibri" w:cs="DIN Pro Regular"/>
          <w:bCs/>
          <w:sz w:val="20"/>
          <w:lang w:val="es-MX"/>
        </w:rPr>
        <w:t>1111-01-1   Caja General        $3,05</w:t>
      </w:r>
      <w:r w:rsidR="001B63A9">
        <w:rPr>
          <w:rFonts w:ascii="Calibri" w:hAnsi="Calibri" w:cs="DIN Pro Regular"/>
          <w:bCs/>
          <w:sz w:val="20"/>
          <w:lang w:val="es-MX"/>
        </w:rPr>
        <w:t>3</w:t>
      </w:r>
    </w:p>
    <w:p w14:paraId="4903FF01" w14:textId="163A0345" w:rsidR="009F503D" w:rsidRDefault="009F503D" w:rsidP="009F503D">
      <w:pPr>
        <w:pStyle w:val="Texto"/>
        <w:spacing w:after="80" w:line="203" w:lineRule="exact"/>
        <w:ind w:firstLine="624"/>
        <w:rPr>
          <w:rFonts w:ascii="Calibri" w:hAnsi="Calibri" w:cs="DIN Pro Regular"/>
          <w:bCs/>
          <w:sz w:val="20"/>
          <w:lang w:val="es-MX"/>
        </w:rPr>
      </w:pPr>
      <w:r w:rsidRPr="009F503D">
        <w:rPr>
          <w:rFonts w:ascii="Calibri" w:hAnsi="Calibri" w:cs="DIN Pro Regular"/>
          <w:bCs/>
          <w:sz w:val="20"/>
          <w:lang w:val="es-MX"/>
        </w:rPr>
        <w:t>Además de informar que el organismo no tiene Cuentas de Banco Registrados a su nombre.</w:t>
      </w:r>
    </w:p>
    <w:p w14:paraId="4A9C19F9" w14:textId="77777777" w:rsidR="009F503D" w:rsidRPr="009F503D" w:rsidRDefault="009F503D" w:rsidP="009F503D">
      <w:pPr>
        <w:pStyle w:val="Texto"/>
        <w:spacing w:after="80" w:line="203" w:lineRule="exact"/>
        <w:ind w:firstLine="624"/>
        <w:rPr>
          <w:rFonts w:ascii="Calibri" w:hAnsi="Calibri" w:cs="DIN Pro Regular"/>
          <w:bCs/>
          <w:sz w:val="20"/>
          <w:lang w:val="es-MX"/>
        </w:rPr>
      </w:pPr>
    </w:p>
    <w:p w14:paraId="13F17052" w14:textId="6B1BBB0D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14:paraId="21E3D6D6" w14:textId="2E51C090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 w:rsidRPr="009F503D">
        <w:rPr>
          <w:rFonts w:ascii="Calibri" w:hAnsi="Calibri" w:cs="DIN Pro Regular"/>
          <w:bCs/>
          <w:sz w:val="20"/>
          <w:lang w:val="es-MX"/>
        </w:rPr>
        <w:t>Se informan los saldos al 31 de diciembre del 2023 de las cuentas que integran la cuenta de Derechos a recibir Efectivo y Equivalentes y derechos a recibir Bienes o Servicios.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262"/>
        <w:gridCol w:w="1937"/>
        <w:gridCol w:w="2097"/>
      </w:tblGrid>
      <w:tr w:rsidR="009F503D" w:rsidRPr="00FD0B87" w14:paraId="653B4A00" w14:textId="77777777" w:rsidTr="009F503D">
        <w:trPr>
          <w:trHeight w:val="6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382B8C20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79AB6F7A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40E0A2F1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04D7C8B4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31-12-20</w:t>
            </w: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23</w:t>
            </w:r>
          </w:p>
        </w:tc>
      </w:tr>
      <w:tr w:rsidR="009F503D" w:rsidRPr="00FD0B87" w14:paraId="3294A918" w14:textId="77777777" w:rsidTr="009F503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D13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1123-01-001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1B0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Servando Ramos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E689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$14,015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ED70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$14,015</w:t>
            </w:r>
          </w:p>
        </w:tc>
      </w:tr>
      <w:tr w:rsidR="009F503D" w:rsidRPr="00FD0B87" w14:paraId="154829BF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DB8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B3C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4B5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C44A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$7,190</w:t>
            </w:r>
          </w:p>
        </w:tc>
      </w:tr>
      <w:tr w:rsidR="009F503D" w:rsidRPr="00FD0B87" w14:paraId="6D9F5301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363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ADCE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78C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1676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$13,203</w:t>
            </w:r>
          </w:p>
        </w:tc>
      </w:tr>
      <w:tr w:rsidR="009F503D" w:rsidRPr="00FD0B87" w14:paraId="616400DE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38AA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896D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193A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9F03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$1,468</w:t>
            </w:r>
          </w:p>
        </w:tc>
      </w:tr>
      <w:tr w:rsidR="009F503D" w:rsidRPr="00FD0B87" w14:paraId="6C2AF425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2920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A0B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827F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F8D5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$1,479</w:t>
            </w:r>
          </w:p>
        </w:tc>
      </w:tr>
      <w:tr w:rsidR="009F503D" w:rsidRPr="00FD0B87" w14:paraId="23B902CB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178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1129-01-005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085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7580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9A6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$1,342</w:t>
            </w:r>
          </w:p>
        </w:tc>
      </w:tr>
      <w:tr w:rsidR="009F503D" w:rsidRPr="00FD0B87" w14:paraId="630D44F5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EC42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5089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3FD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9538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$9,797</w:t>
            </w:r>
          </w:p>
        </w:tc>
      </w:tr>
      <w:tr w:rsidR="009F503D" w:rsidRPr="00FD0B87" w14:paraId="07C61E44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4D03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360C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288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79E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$10,688</w:t>
            </w:r>
          </w:p>
        </w:tc>
      </w:tr>
      <w:tr w:rsidR="009F503D" w:rsidRPr="00FD0B87" w14:paraId="332D41F7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CDC6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122E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1BB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283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$8,476</w:t>
            </w:r>
          </w:p>
        </w:tc>
      </w:tr>
      <w:tr w:rsidR="009F503D" w:rsidRPr="00FD0B87" w14:paraId="7633B3F4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7519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2E26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Acreditable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617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D1A6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$240</w:t>
            </w:r>
          </w:p>
        </w:tc>
      </w:tr>
      <w:tr w:rsidR="009F503D" w:rsidRPr="00FD0B87" w14:paraId="26EF8E34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9226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950B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ADA7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8D4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$9,240</w:t>
            </w:r>
          </w:p>
        </w:tc>
      </w:tr>
      <w:tr w:rsidR="009F503D" w:rsidRPr="00FD0B87" w14:paraId="1FD3EAD0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227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9381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B41F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F78E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$8,612</w:t>
            </w:r>
          </w:p>
        </w:tc>
      </w:tr>
      <w:tr w:rsidR="009F503D" w:rsidRPr="00FD0B87" w14:paraId="36273FF4" w14:textId="77777777" w:rsidTr="009F503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FA71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827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D8A9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$12,004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A588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$12,004</w:t>
            </w:r>
          </w:p>
        </w:tc>
      </w:tr>
      <w:tr w:rsidR="009F503D" w:rsidRPr="00FD0B87" w14:paraId="36FEEBB9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3C8C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9695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B628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092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$8,168</w:t>
            </w:r>
          </w:p>
        </w:tc>
      </w:tr>
      <w:tr w:rsidR="009F503D" w:rsidRPr="00FD0B87" w14:paraId="5C7D85A9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F318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C639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3EC5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$11,791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B8A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$11,791</w:t>
            </w:r>
          </w:p>
        </w:tc>
      </w:tr>
      <w:tr w:rsidR="009F503D" w:rsidRPr="00FD0B87" w14:paraId="47481979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99CE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65E1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2DBF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DD64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4077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9F503D" w:rsidRPr="00FD0B87" w14:paraId="6DE286EC" w14:textId="77777777" w:rsidTr="009F503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6101F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1139-01-001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554F1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Anticipo a Proveedores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A007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1DC2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$34,800</w:t>
            </w:r>
          </w:p>
        </w:tc>
      </w:tr>
      <w:tr w:rsidR="009F503D" w:rsidRPr="00FD0B87" w14:paraId="61F5CA6E" w14:textId="77777777" w:rsidTr="009F503D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EF7B5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AAD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Pr="004077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152,2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4DB3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577</w:t>
            </w:r>
          </w:p>
        </w:tc>
      </w:tr>
    </w:tbl>
    <w:p w14:paraId="11552DDB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306EB3DC" w14:textId="7F4835C6"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14:paraId="1043E737" w14:textId="03EE5C4E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No Aplica</w:t>
      </w:r>
    </w:p>
    <w:p w14:paraId="6A57BE47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21F6CFFF" w14:textId="432B8E7F"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14:paraId="79067CC5" w14:textId="142CDA5E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No Aplica</w:t>
      </w:r>
    </w:p>
    <w:p w14:paraId="17C205D1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149631A5" w14:textId="0965E936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25B07EA2" w14:textId="136DB29C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No Aplica</w:t>
      </w:r>
    </w:p>
    <w:p w14:paraId="7269D479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60FB4FC5" w14:textId="34FD3BEB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80"/>
        <w:gridCol w:w="1200"/>
        <w:gridCol w:w="1420"/>
      </w:tblGrid>
      <w:tr w:rsidR="009F503D" w:rsidRPr="00CC64EC" w14:paraId="21C168DB" w14:textId="77777777" w:rsidTr="00AD64F0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2E88366D" w14:textId="77777777" w:rsidR="009F503D" w:rsidRPr="00CC64EC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3A9CB982" w14:textId="77777777" w:rsidR="009F503D" w:rsidRPr="00CC64EC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298575C3" w14:textId="77777777" w:rsidR="009F503D" w:rsidRPr="00CC64EC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000382E6" w14:textId="77777777" w:rsidR="009F503D" w:rsidRPr="00CC64EC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31-12-2023</w:t>
            </w:r>
          </w:p>
        </w:tc>
      </w:tr>
      <w:tr w:rsidR="009F503D" w:rsidRPr="00CC64EC" w14:paraId="63E77F16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4EFD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EE68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Verde con 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C73C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E0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$1,500</w:t>
            </w:r>
          </w:p>
        </w:tc>
      </w:tr>
      <w:tr w:rsidR="009F503D" w:rsidRPr="00CC64EC" w14:paraId="7F00AD73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556B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CF52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 Color Café Oscuro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7ABE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B1E6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$1,200</w:t>
            </w:r>
          </w:p>
        </w:tc>
      </w:tr>
      <w:tr w:rsidR="009F503D" w:rsidRPr="00CC64EC" w14:paraId="0E7D9CE9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205E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9F46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Piel Con Madera Color 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1433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C537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</w:t>
            </w:r>
          </w:p>
        </w:tc>
      </w:tr>
      <w:tr w:rsidR="009F503D" w:rsidRPr="00CC64EC" w14:paraId="28E3E94C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687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5F25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Color 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C776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DC7A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</w:tr>
      <w:tr w:rsidR="009F503D" w:rsidRPr="00CC64EC" w14:paraId="173896FF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CC32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6DDC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Color Azul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66A5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73A0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</w:tr>
      <w:tr w:rsidR="009F503D" w:rsidRPr="00CC64EC" w14:paraId="7C49D580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6E41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1246-6-5662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799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Líneas de Transmisión Eléctrica y Subestaciones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9FAE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9CDD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$500,000</w:t>
            </w:r>
          </w:p>
        </w:tc>
      </w:tr>
      <w:tr w:rsidR="009F503D" w:rsidRPr="00CC64EC" w14:paraId="1F9CA0FE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C39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1246-6-5663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5FC3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Interruptor de Seguridad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997F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9F49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$30,000</w:t>
            </w:r>
          </w:p>
        </w:tc>
      </w:tr>
      <w:tr w:rsidR="009F503D" w:rsidRPr="00CC64EC" w14:paraId="224ADCBE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F236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D576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Bombas Centrifugas y Sumergibles 3HP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F385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257C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$90,000</w:t>
            </w:r>
          </w:p>
        </w:tc>
      </w:tr>
      <w:tr w:rsidR="009F503D" w:rsidRPr="00CC64EC" w14:paraId="07A0B3D5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1E92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DB2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 ML de Tubería de PVC de 4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CA85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16AC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$22,500</w:t>
            </w:r>
          </w:p>
        </w:tc>
      </w:tr>
      <w:tr w:rsidR="009F503D" w:rsidRPr="00CC64EC" w14:paraId="3B627DFE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2B5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D9A9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Tanque Elevado de Concreto de 15M3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156B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685D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$200,000</w:t>
            </w:r>
          </w:p>
        </w:tc>
      </w:tr>
      <w:tr w:rsidR="009F503D" w:rsidRPr="00CC64EC" w14:paraId="3CA5CCA5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5AAE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A426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Tanque Superficial de Mamposteria de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FE9A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27A4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$100,000</w:t>
            </w:r>
          </w:p>
        </w:tc>
      </w:tr>
      <w:tr w:rsidR="009F503D" w:rsidRPr="00CC64EC" w14:paraId="00BECDDB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9867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85AE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2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2B06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2B3F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$350,000</w:t>
            </w:r>
          </w:p>
        </w:tc>
      </w:tr>
      <w:tr w:rsidR="009F503D" w:rsidRPr="00CC64EC" w14:paraId="42CA3339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065A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8297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3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9C4F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3C6E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$525,000</w:t>
            </w:r>
          </w:p>
        </w:tc>
      </w:tr>
      <w:tr w:rsidR="009F503D" w:rsidRPr="00CC64EC" w14:paraId="6DD5FB5F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D91D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0B58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4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18B0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2375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$630,000</w:t>
            </w:r>
          </w:p>
        </w:tc>
      </w:tr>
      <w:tr w:rsidR="009F503D" w:rsidRPr="00CC64EC" w14:paraId="3FD3E10B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4A5F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1246-7-5679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F6D9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Tuberias de PVC y Concreto Simple de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E8F5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$1,809,524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B7E1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$1,809,524</w:t>
            </w:r>
          </w:p>
        </w:tc>
      </w:tr>
      <w:tr w:rsidR="009F503D" w:rsidRPr="00CC64EC" w14:paraId="7E6A7CE0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4694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5E9B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Descargas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4B0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5624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$28,000</w:t>
            </w:r>
          </w:p>
        </w:tc>
      </w:tr>
      <w:tr w:rsidR="009F503D" w:rsidRPr="00CC64EC" w14:paraId="0B8578DF" w14:textId="77777777" w:rsidTr="00AD64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A525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1246-9-5692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5B60" w14:textId="77777777" w:rsidR="009F503D" w:rsidRPr="00CC64EC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Coloración de Bomba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5108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93F9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$50,000</w:t>
            </w:r>
          </w:p>
        </w:tc>
      </w:tr>
      <w:tr w:rsidR="009F503D" w:rsidRPr="00CC64EC" w14:paraId="44833F9A" w14:textId="77777777" w:rsidTr="00AD64F0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ACC72" w14:textId="77777777" w:rsidR="009F503D" w:rsidRPr="00CC64EC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E530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$4,338,084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4FFD" w14:textId="77777777" w:rsidR="009F503D" w:rsidRPr="00CC64EC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$4,338,084</w:t>
            </w:r>
          </w:p>
        </w:tc>
      </w:tr>
    </w:tbl>
    <w:p w14:paraId="71F0660F" w14:textId="77777777" w:rsidR="009F503D" w:rsidRPr="00B31AAA" w:rsidRDefault="009F503D" w:rsidP="009F503D">
      <w:pPr>
        <w:pStyle w:val="Texto"/>
        <w:spacing w:after="80" w:line="203" w:lineRule="exact"/>
        <w:ind w:left="624" w:firstLine="0"/>
        <w:jc w:val="center"/>
        <w:rPr>
          <w:rFonts w:ascii="Calibri" w:hAnsi="Calibri" w:cs="DIN Pro Regular"/>
          <w:b/>
          <w:sz w:val="20"/>
          <w:lang w:val="es-MX"/>
        </w:rPr>
      </w:pPr>
    </w:p>
    <w:p w14:paraId="243027B0" w14:textId="465DF830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p w14:paraId="1E0731D1" w14:textId="524AFB54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No Aplica</w:t>
      </w:r>
    </w:p>
    <w:p w14:paraId="2198A4E7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666F4CB9" w14:textId="77FAEE28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14:paraId="708F763B" w14:textId="78424306" w:rsid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No Aplica</w:t>
      </w:r>
    </w:p>
    <w:p w14:paraId="21123DFC" w14:textId="77777777" w:rsidR="009F503D" w:rsidRPr="009F503D" w:rsidRDefault="009F503D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56DF417A" w14:textId="77777777"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14:paraId="4DDFD137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1E6A1A67" w14:textId="0BB91812" w:rsidR="00AF5955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951"/>
        <w:gridCol w:w="1937"/>
        <w:gridCol w:w="2097"/>
      </w:tblGrid>
      <w:tr w:rsidR="009F503D" w:rsidRPr="00FD0B87" w14:paraId="6B306191" w14:textId="77777777" w:rsidTr="00AD64F0">
        <w:trPr>
          <w:trHeight w:val="6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7A42E33A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73142952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6782155D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0033"/>
            <w:vAlign w:val="center"/>
            <w:hideMark/>
          </w:tcPr>
          <w:p w14:paraId="047A8441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12</w:t>
            </w:r>
            <w:r w:rsidRPr="00FD0B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-2023</w:t>
            </w:r>
          </w:p>
        </w:tc>
      </w:tr>
      <w:tr w:rsidR="009F503D" w:rsidRPr="00FD0B87" w14:paraId="688E76E5" w14:textId="77777777" w:rsidTr="00AD64F0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DB1B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7625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5365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F706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$3,283</w:t>
            </w:r>
          </w:p>
        </w:tc>
      </w:tr>
      <w:tr w:rsidR="009F503D" w:rsidRPr="00FD0B87" w14:paraId="200924C8" w14:textId="77777777" w:rsidTr="00AD64F0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279A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14D0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F8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7B7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$8,293</w:t>
            </w:r>
          </w:p>
        </w:tc>
      </w:tr>
      <w:tr w:rsidR="009F503D" w:rsidRPr="00FD0B87" w14:paraId="2FC95F8D" w14:textId="77777777" w:rsidTr="00AD64F0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D33E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A90C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FBB1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6FF8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$8,882</w:t>
            </w:r>
          </w:p>
        </w:tc>
      </w:tr>
      <w:tr w:rsidR="009F503D" w:rsidRPr="00FD0B87" w14:paraId="41FB0282" w14:textId="77777777" w:rsidTr="00AD64F0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719F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D2F5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AD96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3040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$6,332</w:t>
            </w:r>
          </w:p>
        </w:tc>
      </w:tr>
      <w:tr w:rsidR="009F503D" w:rsidRPr="00FD0B87" w14:paraId="26B5CBA6" w14:textId="77777777" w:rsidTr="00AD64F0">
        <w:trPr>
          <w:trHeight w:val="1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0759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BE2B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537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8A0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$10,138</w:t>
            </w:r>
          </w:p>
        </w:tc>
      </w:tr>
      <w:tr w:rsidR="009F503D" w:rsidRPr="00FD0B87" w14:paraId="3AB5C5EB" w14:textId="77777777" w:rsidTr="00AD64F0">
        <w:trPr>
          <w:trHeight w:val="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5841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6AE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65E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18,00</w:t>
            </w: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F84E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$18,000</w:t>
            </w:r>
          </w:p>
        </w:tc>
      </w:tr>
      <w:tr w:rsidR="009F503D" w:rsidRPr="00FD0B87" w14:paraId="28BCCF0A" w14:textId="77777777" w:rsidTr="00AD64F0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8C54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690D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FF33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1B73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077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$5,014.92</w:t>
            </w:r>
          </w:p>
        </w:tc>
      </w:tr>
      <w:tr w:rsidR="009F503D" w:rsidRPr="00FD0B87" w14:paraId="48BEC81D" w14:textId="77777777" w:rsidTr="00AD64F0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7850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926A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por pagar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E85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1B4B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</w:tr>
      <w:tr w:rsidR="009F503D" w:rsidRPr="00FD0B87" w14:paraId="403A94CC" w14:textId="77777777" w:rsidTr="00AD64F0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DF65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FDE2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Retenciones Isr RESICO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98EC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7D0F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</w:t>
            </w:r>
          </w:p>
        </w:tc>
      </w:tr>
      <w:tr w:rsidR="009F503D" w:rsidRPr="00FD0B87" w14:paraId="7E2B9067" w14:textId="77777777" w:rsidTr="00AD64F0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229D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2119-01-001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5F9" w14:textId="77777777" w:rsidR="009F503D" w:rsidRPr="00FD0B87" w:rsidRDefault="009F503D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Acreedores a corto plazo ejercicio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F921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3F41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</w:tr>
      <w:tr w:rsidR="009F503D" w:rsidRPr="00FD0B87" w14:paraId="0CF4DC69" w14:textId="77777777" w:rsidTr="00AD64F0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BFEB" w14:textId="77777777" w:rsidR="009F503D" w:rsidRPr="00FD0B87" w:rsidRDefault="009F503D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87FD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</w:t>
            </w: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EB25" w14:textId="77777777" w:rsidR="009F503D" w:rsidRPr="00FD0B87" w:rsidRDefault="009F503D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FD0B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578</w:t>
            </w:r>
          </w:p>
        </w:tc>
      </w:tr>
    </w:tbl>
    <w:p w14:paraId="56DD1386" w14:textId="77777777" w:rsidR="009F503D" w:rsidRPr="00B31AAA" w:rsidRDefault="009F503D" w:rsidP="009F503D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678398B7" w14:textId="1DA2324D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14:paraId="72706A4B" w14:textId="530AFFB5" w:rsidR="009F503D" w:rsidRDefault="009F503D" w:rsidP="009F503D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3E868045" w14:textId="6800988B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</w:p>
    <w:p w14:paraId="79E90BDF" w14:textId="35B362F3" w:rsidR="009F503D" w:rsidRDefault="009F503D" w:rsidP="009F503D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48F39E19" w14:textId="3DE7E084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14:paraId="039CF270" w14:textId="4BDF52B0" w:rsidR="009F503D" w:rsidRPr="00B31AAA" w:rsidRDefault="009F503D" w:rsidP="009F503D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4505066A" w14:textId="517415AF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14:paraId="6D70BC0E" w14:textId="716B032C" w:rsidR="009F503D" w:rsidRPr="00B31AAA" w:rsidRDefault="009F503D" w:rsidP="009F503D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14:paraId="6CD3E879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88A4D3D" w14:textId="4669F50E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077"/>
        <w:gridCol w:w="2593"/>
        <w:gridCol w:w="2626"/>
      </w:tblGrid>
      <w:tr w:rsidR="0042087E" w:rsidRPr="004B4B5E" w14:paraId="188802F2" w14:textId="77777777" w:rsidTr="0042087E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766013F9" w14:textId="77777777" w:rsidR="0042087E" w:rsidRPr="004B4B5E" w:rsidRDefault="0042087E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Cuenta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5EEB2B85" w14:textId="77777777" w:rsidR="0042087E" w:rsidRPr="004B4B5E" w:rsidRDefault="0042087E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7EF17517" w14:textId="77777777" w:rsidR="0042087E" w:rsidRPr="004B4B5E" w:rsidRDefault="0042087E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Saldo al Inicio del Ejercicio 01/01/2022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025E327" w14:textId="77777777" w:rsidR="0042087E" w:rsidRPr="004B4B5E" w:rsidRDefault="0042087E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Sal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do al Cierre del Ejercicio 31/12/2023</w:t>
            </w:r>
          </w:p>
        </w:tc>
      </w:tr>
      <w:tr w:rsidR="0042087E" w:rsidRPr="004B4B5E" w14:paraId="47F69F62" w14:textId="77777777" w:rsidTr="0042087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C519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3110-01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18FC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Aportaciones de Capital Saldo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71A3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$4,339,084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37E2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$4,339,084</w:t>
            </w:r>
          </w:p>
        </w:tc>
      </w:tr>
      <w:tr w:rsidR="0042087E" w:rsidRPr="004B4B5E" w14:paraId="28B4638A" w14:textId="77777777" w:rsidTr="0042087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5AFA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03A2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3D62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$89,180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C925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$89,180</w:t>
            </w:r>
          </w:p>
        </w:tc>
      </w:tr>
      <w:tr w:rsidR="0042087E" w:rsidRPr="004B4B5E" w14:paraId="1B7173D3" w14:textId="77777777" w:rsidTr="0042087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978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ED3E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Resultados de Ejercicio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5CC1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$22,343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46B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$22,343</w:t>
            </w:r>
          </w:p>
        </w:tc>
      </w:tr>
      <w:tr w:rsidR="0042087E" w:rsidRPr="004B4B5E" w14:paraId="10617021" w14:textId="77777777" w:rsidTr="0042087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52F28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3220-2021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EF2A4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 EJERCICIOS ANTERIORES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F40A3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$40,551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F9CDB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$40,551</w:t>
            </w:r>
          </w:p>
        </w:tc>
      </w:tr>
      <w:tr w:rsidR="0042087E" w:rsidRPr="004B4B5E" w14:paraId="2B6FDCEE" w14:textId="77777777" w:rsidTr="0042087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74B21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lastRenderedPageBreak/>
              <w:t>3210-2022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9D9BF" w14:textId="77777777" w:rsidR="0042087E" w:rsidRPr="004B4B5E" w:rsidRDefault="0042087E" w:rsidP="00AD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del Ejercicio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36D66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0</w:t>
            </w: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8A2F1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-$59,708</w:t>
            </w:r>
          </w:p>
        </w:tc>
      </w:tr>
      <w:tr w:rsidR="0042087E" w:rsidRPr="004B4B5E" w14:paraId="4F21EC09" w14:textId="77777777" w:rsidTr="004208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715" w14:textId="77777777" w:rsidR="0042087E" w:rsidRPr="004B4B5E" w:rsidRDefault="0042087E" w:rsidP="00AD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B8E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$4,491,158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1DB" w14:textId="77777777" w:rsidR="0042087E" w:rsidRPr="004B4B5E" w:rsidRDefault="0042087E" w:rsidP="00AD6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$4,431,450</w:t>
            </w:r>
          </w:p>
        </w:tc>
      </w:tr>
    </w:tbl>
    <w:p w14:paraId="69EAF905" w14:textId="77777777" w:rsidR="0042087E" w:rsidRDefault="0042087E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CC1EA91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6506225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54D1D206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10730CF2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28C44E72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0E023D8A" w14:textId="77777777"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B31AAA" w14:paraId="2FF558C2" w14:textId="77777777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6FF8D9C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4E84F2C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F3218FC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4D2574DE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E2D0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4BB0" w14:textId="790069F0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3,05</w:t>
            </w:r>
            <w:r w:rsidR="00F9451F">
              <w:rPr>
                <w:rFonts w:eastAsia="Times New Roman" w:cs="DIN Pro Regular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57D0" w14:textId="306D876E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2,64</w:t>
            </w:r>
            <w:r w:rsidR="00F9451F">
              <w:rPr>
                <w:rFonts w:eastAsia="Times New Roman" w:cs="DIN Pro Regular"/>
                <w:sz w:val="20"/>
                <w:szCs w:val="20"/>
                <w:lang w:eastAsia="es-ES"/>
              </w:rPr>
              <w:t>8</w:t>
            </w:r>
          </w:p>
        </w:tc>
      </w:tr>
      <w:tr w:rsidR="005774F0" w:rsidRPr="00B31AAA" w14:paraId="1CECEA67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4C3B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646" w14:textId="5FF80E64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CFCE" w14:textId="330088E0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240504AA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3FB8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4890" w14:textId="08C728DA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AA89" w14:textId="77F06F7F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B31AAA" w14:paraId="49DEB1A9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BEC1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984" w14:textId="7A2055CD" w:rsidR="004C09C1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9E7" w14:textId="5012C04A" w:rsidR="004C09C1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62AF0F07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C10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42B1" w14:textId="2468346D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43F7" w14:textId="33483169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41FF7C1A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7780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6248" w14:textId="18683290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5CDD" w14:textId="14CF38EB" w:rsidR="005774F0" w:rsidRPr="00B31AAA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B31AAA" w14:paraId="202B2E5E" w14:textId="77777777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C7EB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2702" w14:textId="737771D1" w:rsidR="0020554C" w:rsidRPr="00B31AAA" w:rsidRDefault="0042087E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711C" w14:textId="33A65115" w:rsidR="0020554C" w:rsidRPr="00B31AAA" w:rsidRDefault="0042087E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B31AAA" w14:paraId="0583B351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4E8" w14:textId="77777777"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A11" w14:textId="63957A75" w:rsidR="005774F0" w:rsidRPr="00E06B4E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3,05</w:t>
            </w:r>
            <w:r w:rsidR="00F9451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5A73" w14:textId="69F35776" w:rsidR="005774F0" w:rsidRPr="00E06B4E" w:rsidRDefault="0042087E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2,64</w:t>
            </w:r>
            <w:r w:rsidR="00F9451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8</w:t>
            </w:r>
          </w:p>
        </w:tc>
      </w:tr>
    </w:tbl>
    <w:p w14:paraId="2882CD1F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D03D58F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724AABC" w14:textId="77777777"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34B6DBB1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B31AAA" w14:paraId="53EF5B94" w14:textId="77777777" w:rsidTr="00CF6CD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616F6A1" w14:textId="77777777"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A007CD2" w14:textId="77777777" w:rsidR="00AF5955" w:rsidRPr="00B31AAA" w:rsidRDefault="00AF5955" w:rsidP="00CF6CDF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FC14135" w14:textId="77777777"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14:paraId="75BD73AB" w14:textId="77777777" w:rsidTr="00AA28D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09927FE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9FEBFA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82CB235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59740ACF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4DDA" w14:textId="77777777" w:rsidR="00AF5955" w:rsidRPr="00EA4748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58DF" w14:textId="20B1F99B" w:rsidR="00AF5955" w:rsidRPr="00EA4748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3118" w14:textId="274A646A" w:rsidR="00AF5955" w:rsidRPr="00EA4748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54DE77AC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7DAA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D420" w14:textId="66CB6164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A2A5" w14:textId="1508ED8C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35883A2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D254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058" w14:textId="54E94022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6550" w14:textId="03E65643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48D93F41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A1F6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387A" w14:textId="39BA558B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7F8F" w14:textId="1B022505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702FA3A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8431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3500" w14:textId="43887B50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1BBE" w14:textId="572053F9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7C45D4EC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160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7C3C" w14:textId="318639DE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1A7" w14:textId="212D02AC" w:rsidR="00AF5955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4ABA1740" w14:textId="77777777" w:rsidTr="00C60BF2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5919" w14:textId="77777777" w:rsidR="00AF5955" w:rsidRPr="00B31AAA" w:rsidRDefault="00F5422F" w:rsidP="00CF6CDF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D531" w14:textId="515C9BA8" w:rsidR="00AF5955" w:rsidRPr="00B31AAA" w:rsidRDefault="0042087E" w:rsidP="00CF6CDF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B316" w14:textId="74BB4179" w:rsidR="00AF5955" w:rsidRPr="00B31AAA" w:rsidRDefault="0042087E" w:rsidP="00CF6CDF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5422F" w:rsidRPr="00B31AAA" w14:paraId="128A5154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DE4C" w14:textId="77777777" w:rsidR="00F5422F" w:rsidRPr="00F5422F" w:rsidRDefault="00F5422F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E09B" w14:textId="01382700" w:rsidR="00F5422F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95C" w14:textId="78EA3FA4" w:rsidR="00F5422F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700356DA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B424" w14:textId="77777777" w:rsidR="00AF5955" w:rsidRPr="00B31AAA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C4DC" w14:textId="5297925B" w:rsidR="00AF5955" w:rsidRPr="00EA4748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0875" w14:textId="6D484605" w:rsidR="00AF5955" w:rsidRPr="00EA4748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5E20510E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E0B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F7C8" w14:textId="131E3368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A10E" w14:textId="5902954A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71D6E2A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5E0E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lastRenderedPageBreak/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FC00" w14:textId="781245E6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7FB1" w14:textId="5BEEAB27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65C44BC5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F1F7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46C1" w14:textId="45AEA866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3288" w14:textId="31D269C6" w:rsidR="00EA4748" w:rsidRPr="00B31AAA" w:rsidRDefault="0042087E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1C2946AD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9F88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EB84" w14:textId="20E56D24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E8E4" w14:textId="1670151A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1C8445A8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1823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E6E3" w14:textId="2DD6ED19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42CB" w14:textId="72793FAD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485B70D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04B1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B8CB" w14:textId="61AC1CFF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09F4" w14:textId="2219B6DF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6D680775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264C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EA67" w14:textId="3630221D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657C" w14:textId="632987CF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1C3869BB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034C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4BF" w14:textId="6F522010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10EF" w14:textId="3AB76F4C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240CB819" w14:textId="77777777" w:rsidTr="00CF6CD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AA8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E310" w14:textId="213820F6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A319" w14:textId="61FC5414" w:rsidR="00EA4748" w:rsidRPr="00B31AAA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E267B08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4B89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7FF0" w14:textId="3FC91767" w:rsidR="00EA4748" w:rsidRPr="00EA4748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ABA" w14:textId="33B1125D" w:rsidR="00EA4748" w:rsidRPr="00EC7D4B" w:rsidRDefault="0042087E" w:rsidP="00CF6CDF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</w:tbl>
    <w:p w14:paraId="754AA63D" w14:textId="77777777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BD8652D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6151A7" w14:textId="77777777" w:rsidR="003F39C5" w:rsidRPr="00B31AAA" w:rsidRDefault="003F39C5" w:rsidP="00CF242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A865260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0E131D7F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B31AAA" w14:paraId="023C7B8F" w14:textId="7777777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E5F44EA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7E38C30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F85FCB4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14:paraId="1B0B94D9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B4B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1BBE" w14:textId="43C9E297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-1,31</w:t>
            </w:r>
            <w:r w:rsidR="00F9451F">
              <w:rPr>
                <w:rFonts w:ascii="Calibri" w:hAnsi="Calibri" w:cs="DIN Pro Regular"/>
                <w:b/>
                <w:sz w:val="20"/>
                <w:lang w:val="es-MX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1D4B" w14:textId="12BF9CCA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-59,708</w:t>
            </w:r>
          </w:p>
        </w:tc>
      </w:tr>
      <w:tr w:rsidR="003F39C5" w:rsidRPr="00B31AAA" w14:paraId="1DBCA950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1111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708C" w14:textId="05D0C7E2" w:rsidR="003F39C5" w:rsidRPr="00B31AAA" w:rsidRDefault="00B2781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8D9D" w14:textId="0A81D54F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18,000</w:t>
            </w:r>
          </w:p>
        </w:tc>
      </w:tr>
      <w:tr w:rsidR="003F39C5" w:rsidRPr="00B31AAA" w14:paraId="4DF0ACCA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1D7A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D318" w14:textId="4E9C83A6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30A3" w14:textId="1AEA8332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82D2193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77A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F1D9" w14:textId="14CEA0AD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D319" w14:textId="76E31BD8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5908B9ED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E6C9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7374" w14:textId="7714981F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F917" w14:textId="5E8FF455" w:rsidR="003F39C5" w:rsidRPr="00B31AAA" w:rsidRDefault="0042087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2838BBA" w14:textId="7777777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9962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07BE" w14:textId="2A04546E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ADE9" w14:textId="562F7BFC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4CBD627B" w14:textId="7777777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2E5E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B726" w14:textId="296B6FB3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EEF8" w14:textId="01641B4B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05CCB154" w14:textId="7777777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FFA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4C0" w14:textId="01EBA1A8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5CE" w14:textId="2200908B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1B982517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8D8E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303D" w14:textId="1E6683A2" w:rsidR="003F39C5" w:rsidRPr="00B31AAA" w:rsidRDefault="0059096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40</w:t>
            </w:r>
            <w:r w:rsidR="00F9451F">
              <w:rPr>
                <w:rFonts w:ascii="Calibri" w:hAnsi="Calibri" w:cs="DIN Pro Regular"/>
                <w:sz w:val="20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8215" w14:textId="7D9E37F4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42087E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</w:tbl>
    <w:p w14:paraId="36D3A571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07EC1D4" w14:textId="77777777"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9DEE3CB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06D5AD4E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41ADFAF4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E66328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Nombre del Ente Público</w:t>
            </w:r>
          </w:p>
        </w:tc>
      </w:tr>
      <w:tr w:rsidR="002164CC" w:rsidRPr="00B31AAA" w14:paraId="5947FFE2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A81312A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6D513362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A3062F5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61B3D000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F2D2365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7D0548F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88EF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91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A4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7CD6AA6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4ECC715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398" w14:textId="76A97433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2087E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221,101</w:t>
            </w:r>
          </w:p>
        </w:tc>
      </w:tr>
      <w:tr w:rsidR="002164CC" w:rsidRPr="00B31AAA" w14:paraId="795084A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2045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938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37B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5A64D02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0FD2A6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68B" w14:textId="5C37F049" w:rsidR="002164CC" w:rsidRPr="00B31AAA" w:rsidRDefault="0042087E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0736CD4F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52FC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B369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B1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6F71DDA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02A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lastRenderedPageBreak/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7ED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EF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21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D6630A5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11D5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D91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0E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F9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04F65E5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5066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CC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71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59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EF71E3F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4F32F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89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75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66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AA944FC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A80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4C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B4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09DF037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537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910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1F8A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E376F3E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61523DA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309" w14:textId="3264EFE4" w:rsidR="002164CC" w:rsidRPr="00B31AAA" w:rsidRDefault="0042087E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4F73619D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3516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E07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375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14:paraId="7CF93269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4A48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089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20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30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6693B74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FE00D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0F2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EE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C1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E29CF3A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C4D5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DE43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506BE19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4FFC074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0EB" w14:textId="37B53802" w:rsidR="002164CC" w:rsidRPr="00B31AAA" w:rsidRDefault="0042087E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221,101</w:t>
            </w:r>
          </w:p>
        </w:tc>
      </w:tr>
    </w:tbl>
    <w:p w14:paraId="7EB7A00B" w14:textId="77777777"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14:paraId="6583B377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01EB4920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888C49C" w14:textId="77777777" w:rsidR="00174108" w:rsidRPr="00B31AAA" w:rsidRDefault="00C80D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 </w:t>
            </w:r>
            <w:r w:rsidR="00DF6363"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Nombre del Ente Público</w:t>
            </w:r>
          </w:p>
        </w:tc>
      </w:tr>
      <w:tr w:rsidR="00174108" w:rsidRPr="00B31AAA" w14:paraId="37C1A14B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A6109CC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5CCEE7D0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A557DFC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7EBBE436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8A00A68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7D97D8E4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0C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BF8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F0D4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6032590C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568A7E7" w14:textId="77777777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32C" w14:textId="3F34110D" w:rsidR="00591EE2" w:rsidRPr="00B31AAA" w:rsidRDefault="006D41B9" w:rsidP="006D41B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42087E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222,41</w:t>
            </w:r>
            <w:r w:rsidR="00F9451F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591EE2" w:rsidRPr="00B31AAA" w14:paraId="4AEE3E11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7F1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4F37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055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D299A7B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0CFED11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551" w14:textId="78CC0609" w:rsidR="00591EE2" w:rsidRPr="00B31AAA" w:rsidRDefault="0042087E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B31AAA" w14:paraId="45AF3AA8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85A85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121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0D66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D6CC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A9566F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A241B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148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C290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EE72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464710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C5D4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D64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28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94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E3B84A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0FF25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3F8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FA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C5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0ACA20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470B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51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F60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36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3A84D0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13AE5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DD4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F0D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90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FC761D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F57C3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E5A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CB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98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77AE31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0AE13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14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1FA0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2F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089F30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782C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3C26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38E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20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AD369CF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DAA0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327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2D4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9A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0C3575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EFCA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21D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78E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BB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562338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A2A8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3DEE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C44F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AD18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AD1076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EC823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C4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C4F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A0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E326A9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6A7A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CD3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C40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CE4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CE50ED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0150B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04F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D2D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CD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ADC6AC3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6DE96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1F32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0EC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5CF8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D8510B9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89E6C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812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54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D5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D5E1372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F5BE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152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1AF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79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683A40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CA30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5BE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5D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7F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82E9F7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8517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lastRenderedPageBreak/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9F7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563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AB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34A527C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75E2E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0A65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596" w14:textId="77777777" w:rsidR="007460DF" w:rsidRPr="00B31AAA" w:rsidRDefault="007460DF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FB5F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46042644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EF2F274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FBB" w14:textId="7F72896F" w:rsidR="00591EE2" w:rsidRPr="00B31AAA" w:rsidRDefault="0042087E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74108" w:rsidRPr="00B31AAA" w14:paraId="6772BFF5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CD46C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548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106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32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86DC4A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B01C8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F16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921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48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C4B0CF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EF0A5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4F0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E3B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5D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49A34E9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C447A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EBC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A2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43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22A55C1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C9634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19C6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105" w14:textId="77777777"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02D4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06B748B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A35AC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C91F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899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235C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6A7490E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DEC46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810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776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180E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505D8DE1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4A6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1E5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403DF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826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6B1BBFA0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3018D3CB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188" w14:textId="5EA3B8BA" w:rsidR="002C7C1D" w:rsidRPr="00B31AAA" w:rsidRDefault="0042087E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222,41</w:t>
            </w:r>
            <w:r w:rsidR="00F9451F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14:paraId="2293596F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9DAB7FE" w14:textId="77777777"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26D13563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42F9CD96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0450DD4B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2D464C01" w14:textId="3148EFBB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5621A549" w14:textId="63CEBEE1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0D7DA405" w14:textId="280A04F9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236D7DEE" w14:textId="3A84D327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14A541C8" w14:textId="22D95B7E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0797AF58" w14:textId="612E69C8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4C9CFAF1" w14:textId="3D53CEDC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5333A98F" w14:textId="7FFCB267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1C55295C" w14:textId="77777777" w:rsidR="00CF242F" w:rsidRDefault="00CF242F" w:rsidP="00D96C81">
      <w:pPr>
        <w:spacing w:after="0"/>
        <w:rPr>
          <w:rFonts w:cs="DIN Pro Regular"/>
          <w:sz w:val="20"/>
          <w:szCs w:val="20"/>
        </w:rPr>
      </w:pPr>
    </w:p>
    <w:p w14:paraId="7CDEA052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03B96174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79DC55C3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4D303A4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E3F7055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2C57133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B94A95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131331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781D3F1" w14:textId="77777777" w:rsidR="00D96C81" w:rsidRPr="00B31AAA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ED34235" w14:textId="3D540659" w:rsidR="000D5EFE" w:rsidRDefault="002F46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  <w:r>
        <w:rPr>
          <w:rFonts w:ascii="Calibri" w:hAnsi="Calibri" w:cs="DIN Pro Regular"/>
          <w:b/>
          <w:smallCaps/>
          <w:sz w:val="22"/>
          <w:szCs w:val="22"/>
        </w:rPr>
        <w:t xml:space="preserve"> </w:t>
      </w:r>
    </w:p>
    <w:p w14:paraId="5B845AA6" w14:textId="607EB900" w:rsidR="002F46FE" w:rsidRDefault="002F46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788C1295" w14:textId="3DED0FA6" w:rsidR="002F46FE" w:rsidRDefault="002F46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4A7E31F0" w14:textId="28125A6C" w:rsidR="002F46FE" w:rsidRDefault="002F46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6323B839" w14:textId="77777777" w:rsidR="002F46FE" w:rsidRPr="00B31AAA" w:rsidRDefault="002F46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699FCF5B" w14:textId="77777777" w:rsidR="000C7E64" w:rsidRPr="00B31AAA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2E2C9AD" w14:textId="77777777" w:rsidR="00EC7D4B" w:rsidRDefault="00EC7D4B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15FAFBD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EE5C0DA" w14:textId="77777777"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F2420D9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80CDA6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0239CC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1414AD7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0ED7D9F" w14:textId="77777777"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1F937DE" w14:textId="77777777"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30E12A46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91F851D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9428087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67499076" w14:textId="77777777"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14:paraId="0C37DB68" w14:textId="77777777" w:rsidR="00B31AAA" w:rsidRPr="00B31AAA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55E8E4C5" w14:textId="77777777"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629D380D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14:paraId="447C266F" w14:textId="298322DA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Valores</w:t>
      </w:r>
    </w:p>
    <w:p w14:paraId="26DCD4B2" w14:textId="7CB650A6" w:rsidR="0042087E" w:rsidRPr="00B31AAA" w:rsidRDefault="0042087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14:paraId="69DB56C0" w14:textId="7940E185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Emisión de obligaciones</w:t>
      </w:r>
    </w:p>
    <w:p w14:paraId="491896D7" w14:textId="706952FB" w:rsidR="0042087E" w:rsidRPr="00B31AAA" w:rsidRDefault="0042087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14:paraId="1E9BE935" w14:textId="13A15AA7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Avales y garantías</w:t>
      </w:r>
    </w:p>
    <w:p w14:paraId="301F68B3" w14:textId="628A1C9D" w:rsidR="0042087E" w:rsidRPr="00B31AAA" w:rsidRDefault="0042087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14:paraId="5E4E477B" w14:textId="6778A5F9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Juicios</w:t>
      </w:r>
    </w:p>
    <w:p w14:paraId="1A8433BA" w14:textId="4B14FB58" w:rsidR="0042087E" w:rsidRPr="00B31AAA" w:rsidRDefault="0042087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14:paraId="7C19207B" w14:textId="77777777"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6B0016FA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7D7E5E3E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73F2603D" w14:textId="77777777"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p w14:paraId="3462FDC5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4AE40E9" w14:textId="77777777" w:rsidR="00290E6D" w:rsidRPr="00B31AAA" w:rsidRDefault="00290E6D" w:rsidP="007006CA">
      <w:pPr>
        <w:pStyle w:val="Texto"/>
        <w:spacing w:after="0" w:line="240" w:lineRule="exact"/>
        <w:ind w:left="2160" w:hanging="36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Cuentas de ingresos</w:t>
      </w:r>
    </w:p>
    <w:p w14:paraId="3BFD1C63" w14:textId="083AB7A9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8.1.1.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LEY DE INGRESOS ESTIMADA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 xml:space="preserve">              </w:t>
      </w:r>
      <w:r w:rsidR="0042087E">
        <w:rPr>
          <w:rFonts w:ascii="Calibri" w:hAnsi="Calibri" w:cs="DIN Pro Regular"/>
          <w:sz w:val="20"/>
        </w:rPr>
        <w:t>263,600</w:t>
      </w:r>
    </w:p>
    <w:p w14:paraId="7836D176" w14:textId="0D0B7696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8.1.2.</w:t>
      </w:r>
      <w:r w:rsidR="0042087E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 xml:space="preserve"> </w:t>
      </w:r>
      <w:r w:rsidR="005D3E3A" w:rsidRPr="005D3E3A">
        <w:rPr>
          <w:rFonts w:ascii="Calibri" w:hAnsi="Calibri" w:cs="DIN Pro Regular"/>
          <w:sz w:val="20"/>
        </w:rPr>
        <w:t>LEY DE INGRESOS POR EJECUTAR</w:t>
      </w:r>
      <w:r w:rsidR="005D3E3A">
        <w:rPr>
          <w:rFonts w:ascii="Calibri" w:hAnsi="Calibri" w:cs="DIN Pro Regular"/>
          <w:sz w:val="20"/>
        </w:rPr>
        <w:tab/>
        <w:t xml:space="preserve"> 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 xml:space="preserve">   </w:t>
      </w:r>
      <w:r w:rsidR="0042087E">
        <w:rPr>
          <w:rFonts w:ascii="Calibri" w:hAnsi="Calibri" w:cs="DIN Pro Regular"/>
          <w:sz w:val="20"/>
        </w:rPr>
        <w:t>1,314</w:t>
      </w:r>
    </w:p>
    <w:p w14:paraId="6A0E915A" w14:textId="08593746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8.1.3.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MODIFICACIONES A LA LEY DE INGRESOS ESTIMADA</w:t>
      </w:r>
      <w:r w:rsidR="005D3E3A">
        <w:rPr>
          <w:rFonts w:ascii="Calibri" w:hAnsi="Calibri" w:cs="DIN Pro Regular"/>
          <w:sz w:val="20"/>
        </w:rPr>
        <w:t xml:space="preserve">   </w:t>
      </w:r>
      <w:r w:rsidR="005D3E3A">
        <w:rPr>
          <w:rFonts w:ascii="Calibri" w:hAnsi="Calibri" w:cs="DIN Pro Regular"/>
          <w:sz w:val="20"/>
        </w:rPr>
        <w:tab/>
        <w:t xml:space="preserve">             </w:t>
      </w:r>
      <w:r w:rsidR="0042087E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 xml:space="preserve">  </w:t>
      </w:r>
      <w:r w:rsidR="0042087E">
        <w:rPr>
          <w:rFonts w:ascii="Calibri" w:hAnsi="Calibri" w:cs="DIN Pro Regular"/>
          <w:sz w:val="20"/>
        </w:rPr>
        <w:t>-41,185</w:t>
      </w:r>
    </w:p>
    <w:p w14:paraId="4BEB22B4" w14:textId="42F31072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8.1.4.</w:t>
      </w:r>
      <w:r w:rsidR="0042087E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LEY DE INGRESOS DEVENGADA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42087E">
        <w:rPr>
          <w:rFonts w:ascii="Calibri" w:hAnsi="Calibri" w:cs="DIN Pro Regular"/>
          <w:sz w:val="20"/>
        </w:rPr>
        <w:t>221,101</w:t>
      </w:r>
    </w:p>
    <w:p w14:paraId="169F3AA5" w14:textId="6C242D84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8.1.5.</w:t>
      </w:r>
      <w:r w:rsidR="005D3E3A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LEY DE INGRESOS RECAUDADA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>221,101</w:t>
      </w:r>
    </w:p>
    <w:p w14:paraId="75998AF4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1E74A9A1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Cuentas de egresos</w:t>
      </w:r>
    </w:p>
    <w:p w14:paraId="7C9C4A0B" w14:textId="1DBB7098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8.2.1.</w:t>
      </w:r>
      <w:r w:rsidR="005D3E3A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PRESUPUESTO DE EGRESOS APROBADO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108A">
        <w:rPr>
          <w:rFonts w:ascii="Calibri" w:hAnsi="Calibri" w:cs="DIN Pro Regular"/>
          <w:sz w:val="20"/>
        </w:rPr>
        <w:t xml:space="preserve">               </w:t>
      </w:r>
      <w:r w:rsidR="005D3E3A">
        <w:rPr>
          <w:rFonts w:ascii="Calibri" w:hAnsi="Calibri" w:cs="DIN Pro Regular"/>
          <w:sz w:val="20"/>
        </w:rPr>
        <w:t>263,</w:t>
      </w:r>
      <w:r w:rsidR="00A651C3">
        <w:rPr>
          <w:rFonts w:ascii="Calibri" w:hAnsi="Calibri" w:cs="DIN Pro Regular"/>
          <w:sz w:val="20"/>
        </w:rPr>
        <w:t>6</w:t>
      </w:r>
      <w:r w:rsidR="005D3E3A">
        <w:rPr>
          <w:rFonts w:ascii="Calibri" w:hAnsi="Calibri" w:cs="DIN Pro Regular"/>
          <w:sz w:val="20"/>
        </w:rPr>
        <w:t>00</w:t>
      </w:r>
    </w:p>
    <w:p w14:paraId="12D18FEB" w14:textId="31AB6475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8.2.2.</w:t>
      </w:r>
      <w:r w:rsidR="005D3E3A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PRESUPUESTO DE EGRESOS POR EJERCER</w:t>
      </w:r>
      <w:r w:rsidR="005D3E3A">
        <w:rPr>
          <w:rFonts w:ascii="Calibri" w:hAnsi="Calibri" w:cs="DIN Pro Regular"/>
          <w:sz w:val="20"/>
        </w:rPr>
        <w:tab/>
        <w:t xml:space="preserve">        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 xml:space="preserve">            0</w:t>
      </w:r>
    </w:p>
    <w:p w14:paraId="0C8AF108" w14:textId="05E7B8D5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8.2.3.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MODIFICACIONES AL PRESUPUESTO DE EGRESOS APROBADO</w:t>
      </w:r>
      <w:r w:rsidR="005D3E3A">
        <w:rPr>
          <w:rFonts w:ascii="Calibri" w:hAnsi="Calibri" w:cs="DIN Pro Regular"/>
          <w:sz w:val="20"/>
        </w:rPr>
        <w:tab/>
      </w:r>
      <w:r w:rsidR="005D108A">
        <w:rPr>
          <w:rFonts w:ascii="Calibri" w:hAnsi="Calibri" w:cs="DIN Pro Regular"/>
          <w:sz w:val="20"/>
        </w:rPr>
        <w:t xml:space="preserve"> </w:t>
      </w:r>
      <w:r w:rsidR="005D3E3A">
        <w:rPr>
          <w:rFonts w:ascii="Calibri" w:hAnsi="Calibri" w:cs="DIN Pro Regular"/>
          <w:sz w:val="20"/>
        </w:rPr>
        <w:t>-41,185</w:t>
      </w:r>
    </w:p>
    <w:p w14:paraId="494D7E65" w14:textId="7DC08CC6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8.2.4.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>PRESUPUESTO DE EGRESOS COMPROMETIDO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>222,41</w:t>
      </w:r>
      <w:r w:rsidR="00F9451F">
        <w:rPr>
          <w:rFonts w:ascii="Calibri" w:hAnsi="Calibri" w:cs="DIN Pro Regular"/>
          <w:sz w:val="20"/>
        </w:rPr>
        <w:t>5</w:t>
      </w:r>
    </w:p>
    <w:p w14:paraId="3CF6D543" w14:textId="252EA2EA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8.2.5.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 xml:space="preserve">PRESUPUESTO DE EGRESOS </w:t>
      </w:r>
      <w:r w:rsidR="005D3E3A">
        <w:rPr>
          <w:rFonts w:ascii="Calibri" w:hAnsi="Calibri" w:cs="DIN Pro Regular"/>
          <w:sz w:val="20"/>
        </w:rPr>
        <w:t>DEVENGADO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>222,41</w:t>
      </w:r>
      <w:r w:rsidR="00F9451F">
        <w:rPr>
          <w:rFonts w:ascii="Calibri" w:hAnsi="Calibri" w:cs="DIN Pro Regular"/>
          <w:sz w:val="20"/>
        </w:rPr>
        <w:t>5</w:t>
      </w:r>
    </w:p>
    <w:p w14:paraId="64604CBF" w14:textId="108F23CC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8.2.6.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 xml:space="preserve">PRESUPUESTO DE EGRESOS </w:t>
      </w:r>
      <w:r w:rsidR="005D3E3A">
        <w:rPr>
          <w:rFonts w:ascii="Calibri" w:hAnsi="Calibri" w:cs="DIN Pro Regular"/>
          <w:sz w:val="20"/>
        </w:rPr>
        <w:t>EJERCIDO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>222,41</w:t>
      </w:r>
      <w:r w:rsidR="00F9451F">
        <w:rPr>
          <w:rFonts w:ascii="Calibri" w:hAnsi="Calibri" w:cs="DIN Pro Regular"/>
          <w:sz w:val="20"/>
        </w:rPr>
        <w:t>5</w:t>
      </w:r>
    </w:p>
    <w:p w14:paraId="5D6D1A52" w14:textId="33A2D204" w:rsidR="007006C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8.2.7.</w:t>
      </w:r>
      <w:r w:rsidR="005D3E3A">
        <w:rPr>
          <w:rFonts w:ascii="Calibri" w:hAnsi="Calibri" w:cs="DIN Pro Regular"/>
          <w:sz w:val="20"/>
        </w:rPr>
        <w:tab/>
      </w:r>
      <w:r w:rsidR="005D3E3A" w:rsidRPr="005D3E3A">
        <w:rPr>
          <w:rFonts w:ascii="Calibri" w:hAnsi="Calibri" w:cs="DIN Pro Regular"/>
          <w:sz w:val="20"/>
        </w:rPr>
        <w:t xml:space="preserve">PRESUPUESTO DE EGRESOS </w:t>
      </w:r>
      <w:r w:rsidR="005D3E3A">
        <w:rPr>
          <w:rFonts w:ascii="Calibri" w:hAnsi="Calibri" w:cs="DIN Pro Regular"/>
          <w:sz w:val="20"/>
        </w:rPr>
        <w:t>PAGADO</w:t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</w:r>
      <w:r w:rsidR="005D3E3A">
        <w:rPr>
          <w:rFonts w:ascii="Calibri" w:hAnsi="Calibri" w:cs="DIN Pro Regular"/>
          <w:sz w:val="20"/>
        </w:rPr>
        <w:tab/>
        <w:t>222,41</w:t>
      </w:r>
      <w:r w:rsidR="00F9451F">
        <w:rPr>
          <w:rFonts w:ascii="Calibri" w:hAnsi="Calibri" w:cs="DIN Pro Regular"/>
          <w:sz w:val="20"/>
        </w:rPr>
        <w:t>5</w:t>
      </w:r>
    </w:p>
    <w:p w14:paraId="3D979AF3" w14:textId="77777777"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7C2029FA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0E62E24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984F969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D612548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2E029D3" w14:textId="77777777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1CB1685C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CFD49B1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C00F4F2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BC1EC76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9995124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bookmarkStart w:id="0" w:name="_GoBack"/>
      <w:bookmarkEnd w:id="0"/>
    </w:p>
    <w:sectPr w:rsidR="000D5EFE" w:rsidRPr="00B31AAA" w:rsidSect="00F702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FF18" w14:textId="77777777" w:rsidR="00522ECA" w:rsidRDefault="00522ECA" w:rsidP="00EA5418">
      <w:pPr>
        <w:spacing w:after="0" w:line="240" w:lineRule="auto"/>
      </w:pPr>
      <w:r>
        <w:separator/>
      </w:r>
    </w:p>
  </w:endnote>
  <w:endnote w:type="continuationSeparator" w:id="0">
    <w:p w14:paraId="617D76EB" w14:textId="77777777" w:rsidR="00522ECA" w:rsidRDefault="00522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4E45" w14:textId="77777777" w:rsidR="00890055" w:rsidRPr="00241D8F" w:rsidRDefault="0039682E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9D38711" wp14:editId="42F18E63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D1EEA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F7023E" w:rsidRPr="00F7023E">
      <w:rPr>
        <w:rFonts w:ascii="Arial" w:hAnsi="Arial" w:cs="Arial"/>
        <w:noProof/>
        <w:lang w:val="es-ES"/>
      </w:rPr>
      <w:t>2</w:t>
    </w:r>
    <w:r w:rsidR="00890055" w:rsidRPr="00241D8F">
      <w:rPr>
        <w:rFonts w:ascii="Arial" w:hAnsi="Arial" w:cs="Arial"/>
      </w:rPr>
      <w:fldChar w:fldCharType="end"/>
    </w:r>
  </w:p>
  <w:p w14:paraId="38E08B07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8105" w14:textId="6E6AD90A" w:rsidR="00890055" w:rsidRPr="007818C6" w:rsidRDefault="00C7243C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7F04581" wp14:editId="67A74206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E9EAA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2F46FE" w:rsidRPr="002F46FE">
      <w:rPr>
        <w:rFonts w:ascii="Helvetica" w:hAnsi="Helvetica" w:cs="Arial"/>
        <w:noProof/>
        <w:lang w:val="es-ES"/>
      </w:rPr>
      <w:t>7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6790" w14:textId="77777777" w:rsidR="00522ECA" w:rsidRDefault="00522ECA" w:rsidP="00EA5418">
      <w:pPr>
        <w:spacing w:after="0" w:line="240" w:lineRule="auto"/>
      </w:pPr>
      <w:r>
        <w:separator/>
      </w:r>
    </w:p>
  </w:footnote>
  <w:footnote w:type="continuationSeparator" w:id="0">
    <w:p w14:paraId="4391B4B2" w14:textId="77777777" w:rsidR="00522ECA" w:rsidRDefault="00522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DE99" w14:textId="77777777" w:rsidR="00890055" w:rsidRDefault="0039682E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FF399A5" wp14:editId="0F59FD66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CCA0E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180047D1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D118" w14:textId="77777777" w:rsidR="00890055" w:rsidRDefault="00351DD9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</w:t>
                            </w:r>
                            <w:r w:rsidR="00497203"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</w:t>
                            </w:r>
                            <w:r w:rsidR="00C7243C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6AB438BE" w14:textId="77777777" w:rsidR="00C7243C" w:rsidRPr="008A011E" w:rsidRDefault="00C7243C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EF1C59D" w14:textId="77777777" w:rsidR="007075A0" w:rsidRDefault="007075A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C36E3CA" w14:textId="77777777" w:rsidR="00497203" w:rsidRDefault="00497203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20CD885D" w14:textId="77777777" w:rsidR="00351DD9" w:rsidRPr="00DC53C5" w:rsidRDefault="00351DD9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07F5124F" w14:textId="77777777" w:rsidR="00890055" w:rsidRPr="00DC53C5" w:rsidRDefault="00890055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399A5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169CCA0E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180047D1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087AD118" w14:textId="77777777"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6AB438BE" w14:textId="77777777"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EF1C59D" w14:textId="77777777"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C36E3CA" w14:textId="77777777"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20CD885D" w14:textId="77777777"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07F5124F" w14:textId="77777777"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7243C"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A5AFD36" wp14:editId="5FB0BB36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87288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 w:rsidR="00C724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8861" w14:textId="57FB932B" w:rsidR="00375C20" w:rsidRDefault="002F20F7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rFonts w:ascii="Encode Sans" w:hAnsi="Encode Sans" w:cs="Arial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346F18D7" wp14:editId="4A0894EA">
          <wp:simplePos x="0" y="0"/>
          <wp:positionH relativeFrom="column">
            <wp:posOffset>4705350</wp:posOffset>
          </wp:positionH>
          <wp:positionV relativeFrom="paragraph">
            <wp:posOffset>-94558</wp:posOffset>
          </wp:positionV>
          <wp:extent cx="1524000" cy="69272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314" cy="69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4CC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1A0AE21B" wp14:editId="16A65DC7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F406F" w14:textId="03AF07D0" w:rsidR="002F20F7" w:rsidRDefault="00C7243C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72357" wp14:editId="73936D43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828DC" id="Conector recto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 w:rsidR="009820D0">
      <w:rPr>
        <w:rFonts w:ascii="Encode Sans" w:hAnsi="Encode Sans" w:cs="Arial"/>
        <w:b/>
      </w:rPr>
      <w:t>Comisió</w:t>
    </w:r>
    <w:r w:rsidR="002F20F7">
      <w:rPr>
        <w:rFonts w:ascii="Encode Sans" w:hAnsi="Encode Sans" w:cs="Arial"/>
        <w:b/>
      </w:rPr>
      <w:t>n Municipal de Agua Potable</w:t>
    </w:r>
  </w:p>
  <w:p w14:paraId="6CBE9ECB" w14:textId="07685631" w:rsidR="002164CC" w:rsidRPr="00010BEF" w:rsidRDefault="002F20F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 xml:space="preserve"> y Alcantarillado de Cruillas</w:t>
    </w:r>
    <w:r w:rsidR="002164CC"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7515B00"/>
    <w:multiLevelType w:val="hybridMultilevel"/>
    <w:tmpl w:val="C214EE90"/>
    <w:lvl w:ilvl="0" w:tplc="080A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034E"/>
    <w:multiLevelType w:val="hybridMultilevel"/>
    <w:tmpl w:val="7A3E07EA"/>
    <w:lvl w:ilvl="0" w:tplc="1EECA09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649B"/>
    <w:rsid w:val="00050441"/>
    <w:rsid w:val="00067F40"/>
    <w:rsid w:val="000803D2"/>
    <w:rsid w:val="00093161"/>
    <w:rsid w:val="000931E9"/>
    <w:rsid w:val="000A6616"/>
    <w:rsid w:val="000B3006"/>
    <w:rsid w:val="000C7E64"/>
    <w:rsid w:val="000D5EFE"/>
    <w:rsid w:val="000E6439"/>
    <w:rsid w:val="0013011C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3A9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2F20F7"/>
    <w:rsid w:val="002F46FE"/>
    <w:rsid w:val="00306E20"/>
    <w:rsid w:val="00351DD9"/>
    <w:rsid w:val="00360513"/>
    <w:rsid w:val="00372F40"/>
    <w:rsid w:val="00375BBC"/>
    <w:rsid w:val="00375C20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2087E"/>
    <w:rsid w:val="00434C69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74F0"/>
    <w:rsid w:val="0059096B"/>
    <w:rsid w:val="00591EE2"/>
    <w:rsid w:val="005A137F"/>
    <w:rsid w:val="005B24BE"/>
    <w:rsid w:val="005D108A"/>
    <w:rsid w:val="005D3E3A"/>
    <w:rsid w:val="005E5C36"/>
    <w:rsid w:val="00600E8E"/>
    <w:rsid w:val="00626849"/>
    <w:rsid w:val="00655E50"/>
    <w:rsid w:val="006627F1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1310"/>
    <w:rsid w:val="0076444A"/>
    <w:rsid w:val="007658CB"/>
    <w:rsid w:val="007818C6"/>
    <w:rsid w:val="0079582C"/>
    <w:rsid w:val="007A5B39"/>
    <w:rsid w:val="007B5517"/>
    <w:rsid w:val="007D6E9A"/>
    <w:rsid w:val="007E4A53"/>
    <w:rsid w:val="007F08FA"/>
    <w:rsid w:val="008005C0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12A95"/>
    <w:rsid w:val="009426AC"/>
    <w:rsid w:val="00961E75"/>
    <w:rsid w:val="009820D0"/>
    <w:rsid w:val="009915EB"/>
    <w:rsid w:val="00994738"/>
    <w:rsid w:val="009B3AE6"/>
    <w:rsid w:val="009B7FAD"/>
    <w:rsid w:val="009C5C3A"/>
    <w:rsid w:val="009F503D"/>
    <w:rsid w:val="00A10572"/>
    <w:rsid w:val="00A35095"/>
    <w:rsid w:val="00A40022"/>
    <w:rsid w:val="00A651C3"/>
    <w:rsid w:val="00A65E01"/>
    <w:rsid w:val="00A74F12"/>
    <w:rsid w:val="00A752B2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2781A"/>
    <w:rsid w:val="00B31AAA"/>
    <w:rsid w:val="00B368BA"/>
    <w:rsid w:val="00B5038E"/>
    <w:rsid w:val="00B6051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60BF2"/>
    <w:rsid w:val="00C71B04"/>
    <w:rsid w:val="00C7243C"/>
    <w:rsid w:val="00C7736C"/>
    <w:rsid w:val="00C80663"/>
    <w:rsid w:val="00C80DE1"/>
    <w:rsid w:val="00C9777A"/>
    <w:rsid w:val="00CC2371"/>
    <w:rsid w:val="00CD0037"/>
    <w:rsid w:val="00CF242F"/>
    <w:rsid w:val="00D0206A"/>
    <w:rsid w:val="00D055EC"/>
    <w:rsid w:val="00D10273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A4748"/>
    <w:rsid w:val="00EA5418"/>
    <w:rsid w:val="00EB26B0"/>
    <w:rsid w:val="00EB37D6"/>
    <w:rsid w:val="00EB4758"/>
    <w:rsid w:val="00EC7D4B"/>
    <w:rsid w:val="00ED118F"/>
    <w:rsid w:val="00EF2D81"/>
    <w:rsid w:val="00F45C83"/>
    <w:rsid w:val="00F4664C"/>
    <w:rsid w:val="00F47114"/>
    <w:rsid w:val="00F5422F"/>
    <w:rsid w:val="00F7023E"/>
    <w:rsid w:val="00F9451F"/>
    <w:rsid w:val="00FB1010"/>
    <w:rsid w:val="00FC75EE"/>
    <w:rsid w:val="00FD2B3A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7B55204E"/>
  <w15:docId w15:val="{15C5D32D-C8F2-4F9E-AD5F-1921138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8D3A-EEF1-4345-A9AA-B40025E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2316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61</cp:revision>
  <cp:lastPrinted>2024-02-15T19:25:00Z</cp:lastPrinted>
  <dcterms:created xsi:type="dcterms:W3CDTF">2021-01-09T00:40:00Z</dcterms:created>
  <dcterms:modified xsi:type="dcterms:W3CDTF">2024-02-28T15:54:00Z</dcterms:modified>
</cp:coreProperties>
</file>