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F0" w:rsidRDefault="00983EF0" w:rsidP="00BC1954">
      <w:pPr>
        <w:spacing w:after="0"/>
        <w:rPr>
          <w:rFonts w:ascii="Encode Sans" w:hAnsi="Encode Sans" w:cs="Arial"/>
          <w:b/>
        </w:rPr>
      </w:pPr>
    </w:p>
    <w:p w:rsidR="00685D1E" w:rsidRPr="00BC1954" w:rsidRDefault="008C71D4" w:rsidP="00BC1954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FD7DA6" w:rsidRPr="0067447A" w:rsidRDefault="00716D12" w:rsidP="0067447A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tbl>
      <w:tblPr>
        <w:tblpPr w:leftFromText="141" w:rightFromText="141" w:vertAnchor="text" w:horzAnchor="margin" w:tblpXSpec="center" w:tblpY="238"/>
        <w:tblW w:w="11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3880"/>
        <w:gridCol w:w="1060"/>
        <w:gridCol w:w="1343"/>
        <w:gridCol w:w="1180"/>
        <w:gridCol w:w="1078"/>
        <w:gridCol w:w="1060"/>
        <w:gridCol w:w="1240"/>
      </w:tblGrid>
      <w:tr w:rsidR="0067447A" w:rsidRPr="0067447A" w:rsidTr="00E96342">
        <w:trPr>
          <w:trHeight w:val="300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5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Subejercicio</w:t>
            </w:r>
          </w:p>
        </w:tc>
      </w:tr>
      <w:tr w:rsidR="0067447A" w:rsidRPr="0067447A" w:rsidTr="00E96342">
        <w:trPr>
          <w:trHeight w:val="765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Ampliaciones/ (Reducciones)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67447A" w:rsidRPr="0067447A" w:rsidTr="00E96342">
        <w:trPr>
          <w:trHeight w:val="300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 = (1 + 2 )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:rsidR="0067447A" w:rsidRPr="00E96342" w:rsidRDefault="0067447A" w:rsidP="006744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E96342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6 = ( 3 - 4 )</w:t>
            </w:r>
          </w:p>
        </w:tc>
      </w:tr>
      <w:tr w:rsidR="0067447A" w:rsidRPr="0067447A" w:rsidTr="0067447A">
        <w:trPr>
          <w:trHeight w:val="405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OBRA PUBLICA EN BIENES PROPIOS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51,849,885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51,849,885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49,996,210</w:t>
            </w:r>
          </w:p>
        </w:tc>
      </w:tr>
      <w:tr w:rsidR="0067447A" w:rsidRPr="0067447A" w:rsidTr="0067447A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EDIFICIO NO HABITACIONAL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7447A" w:rsidRPr="0067447A" w:rsidTr="0067447A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CONSTRUCCION CIUDAD JUDICIAL REYNOSA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67447A" w:rsidRPr="0067447A" w:rsidTr="0067447A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CONSTRUCCION CIUDAD JUDICIAL VICTORIA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49,996,210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49,996,210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49,996,210</w:t>
            </w:r>
          </w:p>
        </w:tc>
      </w:tr>
      <w:tr w:rsidR="0067447A" w:rsidRPr="0067447A" w:rsidTr="0067447A">
        <w:trPr>
          <w:trHeight w:val="300"/>
        </w:trPr>
        <w:tc>
          <w:tcPr>
            <w:tcW w:w="11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47A" w:rsidRPr="0067447A" w:rsidRDefault="0067447A" w:rsidP="0062189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EN DICIEMBRE DEL 2020, PREVIA AUTORIZACION DEL PLENO DEL CONSEJO DE LA JUDICATURA LOCAL, SE COMPROMETIERON RECURSOS EXCEDENTES DE ORIGEN PROPIO ESTATAL, MISMOS QUE ESTABAN DESTINADOS ORIGINALMENTE A LA REALIZACIÓN DE PROYECTOS DE MEJORAS EN LA INFRAESTRUCTURA DE ESTE PODER JUDICIAL, EN BENEFICIO DE USUARIOS TANTO INTERNOS COMO EXTERNOS Y QUE CON MOTIVO DE LA PANDEMIA ORIGINADA POR EL VIRUS SARS-COV-2 (COVID-19) NO FUE POSIBLE REALIZAR, ACORDANDOSE SE COMPROMETIERAN PARA LA EJECUCION DEL </w:t>
            </w:r>
            <w:r w:rsidRPr="0067447A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PROYECTO DE OBRA PUBLICA QUE ABARCA MAS DE UN EJERCICIO PRESUPUESTAL</w:t>
            </w: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"CONTRUCCION DE LA CIUDAD JUDICIAL REYNOSA". LOS PRODUCTOS FINANCIEROS GENERADOS POR ESTE RECURSO SE ADICIONA AL IMPORTE DESTINADO PARA ESTE PROYECTO. AL CIERRE </w:t>
            </w:r>
            <w:r w:rsidR="0062189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DEL </w:t>
            </w: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2023 LA OBRA ESTA EN SU FASE FINAL EN REVISION DE LA ENTREGA </w:t>
            </w:r>
            <w:r w:rsidR="0062189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RECEPCION</w:t>
            </w: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DE LA MISMA.</w:t>
            </w:r>
          </w:p>
        </w:tc>
      </w:tr>
      <w:tr w:rsidR="0067447A" w:rsidRPr="0067447A" w:rsidTr="0067447A">
        <w:trPr>
          <w:trHeight w:val="300"/>
        </w:trPr>
        <w:tc>
          <w:tcPr>
            <w:tcW w:w="11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7447A" w:rsidRPr="0067447A" w:rsidTr="0067447A">
        <w:trPr>
          <w:trHeight w:val="300"/>
        </w:trPr>
        <w:tc>
          <w:tcPr>
            <w:tcW w:w="11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7447A" w:rsidRPr="0067447A" w:rsidTr="0067447A">
        <w:trPr>
          <w:trHeight w:val="270"/>
        </w:trPr>
        <w:tc>
          <w:tcPr>
            <w:tcW w:w="11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7447A" w:rsidRPr="0067447A" w:rsidTr="0067447A">
        <w:trPr>
          <w:trHeight w:val="270"/>
        </w:trPr>
        <w:tc>
          <w:tcPr>
            <w:tcW w:w="11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7447A" w:rsidRPr="0067447A" w:rsidTr="0067447A">
        <w:trPr>
          <w:trHeight w:val="195"/>
        </w:trPr>
        <w:tc>
          <w:tcPr>
            <w:tcW w:w="11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7447A" w:rsidRPr="0067447A" w:rsidTr="0067447A">
        <w:trPr>
          <w:trHeight w:val="459"/>
        </w:trPr>
        <w:tc>
          <w:tcPr>
            <w:tcW w:w="11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47A" w:rsidRPr="0067447A" w:rsidRDefault="0067447A" w:rsidP="00970F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EN DICIEMBRE DEL 2023, PREVIA AUTORIZACION DEL PLENO DEL CONSEJO DE LA JUDICATURA LOCAL, SE COMPROMETIERO</w:t>
            </w:r>
            <w:r w:rsidR="00901A2E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N RECURSOS EXCEDENTES DE ORIGEN </w:t>
            </w:r>
            <w:r w:rsidRPr="0067447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ESTATAL, POR UN MONTO DE $49'996.209.64 PARA LA EJECUCION DEL </w:t>
            </w:r>
            <w:r w:rsidRPr="0067447A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PROYECTO DE OBRA PUBLICA "CONSTRUCCIÓN CIUDAD JUDICIAL VICTORIA"</w:t>
            </w:r>
          </w:p>
        </w:tc>
      </w:tr>
      <w:tr w:rsidR="0067447A" w:rsidRPr="0067447A" w:rsidTr="0067447A">
        <w:trPr>
          <w:trHeight w:val="1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7447A" w:rsidRPr="0067447A" w:rsidTr="0067447A">
        <w:trPr>
          <w:trHeight w:val="30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51,849,885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51,849,885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1,853,675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7A" w:rsidRPr="0067447A" w:rsidRDefault="0067447A" w:rsidP="0067447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49,996,210</w:t>
            </w:r>
          </w:p>
        </w:tc>
      </w:tr>
    </w:tbl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BC1954" w:rsidRDefault="00BC1954" w:rsidP="00F8794C">
      <w:pPr>
        <w:rPr>
          <w:rFonts w:cs="DIN Pro Regular"/>
        </w:rPr>
      </w:pPr>
    </w:p>
    <w:p w:rsidR="00BC1954" w:rsidRDefault="00BC1954" w:rsidP="00F8794C">
      <w:pPr>
        <w:rPr>
          <w:rFonts w:cs="DIN Pro Regular"/>
        </w:rPr>
      </w:pPr>
    </w:p>
    <w:p w:rsidR="00BC1954" w:rsidRDefault="00BC1954" w:rsidP="00F8794C">
      <w:pPr>
        <w:rPr>
          <w:rFonts w:cs="DIN Pro Regular"/>
        </w:rPr>
      </w:pPr>
    </w:p>
    <w:p w:rsidR="00BC1954" w:rsidRDefault="00BC1954" w:rsidP="00F8794C">
      <w:pPr>
        <w:rPr>
          <w:rFonts w:cs="DIN Pro Regular"/>
        </w:rPr>
      </w:pPr>
    </w:p>
    <w:p w:rsidR="00BC1954" w:rsidRDefault="00BC1954" w:rsidP="00F8794C">
      <w:pPr>
        <w:rPr>
          <w:rFonts w:cs="DIN Pro Regular"/>
        </w:rPr>
      </w:pPr>
    </w:p>
    <w:p w:rsidR="00BC1954" w:rsidRDefault="00BC195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Default="004C5C47" w:rsidP="00F8794C">
      <w:pPr>
        <w:rPr>
          <w:rFonts w:cs="DIN Pro Regular"/>
        </w:rPr>
      </w:pPr>
    </w:p>
    <w:p w:rsidR="00A72FE6" w:rsidRDefault="00A72FE6" w:rsidP="00F8794C">
      <w:pPr>
        <w:rPr>
          <w:rFonts w:cs="DIN Pro Regular"/>
        </w:rPr>
      </w:pPr>
      <w:bookmarkStart w:id="0" w:name="_GoBack"/>
      <w:bookmarkEnd w:id="0"/>
    </w:p>
    <w:sectPr w:rsidR="00A72FE6" w:rsidSect="0067447A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39" w:rsidRDefault="00600739" w:rsidP="00EA5418">
      <w:pPr>
        <w:spacing w:after="0" w:line="240" w:lineRule="auto"/>
      </w:pPr>
      <w:r>
        <w:separator/>
      </w:r>
    </w:p>
  </w:endnote>
  <w:endnote w:type="continuationSeparator" w:id="0">
    <w:p w:rsidR="00600739" w:rsidRDefault="006007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A2899" id="12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CD39CB" w:rsidRPr="00CD39CB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39" w:rsidRDefault="00600739" w:rsidP="00EA5418">
      <w:pPr>
        <w:spacing w:after="0" w:line="240" w:lineRule="auto"/>
      </w:pPr>
      <w:r>
        <w:separator/>
      </w:r>
    </w:p>
  </w:footnote>
  <w:footnote w:type="continuationSeparator" w:id="0">
    <w:p w:rsidR="00600739" w:rsidRDefault="006007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89pt;margin-top:-21.9pt;width:288.6pt;height:34pt;z-index:251658752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D77BC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B2" w:rsidRDefault="00BC1954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7564755</wp:posOffset>
          </wp:positionH>
          <wp:positionV relativeFrom="paragraph">
            <wp:posOffset>-359410</wp:posOffset>
          </wp:positionV>
          <wp:extent cx="1123950" cy="857250"/>
          <wp:effectExtent l="0" t="0" r="0" b="0"/>
          <wp:wrapSquare wrapText="bothSides"/>
          <wp:docPr id="1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72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168F" w:rsidRPr="00D6558F" w:rsidRDefault="006B168F" w:rsidP="006B168F">
    <w:pPr>
      <w:pStyle w:val="Encabezado"/>
      <w:jc w:val="center"/>
      <w:rPr>
        <w:rFonts w:ascii="Encode Sans" w:hAnsi="Encode Sans" w:cs="DIN Pro Regular"/>
        <w:b/>
      </w:rPr>
    </w:pPr>
    <w:r w:rsidRPr="00D6558F">
      <w:rPr>
        <w:rFonts w:ascii="Encode Sans" w:hAnsi="Encode Sans" w:cs="DIN Pro Regular"/>
        <w:b/>
      </w:rPr>
      <w:t>Supremo Tribunal de Justicia del Estado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4781"/>
    <w:rsid w:val="000C61AD"/>
    <w:rsid w:val="0013011C"/>
    <w:rsid w:val="001677F5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C4398"/>
    <w:rsid w:val="002D4934"/>
    <w:rsid w:val="0030500F"/>
    <w:rsid w:val="00306EB8"/>
    <w:rsid w:val="00372F40"/>
    <w:rsid w:val="003D2188"/>
    <w:rsid w:val="003D5DBF"/>
    <w:rsid w:val="003E35BF"/>
    <w:rsid w:val="003E7FD0"/>
    <w:rsid w:val="0041796A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0739"/>
    <w:rsid w:val="006048D2"/>
    <w:rsid w:val="00611E39"/>
    <w:rsid w:val="00621894"/>
    <w:rsid w:val="00640AD2"/>
    <w:rsid w:val="00654A54"/>
    <w:rsid w:val="0065609A"/>
    <w:rsid w:val="0067447A"/>
    <w:rsid w:val="00685D1E"/>
    <w:rsid w:val="006B168F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B759A"/>
    <w:rsid w:val="008C71D4"/>
    <w:rsid w:val="008E3652"/>
    <w:rsid w:val="00901A2E"/>
    <w:rsid w:val="00921C8B"/>
    <w:rsid w:val="009363F3"/>
    <w:rsid w:val="00964DBF"/>
    <w:rsid w:val="00970F5B"/>
    <w:rsid w:val="00983EF0"/>
    <w:rsid w:val="009B1FDD"/>
    <w:rsid w:val="009B241F"/>
    <w:rsid w:val="009E4EBB"/>
    <w:rsid w:val="009F13CA"/>
    <w:rsid w:val="009F4C24"/>
    <w:rsid w:val="009F7331"/>
    <w:rsid w:val="00A00780"/>
    <w:rsid w:val="00A0596E"/>
    <w:rsid w:val="00A22B46"/>
    <w:rsid w:val="00A63CC2"/>
    <w:rsid w:val="00A72FE6"/>
    <w:rsid w:val="00A97D2E"/>
    <w:rsid w:val="00AB13B7"/>
    <w:rsid w:val="00AD3FED"/>
    <w:rsid w:val="00B57302"/>
    <w:rsid w:val="00B67BCE"/>
    <w:rsid w:val="00B849EE"/>
    <w:rsid w:val="00B92E66"/>
    <w:rsid w:val="00BC1954"/>
    <w:rsid w:val="00C007B6"/>
    <w:rsid w:val="00C15DE7"/>
    <w:rsid w:val="00C51F69"/>
    <w:rsid w:val="00C64694"/>
    <w:rsid w:val="00C65E96"/>
    <w:rsid w:val="00C87107"/>
    <w:rsid w:val="00C87368"/>
    <w:rsid w:val="00C87E02"/>
    <w:rsid w:val="00CB17A2"/>
    <w:rsid w:val="00CB7A6A"/>
    <w:rsid w:val="00CC33B2"/>
    <w:rsid w:val="00CD39CB"/>
    <w:rsid w:val="00D055EC"/>
    <w:rsid w:val="00D25ECD"/>
    <w:rsid w:val="00D51261"/>
    <w:rsid w:val="00D94FEC"/>
    <w:rsid w:val="00D96220"/>
    <w:rsid w:val="00DE01FF"/>
    <w:rsid w:val="00E032BD"/>
    <w:rsid w:val="00E32708"/>
    <w:rsid w:val="00E43946"/>
    <w:rsid w:val="00E96342"/>
    <w:rsid w:val="00EA5418"/>
    <w:rsid w:val="00EC2893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7746C-F5EC-41A5-9839-C67B276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74A1-1708-4B0D-BAF2-011EB669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</cp:revision>
  <cp:lastPrinted>2024-02-06T21:54:00Z</cp:lastPrinted>
  <dcterms:created xsi:type="dcterms:W3CDTF">2024-02-12T23:57:00Z</dcterms:created>
  <dcterms:modified xsi:type="dcterms:W3CDTF">2024-02-12T23:57:00Z</dcterms:modified>
</cp:coreProperties>
</file>