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5DA" w:rsidRPr="0066506B" w:rsidRDefault="009E65DA" w:rsidP="009E65DA">
      <w:pPr>
        <w:pStyle w:val="NormalWeb"/>
        <w:spacing w:before="0" w:beforeAutospacing="0" w:after="0" w:afterAutospacing="0"/>
        <w:jc w:val="both"/>
        <w:rPr>
          <w:rFonts w:asciiTheme="minorHAnsi" w:hAnsiTheme="minorHAnsi" w:cstheme="minorHAnsi"/>
          <w:b/>
          <w:sz w:val="22"/>
        </w:rPr>
      </w:pPr>
      <w:r w:rsidRPr="0066506B">
        <w:rPr>
          <w:rFonts w:asciiTheme="minorHAnsi" w:hAnsiTheme="minorHAnsi" w:cstheme="minorHAnsi"/>
          <w:b/>
          <w:sz w:val="22"/>
        </w:rPr>
        <w:t xml:space="preserve">1.- Panorama Económico y Financiero </w:t>
      </w:r>
      <w:r w:rsidR="008E48E4" w:rsidRPr="0066506B">
        <w:rPr>
          <w:rFonts w:asciiTheme="minorHAnsi" w:hAnsiTheme="minorHAnsi" w:cstheme="minorHAnsi"/>
          <w:b/>
          <w:sz w:val="22"/>
        </w:rPr>
        <w:t>al cierre del</w:t>
      </w:r>
      <w:r w:rsidRPr="0066506B">
        <w:rPr>
          <w:rFonts w:asciiTheme="minorHAnsi" w:hAnsiTheme="minorHAnsi" w:cstheme="minorHAnsi"/>
          <w:b/>
          <w:sz w:val="22"/>
        </w:rPr>
        <w:t xml:space="preserve"> ejercicio 2023.</w:t>
      </w:r>
    </w:p>
    <w:p w:rsidR="009E65DA" w:rsidRPr="0066506B" w:rsidRDefault="009E65DA" w:rsidP="009E65DA">
      <w:pPr>
        <w:pStyle w:val="NormalWeb"/>
        <w:spacing w:before="0" w:beforeAutospacing="0" w:after="0" w:afterAutospacing="0"/>
        <w:jc w:val="both"/>
        <w:rPr>
          <w:rFonts w:asciiTheme="minorHAnsi" w:hAnsiTheme="minorHAnsi" w:cstheme="minorHAnsi"/>
          <w:b/>
          <w:sz w:val="22"/>
        </w:rPr>
      </w:pPr>
    </w:p>
    <w:p w:rsidR="009E65DA" w:rsidRPr="0066506B" w:rsidRDefault="009E65DA" w:rsidP="009E65DA">
      <w:pPr>
        <w:pStyle w:val="NormalWeb"/>
        <w:spacing w:before="0" w:beforeAutospacing="0" w:after="0" w:afterAutospacing="0"/>
        <w:jc w:val="both"/>
        <w:rPr>
          <w:rFonts w:asciiTheme="minorHAnsi" w:hAnsiTheme="minorHAnsi" w:cstheme="minorHAnsi"/>
          <w:b/>
          <w:sz w:val="22"/>
        </w:rPr>
      </w:pPr>
      <w:r w:rsidRPr="0066506B">
        <w:rPr>
          <w:rFonts w:asciiTheme="minorHAnsi" w:hAnsiTheme="minorHAnsi" w:cstheme="minorHAnsi"/>
          <w:b/>
          <w:sz w:val="22"/>
        </w:rPr>
        <w:t>1.1.1.- Panorama Económico Internacional.</w:t>
      </w:r>
    </w:p>
    <w:p w:rsidR="009E65DA" w:rsidRPr="008027D9" w:rsidRDefault="009E65DA" w:rsidP="009E65DA">
      <w:pPr>
        <w:pStyle w:val="NormalWeb"/>
        <w:jc w:val="both"/>
        <w:rPr>
          <w:rFonts w:asciiTheme="minorHAnsi" w:hAnsiTheme="minorHAnsi" w:cstheme="minorHAnsi"/>
          <w:sz w:val="20"/>
          <w:szCs w:val="20"/>
        </w:rPr>
      </w:pPr>
      <w:r w:rsidRPr="008027D9">
        <w:rPr>
          <w:rFonts w:asciiTheme="minorHAnsi" w:hAnsiTheme="minorHAnsi" w:cstheme="minorHAnsi"/>
          <w:sz w:val="20"/>
          <w:szCs w:val="20"/>
        </w:rPr>
        <w:t>La economía mundial está en mejor situación que hace un año: el riesgo de una recesión mundial ha disminuido, en gran parte debido a la fortaleza de la economía de Estados Unidos. Pero las crecientes tensiones geopolíticas podrían crear nuevos peligros a corto plazo para la economía mundial. Al mismo tiempo, las perspectivas a mediano plazo de muchas economías en desarrollo se han ensombrecido en medio de la desaceleración del crecimiento en la mayoría de las principales economías, la lentitud del comercio mundial y las condiciones financieras más restrictivas de las últimas décadas. Se prevé que en 2024 el crecimiento del comercio mundial será solo la mitad del promedio registrado en la década anterior a la pandemia. Asimismo, es probable que los costos de endeudamiento para las economías en desarrollo sobre todo las que tienen malas calificaciones crediticias sigan siendo elevados, puesto que las tasas de interés mundiales se estancaron en niveles máximos de cuatro décadas en términos ajustados por inflación.</w:t>
      </w:r>
    </w:p>
    <w:p w:rsidR="009E65DA" w:rsidRPr="008027D9" w:rsidRDefault="009E65DA" w:rsidP="009E65DA">
      <w:pPr>
        <w:pStyle w:val="NormalWeb"/>
        <w:spacing w:before="0" w:beforeAutospacing="0" w:after="0" w:afterAutospacing="0"/>
        <w:jc w:val="both"/>
        <w:rPr>
          <w:rFonts w:asciiTheme="minorHAnsi" w:hAnsiTheme="minorHAnsi" w:cstheme="minorHAnsi"/>
          <w:sz w:val="20"/>
          <w:szCs w:val="20"/>
        </w:rPr>
      </w:pPr>
      <w:r w:rsidRPr="008027D9">
        <w:rPr>
          <w:rFonts w:asciiTheme="minorHAnsi" w:hAnsiTheme="minorHAnsi" w:cstheme="minorHAnsi"/>
          <w:sz w:val="20"/>
          <w:szCs w:val="20"/>
        </w:rPr>
        <w:t>Así mismo se prevé que el crecimiento mundial se desacelerará por tercer año consecutivo, y pasará del 2,6 % registrado el año pasado al 2,4% en 2024, esto es, casi tres cuartos de punto porcentual por debajo del promedio de la década de 2010.  Según las proyecciones, las economías en desarrollo crecerán solo un 3,9 %, más de un punto porcentual por debajo del promedio registrado en la década anterior. Luego de mostrar un desempeño decepcionante el año pasado, los países de ingreso bajo crecerán un 5,5 %, menos de lo esperado. A finales de 2024, la población de aproximadamente uno de cada cuatro países en desarrollo y alrededor del 40 % de los países de ingreso bajo seguirá siendo más pobre de lo que era antes de la pandemia de COVID-19. En las economías avanzadas, por su parte, se prevé que en 2024 el crecimiento se desacelerará y pasará del 1,5 % registrado en 2023 al 1,2 %.</w:t>
      </w:r>
    </w:p>
    <w:p w:rsidR="009E65DA" w:rsidRPr="008027D9" w:rsidRDefault="000F0A75" w:rsidP="009E65DA">
      <w:pPr>
        <w:pStyle w:val="NormalWeb"/>
        <w:jc w:val="both"/>
        <w:rPr>
          <w:rFonts w:asciiTheme="minorHAnsi" w:hAnsiTheme="minorHAnsi" w:cstheme="minorHAnsi"/>
          <w:sz w:val="20"/>
          <w:szCs w:val="20"/>
        </w:rPr>
      </w:pPr>
      <w:r w:rsidRPr="008027D9">
        <w:rPr>
          <w:rFonts w:asciiTheme="minorHAnsi" w:hAnsiTheme="minorHAnsi" w:cstheme="minorHAnsi"/>
          <w:sz w:val="20"/>
          <w:szCs w:val="20"/>
        </w:rPr>
        <w:t>Para el cierre del año</w:t>
      </w:r>
      <w:r w:rsidR="009E65DA" w:rsidRPr="008027D9">
        <w:rPr>
          <w:rFonts w:asciiTheme="minorHAnsi" w:hAnsiTheme="minorHAnsi" w:cstheme="minorHAnsi"/>
          <w:sz w:val="20"/>
          <w:szCs w:val="20"/>
        </w:rPr>
        <w:t>, el entorno global ha seguido dominado por una dinámica que combina, por una parte, una inflación a la baja y, por la otra, una resiliencia en la actividad económica más extendida de lo inicialmente previsto. Ello ha configurado un escenario más equilibrado entre actividad y precios para el resto de 2023, en detrimento de un 2024 que plantea tanto menores opciones de un nuevo repunte inflacionario como más probabilidades de enfrentar un crecimiento económico más deficiente y con menos puntos de apoyo. Esta imagen general evidencia que la problemática de la inflación se hace cada vez más pequeña en espejo retrovisor, al tiempo que los tipos de interés reales positivos son cada vez más frecuentes, extendiéndose a lo largo de toda la curva de rendimientos y permitiendo a los principales bancos centrales trasmitir la sensación de que la política monetaria también ha alcanzado, o está cerca de alcanzar, su punto máximo. Si bien esta es la panorámica general, las divergencias entre las distintas economías y regiones se vuelven cada vez más amplias, en medio de un escenario geopolítico desafiante, en el que destaca el ataque de Hamás a Israel, el cual conlleva el riesgo de reacción más amplia en Oriente Medio, y sus perturbaciones, por el lado de oferta, podrían suponer un nuevo desafío macroeconómico a nivel global.</w:t>
      </w:r>
    </w:p>
    <w:p w:rsidR="009E65DA" w:rsidRPr="008027D9" w:rsidRDefault="009E65DA" w:rsidP="009E65DA">
      <w:pPr>
        <w:pStyle w:val="NormalWeb"/>
        <w:jc w:val="both"/>
        <w:rPr>
          <w:rFonts w:asciiTheme="minorHAnsi" w:hAnsiTheme="minorHAnsi" w:cstheme="minorHAnsi"/>
          <w:sz w:val="20"/>
          <w:szCs w:val="20"/>
        </w:rPr>
      </w:pPr>
      <w:r w:rsidRPr="008027D9">
        <w:rPr>
          <w:rFonts w:asciiTheme="minorHAnsi" w:hAnsiTheme="minorHAnsi" w:cstheme="minorHAnsi"/>
          <w:sz w:val="20"/>
          <w:szCs w:val="20"/>
        </w:rPr>
        <w:t>Atendiendo a la dinámica de la actividad económica, los amortiguadores del crecimiento han seguido siendo, de una parte, el consumo privado, impulsado tanto por los remanentes del ahorro acumulado como por la fortaleza generalizada del empleo y, de otra, las amplias fuentes de apoyo fiscal. Ambas variables probablemente hayan sido infravaloradas a lo largo del año. En el caso del consumo privado, en términos de la capacidad de gasto por quintiles de ingreso (por lo que se refiere al ahorro acumulado) y de la insensibilidad de los mercados laborales al endurecimiento monetario global y, tratándose de las fuentes de apoyo fiscal, por la capacidad y expansión de los paquetes de gasto de los gobiernos, pilar relevante en las economías desarrolladas, cuya insostenibilidad comienza a advertirse tanto en las nuevas emisiones como bajo el prisma de las primas por plazo.</w:t>
      </w:r>
    </w:p>
    <w:p w:rsidR="009E65DA" w:rsidRPr="008027D9" w:rsidRDefault="009E65DA" w:rsidP="009E65DA">
      <w:pPr>
        <w:pStyle w:val="NormalWeb"/>
        <w:jc w:val="both"/>
        <w:rPr>
          <w:rFonts w:asciiTheme="minorHAnsi" w:hAnsiTheme="minorHAnsi" w:cstheme="minorHAnsi"/>
          <w:sz w:val="20"/>
          <w:szCs w:val="20"/>
        </w:rPr>
      </w:pPr>
      <w:r w:rsidRPr="008027D9">
        <w:rPr>
          <w:rFonts w:asciiTheme="minorHAnsi" w:hAnsiTheme="minorHAnsi" w:cstheme="minorHAnsi"/>
          <w:sz w:val="20"/>
          <w:szCs w:val="20"/>
        </w:rPr>
        <w:t xml:space="preserve">Por el lado de la inflación, la trayectoria descendente de los precios se ha seguido consolidando de la mano de la normalización de las cadenas de suministro, de efectos base de los precios de la energía, y de cierto paso hacia una desaceleración más amplia en los componentes de la cesta. No obstante, la reducción del ritmo inflacionario no ha terminado de alcanzar el grado deseado en términos tanto de tasa presente como de inflación esperada, superando </w:t>
      </w:r>
      <w:r w:rsidRPr="008027D9">
        <w:rPr>
          <w:rFonts w:asciiTheme="minorHAnsi" w:hAnsiTheme="minorHAnsi" w:cstheme="minorHAnsi"/>
          <w:sz w:val="20"/>
          <w:szCs w:val="20"/>
        </w:rPr>
        <w:lastRenderedPageBreak/>
        <w:t xml:space="preserve">en ambos momentos el objetivo marcado por los diferentes bancos centrales y constatando que la política económica aún debe de ejercer un contrapeso frente a multitud de factores coyunturales y a diferentes grados de sensibilidad a los tipos de interés, así como a factores estructurales que surgieron a raíz de la pandemia, como son la transición energética, la </w:t>
      </w:r>
      <w:proofErr w:type="spellStart"/>
      <w:r w:rsidRPr="008027D9">
        <w:rPr>
          <w:rFonts w:asciiTheme="minorHAnsi" w:hAnsiTheme="minorHAnsi" w:cstheme="minorHAnsi"/>
          <w:sz w:val="20"/>
          <w:szCs w:val="20"/>
        </w:rPr>
        <w:t>desglobalización</w:t>
      </w:r>
      <w:proofErr w:type="spellEnd"/>
      <w:r w:rsidRPr="008027D9">
        <w:rPr>
          <w:rFonts w:asciiTheme="minorHAnsi" w:hAnsiTheme="minorHAnsi" w:cstheme="minorHAnsi"/>
          <w:sz w:val="20"/>
          <w:szCs w:val="20"/>
        </w:rPr>
        <w:t>, la escasez relativa de mano de obra, el proteccionismo de recursos y el mayor protagonismo de la política fiscal.</w:t>
      </w:r>
    </w:p>
    <w:p w:rsidR="009E65DA" w:rsidRPr="008027D9" w:rsidRDefault="009E65DA" w:rsidP="001457BE">
      <w:pPr>
        <w:pStyle w:val="NormalWeb"/>
        <w:jc w:val="both"/>
        <w:rPr>
          <w:rFonts w:asciiTheme="minorHAnsi" w:hAnsiTheme="minorHAnsi" w:cstheme="minorHAnsi"/>
          <w:sz w:val="20"/>
          <w:szCs w:val="20"/>
        </w:rPr>
      </w:pPr>
      <w:r w:rsidRPr="008027D9">
        <w:rPr>
          <w:rFonts w:asciiTheme="minorHAnsi" w:hAnsiTheme="minorHAnsi" w:cstheme="minorHAnsi"/>
          <w:sz w:val="20"/>
          <w:szCs w:val="20"/>
        </w:rPr>
        <w:t>En este punto, la dicotomía entre actividad económica y precios con la que comenzó el ciclo de endurecimiento monetario global ha pasado presentar una situación más equilibrada entre ambas variables, aunque sujeta a un entorno cada vez más desafiante y tensionado por el lado de la geopolítica. En términos de actividad, tanto los elevados niveles de endurecimiento alcanzados como la incertidumbre en torno al impacto efectivo de los rezagos, sugieren que las probabilidades de shock de demanda siguen siendo elevadas. Al mismo tiempo, por el lado de la inflación, si bien la senda configurada hasta la fecha es positiva, existe el riesgo de un obstáculo adicional con el repunte de los precios de la energía ante el actual conflicto de Oriente Medio, evidenciando la posibilidad de que el riesgo de hacer demasiado poco siga vigente y, con ello, que el estado actual del ciclo monetario no se pueda considerar como cercano a su finalización.</w:t>
      </w:r>
    </w:p>
    <w:p w:rsidR="009E65DA" w:rsidRPr="008027D9" w:rsidRDefault="009E65DA" w:rsidP="001457BE">
      <w:pPr>
        <w:pStyle w:val="NormalWeb"/>
        <w:jc w:val="both"/>
        <w:rPr>
          <w:rFonts w:asciiTheme="minorHAnsi" w:hAnsiTheme="minorHAnsi" w:cstheme="minorHAnsi"/>
          <w:b/>
          <w:bCs/>
          <w:sz w:val="22"/>
        </w:rPr>
      </w:pPr>
      <w:r w:rsidRPr="008027D9">
        <w:rPr>
          <w:rFonts w:asciiTheme="minorHAnsi" w:hAnsiTheme="minorHAnsi" w:cstheme="minorHAnsi"/>
          <w:b/>
          <w:bCs/>
          <w:sz w:val="22"/>
        </w:rPr>
        <w:t xml:space="preserve">1.1.2.- Mercado de </w:t>
      </w:r>
      <w:r w:rsidR="00BE2484" w:rsidRPr="008027D9">
        <w:rPr>
          <w:rFonts w:asciiTheme="minorHAnsi" w:hAnsiTheme="minorHAnsi" w:cstheme="minorHAnsi"/>
          <w:b/>
          <w:bCs/>
          <w:sz w:val="22"/>
        </w:rPr>
        <w:t>valores. -</w:t>
      </w:r>
    </w:p>
    <w:p w:rsidR="009E65DA" w:rsidRPr="008027D9" w:rsidRDefault="009E65DA" w:rsidP="001457BE">
      <w:pPr>
        <w:pStyle w:val="NormalWeb"/>
        <w:jc w:val="both"/>
        <w:rPr>
          <w:rFonts w:asciiTheme="minorHAnsi" w:hAnsiTheme="minorHAnsi" w:cstheme="minorHAnsi"/>
          <w:sz w:val="20"/>
          <w:szCs w:val="22"/>
        </w:rPr>
      </w:pPr>
      <w:r w:rsidRPr="008027D9">
        <w:rPr>
          <w:rFonts w:asciiTheme="minorHAnsi" w:hAnsiTheme="minorHAnsi" w:cstheme="minorHAnsi"/>
          <w:sz w:val="20"/>
          <w:szCs w:val="22"/>
        </w:rPr>
        <w:t xml:space="preserve">El 2023 se termina con un tono optimista en los mercados financieros internacionales, especialmente los de Estados Unidos, que han reaccionado con rachas ganadoras tanto en los mercados accionarios como en los mercados de bonos, a los cambios hechos por la Reserva Federal en su comunicación. En su decisión de política monetaria más reciente, dejaron ver en sus pronósticos que la baja en su tasa de interés de referencia podría comenzar en el 2024, lo que tuvo un fuerte impacto sobre las expectativas de los inversionistas, que comenzaron a descontar más de los 75 puntos de baja que arrojaba el promedio de los pronósticos de los miembros del Fed. El Presidente del </w:t>
      </w:r>
      <w:proofErr w:type="spellStart"/>
      <w:r w:rsidRPr="008027D9">
        <w:rPr>
          <w:rFonts w:asciiTheme="minorHAnsi" w:hAnsiTheme="minorHAnsi" w:cstheme="minorHAnsi"/>
          <w:sz w:val="20"/>
          <w:szCs w:val="22"/>
        </w:rPr>
        <w:t>Fed</w:t>
      </w:r>
      <w:proofErr w:type="spellEnd"/>
      <w:r w:rsidRPr="008027D9">
        <w:rPr>
          <w:rFonts w:asciiTheme="minorHAnsi" w:hAnsiTheme="minorHAnsi" w:cstheme="minorHAnsi"/>
          <w:sz w:val="20"/>
          <w:szCs w:val="22"/>
        </w:rPr>
        <w:t>, Jerome Powell, advirtió que actuarían conforme fuera necesario, pero los mercados se enfocaron en la posibilidad de que pronto iniciaría un ciclo de baja en las tasas. Si llegara a presentarse una sorpresa de alza importante en la inflación que cambiara esta expectativa, los mercados financieros podrían mostrar ajustes importantes y volatilidad elevada.</w:t>
      </w:r>
    </w:p>
    <w:p w:rsidR="009E65DA" w:rsidRPr="008027D9" w:rsidRDefault="009E65DA" w:rsidP="001457BE">
      <w:pPr>
        <w:pStyle w:val="NormalWeb"/>
        <w:jc w:val="both"/>
        <w:rPr>
          <w:rFonts w:asciiTheme="minorHAnsi" w:hAnsiTheme="minorHAnsi" w:cstheme="minorHAnsi"/>
          <w:sz w:val="20"/>
          <w:szCs w:val="22"/>
        </w:rPr>
      </w:pPr>
      <w:r w:rsidRPr="008027D9">
        <w:rPr>
          <w:rFonts w:asciiTheme="minorHAnsi" w:hAnsiTheme="minorHAnsi" w:cstheme="minorHAnsi"/>
          <w:sz w:val="20"/>
          <w:szCs w:val="22"/>
        </w:rPr>
        <w:t xml:space="preserve">Al cierre de diciembre, las acciones nacionales ampliaron su repunte, pues registraron su novena semana consecutiva de ganancias positivas. El índice S&amp;P 500® tuvo un aumento del 4.5 % durante el mes y el índice </w:t>
      </w:r>
      <w:proofErr w:type="spellStart"/>
      <w:r w:rsidRPr="008027D9">
        <w:rPr>
          <w:rFonts w:asciiTheme="minorHAnsi" w:hAnsiTheme="minorHAnsi" w:cstheme="minorHAnsi"/>
          <w:sz w:val="20"/>
          <w:szCs w:val="22"/>
        </w:rPr>
        <w:t>All-Cap</w:t>
      </w:r>
      <w:proofErr w:type="spellEnd"/>
      <w:r w:rsidRPr="008027D9">
        <w:rPr>
          <w:rFonts w:asciiTheme="minorHAnsi" w:hAnsiTheme="minorHAnsi" w:cstheme="minorHAnsi"/>
          <w:sz w:val="20"/>
          <w:szCs w:val="22"/>
        </w:rPr>
        <w:t xml:space="preserve"> Russell 3000® tuvo una ganancia del 5.3 %.</w:t>
      </w:r>
    </w:p>
    <w:p w:rsidR="009E65DA" w:rsidRPr="008027D9" w:rsidRDefault="009E65DA" w:rsidP="001457BE">
      <w:pPr>
        <w:pStyle w:val="NormalWeb"/>
        <w:jc w:val="both"/>
        <w:rPr>
          <w:rFonts w:asciiTheme="minorHAnsi" w:hAnsiTheme="minorHAnsi" w:cstheme="minorHAnsi"/>
          <w:sz w:val="20"/>
          <w:szCs w:val="22"/>
        </w:rPr>
      </w:pPr>
      <w:r w:rsidRPr="008027D9">
        <w:rPr>
          <w:rFonts w:asciiTheme="minorHAnsi" w:hAnsiTheme="minorHAnsi" w:cstheme="minorHAnsi"/>
          <w:sz w:val="20"/>
          <w:szCs w:val="22"/>
        </w:rPr>
        <w:t xml:space="preserve">En su reunión de diciembre, el Comité Federal del Mercado Abierto publicó un “diagrama de puntos” actualizado que notablemente eliminó los posibles aumentos de las tasas de interés e indicó tres posibles reducciones de las tasas en 2024, lo que supone dos aumentos más que los anunciados en la reunión de septiembre. El mercado sigue siendo más optimista que la Reserva Federal, pues se han </w:t>
      </w:r>
      <w:proofErr w:type="spellStart"/>
      <w:r w:rsidRPr="008027D9">
        <w:rPr>
          <w:rFonts w:asciiTheme="minorHAnsi" w:hAnsiTheme="minorHAnsi" w:cstheme="minorHAnsi"/>
          <w:sz w:val="20"/>
          <w:szCs w:val="22"/>
        </w:rPr>
        <w:t>tasado</w:t>
      </w:r>
      <w:proofErr w:type="spellEnd"/>
      <w:r w:rsidRPr="008027D9">
        <w:rPr>
          <w:rFonts w:asciiTheme="minorHAnsi" w:hAnsiTheme="minorHAnsi" w:cstheme="minorHAnsi"/>
          <w:sz w:val="20"/>
          <w:szCs w:val="22"/>
        </w:rPr>
        <w:t xml:space="preserve"> seis reducciones de tasas en los fondos federales futuros en 2024. Sin embargo, a falta de una recesión moderada o severa, consideramos que la </w:t>
      </w:r>
      <w:proofErr w:type="spellStart"/>
      <w:r w:rsidRPr="008027D9">
        <w:rPr>
          <w:rFonts w:asciiTheme="minorHAnsi" w:hAnsiTheme="minorHAnsi" w:cstheme="minorHAnsi"/>
          <w:sz w:val="20"/>
          <w:szCs w:val="22"/>
        </w:rPr>
        <w:t>Fed</w:t>
      </w:r>
      <w:proofErr w:type="spellEnd"/>
      <w:r w:rsidRPr="008027D9">
        <w:rPr>
          <w:rFonts w:asciiTheme="minorHAnsi" w:hAnsiTheme="minorHAnsi" w:cstheme="minorHAnsi"/>
          <w:sz w:val="20"/>
          <w:szCs w:val="22"/>
        </w:rPr>
        <w:t xml:space="preserve"> empleará un enfoque más gradual con respecto a la política de flexibilización.</w:t>
      </w:r>
    </w:p>
    <w:p w:rsidR="009E65DA" w:rsidRPr="008027D9" w:rsidRDefault="009E65DA" w:rsidP="001457BE">
      <w:pPr>
        <w:pStyle w:val="NormalWeb"/>
        <w:jc w:val="both"/>
        <w:rPr>
          <w:rFonts w:asciiTheme="minorHAnsi" w:hAnsiTheme="minorHAnsi" w:cstheme="minorHAnsi"/>
          <w:sz w:val="22"/>
          <w:szCs w:val="22"/>
        </w:rPr>
      </w:pPr>
      <w:r w:rsidRPr="008027D9">
        <w:rPr>
          <w:rFonts w:asciiTheme="minorHAnsi" w:hAnsiTheme="minorHAnsi" w:cstheme="minorHAnsi"/>
          <w:sz w:val="20"/>
          <w:szCs w:val="22"/>
        </w:rPr>
        <w:t xml:space="preserve">A diferencia del resto de 2023, los líderes del mercado fueron más generalizados durante el repunte de diciembre, lo que se debió en gran medida a la disminución de las tasas de interés a largo plazo. El índice KBW Bank, que es más sensible a las tasas de interés, tuvo una recuperación del 13.3 % en diciembre, mientas que el índice MSCI US IMI Real Estate 25-50 tuvo un aumento del 9.2 %. Además, las áreas más cíclicas del mercado superaron el rendimiento del pequeño grupo de acciones de mega capitalización que lideraron a principios del año. Asimismo, las acciones de capitalización baja y media tuvieron un buen rendimiento, ya que el índice Russell 2000®tuvo un incremento del 12.2 % y el índice </w:t>
      </w:r>
      <w:proofErr w:type="spellStart"/>
      <w:r w:rsidRPr="008027D9">
        <w:rPr>
          <w:rFonts w:asciiTheme="minorHAnsi" w:hAnsiTheme="minorHAnsi" w:cstheme="minorHAnsi"/>
          <w:sz w:val="20"/>
          <w:szCs w:val="22"/>
        </w:rPr>
        <w:t>S&amp;P</w:t>
      </w:r>
      <w:proofErr w:type="spellEnd"/>
      <w:r w:rsidRPr="008027D9">
        <w:rPr>
          <w:rFonts w:asciiTheme="minorHAnsi" w:hAnsiTheme="minorHAnsi" w:cstheme="minorHAnsi"/>
          <w:sz w:val="20"/>
          <w:szCs w:val="22"/>
        </w:rPr>
        <w:t xml:space="preserve"> </w:t>
      </w:r>
      <w:proofErr w:type="spellStart"/>
      <w:r w:rsidRPr="008027D9">
        <w:rPr>
          <w:rFonts w:asciiTheme="minorHAnsi" w:hAnsiTheme="minorHAnsi" w:cstheme="minorHAnsi"/>
          <w:sz w:val="20"/>
          <w:szCs w:val="22"/>
        </w:rPr>
        <w:t>MidCap</w:t>
      </w:r>
      <w:proofErr w:type="spellEnd"/>
      <w:r w:rsidRPr="008027D9">
        <w:rPr>
          <w:rFonts w:asciiTheme="minorHAnsi" w:hAnsiTheme="minorHAnsi" w:cstheme="minorHAnsi"/>
          <w:sz w:val="20"/>
          <w:szCs w:val="22"/>
        </w:rPr>
        <w:t xml:space="preserve"> 400® tuvo un aumento del 8.7 %. Sin embargo, pese al repunte de fin de año, sigue habiendo una brecha de valuación considerable entre los líderes del año y el resto del mercado.</w:t>
      </w:r>
    </w:p>
    <w:p w:rsidR="009E65DA" w:rsidRPr="009E65DA" w:rsidRDefault="009E65DA" w:rsidP="001457BE">
      <w:pPr>
        <w:pStyle w:val="NormalWeb"/>
        <w:jc w:val="both"/>
        <w:rPr>
          <w:rFonts w:asciiTheme="minorHAnsi" w:hAnsiTheme="minorHAnsi" w:cstheme="minorHAnsi"/>
          <w:color w:val="333333"/>
          <w:sz w:val="22"/>
          <w:szCs w:val="22"/>
        </w:rPr>
      </w:pPr>
    </w:p>
    <w:p w:rsidR="009E65DA" w:rsidRPr="0066506B" w:rsidRDefault="009E65DA" w:rsidP="001457BE">
      <w:pPr>
        <w:pStyle w:val="NormalWeb"/>
        <w:jc w:val="both"/>
        <w:rPr>
          <w:rFonts w:asciiTheme="minorHAnsi" w:hAnsiTheme="minorHAnsi" w:cstheme="minorHAnsi"/>
          <w:color w:val="333333"/>
          <w:sz w:val="22"/>
        </w:rPr>
      </w:pPr>
      <w:r w:rsidRPr="0066506B">
        <w:rPr>
          <w:rFonts w:asciiTheme="minorHAnsi" w:hAnsiTheme="minorHAnsi" w:cstheme="minorHAnsi"/>
          <w:b/>
          <w:bCs/>
          <w:sz w:val="22"/>
        </w:rPr>
        <w:lastRenderedPageBreak/>
        <w:t>1.1.3.- Producto Interno Bruto.-</w:t>
      </w:r>
    </w:p>
    <w:p w:rsidR="009E65DA" w:rsidRPr="0066506B" w:rsidRDefault="009E65DA" w:rsidP="001457BE">
      <w:pPr>
        <w:spacing w:before="100" w:beforeAutospacing="1" w:after="100" w:afterAutospacing="1" w:line="240" w:lineRule="auto"/>
        <w:jc w:val="both"/>
        <w:rPr>
          <w:rFonts w:asciiTheme="minorHAnsi" w:hAnsiTheme="minorHAnsi" w:cstheme="minorHAnsi"/>
          <w:sz w:val="20"/>
        </w:rPr>
      </w:pPr>
      <w:r w:rsidRPr="0066506B">
        <w:rPr>
          <w:rFonts w:asciiTheme="minorHAnsi" w:hAnsiTheme="minorHAnsi" w:cstheme="minorHAnsi"/>
          <w:sz w:val="20"/>
        </w:rPr>
        <w:t>Aunque tanto el gasto del consumidor como los datos del mercado laboral siguen demostrando la resiliencia de la economía estadounidense, aún abundan las señales de debilitamiento. En su revisión definitiva, el PIB del tercer trimestre tuvo una revisión a la baja a una tasa anualizada del 4.9 %, en comparación con la estimación anterior del 5.2 %. El crecimiento fue impulsado por el aumento del gasto en inversión empresarial y gasto gubernamental y por el consumo personal, el cual fue revisado a la baja de 3.6 % a 3.1 %. Pese a la revisión a la baja, el consumo personal aún experimentó su segunda lectura más alta en dos años, ya que la actividad del consumidor aún no se ha visto afectada considerablemente por la inflación elevada y las altas tasas de interés.</w:t>
      </w:r>
    </w:p>
    <w:p w:rsidR="009E65DA" w:rsidRPr="0066506B" w:rsidRDefault="009E65DA" w:rsidP="001457BE">
      <w:pPr>
        <w:spacing w:before="100" w:beforeAutospacing="1" w:after="100" w:afterAutospacing="1" w:line="240" w:lineRule="auto"/>
        <w:jc w:val="both"/>
        <w:rPr>
          <w:rFonts w:asciiTheme="minorHAnsi" w:hAnsiTheme="minorHAnsi" w:cstheme="minorHAnsi"/>
          <w:sz w:val="20"/>
        </w:rPr>
      </w:pPr>
      <w:r w:rsidRPr="0066506B">
        <w:rPr>
          <w:rFonts w:asciiTheme="minorHAnsi" w:hAnsiTheme="minorHAnsi" w:cstheme="minorHAnsi"/>
          <w:sz w:val="20"/>
        </w:rPr>
        <w:t>El mercado laboral está comenzando a mostrar señales de debilidad, ya que el informe de nómina de la media móvil a seis meses ha caído por debajo de su nivel previo a la pandemia, ubicándose en 186,000. Si bien el informe de nómina de diciembre indicó que la tasa de desempleo cayó del 3.9 % al 3.7 % durante el mes anterior, el número de peticiones de subsidio por desempleo continuas aumentó y la media móvil a cuatro semanas alcanzó un nuevo nivel máximo en dos años a mediados de diciembre. Se espera que la debilidad continua del mercado laboral afecte el gasto del consumidor.</w:t>
      </w:r>
    </w:p>
    <w:p w:rsidR="009E65DA" w:rsidRPr="0066506B" w:rsidRDefault="009E65DA" w:rsidP="001457BE">
      <w:pPr>
        <w:pStyle w:val="Ttulo2"/>
        <w:spacing w:before="100" w:beforeAutospacing="1" w:after="100" w:afterAutospacing="1" w:line="240" w:lineRule="auto"/>
        <w:jc w:val="both"/>
        <w:rPr>
          <w:rFonts w:asciiTheme="minorHAnsi" w:hAnsiTheme="minorHAnsi" w:cstheme="minorHAnsi"/>
          <w:b/>
          <w:color w:val="000000" w:themeColor="text1"/>
          <w:sz w:val="22"/>
          <w:szCs w:val="24"/>
        </w:rPr>
      </w:pPr>
      <w:r w:rsidRPr="0066506B">
        <w:rPr>
          <w:rFonts w:asciiTheme="minorHAnsi" w:hAnsiTheme="minorHAnsi" w:cstheme="minorHAnsi"/>
          <w:b/>
          <w:color w:val="000000" w:themeColor="text1"/>
          <w:sz w:val="22"/>
          <w:szCs w:val="24"/>
        </w:rPr>
        <w:t xml:space="preserve">1.1.4.- </w:t>
      </w:r>
      <w:r w:rsidR="001457BE" w:rsidRPr="0066506B">
        <w:rPr>
          <w:rFonts w:asciiTheme="minorHAnsi" w:hAnsiTheme="minorHAnsi" w:cstheme="minorHAnsi"/>
          <w:b/>
          <w:color w:val="000000" w:themeColor="text1"/>
          <w:sz w:val="22"/>
          <w:szCs w:val="24"/>
        </w:rPr>
        <w:t>Inflación. -</w:t>
      </w:r>
    </w:p>
    <w:p w:rsidR="009E65DA" w:rsidRPr="0066506B" w:rsidRDefault="009E65DA" w:rsidP="001457BE">
      <w:pPr>
        <w:spacing w:before="100" w:beforeAutospacing="1" w:after="100" w:afterAutospacing="1" w:line="240" w:lineRule="auto"/>
        <w:jc w:val="both"/>
        <w:rPr>
          <w:rFonts w:asciiTheme="minorHAnsi" w:hAnsiTheme="minorHAnsi" w:cstheme="minorHAnsi"/>
          <w:sz w:val="20"/>
        </w:rPr>
      </w:pPr>
      <w:r w:rsidRPr="0066506B">
        <w:rPr>
          <w:rFonts w:asciiTheme="minorHAnsi" w:hAnsiTheme="minorHAnsi" w:cstheme="minorHAnsi"/>
          <w:sz w:val="20"/>
        </w:rPr>
        <w:t xml:space="preserve">La lectura del Índice de Precios al Consumidor (CPI) de noviembre se moderó para ubicarse en 3.1 %, lo que supone una disminución respecto del 3.2 % observado en octubre, lo que coincide con las estimaciones de consenso. El CPI básico (que excluye los sectores de alimentos y energía) no tuvo cambios al ubicarse en 4.0 %, pero se sigue ubicando en su nivel más bajo en más de dos años. El indicador de inflación preferido de la </w:t>
      </w:r>
      <w:proofErr w:type="spellStart"/>
      <w:r w:rsidRPr="0066506B">
        <w:rPr>
          <w:rFonts w:asciiTheme="minorHAnsi" w:hAnsiTheme="minorHAnsi" w:cstheme="minorHAnsi"/>
          <w:sz w:val="20"/>
        </w:rPr>
        <w:t>Fed</w:t>
      </w:r>
      <w:proofErr w:type="spellEnd"/>
      <w:r w:rsidRPr="0066506B">
        <w:rPr>
          <w:rFonts w:asciiTheme="minorHAnsi" w:hAnsiTheme="minorHAnsi" w:cstheme="minorHAnsi"/>
          <w:sz w:val="20"/>
        </w:rPr>
        <w:t>, el índice de precios de gastos de consumo personales básicos (PCE), continuó moderándose al caer del 3.5 % al 3.2 %, su nivel más bajo desde abril de 2021. Pese a dichas disminuciones, tanto el CPI como el PCE se siguen ubicando por encima del objetivo del 2 % de la Fed. Se espera que la inflación elevada y las tasas de interés restrictivas afecten las ganancias y ejerzan presión en la rentabilidad corporativa en los próximos trimestres.</w:t>
      </w:r>
    </w:p>
    <w:p w:rsidR="009E65DA" w:rsidRDefault="009E65DA" w:rsidP="008027D9">
      <w:pPr>
        <w:spacing w:after="0" w:line="240" w:lineRule="auto"/>
        <w:jc w:val="both"/>
        <w:rPr>
          <w:rFonts w:asciiTheme="minorHAnsi" w:hAnsiTheme="minorHAnsi" w:cstheme="minorHAnsi"/>
          <w:sz w:val="20"/>
        </w:rPr>
      </w:pPr>
      <w:r w:rsidRPr="0066506B">
        <w:rPr>
          <w:rFonts w:asciiTheme="minorHAnsi" w:hAnsiTheme="minorHAnsi" w:cstheme="minorHAnsi"/>
          <w:sz w:val="20"/>
        </w:rPr>
        <w:t xml:space="preserve">Los rendimientos de los bonos del Tesoro de Estados Unidos a diez años tuvieron una caída de 45 puntos base (bps) durante el mes y actualmente se ubican 111 bps por debajo del nivel máximo en 16 años observado a mediados de octubre. Esta disminución drástica y rápida respaldó un sólido retorno mensual adicional para el índice </w:t>
      </w:r>
      <w:proofErr w:type="spellStart"/>
      <w:r w:rsidRPr="0066506B">
        <w:rPr>
          <w:rFonts w:asciiTheme="minorHAnsi" w:hAnsiTheme="minorHAnsi" w:cstheme="minorHAnsi"/>
          <w:sz w:val="20"/>
        </w:rPr>
        <w:t>Bloomberg</w:t>
      </w:r>
      <w:proofErr w:type="spellEnd"/>
      <w:r w:rsidRPr="0066506B">
        <w:rPr>
          <w:rFonts w:asciiTheme="minorHAnsi" w:hAnsiTheme="minorHAnsi" w:cstheme="minorHAnsi"/>
          <w:sz w:val="20"/>
        </w:rPr>
        <w:t xml:space="preserve"> </w:t>
      </w:r>
      <w:proofErr w:type="spellStart"/>
      <w:r w:rsidRPr="0066506B">
        <w:rPr>
          <w:rFonts w:asciiTheme="minorHAnsi" w:hAnsiTheme="minorHAnsi" w:cstheme="minorHAnsi"/>
          <w:sz w:val="20"/>
        </w:rPr>
        <w:t>U.S</w:t>
      </w:r>
      <w:proofErr w:type="spellEnd"/>
      <w:r w:rsidRPr="0066506B">
        <w:rPr>
          <w:rFonts w:asciiTheme="minorHAnsi" w:hAnsiTheme="minorHAnsi" w:cstheme="minorHAnsi"/>
          <w:sz w:val="20"/>
        </w:rPr>
        <w:t xml:space="preserve">. </w:t>
      </w:r>
      <w:proofErr w:type="spellStart"/>
      <w:r w:rsidRPr="0066506B">
        <w:rPr>
          <w:rFonts w:asciiTheme="minorHAnsi" w:hAnsiTheme="minorHAnsi" w:cstheme="minorHAnsi"/>
          <w:sz w:val="20"/>
        </w:rPr>
        <w:t>Aggregate</w:t>
      </w:r>
      <w:proofErr w:type="spellEnd"/>
      <w:r w:rsidRPr="0066506B">
        <w:rPr>
          <w:rFonts w:asciiTheme="minorHAnsi" w:hAnsiTheme="minorHAnsi" w:cstheme="minorHAnsi"/>
          <w:sz w:val="20"/>
        </w:rPr>
        <w:t>, el cual tuvo un incremento del 3.8 %, lo que representa el mejor rendimiento trimestral del índice desde 1989.</w:t>
      </w:r>
    </w:p>
    <w:p w:rsidR="008027D9" w:rsidRDefault="008027D9" w:rsidP="008027D9">
      <w:pPr>
        <w:spacing w:after="0" w:line="240" w:lineRule="auto"/>
        <w:jc w:val="both"/>
        <w:rPr>
          <w:rFonts w:asciiTheme="minorHAnsi" w:hAnsiTheme="minorHAnsi" w:cstheme="minorHAnsi"/>
          <w:sz w:val="20"/>
        </w:rPr>
      </w:pPr>
    </w:p>
    <w:p w:rsidR="008027D9" w:rsidRPr="0066506B" w:rsidRDefault="008027D9" w:rsidP="008027D9">
      <w:pPr>
        <w:spacing w:after="0" w:line="240" w:lineRule="auto"/>
        <w:jc w:val="both"/>
        <w:rPr>
          <w:rFonts w:asciiTheme="minorHAnsi" w:hAnsiTheme="minorHAnsi" w:cstheme="minorHAnsi"/>
          <w:sz w:val="20"/>
        </w:rPr>
      </w:pPr>
    </w:p>
    <w:p w:rsidR="009E65DA" w:rsidRPr="0066506B" w:rsidRDefault="009E65DA" w:rsidP="008027D9">
      <w:pPr>
        <w:spacing w:after="120" w:line="240" w:lineRule="auto"/>
        <w:jc w:val="both"/>
        <w:rPr>
          <w:rFonts w:asciiTheme="minorHAnsi" w:hAnsiTheme="minorHAnsi" w:cstheme="minorHAnsi"/>
          <w:b/>
          <w:bCs/>
          <w:szCs w:val="24"/>
        </w:rPr>
      </w:pPr>
      <w:r w:rsidRPr="0066506B">
        <w:rPr>
          <w:rFonts w:asciiTheme="minorHAnsi" w:hAnsiTheme="minorHAnsi" w:cstheme="minorHAnsi"/>
          <w:b/>
          <w:bCs/>
          <w:szCs w:val="24"/>
        </w:rPr>
        <w:t xml:space="preserve">1.2.- Escenarios Económicos para México al </w:t>
      </w:r>
      <w:r w:rsidR="000F0A75" w:rsidRPr="0066506B">
        <w:rPr>
          <w:rFonts w:asciiTheme="minorHAnsi" w:hAnsiTheme="minorHAnsi" w:cstheme="minorHAnsi"/>
          <w:b/>
          <w:bCs/>
          <w:szCs w:val="24"/>
        </w:rPr>
        <w:t xml:space="preserve">Cierre del Ejercicio </w:t>
      </w:r>
      <w:r w:rsidRPr="0066506B">
        <w:rPr>
          <w:rFonts w:asciiTheme="minorHAnsi" w:hAnsiTheme="minorHAnsi" w:cstheme="minorHAnsi"/>
          <w:b/>
          <w:bCs/>
          <w:szCs w:val="24"/>
        </w:rPr>
        <w:t xml:space="preserve">2023. </w:t>
      </w:r>
    </w:p>
    <w:p w:rsidR="009E65DA" w:rsidRPr="0066506B" w:rsidRDefault="009E65DA" w:rsidP="008027D9">
      <w:pPr>
        <w:pStyle w:val="NormalWeb"/>
        <w:spacing w:before="0" w:beforeAutospacing="0" w:after="120" w:afterAutospacing="0"/>
        <w:rPr>
          <w:rFonts w:asciiTheme="minorHAnsi" w:hAnsiTheme="minorHAnsi" w:cstheme="minorHAnsi"/>
          <w:b/>
          <w:bCs/>
          <w:sz w:val="22"/>
        </w:rPr>
      </w:pPr>
      <w:r w:rsidRPr="0066506B">
        <w:rPr>
          <w:rFonts w:asciiTheme="minorHAnsi" w:hAnsiTheme="minorHAnsi" w:cstheme="minorHAnsi"/>
          <w:b/>
          <w:bCs/>
          <w:sz w:val="22"/>
        </w:rPr>
        <w:t xml:space="preserve">1.2.1.- Producto Interno Bruto del </w:t>
      </w:r>
      <w:proofErr w:type="spellStart"/>
      <w:r w:rsidRPr="0066506B">
        <w:rPr>
          <w:rFonts w:asciiTheme="minorHAnsi" w:hAnsiTheme="minorHAnsi" w:cstheme="minorHAnsi"/>
          <w:b/>
          <w:bCs/>
          <w:sz w:val="22"/>
        </w:rPr>
        <w:t>país</w:t>
      </w:r>
      <w:proofErr w:type="spellEnd"/>
      <w:r w:rsidRPr="0066506B">
        <w:rPr>
          <w:rFonts w:asciiTheme="minorHAnsi" w:hAnsiTheme="minorHAnsi" w:cstheme="minorHAnsi"/>
          <w:b/>
          <w:bCs/>
          <w:sz w:val="22"/>
        </w:rPr>
        <w:t xml:space="preserve"> </w:t>
      </w:r>
      <w:proofErr w:type="gramStart"/>
      <w:r w:rsidRPr="0066506B">
        <w:rPr>
          <w:rFonts w:asciiTheme="minorHAnsi" w:hAnsiTheme="minorHAnsi" w:cstheme="minorHAnsi"/>
          <w:b/>
          <w:bCs/>
          <w:sz w:val="22"/>
        </w:rPr>
        <w:t>PIB.-</w:t>
      </w:r>
      <w:proofErr w:type="gramEnd"/>
    </w:p>
    <w:p w:rsidR="009E65DA" w:rsidRPr="0066506B" w:rsidRDefault="009E65DA" w:rsidP="001457BE">
      <w:pPr>
        <w:pStyle w:val="NormalWeb"/>
        <w:rPr>
          <w:rFonts w:asciiTheme="minorHAnsi" w:hAnsiTheme="minorHAnsi" w:cstheme="minorHAnsi"/>
          <w:sz w:val="20"/>
          <w:szCs w:val="22"/>
        </w:rPr>
      </w:pPr>
      <w:r w:rsidRPr="0066506B">
        <w:rPr>
          <w:rFonts w:asciiTheme="minorHAnsi" w:hAnsiTheme="minorHAnsi" w:cstheme="minorHAnsi"/>
          <w:sz w:val="20"/>
          <w:szCs w:val="22"/>
        </w:rPr>
        <w:t>El Producto Interno Bruto Trimestral (PIB) ofrece, en el corto plazo, una visión oportuna, completa y coherente de la evolución de las actividades económicas del país.</w:t>
      </w:r>
    </w:p>
    <w:p w:rsidR="009E65DA" w:rsidRPr="0066506B" w:rsidRDefault="00451480" w:rsidP="001457BE">
      <w:pPr>
        <w:pStyle w:val="NormalWeb"/>
        <w:rPr>
          <w:rFonts w:asciiTheme="minorHAnsi" w:hAnsiTheme="minorHAnsi" w:cstheme="minorHAnsi"/>
          <w:sz w:val="20"/>
          <w:szCs w:val="22"/>
        </w:rPr>
      </w:pPr>
      <w:r w:rsidRPr="0066506B">
        <w:rPr>
          <w:rFonts w:asciiTheme="minorHAnsi" w:hAnsiTheme="minorHAnsi" w:cstheme="minorHAnsi"/>
          <w:sz w:val="20"/>
          <w:szCs w:val="22"/>
        </w:rPr>
        <w:t xml:space="preserve">Durante el </w:t>
      </w:r>
      <w:r w:rsidR="00BE2484" w:rsidRPr="0066506B">
        <w:rPr>
          <w:rFonts w:asciiTheme="minorHAnsi" w:hAnsiTheme="minorHAnsi" w:cstheme="minorHAnsi"/>
          <w:sz w:val="20"/>
          <w:szCs w:val="22"/>
        </w:rPr>
        <w:t>ejercicio</w:t>
      </w:r>
      <w:r w:rsidR="00BE2484">
        <w:rPr>
          <w:rFonts w:asciiTheme="minorHAnsi" w:hAnsiTheme="minorHAnsi" w:cstheme="minorHAnsi"/>
          <w:sz w:val="20"/>
          <w:szCs w:val="22"/>
        </w:rPr>
        <w:t xml:space="preserve"> </w:t>
      </w:r>
      <w:r w:rsidR="00BE2484" w:rsidRPr="0066506B">
        <w:rPr>
          <w:rFonts w:asciiTheme="minorHAnsi" w:hAnsiTheme="minorHAnsi" w:cstheme="minorHAnsi"/>
          <w:sz w:val="20"/>
          <w:szCs w:val="22"/>
        </w:rPr>
        <w:t>de</w:t>
      </w:r>
      <w:r w:rsidR="009E65DA" w:rsidRPr="0066506B">
        <w:rPr>
          <w:rFonts w:asciiTheme="minorHAnsi" w:hAnsiTheme="minorHAnsi" w:cstheme="minorHAnsi"/>
          <w:sz w:val="20"/>
          <w:szCs w:val="22"/>
        </w:rPr>
        <w:t xml:space="preserve"> 2023 y con cifras </w:t>
      </w:r>
      <w:proofErr w:type="spellStart"/>
      <w:r w:rsidR="009E65DA" w:rsidRPr="0066506B">
        <w:rPr>
          <w:rFonts w:asciiTheme="minorHAnsi" w:hAnsiTheme="minorHAnsi" w:cstheme="minorHAnsi"/>
          <w:sz w:val="20"/>
          <w:szCs w:val="22"/>
        </w:rPr>
        <w:t>desestacionalizadas</w:t>
      </w:r>
      <w:proofErr w:type="spellEnd"/>
      <w:r w:rsidR="009E65DA" w:rsidRPr="0066506B">
        <w:rPr>
          <w:rFonts w:asciiTheme="minorHAnsi" w:hAnsiTheme="minorHAnsi" w:cstheme="minorHAnsi"/>
          <w:sz w:val="20"/>
          <w:szCs w:val="22"/>
        </w:rPr>
        <w:t>, el PIB aumentó 1.1 % a tasa trimestral, en términos reales.</w:t>
      </w:r>
    </w:p>
    <w:p w:rsidR="009E65DA" w:rsidRPr="009E65DA" w:rsidRDefault="009E65DA" w:rsidP="009E65DA">
      <w:pPr>
        <w:pStyle w:val="NormalWeb"/>
        <w:jc w:val="center"/>
        <w:rPr>
          <w:rFonts w:asciiTheme="minorHAnsi" w:hAnsiTheme="minorHAnsi" w:cstheme="minorHAnsi"/>
          <w:sz w:val="22"/>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r w:rsidRPr="009E65DA">
        <w:rPr>
          <w:rFonts w:asciiTheme="minorHAnsi" w:hAnsiTheme="minorHAnsi" w:cstheme="minorHAnsi"/>
          <w:noProof/>
          <w:sz w:val="22"/>
          <w:szCs w:val="22"/>
        </w:rPr>
        <w:lastRenderedPageBreak/>
        <w:drawing>
          <wp:anchor distT="0" distB="0" distL="114300" distR="114300" simplePos="0" relativeHeight="251660288" behindDoc="0" locked="0" layoutInCell="1" allowOverlap="1" wp14:anchorId="1B543DEA" wp14:editId="09D80D68">
            <wp:simplePos x="0" y="0"/>
            <wp:positionH relativeFrom="margin">
              <wp:posOffset>1259205</wp:posOffset>
            </wp:positionH>
            <wp:positionV relativeFrom="paragraph">
              <wp:posOffset>118745</wp:posOffset>
            </wp:positionV>
            <wp:extent cx="3952875" cy="2527935"/>
            <wp:effectExtent l="0" t="0" r="9525" b="5715"/>
            <wp:wrapSquare wrapText="bothSides"/>
            <wp:docPr id="484192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92925"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2875" cy="2527935"/>
                    </a:xfrm>
                    <a:prstGeom prst="rect">
                      <a:avLst/>
                    </a:prstGeom>
                  </pic:spPr>
                </pic:pic>
              </a:graphicData>
            </a:graphic>
            <wp14:sizeRelH relativeFrom="margin">
              <wp14:pctWidth>0</wp14:pctWidth>
            </wp14:sizeRelH>
            <wp14:sizeRelV relativeFrom="margin">
              <wp14:pctHeight>0</wp14:pctHeight>
            </wp14:sizeRelV>
          </wp:anchor>
        </w:drawing>
      </w: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1457BE" w:rsidRDefault="001457BE" w:rsidP="009E65DA">
      <w:pPr>
        <w:pStyle w:val="NormalWeb"/>
        <w:spacing w:before="0" w:beforeAutospacing="0" w:after="0" w:afterAutospacing="0"/>
        <w:jc w:val="both"/>
        <w:rPr>
          <w:rFonts w:asciiTheme="minorHAnsi" w:hAnsiTheme="minorHAnsi" w:cstheme="minorHAnsi"/>
          <w:sz w:val="20"/>
          <w:szCs w:val="22"/>
        </w:rPr>
      </w:pPr>
    </w:p>
    <w:p w:rsidR="009E65DA" w:rsidRPr="008027D9" w:rsidRDefault="009E65DA" w:rsidP="009E65DA">
      <w:pPr>
        <w:pStyle w:val="NormalWeb"/>
        <w:spacing w:before="0" w:beforeAutospacing="0" w:after="0" w:afterAutospacing="0"/>
        <w:jc w:val="both"/>
        <w:rPr>
          <w:rFonts w:asciiTheme="minorHAnsi" w:hAnsiTheme="minorHAnsi" w:cstheme="minorHAnsi"/>
          <w:sz w:val="20"/>
          <w:szCs w:val="22"/>
        </w:rPr>
      </w:pPr>
      <w:r w:rsidRPr="008027D9">
        <w:rPr>
          <w:rFonts w:asciiTheme="minorHAnsi" w:hAnsiTheme="minorHAnsi" w:cstheme="minorHAnsi"/>
          <w:sz w:val="20"/>
          <w:szCs w:val="22"/>
        </w:rPr>
        <w:t>Por componente y con series ajustadas por estacionalidad, en el periodo de referencia, el comportamiento fue el siguiente: el PIB de las actividades primarias avanzó 2.6 %; el de las secundarias, 1.3 % y el de las terciarias, 0.9 % con respecto al trimestre anterior.</w:t>
      </w:r>
    </w:p>
    <w:p w:rsidR="009E65DA" w:rsidRPr="008027D9" w:rsidRDefault="009E65DA" w:rsidP="009E65DA">
      <w:pPr>
        <w:pStyle w:val="NormalWeb"/>
        <w:spacing w:before="0" w:beforeAutospacing="0" w:after="0" w:afterAutospacing="0"/>
        <w:jc w:val="both"/>
        <w:rPr>
          <w:rFonts w:asciiTheme="minorHAnsi" w:hAnsiTheme="minorHAnsi" w:cstheme="minorHAnsi"/>
          <w:sz w:val="20"/>
          <w:szCs w:val="22"/>
        </w:rPr>
      </w:pPr>
    </w:p>
    <w:p w:rsidR="009E65DA" w:rsidRPr="008027D9" w:rsidRDefault="009E65DA" w:rsidP="009E65DA">
      <w:pPr>
        <w:pStyle w:val="NormalWeb"/>
        <w:spacing w:before="0" w:beforeAutospacing="0" w:after="0" w:afterAutospacing="0"/>
        <w:jc w:val="both"/>
        <w:rPr>
          <w:rFonts w:asciiTheme="minorHAnsi" w:hAnsiTheme="minorHAnsi" w:cstheme="minorHAnsi"/>
          <w:sz w:val="20"/>
          <w:szCs w:val="22"/>
        </w:rPr>
      </w:pPr>
      <w:r w:rsidRPr="008027D9">
        <w:rPr>
          <w:rFonts w:asciiTheme="minorHAnsi" w:hAnsiTheme="minorHAnsi" w:cstheme="minorHAnsi"/>
          <w:sz w:val="20"/>
          <w:szCs w:val="22"/>
        </w:rPr>
        <w:t xml:space="preserve">A tasa anual y con series </w:t>
      </w:r>
      <w:proofErr w:type="spellStart"/>
      <w:r w:rsidRPr="008027D9">
        <w:rPr>
          <w:rFonts w:asciiTheme="minorHAnsi" w:hAnsiTheme="minorHAnsi" w:cstheme="minorHAnsi"/>
          <w:sz w:val="20"/>
          <w:szCs w:val="22"/>
        </w:rPr>
        <w:t>desestacionalizadas</w:t>
      </w:r>
      <w:proofErr w:type="spellEnd"/>
      <w:r w:rsidRPr="008027D9">
        <w:rPr>
          <w:rFonts w:asciiTheme="minorHAnsi" w:hAnsiTheme="minorHAnsi" w:cstheme="minorHAnsi"/>
          <w:sz w:val="20"/>
          <w:szCs w:val="22"/>
        </w:rPr>
        <w:t>, el PIB incrementó 3.3 % en términos reales, las actividades primarias ascendieron 5.5 %; las secundarias, 4.4 % y las terciarias, 2.6 por ciento.</w:t>
      </w:r>
    </w:p>
    <w:p w:rsidR="009E65DA" w:rsidRPr="008027D9" w:rsidRDefault="009E65DA" w:rsidP="009E65DA">
      <w:pPr>
        <w:pStyle w:val="NormalWeb"/>
        <w:spacing w:before="0" w:beforeAutospacing="0" w:after="0" w:afterAutospacing="0"/>
        <w:jc w:val="both"/>
        <w:rPr>
          <w:rFonts w:asciiTheme="minorHAnsi" w:hAnsiTheme="minorHAnsi" w:cstheme="minorHAnsi"/>
          <w:sz w:val="20"/>
          <w:szCs w:val="22"/>
        </w:rPr>
      </w:pPr>
    </w:p>
    <w:p w:rsidR="009E65DA" w:rsidRPr="008027D9" w:rsidRDefault="009E65DA" w:rsidP="009E65DA">
      <w:pPr>
        <w:pStyle w:val="NormalWeb"/>
        <w:spacing w:before="0" w:beforeAutospacing="0" w:after="0" w:afterAutospacing="0"/>
        <w:jc w:val="both"/>
        <w:rPr>
          <w:rFonts w:asciiTheme="minorHAnsi" w:hAnsiTheme="minorHAnsi" w:cstheme="minorHAnsi"/>
          <w:sz w:val="20"/>
          <w:szCs w:val="22"/>
        </w:rPr>
      </w:pPr>
      <w:r w:rsidRPr="008027D9">
        <w:rPr>
          <w:rFonts w:asciiTheme="minorHAnsi" w:hAnsiTheme="minorHAnsi" w:cstheme="minorHAnsi"/>
          <w:sz w:val="20"/>
          <w:szCs w:val="22"/>
        </w:rPr>
        <w:t xml:space="preserve">En los primeros nueve meses de 2023 y con series </w:t>
      </w:r>
      <w:proofErr w:type="spellStart"/>
      <w:r w:rsidRPr="008027D9">
        <w:rPr>
          <w:rFonts w:asciiTheme="minorHAnsi" w:hAnsiTheme="minorHAnsi" w:cstheme="minorHAnsi"/>
          <w:sz w:val="20"/>
          <w:szCs w:val="22"/>
        </w:rPr>
        <w:t>desestacionalizadas</w:t>
      </w:r>
      <w:proofErr w:type="spellEnd"/>
      <w:r w:rsidRPr="008027D9">
        <w:rPr>
          <w:rFonts w:asciiTheme="minorHAnsi" w:hAnsiTheme="minorHAnsi" w:cstheme="minorHAnsi"/>
          <w:sz w:val="20"/>
          <w:szCs w:val="22"/>
        </w:rPr>
        <w:t>, el PIB creció 3.4 % a tasa anual.</w:t>
      </w:r>
    </w:p>
    <w:p w:rsidR="009E65DA" w:rsidRPr="009E65DA" w:rsidRDefault="009E65DA" w:rsidP="009E65DA">
      <w:pPr>
        <w:pStyle w:val="NormalWeb"/>
        <w:jc w:val="center"/>
        <w:rPr>
          <w:rFonts w:asciiTheme="minorHAnsi" w:hAnsiTheme="minorHAnsi" w:cstheme="minorHAnsi"/>
          <w:sz w:val="22"/>
          <w:szCs w:val="22"/>
        </w:rPr>
      </w:pPr>
      <w:r w:rsidRPr="009E65DA">
        <w:rPr>
          <w:rFonts w:asciiTheme="minorHAnsi" w:hAnsiTheme="minorHAnsi" w:cstheme="minorHAnsi"/>
          <w:noProof/>
          <w:sz w:val="22"/>
          <w:szCs w:val="22"/>
        </w:rPr>
        <w:drawing>
          <wp:anchor distT="0" distB="0" distL="114300" distR="114300" simplePos="0" relativeHeight="251664384" behindDoc="0" locked="0" layoutInCell="1" allowOverlap="1">
            <wp:simplePos x="0" y="0"/>
            <wp:positionH relativeFrom="column">
              <wp:posOffset>514350</wp:posOffset>
            </wp:positionH>
            <wp:positionV relativeFrom="paragraph">
              <wp:posOffset>276225</wp:posOffset>
            </wp:positionV>
            <wp:extent cx="4829175" cy="1780785"/>
            <wp:effectExtent l="0" t="0" r="0" b="0"/>
            <wp:wrapSquare wrapText="bothSides"/>
            <wp:docPr id="7790509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50992" name="Imagen 7790509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9175" cy="1780785"/>
                    </a:xfrm>
                    <a:prstGeom prst="rect">
                      <a:avLst/>
                    </a:prstGeom>
                  </pic:spPr>
                </pic:pic>
              </a:graphicData>
            </a:graphic>
          </wp:anchor>
        </w:drawing>
      </w:r>
    </w:p>
    <w:p w:rsidR="001457BE" w:rsidRDefault="001457BE" w:rsidP="009E65DA">
      <w:pPr>
        <w:pStyle w:val="NormalWeb"/>
        <w:spacing w:before="0" w:beforeAutospacing="0" w:after="0" w:afterAutospacing="0"/>
        <w:rPr>
          <w:rFonts w:asciiTheme="minorHAnsi" w:hAnsiTheme="minorHAnsi" w:cstheme="minorHAnsi"/>
          <w:sz w:val="20"/>
          <w:szCs w:val="20"/>
        </w:rPr>
      </w:pPr>
    </w:p>
    <w:p w:rsidR="008027D9" w:rsidRDefault="008027D9" w:rsidP="009E65DA">
      <w:pPr>
        <w:pStyle w:val="NormalWeb"/>
        <w:spacing w:before="0" w:beforeAutospacing="0" w:after="0" w:afterAutospacing="0"/>
        <w:rPr>
          <w:rFonts w:asciiTheme="minorHAnsi" w:hAnsiTheme="minorHAnsi" w:cstheme="minorHAnsi"/>
          <w:sz w:val="20"/>
          <w:szCs w:val="20"/>
        </w:rPr>
      </w:pPr>
    </w:p>
    <w:p w:rsidR="008027D9" w:rsidRDefault="008027D9" w:rsidP="009E65DA">
      <w:pPr>
        <w:pStyle w:val="NormalWeb"/>
        <w:spacing w:before="0" w:beforeAutospacing="0" w:after="0" w:afterAutospacing="0"/>
        <w:rPr>
          <w:rFonts w:asciiTheme="minorHAnsi" w:hAnsiTheme="minorHAnsi" w:cstheme="minorHAnsi"/>
          <w:sz w:val="20"/>
          <w:szCs w:val="20"/>
        </w:rPr>
      </w:pPr>
    </w:p>
    <w:p w:rsidR="008027D9" w:rsidRDefault="008027D9" w:rsidP="009E65DA">
      <w:pPr>
        <w:pStyle w:val="NormalWeb"/>
        <w:spacing w:before="0" w:beforeAutospacing="0" w:after="0" w:afterAutospacing="0"/>
        <w:rPr>
          <w:rFonts w:asciiTheme="minorHAnsi" w:hAnsiTheme="minorHAnsi" w:cstheme="minorHAnsi"/>
          <w:sz w:val="20"/>
          <w:szCs w:val="20"/>
        </w:rPr>
      </w:pPr>
    </w:p>
    <w:p w:rsidR="008027D9" w:rsidRDefault="008027D9" w:rsidP="009E65DA">
      <w:pPr>
        <w:pStyle w:val="NormalWeb"/>
        <w:spacing w:before="0" w:beforeAutospacing="0" w:after="0" w:afterAutospacing="0"/>
        <w:rPr>
          <w:rFonts w:asciiTheme="minorHAnsi" w:hAnsiTheme="minorHAnsi" w:cstheme="minorHAnsi"/>
          <w:sz w:val="20"/>
          <w:szCs w:val="20"/>
        </w:rPr>
      </w:pPr>
    </w:p>
    <w:p w:rsidR="008027D9" w:rsidRDefault="008027D9" w:rsidP="009E65DA">
      <w:pPr>
        <w:pStyle w:val="NormalWeb"/>
        <w:spacing w:before="0" w:beforeAutospacing="0" w:after="0" w:afterAutospacing="0"/>
        <w:rPr>
          <w:rFonts w:asciiTheme="minorHAnsi" w:hAnsiTheme="minorHAnsi" w:cstheme="minorHAnsi"/>
          <w:sz w:val="20"/>
          <w:szCs w:val="20"/>
        </w:rPr>
      </w:pPr>
    </w:p>
    <w:p w:rsidR="008027D9" w:rsidRDefault="008027D9" w:rsidP="009E65DA">
      <w:pPr>
        <w:pStyle w:val="NormalWeb"/>
        <w:spacing w:before="0" w:beforeAutospacing="0" w:after="0" w:afterAutospacing="0"/>
        <w:rPr>
          <w:rFonts w:asciiTheme="minorHAnsi" w:hAnsiTheme="minorHAnsi" w:cstheme="minorHAnsi"/>
          <w:sz w:val="20"/>
          <w:szCs w:val="20"/>
        </w:rPr>
      </w:pPr>
    </w:p>
    <w:p w:rsidR="008027D9" w:rsidRDefault="008027D9" w:rsidP="009E65DA">
      <w:pPr>
        <w:pStyle w:val="NormalWeb"/>
        <w:spacing w:before="0" w:beforeAutospacing="0" w:after="0" w:afterAutospacing="0"/>
        <w:rPr>
          <w:rFonts w:asciiTheme="minorHAnsi" w:hAnsiTheme="minorHAnsi" w:cstheme="minorHAnsi"/>
          <w:sz w:val="20"/>
          <w:szCs w:val="20"/>
        </w:rPr>
      </w:pPr>
    </w:p>
    <w:p w:rsidR="008027D9" w:rsidRDefault="008027D9" w:rsidP="009E65DA">
      <w:pPr>
        <w:pStyle w:val="NormalWeb"/>
        <w:spacing w:before="0" w:beforeAutospacing="0" w:after="0" w:afterAutospacing="0"/>
        <w:rPr>
          <w:rFonts w:asciiTheme="minorHAnsi" w:hAnsiTheme="minorHAnsi" w:cstheme="minorHAnsi"/>
          <w:sz w:val="20"/>
          <w:szCs w:val="20"/>
        </w:rPr>
      </w:pPr>
    </w:p>
    <w:p w:rsidR="008027D9" w:rsidRDefault="008027D9" w:rsidP="009E65DA">
      <w:pPr>
        <w:pStyle w:val="NormalWeb"/>
        <w:spacing w:before="0" w:beforeAutospacing="0" w:after="0" w:afterAutospacing="0"/>
        <w:rPr>
          <w:rFonts w:asciiTheme="minorHAnsi" w:hAnsiTheme="minorHAnsi" w:cstheme="minorHAnsi"/>
          <w:sz w:val="20"/>
          <w:szCs w:val="20"/>
        </w:rPr>
      </w:pPr>
    </w:p>
    <w:p w:rsidR="008027D9" w:rsidRDefault="008027D9" w:rsidP="009E65DA">
      <w:pPr>
        <w:pStyle w:val="NormalWeb"/>
        <w:spacing w:before="0" w:beforeAutospacing="0" w:after="0" w:afterAutospacing="0"/>
        <w:rPr>
          <w:rFonts w:asciiTheme="minorHAnsi" w:hAnsiTheme="minorHAnsi" w:cstheme="minorHAnsi"/>
          <w:sz w:val="20"/>
          <w:szCs w:val="20"/>
        </w:rPr>
      </w:pPr>
    </w:p>
    <w:p w:rsidR="008027D9" w:rsidRDefault="008027D9" w:rsidP="009E65DA">
      <w:pPr>
        <w:pStyle w:val="NormalWeb"/>
        <w:spacing w:before="0" w:beforeAutospacing="0" w:after="0" w:afterAutospacing="0"/>
        <w:rPr>
          <w:rFonts w:asciiTheme="minorHAnsi" w:hAnsiTheme="minorHAnsi" w:cstheme="minorHAnsi"/>
          <w:sz w:val="20"/>
          <w:szCs w:val="20"/>
        </w:rPr>
      </w:pPr>
    </w:p>
    <w:p w:rsidR="009E65DA" w:rsidRPr="008027D9" w:rsidRDefault="009E65DA" w:rsidP="009E65DA">
      <w:pPr>
        <w:pStyle w:val="NormalWeb"/>
        <w:spacing w:before="0" w:beforeAutospacing="0" w:after="0" w:afterAutospacing="0"/>
        <w:rPr>
          <w:rFonts w:asciiTheme="minorHAnsi" w:hAnsiTheme="minorHAnsi" w:cstheme="minorHAnsi"/>
          <w:sz w:val="20"/>
          <w:szCs w:val="20"/>
        </w:rPr>
      </w:pPr>
      <w:r w:rsidRPr="008027D9">
        <w:rPr>
          <w:rFonts w:asciiTheme="minorHAnsi" w:hAnsiTheme="minorHAnsi" w:cstheme="minorHAnsi"/>
          <w:sz w:val="20"/>
          <w:szCs w:val="20"/>
        </w:rPr>
        <w:t xml:space="preserve">A tasa anual y con series </w:t>
      </w:r>
      <w:proofErr w:type="spellStart"/>
      <w:r w:rsidRPr="008027D9">
        <w:rPr>
          <w:rFonts w:asciiTheme="minorHAnsi" w:hAnsiTheme="minorHAnsi" w:cstheme="minorHAnsi"/>
          <w:sz w:val="20"/>
          <w:szCs w:val="20"/>
        </w:rPr>
        <w:t>desestacionalizadas</w:t>
      </w:r>
      <w:proofErr w:type="spellEnd"/>
      <w:r w:rsidRPr="008027D9">
        <w:rPr>
          <w:rFonts w:asciiTheme="minorHAnsi" w:hAnsiTheme="minorHAnsi" w:cstheme="minorHAnsi"/>
          <w:sz w:val="20"/>
          <w:szCs w:val="20"/>
        </w:rPr>
        <w:t>, el PIB incrementó 3.3 % en términos reales. Las actividades primarias ascendieron 5.5 %; las secundarias, 4.4 % y las terciarias, 2.6 por ciento.</w:t>
      </w:r>
    </w:p>
    <w:p w:rsidR="009E65DA" w:rsidRPr="008027D9" w:rsidRDefault="009E65DA" w:rsidP="009E65DA">
      <w:pPr>
        <w:pStyle w:val="NormalWeb"/>
        <w:spacing w:before="0" w:beforeAutospacing="0" w:after="0" w:afterAutospacing="0"/>
        <w:rPr>
          <w:rFonts w:asciiTheme="minorHAnsi" w:hAnsiTheme="minorHAnsi" w:cstheme="minorHAnsi"/>
          <w:sz w:val="20"/>
          <w:szCs w:val="20"/>
        </w:rPr>
      </w:pPr>
    </w:p>
    <w:p w:rsidR="009E65DA" w:rsidRPr="008027D9" w:rsidRDefault="009E65DA" w:rsidP="009E65DA">
      <w:pPr>
        <w:pStyle w:val="NormalWeb"/>
        <w:spacing w:before="0" w:beforeAutospacing="0" w:after="0" w:afterAutospacing="0"/>
        <w:rPr>
          <w:rFonts w:asciiTheme="minorHAnsi" w:hAnsiTheme="minorHAnsi" w:cstheme="minorHAnsi"/>
          <w:sz w:val="20"/>
          <w:szCs w:val="20"/>
        </w:rPr>
      </w:pPr>
      <w:r w:rsidRPr="008027D9">
        <w:rPr>
          <w:rFonts w:asciiTheme="minorHAnsi" w:hAnsiTheme="minorHAnsi" w:cstheme="minorHAnsi"/>
          <w:sz w:val="20"/>
          <w:szCs w:val="20"/>
        </w:rPr>
        <w:t xml:space="preserve">En los primeros nueve meses de 2023 y con series </w:t>
      </w:r>
      <w:proofErr w:type="spellStart"/>
      <w:r w:rsidRPr="008027D9">
        <w:rPr>
          <w:rFonts w:asciiTheme="minorHAnsi" w:hAnsiTheme="minorHAnsi" w:cstheme="minorHAnsi"/>
          <w:sz w:val="20"/>
          <w:szCs w:val="20"/>
        </w:rPr>
        <w:t>desestacionalizadas</w:t>
      </w:r>
      <w:proofErr w:type="spellEnd"/>
      <w:r w:rsidRPr="008027D9">
        <w:rPr>
          <w:rFonts w:asciiTheme="minorHAnsi" w:hAnsiTheme="minorHAnsi" w:cstheme="minorHAnsi"/>
          <w:sz w:val="20"/>
          <w:szCs w:val="20"/>
        </w:rPr>
        <w:t>, el PIB creció 3.4 % a tasa anual.</w:t>
      </w:r>
    </w:p>
    <w:p w:rsidR="009E65DA" w:rsidRPr="0066506B" w:rsidRDefault="009E65DA" w:rsidP="009E65DA">
      <w:pPr>
        <w:pStyle w:val="NormalWeb"/>
        <w:spacing w:before="0" w:beforeAutospacing="0" w:after="0" w:afterAutospacing="0"/>
        <w:jc w:val="both"/>
        <w:rPr>
          <w:rFonts w:asciiTheme="minorHAnsi" w:hAnsiTheme="minorHAnsi" w:cstheme="minorHAnsi"/>
          <w:sz w:val="20"/>
          <w:szCs w:val="20"/>
        </w:rPr>
      </w:pPr>
    </w:p>
    <w:p w:rsidR="009E65DA" w:rsidRPr="0066506B" w:rsidRDefault="00FE223F" w:rsidP="009E65DA">
      <w:pPr>
        <w:pStyle w:val="NormalWeb"/>
        <w:spacing w:before="0" w:beforeAutospacing="0" w:after="0" w:afterAutospacing="0"/>
        <w:jc w:val="both"/>
        <w:rPr>
          <w:rFonts w:asciiTheme="minorHAnsi" w:hAnsiTheme="minorHAnsi" w:cstheme="minorHAnsi"/>
          <w:color w:val="C00000"/>
          <w:sz w:val="20"/>
          <w:szCs w:val="20"/>
        </w:rPr>
      </w:pPr>
      <w:hyperlink r:id="rId10" w:history="1">
        <w:r w:rsidR="009E65DA" w:rsidRPr="0066506B">
          <w:rPr>
            <w:rStyle w:val="Hipervnculo"/>
            <w:rFonts w:asciiTheme="minorHAnsi" w:hAnsiTheme="minorHAnsi" w:cstheme="minorHAnsi"/>
            <w:color w:val="C00000"/>
            <w:sz w:val="20"/>
            <w:szCs w:val="20"/>
          </w:rPr>
          <w:t>https://www.inegi.org.mx/contenidos/saladeprensa/boletines/2023/pib_pconst/pib_pconst2023_11.pdf</w:t>
        </w:r>
      </w:hyperlink>
    </w:p>
    <w:p w:rsidR="009E65DA" w:rsidRPr="009E65DA" w:rsidRDefault="009E65DA" w:rsidP="009E65DA">
      <w:pPr>
        <w:pStyle w:val="NormalWeb"/>
        <w:spacing w:before="0" w:beforeAutospacing="0" w:after="0" w:afterAutospacing="0"/>
        <w:jc w:val="both"/>
        <w:rPr>
          <w:rFonts w:asciiTheme="minorHAnsi" w:hAnsiTheme="minorHAnsi" w:cstheme="minorHAnsi"/>
          <w:sz w:val="22"/>
          <w:szCs w:val="22"/>
        </w:rPr>
      </w:pPr>
    </w:p>
    <w:p w:rsidR="001457BE" w:rsidRDefault="001457BE" w:rsidP="009E65DA">
      <w:pPr>
        <w:pStyle w:val="NormalWeb"/>
        <w:spacing w:before="0" w:beforeAutospacing="0" w:after="0" w:afterAutospacing="0"/>
        <w:jc w:val="both"/>
        <w:rPr>
          <w:rFonts w:asciiTheme="minorHAnsi" w:hAnsiTheme="minorHAnsi" w:cstheme="minorHAnsi"/>
          <w:b/>
          <w:color w:val="000000"/>
          <w:sz w:val="22"/>
        </w:rPr>
      </w:pPr>
    </w:p>
    <w:p w:rsidR="009E65DA" w:rsidRPr="0066506B" w:rsidRDefault="009E65DA" w:rsidP="001457BE">
      <w:pPr>
        <w:pStyle w:val="NormalWeb"/>
        <w:jc w:val="both"/>
        <w:rPr>
          <w:rFonts w:asciiTheme="minorHAnsi" w:hAnsiTheme="minorHAnsi" w:cstheme="minorHAnsi"/>
          <w:b/>
          <w:color w:val="000000"/>
          <w:sz w:val="22"/>
        </w:rPr>
      </w:pPr>
      <w:r w:rsidRPr="0066506B">
        <w:rPr>
          <w:rFonts w:asciiTheme="minorHAnsi" w:hAnsiTheme="minorHAnsi" w:cstheme="minorHAnsi"/>
          <w:b/>
          <w:color w:val="000000"/>
          <w:sz w:val="22"/>
        </w:rPr>
        <w:lastRenderedPageBreak/>
        <w:t>1.2.2.- Tasa de Interés referencial a un día del Banxico.</w:t>
      </w:r>
    </w:p>
    <w:p w:rsidR="009E65DA" w:rsidRPr="0066506B" w:rsidRDefault="009E65DA" w:rsidP="001457BE">
      <w:pPr>
        <w:spacing w:before="100" w:beforeAutospacing="1" w:after="100" w:afterAutospacing="1" w:line="240" w:lineRule="auto"/>
        <w:jc w:val="both"/>
        <w:rPr>
          <w:rFonts w:asciiTheme="minorHAnsi" w:hAnsiTheme="minorHAnsi" w:cstheme="minorHAnsi"/>
          <w:sz w:val="20"/>
          <w:szCs w:val="20"/>
        </w:rPr>
      </w:pPr>
      <w:r w:rsidRPr="0066506B">
        <w:rPr>
          <w:rFonts w:asciiTheme="minorHAnsi" w:hAnsiTheme="minorHAnsi" w:cstheme="minorHAnsi"/>
          <w:sz w:val="20"/>
          <w:szCs w:val="20"/>
        </w:rPr>
        <w:t>La Junta de Gobierno del Banco de México decidió mantener el objetivo para la Tasa de Interés Interbancaria a un día en 11.25%.</w:t>
      </w:r>
    </w:p>
    <w:p w:rsidR="009E65DA" w:rsidRPr="0066506B" w:rsidRDefault="009E65DA" w:rsidP="001457BE">
      <w:pPr>
        <w:spacing w:before="100" w:beforeAutospacing="1" w:after="100" w:afterAutospacing="1" w:line="240" w:lineRule="auto"/>
        <w:jc w:val="both"/>
        <w:rPr>
          <w:rFonts w:asciiTheme="minorHAnsi" w:hAnsiTheme="minorHAnsi" w:cstheme="minorHAnsi"/>
          <w:sz w:val="20"/>
          <w:szCs w:val="20"/>
        </w:rPr>
      </w:pPr>
      <w:r w:rsidRPr="0066506B">
        <w:rPr>
          <w:rFonts w:asciiTheme="minorHAnsi" w:hAnsiTheme="minorHAnsi" w:cstheme="minorHAnsi"/>
          <w:sz w:val="20"/>
          <w:szCs w:val="20"/>
        </w:rPr>
        <w:t xml:space="preserve">La información disponible sugiere que, </w:t>
      </w:r>
      <w:r w:rsidR="00A056EE" w:rsidRPr="0066506B">
        <w:rPr>
          <w:rFonts w:asciiTheme="minorHAnsi" w:hAnsiTheme="minorHAnsi" w:cstheme="minorHAnsi"/>
          <w:sz w:val="20"/>
          <w:szCs w:val="20"/>
        </w:rPr>
        <w:t>en el último trimestre del ejercicio</w:t>
      </w:r>
      <w:r w:rsidRPr="0066506B">
        <w:rPr>
          <w:rFonts w:asciiTheme="minorHAnsi" w:hAnsiTheme="minorHAnsi" w:cstheme="minorHAnsi"/>
          <w:sz w:val="20"/>
          <w:szCs w:val="20"/>
        </w:rPr>
        <w:t xml:space="preserve"> 2023, la actividad económica global se habría desacelerado, si bien, continúa </w:t>
      </w:r>
      <w:proofErr w:type="spellStart"/>
      <w:r w:rsidRPr="0066506B">
        <w:rPr>
          <w:rFonts w:asciiTheme="minorHAnsi" w:hAnsiTheme="minorHAnsi" w:cstheme="minorHAnsi"/>
          <w:sz w:val="20"/>
          <w:szCs w:val="20"/>
        </w:rPr>
        <w:t>resiliente</w:t>
      </w:r>
      <w:proofErr w:type="spellEnd"/>
      <w:r w:rsidRPr="0066506B">
        <w:rPr>
          <w:rFonts w:asciiTheme="minorHAnsi" w:hAnsiTheme="minorHAnsi" w:cstheme="minorHAnsi"/>
          <w:sz w:val="20"/>
          <w:szCs w:val="20"/>
        </w:rPr>
        <w:t>. La inflación general continuó disminuyendo en la mayoría de las economías, aunque permanece en niveles superiores a los objetivos de sus bancos centrales. El componente subyacente registró reducciones, aunque más graduales que las de la inflación general. Los bancos centrales de las principales economías avanzadas mantuvieron sin cambio sus tasas de referencia. Las tasas de interés soberanas disminuyeron a nivel global y el dólar estadounidense registró una depreciación generalizada, en un entorno de menor aversión al riesgo.</w:t>
      </w:r>
    </w:p>
    <w:p w:rsidR="009E65DA" w:rsidRPr="0066506B" w:rsidRDefault="009E65DA" w:rsidP="001457BE">
      <w:pPr>
        <w:spacing w:before="100" w:beforeAutospacing="1" w:after="100" w:afterAutospacing="1" w:line="240" w:lineRule="auto"/>
        <w:jc w:val="both"/>
        <w:rPr>
          <w:rFonts w:asciiTheme="minorHAnsi" w:hAnsiTheme="minorHAnsi" w:cstheme="minorHAnsi"/>
          <w:sz w:val="20"/>
          <w:szCs w:val="20"/>
        </w:rPr>
      </w:pPr>
      <w:r w:rsidRPr="0066506B">
        <w:rPr>
          <w:rFonts w:asciiTheme="minorHAnsi" w:hAnsiTheme="minorHAnsi" w:cstheme="minorHAnsi"/>
          <w:sz w:val="20"/>
          <w:szCs w:val="20"/>
        </w:rPr>
        <w:t>Entre los riesgos globales destacan la prolongación de las presiones inflacionarias, el agravamiento de las tensiones geopolíticas, condiciones financieras más apretadas y, en menor medida, los retos para la estabilidad financiera.</w:t>
      </w:r>
    </w:p>
    <w:p w:rsidR="009E65DA" w:rsidRPr="0066506B" w:rsidRDefault="009E65DA" w:rsidP="001457BE">
      <w:pPr>
        <w:spacing w:before="100" w:beforeAutospacing="1" w:after="100" w:afterAutospacing="1" w:line="240" w:lineRule="auto"/>
        <w:jc w:val="both"/>
        <w:rPr>
          <w:rFonts w:asciiTheme="minorHAnsi" w:hAnsiTheme="minorHAnsi" w:cstheme="minorHAnsi"/>
          <w:sz w:val="20"/>
          <w:szCs w:val="20"/>
        </w:rPr>
      </w:pPr>
      <w:r w:rsidRPr="0066506B">
        <w:rPr>
          <w:rFonts w:asciiTheme="minorHAnsi" w:hAnsiTheme="minorHAnsi" w:cstheme="minorHAnsi"/>
          <w:sz w:val="20"/>
          <w:szCs w:val="20"/>
        </w:rPr>
        <w:t>En México, las tasas de interés de valores gubernamentales disminuyeron, principalmente las de mediano y largo plazos, en línea con el comportamiento de los mercados financieros internacionales. El peso mexicano se apreció ligeramente. La economía ha mantenido un crecimiento robusto y el mercado laboral continúa presentando fortaleza.</w:t>
      </w:r>
    </w:p>
    <w:p w:rsidR="009E65DA" w:rsidRPr="0066506B" w:rsidRDefault="009E65DA" w:rsidP="001457BE">
      <w:pPr>
        <w:spacing w:before="100" w:beforeAutospacing="1" w:after="100" w:afterAutospacing="1" w:line="240" w:lineRule="auto"/>
        <w:jc w:val="both"/>
        <w:rPr>
          <w:rFonts w:asciiTheme="minorHAnsi" w:hAnsiTheme="minorHAnsi" w:cstheme="minorHAnsi"/>
          <w:sz w:val="20"/>
          <w:szCs w:val="20"/>
        </w:rPr>
      </w:pPr>
      <w:r w:rsidRPr="0066506B">
        <w:rPr>
          <w:rFonts w:asciiTheme="minorHAnsi" w:hAnsiTheme="minorHAnsi" w:cstheme="minorHAnsi"/>
          <w:sz w:val="20"/>
          <w:szCs w:val="20"/>
        </w:rPr>
        <w:t>Desde la última reunión de política monetaria, la inflación general anual exhibió cierto incremento. En noviembre se ubicó en 4.32%. Ello, debido al aumento del componente no subyacente. La inflación subyacente siguió descendiendo, si bien continuó en niveles altos al situarse en 5.30% en ese mismo mes. Las expectativas de inflación para el cierre de 2023 disminuyeron en el caso de la inflación general, mientras que las correspondientes a la subyacente aumentaron. Las de mayor plazo permanecieron relativamente estables en niveles por encima de la meta.</w:t>
      </w:r>
    </w:p>
    <w:p w:rsidR="009E65DA" w:rsidRPr="0066506B" w:rsidRDefault="009E65DA" w:rsidP="001457BE">
      <w:pPr>
        <w:spacing w:before="100" w:beforeAutospacing="1" w:after="100" w:afterAutospacing="1" w:line="240" w:lineRule="auto"/>
        <w:jc w:val="both"/>
        <w:rPr>
          <w:rFonts w:asciiTheme="minorHAnsi" w:hAnsiTheme="minorHAnsi" w:cstheme="minorHAnsi"/>
          <w:sz w:val="20"/>
          <w:szCs w:val="20"/>
        </w:rPr>
      </w:pPr>
      <w:r w:rsidRPr="0066506B">
        <w:rPr>
          <w:rFonts w:asciiTheme="minorHAnsi" w:hAnsiTheme="minorHAnsi" w:cstheme="minorHAnsi"/>
          <w:sz w:val="20"/>
          <w:szCs w:val="20"/>
        </w:rPr>
        <w:t xml:space="preserve">Hacia delante, se prevé que el proceso </w:t>
      </w:r>
      <w:proofErr w:type="spellStart"/>
      <w:r w:rsidRPr="0066506B">
        <w:rPr>
          <w:rFonts w:asciiTheme="minorHAnsi" w:hAnsiTheme="minorHAnsi" w:cstheme="minorHAnsi"/>
          <w:sz w:val="20"/>
          <w:szCs w:val="20"/>
        </w:rPr>
        <w:t>desinflacionario</w:t>
      </w:r>
      <w:proofErr w:type="spellEnd"/>
      <w:r w:rsidRPr="0066506B">
        <w:rPr>
          <w:rFonts w:asciiTheme="minorHAnsi" w:hAnsiTheme="minorHAnsi" w:cstheme="minorHAnsi"/>
          <w:sz w:val="20"/>
          <w:szCs w:val="20"/>
        </w:rPr>
        <w:t xml:space="preserve"> continúe, ante la postura de política monetaria y la mitigación de los choques derivados de la pandemia y de la guerra en Ucrania. Sin embargo, los pronósticos actualizados incorporan un descenso más gradual de las inflaciones de las mercancías alimenticias y de los servicios. Por esta razón, los pronósticos para las inflaciones general y subyacente se revisan al alza para algunos trimestres. Se sigue anticipando que la inflación converja a la meta en el segundo trimestre de 2025 (ver cuadro). Estas previsiones están sujetas a riesgos. Al alza: i) persistencia de la inflación subyacente en niveles elevados; ii) depreciación cambiaria; iii) mayores presiones de costos; iv) que la economía muestre una resiliencia mayor a la esperada; y v) presiones en los precios de energéticos o agropecuarios. A la baja: i) una desaceleración de la economía global mayor a la anticipada; ii) un menor traspaso de algunas presiones de costos; y iii) que los niveles más bajos del tipo de cambio respecto de inicios de año contribuyan más que lo anticipado a mitigar ciertas presiones sobre la inflación. Se considera que el balance de riesgos respecto de la trayectoria prevista para la inflación en el horizonte de pronóstico se mantiene sesgado al alza.</w:t>
      </w:r>
    </w:p>
    <w:p w:rsidR="009E65DA" w:rsidRPr="0066506B" w:rsidRDefault="009E65DA" w:rsidP="001457BE">
      <w:pPr>
        <w:spacing w:before="100" w:beforeAutospacing="1" w:after="100" w:afterAutospacing="1" w:line="240" w:lineRule="auto"/>
        <w:jc w:val="both"/>
        <w:rPr>
          <w:rFonts w:asciiTheme="minorHAnsi" w:hAnsiTheme="minorHAnsi" w:cstheme="minorHAnsi"/>
          <w:sz w:val="20"/>
          <w:szCs w:val="20"/>
        </w:rPr>
      </w:pPr>
      <w:r w:rsidRPr="0066506B">
        <w:rPr>
          <w:rFonts w:asciiTheme="minorHAnsi" w:hAnsiTheme="minorHAnsi" w:cstheme="minorHAnsi"/>
          <w:sz w:val="20"/>
          <w:szCs w:val="20"/>
        </w:rPr>
        <w:t xml:space="preserve">La Junta de Gobierno evaluó la magnitud y diversidad de los choques inflacionarios y de sus determinantes, así como la evolución de las expectativas de mediano y largo plazos y el proceso de formación de precios. Reconoció que el proceso </w:t>
      </w:r>
      <w:proofErr w:type="spellStart"/>
      <w:r w:rsidRPr="0066506B">
        <w:rPr>
          <w:rFonts w:asciiTheme="minorHAnsi" w:hAnsiTheme="minorHAnsi" w:cstheme="minorHAnsi"/>
          <w:sz w:val="20"/>
          <w:szCs w:val="20"/>
        </w:rPr>
        <w:t>desinflacionario</w:t>
      </w:r>
      <w:proofErr w:type="spellEnd"/>
      <w:r w:rsidRPr="0066506B">
        <w:rPr>
          <w:rFonts w:asciiTheme="minorHAnsi" w:hAnsiTheme="minorHAnsi" w:cstheme="minorHAnsi"/>
          <w:sz w:val="20"/>
          <w:szCs w:val="20"/>
        </w:rPr>
        <w:t xml:space="preserve"> ha avanzado en el país. No obstante, estimó que el panorama sigue implicando retos. Con base en lo anterior y tomando en cuenta la postura monetaria ya alcanzada y la persistencia de los choques que se enfrentan, la Junta de Gobierno, con la presencia de todos sus miembros, decidió por unanimidad mantener el objetivo para la Tasa de Interés Interbancaria a un día en 11.25%. Con esta decisión, la postura de política monetaria se mantiene en la trayectoria requerida para lograr la convergencia de la inflación a su meta de 3% dentro del horizonte de pronóstico.</w:t>
      </w:r>
    </w:p>
    <w:p w:rsidR="009E65DA" w:rsidRPr="0066506B" w:rsidRDefault="009E65DA" w:rsidP="001457BE">
      <w:pPr>
        <w:spacing w:before="100" w:beforeAutospacing="1" w:after="100" w:afterAutospacing="1" w:line="240" w:lineRule="auto"/>
        <w:jc w:val="both"/>
        <w:rPr>
          <w:rFonts w:asciiTheme="minorHAnsi" w:hAnsiTheme="minorHAnsi" w:cstheme="minorHAnsi"/>
          <w:sz w:val="20"/>
          <w:szCs w:val="20"/>
        </w:rPr>
      </w:pPr>
      <w:r w:rsidRPr="0066506B">
        <w:rPr>
          <w:rFonts w:asciiTheme="minorHAnsi" w:hAnsiTheme="minorHAnsi" w:cstheme="minorHAnsi"/>
          <w:sz w:val="20"/>
          <w:szCs w:val="20"/>
        </w:rPr>
        <w:lastRenderedPageBreak/>
        <w:t xml:space="preserve">La Junta de Gobierno vigilará estrechamente las presiones inflacionarias, así como todos los factores que inciden en la trayectoria prevista para la inflación y en sus expectativas. Considera que, para lograr la convergencia ordenada y sostenida de la inflación general a la meta de 3%, será necesario mantener la tasa de referencia en su nivel actual por cierto tiempo. Ello tomando en cuenta que, si bien el panorama todavía se percibe complicado, se ha avanzado en el proceso </w:t>
      </w:r>
      <w:proofErr w:type="spellStart"/>
      <w:r w:rsidRPr="0066506B">
        <w:rPr>
          <w:rFonts w:asciiTheme="minorHAnsi" w:hAnsiTheme="minorHAnsi" w:cstheme="minorHAnsi"/>
          <w:sz w:val="20"/>
          <w:szCs w:val="20"/>
        </w:rPr>
        <w:t>desinflacionario</w:t>
      </w:r>
      <w:proofErr w:type="spellEnd"/>
      <w:r w:rsidRPr="0066506B">
        <w:rPr>
          <w:rFonts w:asciiTheme="minorHAnsi" w:hAnsiTheme="minorHAnsi" w:cstheme="minorHAnsi"/>
          <w:sz w:val="20"/>
          <w:szCs w:val="20"/>
        </w:rPr>
        <w:t>. El banco central reafirma su compromiso con su mandato prioritario y la necesidad de perseverar en sus</w:t>
      </w:r>
      <w:r w:rsidR="001457BE">
        <w:rPr>
          <w:rFonts w:asciiTheme="minorHAnsi" w:hAnsiTheme="minorHAnsi" w:cstheme="minorHAnsi"/>
          <w:sz w:val="20"/>
          <w:szCs w:val="20"/>
        </w:rPr>
        <w:t xml:space="preserve"> </w:t>
      </w:r>
      <w:r w:rsidRPr="0066506B">
        <w:rPr>
          <w:rFonts w:asciiTheme="minorHAnsi" w:hAnsiTheme="minorHAnsi" w:cstheme="minorHAnsi"/>
          <w:sz w:val="20"/>
          <w:szCs w:val="20"/>
        </w:rPr>
        <w:t>esfuerzos por consolidar un entorno de inflación baja y estable.</w:t>
      </w:r>
    </w:p>
    <w:p w:rsidR="009E65DA" w:rsidRDefault="00935F86" w:rsidP="009E65DA">
      <w:pPr>
        <w:jc w:val="both"/>
        <w:rPr>
          <w:rFonts w:asciiTheme="minorHAnsi" w:hAnsiTheme="minorHAnsi" w:cstheme="minorHAnsi"/>
        </w:rPr>
      </w:pPr>
      <w:r w:rsidRPr="009E65DA">
        <w:rPr>
          <w:rFonts w:asciiTheme="minorHAnsi" w:hAnsiTheme="minorHAnsi" w:cstheme="minorHAnsi"/>
          <w:noProof/>
          <w:lang w:eastAsia="es-MX"/>
        </w:rPr>
        <w:drawing>
          <wp:anchor distT="0" distB="0" distL="114300" distR="114300" simplePos="0" relativeHeight="251661312" behindDoc="0" locked="0" layoutInCell="1" allowOverlap="1" wp14:anchorId="56093B1D" wp14:editId="3B2D9E61">
            <wp:simplePos x="0" y="0"/>
            <wp:positionH relativeFrom="column">
              <wp:posOffset>542925</wp:posOffset>
            </wp:positionH>
            <wp:positionV relativeFrom="paragraph">
              <wp:posOffset>39370</wp:posOffset>
            </wp:positionV>
            <wp:extent cx="4933950" cy="2794000"/>
            <wp:effectExtent l="0" t="0" r="0" b="6350"/>
            <wp:wrapSquare wrapText="bothSides"/>
            <wp:docPr id="16065707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70741" name="Imagen 16065707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3950" cy="2794000"/>
                    </a:xfrm>
                    <a:prstGeom prst="rect">
                      <a:avLst/>
                    </a:prstGeom>
                  </pic:spPr>
                </pic:pic>
              </a:graphicData>
            </a:graphic>
            <wp14:sizeRelH relativeFrom="margin">
              <wp14:pctWidth>0</wp14:pctWidth>
            </wp14:sizeRelH>
            <wp14:sizeRelV relativeFrom="margin">
              <wp14:pctHeight>0</wp14:pctHeight>
            </wp14:sizeRelV>
          </wp:anchor>
        </w:drawing>
      </w:r>
    </w:p>
    <w:p w:rsidR="00935F86" w:rsidRDefault="00935F86" w:rsidP="0066506B">
      <w:pPr>
        <w:jc w:val="both"/>
      </w:pPr>
    </w:p>
    <w:p w:rsidR="00935F86" w:rsidRDefault="00935F86" w:rsidP="0066506B">
      <w:pPr>
        <w:jc w:val="both"/>
      </w:pPr>
    </w:p>
    <w:p w:rsidR="00935F86" w:rsidRDefault="00935F86" w:rsidP="0066506B">
      <w:pPr>
        <w:jc w:val="both"/>
      </w:pPr>
    </w:p>
    <w:p w:rsidR="00935F86" w:rsidRDefault="00935F86" w:rsidP="0066506B">
      <w:pPr>
        <w:jc w:val="both"/>
      </w:pPr>
    </w:p>
    <w:p w:rsidR="00935F86" w:rsidRDefault="00935F86" w:rsidP="0066506B">
      <w:pPr>
        <w:jc w:val="both"/>
      </w:pPr>
    </w:p>
    <w:p w:rsidR="00935F86" w:rsidRDefault="00935F86" w:rsidP="0066506B">
      <w:pPr>
        <w:jc w:val="both"/>
      </w:pPr>
    </w:p>
    <w:p w:rsidR="00935F86" w:rsidRDefault="00935F86" w:rsidP="0066506B">
      <w:pPr>
        <w:jc w:val="both"/>
      </w:pPr>
    </w:p>
    <w:p w:rsidR="00935F86" w:rsidRDefault="00935F86" w:rsidP="00FE223F">
      <w:pPr>
        <w:spacing w:after="0" w:line="240" w:lineRule="auto"/>
        <w:jc w:val="both"/>
      </w:pPr>
    </w:p>
    <w:p w:rsidR="00935F86" w:rsidRPr="00B32695" w:rsidRDefault="00935F86" w:rsidP="00FE223F">
      <w:pPr>
        <w:spacing w:after="0" w:line="240" w:lineRule="auto"/>
        <w:jc w:val="both"/>
        <w:rPr>
          <w:sz w:val="32"/>
        </w:rPr>
      </w:pPr>
    </w:p>
    <w:p w:rsidR="009E65DA" w:rsidRPr="0066506B" w:rsidRDefault="00222382" w:rsidP="00222382">
      <w:pPr>
        <w:spacing w:after="0"/>
        <w:jc w:val="both"/>
        <w:rPr>
          <w:rFonts w:asciiTheme="minorHAnsi" w:hAnsiTheme="minorHAnsi" w:cstheme="minorHAnsi"/>
          <w:color w:val="C00000"/>
          <w:sz w:val="20"/>
        </w:rPr>
      </w:pPr>
      <w:hyperlink r:id="rId12" w:history="1">
        <w:r w:rsidRPr="0005618F">
          <w:rPr>
            <w:rStyle w:val="Hipervnculo"/>
            <w:rFonts w:asciiTheme="minorHAnsi" w:hAnsiTheme="minorHAnsi" w:cstheme="minorHAnsi"/>
            <w:sz w:val="20"/>
          </w:rPr>
          <w:t>https://www.banxico.org.mx/publicaciones-y-prensa/anuncios-de-las-decisiones-de-politica-monetaria/%7BC2B3629A-5738-402A-7D09-9893825E63AC%7D.pdf</w:t>
        </w:r>
      </w:hyperlink>
    </w:p>
    <w:p w:rsidR="00935F86" w:rsidRPr="00FE223F" w:rsidRDefault="00935F86" w:rsidP="00935F86">
      <w:pPr>
        <w:pStyle w:val="NormalWeb"/>
        <w:spacing w:before="0" w:beforeAutospacing="0" w:after="0" w:afterAutospacing="0"/>
        <w:jc w:val="both"/>
        <w:rPr>
          <w:rFonts w:asciiTheme="minorHAnsi" w:hAnsiTheme="minorHAnsi" w:cstheme="minorHAnsi"/>
          <w:b/>
          <w:color w:val="000000"/>
          <w:sz w:val="36"/>
        </w:rPr>
      </w:pPr>
    </w:p>
    <w:p w:rsidR="009E65DA" w:rsidRPr="0066506B" w:rsidRDefault="009E65DA" w:rsidP="00935F86">
      <w:pPr>
        <w:pStyle w:val="NormalWeb"/>
        <w:spacing w:before="0" w:beforeAutospacing="0" w:after="0" w:afterAutospacing="0"/>
        <w:jc w:val="both"/>
        <w:rPr>
          <w:rFonts w:asciiTheme="minorHAnsi" w:hAnsiTheme="minorHAnsi" w:cstheme="minorHAnsi"/>
          <w:b/>
          <w:color w:val="000000"/>
          <w:sz w:val="22"/>
        </w:rPr>
      </w:pPr>
      <w:r w:rsidRPr="0066506B">
        <w:rPr>
          <w:rFonts w:asciiTheme="minorHAnsi" w:hAnsiTheme="minorHAnsi" w:cstheme="minorHAnsi"/>
          <w:b/>
          <w:color w:val="000000"/>
          <w:sz w:val="22"/>
        </w:rPr>
        <w:t>1.2.3.- Paridad cambiaria Peso/Dólar.</w:t>
      </w:r>
    </w:p>
    <w:p w:rsidR="00935F86" w:rsidRDefault="00935F86" w:rsidP="00935F86">
      <w:pPr>
        <w:spacing w:after="0" w:line="240" w:lineRule="auto"/>
        <w:jc w:val="both"/>
        <w:rPr>
          <w:rFonts w:asciiTheme="minorHAnsi" w:hAnsiTheme="minorHAnsi" w:cstheme="minorHAnsi"/>
          <w:sz w:val="20"/>
        </w:rPr>
      </w:pPr>
    </w:p>
    <w:p w:rsidR="009E65DA" w:rsidRPr="0066506B" w:rsidRDefault="009E65DA" w:rsidP="00222382">
      <w:pPr>
        <w:spacing w:after="0" w:line="240" w:lineRule="auto"/>
        <w:jc w:val="both"/>
        <w:rPr>
          <w:rFonts w:asciiTheme="minorHAnsi" w:hAnsiTheme="minorHAnsi" w:cstheme="minorHAnsi"/>
          <w:sz w:val="20"/>
        </w:rPr>
      </w:pPr>
      <w:r w:rsidRPr="0066506B">
        <w:rPr>
          <w:rFonts w:asciiTheme="minorHAnsi" w:hAnsiTheme="minorHAnsi" w:cstheme="minorHAnsi"/>
          <w:sz w:val="20"/>
        </w:rPr>
        <w:t>El peso mexicano terminó</w:t>
      </w:r>
      <w:r w:rsidR="00A056EE" w:rsidRPr="0066506B">
        <w:rPr>
          <w:rFonts w:asciiTheme="minorHAnsi" w:hAnsiTheme="minorHAnsi" w:cstheme="minorHAnsi"/>
          <w:sz w:val="20"/>
        </w:rPr>
        <w:t xml:space="preserve"> en el último trimestre del </w:t>
      </w:r>
      <w:r w:rsidR="003C52A2" w:rsidRPr="0066506B">
        <w:rPr>
          <w:rFonts w:asciiTheme="minorHAnsi" w:hAnsiTheme="minorHAnsi" w:cstheme="minorHAnsi"/>
          <w:sz w:val="20"/>
        </w:rPr>
        <w:t>ejercicio 2023</w:t>
      </w:r>
      <w:r w:rsidRPr="0066506B">
        <w:rPr>
          <w:rFonts w:asciiTheme="minorHAnsi" w:hAnsiTheme="minorHAnsi" w:cstheme="minorHAnsi"/>
          <w:sz w:val="20"/>
        </w:rPr>
        <w:t>, con un valor promedio durante la segunda quincena del mes de diciembre de 17.02 pesos por dólar, lo que lo posiciona 3.58 pesos por debajo de lo esperado por los CGPE 2023 (20.6).</w:t>
      </w:r>
    </w:p>
    <w:p w:rsidR="009E65DA" w:rsidRPr="0066506B" w:rsidRDefault="009E65DA" w:rsidP="00222382">
      <w:pPr>
        <w:spacing w:before="100" w:beforeAutospacing="1" w:after="100" w:afterAutospacing="1" w:line="240" w:lineRule="auto"/>
        <w:jc w:val="both"/>
        <w:rPr>
          <w:rFonts w:asciiTheme="minorHAnsi" w:hAnsiTheme="minorHAnsi" w:cstheme="minorHAnsi"/>
          <w:sz w:val="20"/>
        </w:rPr>
      </w:pPr>
      <w:r w:rsidRPr="0066506B">
        <w:rPr>
          <w:rFonts w:asciiTheme="minorHAnsi" w:hAnsiTheme="minorHAnsi" w:cstheme="minorHAnsi"/>
          <w:sz w:val="20"/>
        </w:rPr>
        <w:t>Caber señalar que el tipo de cambio MXN/USD alcanzó su nivel más bajo en más de 7 años el 28 de julio de 2023, cuando registró un nivel de $16.69 pesos por dólar. Al cierre de noviembre, el nivel fue de $17.37 pesos por dólar.</w:t>
      </w:r>
    </w:p>
    <w:p w:rsidR="009E65DA" w:rsidRPr="0066506B" w:rsidRDefault="009E65DA" w:rsidP="00222382">
      <w:pPr>
        <w:spacing w:before="100" w:beforeAutospacing="1" w:after="100" w:afterAutospacing="1" w:line="240" w:lineRule="auto"/>
        <w:jc w:val="both"/>
        <w:rPr>
          <w:rFonts w:asciiTheme="minorHAnsi" w:hAnsiTheme="minorHAnsi" w:cstheme="minorHAnsi"/>
          <w:sz w:val="20"/>
        </w:rPr>
      </w:pPr>
      <w:r w:rsidRPr="0066506B">
        <w:rPr>
          <w:rFonts w:asciiTheme="minorHAnsi" w:hAnsiTheme="minorHAnsi" w:cstheme="minorHAnsi"/>
          <w:sz w:val="20"/>
        </w:rPr>
        <w:t>Previamente, el tipo de cambio alcanzó un máximo histórico en marzo de 2020, cuando registró $25.12 pesos por dólar.</w:t>
      </w:r>
    </w:p>
    <w:p w:rsidR="009E65DA" w:rsidRPr="0066506B" w:rsidRDefault="009E65DA" w:rsidP="00222382">
      <w:pPr>
        <w:pStyle w:val="NormalWeb"/>
        <w:jc w:val="both"/>
        <w:rPr>
          <w:rFonts w:asciiTheme="minorHAnsi" w:hAnsiTheme="minorHAnsi" w:cstheme="minorHAnsi"/>
          <w:b/>
          <w:color w:val="000000"/>
          <w:sz w:val="22"/>
        </w:rPr>
      </w:pPr>
      <w:r w:rsidRPr="0066506B">
        <w:rPr>
          <w:rFonts w:asciiTheme="minorHAnsi" w:hAnsiTheme="minorHAnsi" w:cstheme="minorHAnsi"/>
          <w:b/>
          <w:color w:val="000000"/>
          <w:sz w:val="22"/>
        </w:rPr>
        <w:t>1.2.4.- Índice Nacional de Precios al Consumidor. INPC</w:t>
      </w:r>
    </w:p>
    <w:p w:rsidR="009E65DA" w:rsidRPr="0066506B" w:rsidRDefault="009E65DA" w:rsidP="00222382">
      <w:pPr>
        <w:pStyle w:val="Prrafodelista"/>
        <w:spacing w:before="100" w:beforeAutospacing="1" w:after="100" w:afterAutospacing="1" w:line="240" w:lineRule="auto"/>
        <w:ind w:left="0" w:right="51"/>
        <w:jc w:val="both"/>
        <w:rPr>
          <w:rFonts w:asciiTheme="minorHAnsi" w:hAnsiTheme="minorHAnsi" w:cstheme="minorHAnsi"/>
          <w:bCs/>
          <w:sz w:val="20"/>
        </w:rPr>
      </w:pPr>
      <w:r w:rsidRPr="0066506B">
        <w:rPr>
          <w:rFonts w:asciiTheme="minorHAnsi" w:hAnsiTheme="minorHAnsi" w:cstheme="minorHAnsi"/>
          <w:bCs/>
          <w:sz w:val="20"/>
        </w:rPr>
        <w:t xml:space="preserve">En diciembre de 2023, el </w:t>
      </w:r>
      <w:proofErr w:type="spellStart"/>
      <w:r w:rsidRPr="0066506B">
        <w:rPr>
          <w:rFonts w:asciiTheme="minorHAnsi" w:hAnsiTheme="minorHAnsi" w:cstheme="minorHAnsi"/>
          <w:bCs/>
          <w:smallCaps/>
          <w:sz w:val="20"/>
        </w:rPr>
        <w:t>inpc</w:t>
      </w:r>
      <w:proofErr w:type="spellEnd"/>
      <w:r w:rsidRPr="0066506B">
        <w:rPr>
          <w:rFonts w:asciiTheme="minorHAnsi" w:hAnsiTheme="minorHAnsi" w:cstheme="minorHAnsi"/>
          <w:bCs/>
          <w:sz w:val="20"/>
        </w:rPr>
        <w:t xml:space="preserve"> registró un incremento de 0.71 % respecto al mes anterior. Con este resultado, la inflación general anual se ubicó en 4.66 por ciento. En el mismo mes de 2022, la inflación mensual fue de 0.38 % y la anual, de 7.82 por ciento.</w:t>
      </w:r>
    </w:p>
    <w:p w:rsidR="009E65DA" w:rsidRPr="0066506B" w:rsidRDefault="009E65DA" w:rsidP="001457BE">
      <w:pPr>
        <w:pStyle w:val="Prrafodelista"/>
        <w:spacing w:before="100" w:beforeAutospacing="1" w:after="100" w:afterAutospacing="1" w:line="240" w:lineRule="auto"/>
        <w:ind w:left="0" w:right="51"/>
        <w:rPr>
          <w:rFonts w:asciiTheme="minorHAnsi" w:hAnsiTheme="minorHAnsi" w:cstheme="minorHAnsi"/>
          <w:bCs/>
          <w:sz w:val="20"/>
        </w:rPr>
      </w:pPr>
    </w:p>
    <w:p w:rsidR="009E65DA" w:rsidRPr="0066506B" w:rsidRDefault="009E65DA" w:rsidP="00222382">
      <w:pPr>
        <w:pStyle w:val="Prrafodelista"/>
        <w:spacing w:before="100" w:beforeAutospacing="1" w:after="100" w:afterAutospacing="1" w:line="240" w:lineRule="auto"/>
        <w:ind w:left="0" w:right="51"/>
        <w:jc w:val="both"/>
        <w:rPr>
          <w:rFonts w:asciiTheme="minorHAnsi" w:hAnsiTheme="minorHAnsi" w:cstheme="minorHAnsi"/>
          <w:bCs/>
          <w:sz w:val="20"/>
        </w:rPr>
      </w:pPr>
      <w:r w:rsidRPr="0066506B">
        <w:rPr>
          <w:rFonts w:asciiTheme="minorHAnsi" w:hAnsiTheme="minorHAnsi" w:cstheme="minorHAnsi"/>
          <w:bCs/>
          <w:sz w:val="20"/>
        </w:rPr>
        <w:t>El índice de precios subyacente aumentó 0.44 % a tasa mensual y 5.09 % a tasa anual. El índice de precios no subyacente presentó un alza de 1.53 % mensual y de 3.39 % anual.</w:t>
      </w:r>
    </w:p>
    <w:p w:rsidR="009E65DA" w:rsidRPr="0066506B" w:rsidRDefault="009E65DA" w:rsidP="00222382">
      <w:pPr>
        <w:pStyle w:val="Prrafodelista"/>
        <w:spacing w:before="100" w:beforeAutospacing="1" w:after="100" w:afterAutospacing="1" w:line="240" w:lineRule="auto"/>
        <w:ind w:left="0" w:right="51"/>
        <w:jc w:val="both"/>
        <w:rPr>
          <w:rFonts w:asciiTheme="minorHAnsi" w:hAnsiTheme="minorHAnsi" w:cstheme="minorHAnsi"/>
          <w:bCs/>
          <w:sz w:val="20"/>
        </w:rPr>
      </w:pPr>
      <w:r w:rsidRPr="0066506B">
        <w:rPr>
          <w:rFonts w:asciiTheme="minorHAnsi" w:hAnsiTheme="minorHAnsi" w:cstheme="minorHAnsi"/>
          <w:bCs/>
          <w:sz w:val="20"/>
        </w:rPr>
        <w:lastRenderedPageBreak/>
        <w:t>Al interior del índice subyacente, a tasa mensual, los precios de las mercancías subieron 0.32 % y los de servicios, 0.58 por ciento.</w:t>
      </w:r>
    </w:p>
    <w:p w:rsidR="009E65DA" w:rsidRPr="0066506B" w:rsidRDefault="009E65DA" w:rsidP="00222382">
      <w:pPr>
        <w:pStyle w:val="Prrafodelista"/>
        <w:spacing w:before="100" w:beforeAutospacing="1" w:after="100" w:afterAutospacing="1" w:line="240" w:lineRule="auto"/>
        <w:ind w:left="0" w:right="51"/>
        <w:jc w:val="both"/>
        <w:rPr>
          <w:rFonts w:asciiTheme="minorHAnsi" w:hAnsiTheme="minorHAnsi" w:cstheme="minorHAnsi"/>
          <w:bCs/>
          <w:sz w:val="20"/>
        </w:rPr>
      </w:pPr>
    </w:p>
    <w:p w:rsidR="009E65DA" w:rsidRPr="0066506B" w:rsidRDefault="009E65DA" w:rsidP="00222382">
      <w:pPr>
        <w:pStyle w:val="Prrafodelista"/>
        <w:spacing w:before="100" w:beforeAutospacing="1" w:after="100" w:afterAutospacing="1" w:line="240" w:lineRule="auto"/>
        <w:ind w:left="0" w:right="51"/>
        <w:jc w:val="both"/>
        <w:rPr>
          <w:rFonts w:asciiTheme="minorHAnsi" w:hAnsiTheme="minorHAnsi" w:cstheme="minorHAnsi"/>
          <w:bCs/>
          <w:sz w:val="20"/>
        </w:rPr>
      </w:pPr>
      <w:r w:rsidRPr="0066506B">
        <w:rPr>
          <w:rFonts w:asciiTheme="minorHAnsi" w:hAnsiTheme="minorHAnsi" w:cstheme="minorHAnsi"/>
          <w:bCs/>
          <w:sz w:val="20"/>
        </w:rPr>
        <w:t xml:space="preserve">Dentro del índice no subyacente, a tasa mensual, los precios de los productos agropecuarios crecieron 3.25 % y los de energéticos y tarifas autorizadas por el gobierno, 0.05 por ciento. </w:t>
      </w:r>
    </w:p>
    <w:p w:rsidR="009E65DA" w:rsidRPr="009E65DA" w:rsidRDefault="009E65DA" w:rsidP="009E65DA">
      <w:pPr>
        <w:pStyle w:val="Prrafodelista"/>
        <w:keepNext/>
        <w:keepLines/>
        <w:widowControl w:val="0"/>
        <w:ind w:left="0"/>
        <w:jc w:val="center"/>
        <w:rPr>
          <w:rFonts w:asciiTheme="minorHAnsi" w:hAnsiTheme="minorHAnsi" w:cstheme="minorHAnsi"/>
          <w:bCs/>
        </w:rPr>
      </w:pPr>
    </w:p>
    <w:p w:rsidR="009E65DA" w:rsidRPr="009E65DA" w:rsidRDefault="009E65DA" w:rsidP="00F648FF">
      <w:pPr>
        <w:pStyle w:val="Prrafodelista"/>
        <w:keepNext/>
        <w:keepLines/>
        <w:widowControl w:val="0"/>
        <w:spacing w:after="120"/>
        <w:ind w:left="0"/>
        <w:jc w:val="center"/>
        <w:rPr>
          <w:rFonts w:asciiTheme="minorHAnsi" w:hAnsiTheme="minorHAnsi" w:cstheme="minorHAnsi"/>
          <w:b/>
          <w:bCs/>
          <w:color w:val="000000" w:themeColor="text1"/>
        </w:rPr>
      </w:pPr>
      <w:r w:rsidRPr="009E65DA">
        <w:rPr>
          <w:rFonts w:asciiTheme="minorHAnsi" w:hAnsiTheme="minorHAnsi" w:cstheme="minorHAnsi"/>
          <w:b/>
          <w:bCs/>
          <w:smallCaps/>
          <w:color w:val="000000" w:themeColor="text1"/>
        </w:rPr>
        <w:t xml:space="preserve">Variación e incidencia del </w:t>
      </w:r>
      <w:proofErr w:type="spellStart"/>
      <w:r w:rsidRPr="009E65DA">
        <w:rPr>
          <w:rFonts w:asciiTheme="minorHAnsi" w:hAnsiTheme="minorHAnsi" w:cstheme="minorHAnsi"/>
          <w:b/>
          <w:bCs/>
          <w:smallCaps/>
          <w:color w:val="000000" w:themeColor="text1"/>
        </w:rPr>
        <w:t>inpc</w:t>
      </w:r>
      <w:proofErr w:type="spellEnd"/>
      <w:r w:rsidRPr="009E65DA">
        <w:rPr>
          <w:rFonts w:asciiTheme="minorHAnsi" w:hAnsiTheme="minorHAnsi" w:cstheme="minorHAnsi"/>
          <w:b/>
          <w:bCs/>
          <w:smallCaps/>
          <w:color w:val="000000" w:themeColor="text1"/>
        </w:rPr>
        <w:t xml:space="preserve"> y sus componentes</w:t>
      </w:r>
    </w:p>
    <w:p w:rsidR="009E65DA" w:rsidRDefault="004179D0" w:rsidP="00F648FF">
      <w:pPr>
        <w:keepNext/>
        <w:keepLines/>
        <w:widowControl w:val="0"/>
        <w:spacing w:after="120"/>
        <w:jc w:val="center"/>
        <w:rPr>
          <w:rFonts w:asciiTheme="minorHAnsi" w:hAnsiTheme="minorHAnsi" w:cstheme="minorHAnsi"/>
          <w:b/>
        </w:rPr>
      </w:pPr>
      <w:r w:rsidRPr="00951975">
        <w:rPr>
          <w:rFonts w:asciiTheme="minorHAnsi" w:hAnsiTheme="minorHAnsi" w:cstheme="minorHAnsi"/>
          <w:b/>
        </w:rPr>
        <w:t>Diciembre</w:t>
      </w:r>
      <w:r w:rsidR="009E65DA" w:rsidRPr="00951975">
        <w:rPr>
          <w:rFonts w:asciiTheme="minorHAnsi" w:hAnsiTheme="minorHAnsi" w:cstheme="minorHAnsi"/>
          <w:b/>
        </w:rPr>
        <w:t xml:space="preserve"> de los años que se indican</w:t>
      </w:r>
    </w:p>
    <w:tbl>
      <w:tblPr>
        <w:tblW w:w="4731" w:type="pct"/>
        <w:jc w:val="center"/>
        <w:tblLayout w:type="fixed"/>
        <w:tblCellMar>
          <w:left w:w="28" w:type="dxa"/>
          <w:right w:w="28" w:type="dxa"/>
        </w:tblCellMar>
        <w:tblLook w:val="04A0" w:firstRow="1" w:lastRow="0" w:firstColumn="1" w:lastColumn="0" w:noHBand="0" w:noVBand="1"/>
      </w:tblPr>
      <w:tblGrid>
        <w:gridCol w:w="2372"/>
        <w:gridCol w:w="523"/>
        <w:gridCol w:w="501"/>
        <w:gridCol w:w="511"/>
        <w:gridCol w:w="111"/>
        <w:gridCol w:w="522"/>
        <w:gridCol w:w="505"/>
        <w:gridCol w:w="373"/>
        <w:gridCol w:w="14"/>
        <w:gridCol w:w="261"/>
        <w:gridCol w:w="534"/>
        <w:gridCol w:w="484"/>
        <w:gridCol w:w="548"/>
        <w:gridCol w:w="6"/>
        <w:gridCol w:w="105"/>
        <w:gridCol w:w="6"/>
        <w:gridCol w:w="471"/>
        <w:gridCol w:w="471"/>
        <w:gridCol w:w="485"/>
        <w:gridCol w:w="35"/>
      </w:tblGrid>
      <w:tr w:rsidR="00951975" w:rsidRPr="00B312C1" w:rsidTr="00F648FF">
        <w:trPr>
          <w:trHeight w:val="230"/>
          <w:jc w:val="center"/>
        </w:trPr>
        <w:tc>
          <w:tcPr>
            <w:tcW w:w="2372" w:type="dxa"/>
            <w:vMerge w:val="restart"/>
            <w:tcBorders>
              <w:top w:val="single" w:sz="8" w:space="0" w:color="006600"/>
              <w:left w:val="single" w:sz="8" w:space="0" w:color="006600"/>
            </w:tcBorders>
            <w:shd w:val="clear" w:color="auto" w:fill="auto"/>
            <w:noWrap/>
            <w:vAlign w:val="center"/>
            <w:hideMark/>
          </w:tcPr>
          <w:p w:rsidR="00951975" w:rsidRPr="00B312C1" w:rsidRDefault="00951975" w:rsidP="00222382">
            <w:pPr>
              <w:pStyle w:val="Sinespaciado"/>
              <w:jc w:val="center"/>
              <w:rPr>
                <w:rFonts w:cstheme="minorHAnsi"/>
                <w:b/>
                <w:sz w:val="18"/>
                <w:szCs w:val="18"/>
              </w:rPr>
            </w:pPr>
            <w:r w:rsidRPr="00B312C1">
              <w:rPr>
                <w:rFonts w:cstheme="minorHAnsi"/>
                <w:b/>
                <w:sz w:val="18"/>
                <w:szCs w:val="18"/>
              </w:rPr>
              <w:t>Concepto</w:t>
            </w:r>
          </w:p>
        </w:tc>
        <w:tc>
          <w:tcPr>
            <w:tcW w:w="3046" w:type="dxa"/>
            <w:gridSpan w:val="7"/>
            <w:tcBorders>
              <w:top w:val="single" w:sz="8" w:space="0" w:color="006600"/>
              <w:bottom w:val="single" w:sz="4" w:space="0" w:color="006600"/>
            </w:tcBorders>
            <w:shd w:val="clear" w:color="auto" w:fill="auto"/>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 xml:space="preserve">Variación porcentual </w:t>
            </w:r>
          </w:p>
        </w:tc>
        <w:tc>
          <w:tcPr>
            <w:tcW w:w="275" w:type="dxa"/>
            <w:gridSpan w:val="2"/>
            <w:tcBorders>
              <w:top w:val="single" w:sz="8" w:space="0" w:color="006600"/>
              <w:left w:val="nil"/>
              <w:right w:val="nil"/>
            </w:tcBorders>
            <w:shd w:val="clear" w:color="auto" w:fill="auto"/>
            <w:vAlign w:val="center"/>
          </w:tcPr>
          <w:p w:rsidR="00951975" w:rsidRPr="00B312C1" w:rsidRDefault="00951975" w:rsidP="00935F86">
            <w:pPr>
              <w:pStyle w:val="Sinespaciado"/>
              <w:rPr>
                <w:rFonts w:cstheme="minorHAnsi"/>
                <w:b/>
                <w:sz w:val="18"/>
                <w:szCs w:val="18"/>
              </w:rPr>
            </w:pPr>
          </w:p>
        </w:tc>
        <w:tc>
          <w:tcPr>
            <w:tcW w:w="3145" w:type="dxa"/>
            <w:gridSpan w:val="10"/>
            <w:tcBorders>
              <w:top w:val="single" w:sz="8" w:space="0" w:color="006600"/>
              <w:left w:val="nil"/>
              <w:bottom w:val="single" w:sz="4" w:space="0" w:color="006600"/>
              <w:right w:val="single" w:sz="8" w:space="0" w:color="006600"/>
            </w:tcBorders>
            <w:shd w:val="clear" w:color="auto" w:fill="auto"/>
            <w:noWrap/>
            <w:vAlign w:val="center"/>
            <w:hideMark/>
          </w:tcPr>
          <w:p w:rsidR="00951975" w:rsidRPr="00B312C1" w:rsidRDefault="00951975" w:rsidP="00935F86">
            <w:pPr>
              <w:pStyle w:val="Sinespaciado"/>
              <w:rPr>
                <w:rFonts w:cstheme="minorHAnsi"/>
                <w:b/>
                <w:sz w:val="18"/>
                <w:szCs w:val="18"/>
              </w:rPr>
            </w:pPr>
            <w:r w:rsidRPr="00B312C1">
              <w:rPr>
                <w:rFonts w:cstheme="minorHAnsi"/>
                <w:b/>
                <w:sz w:val="18"/>
                <w:szCs w:val="18"/>
              </w:rPr>
              <w:t xml:space="preserve">Incidencia </w:t>
            </w:r>
            <w:r w:rsidRPr="00B312C1">
              <w:rPr>
                <w:rFonts w:cstheme="minorHAnsi"/>
                <w:b/>
                <w:sz w:val="18"/>
                <w:szCs w:val="18"/>
                <w:vertAlign w:val="superscript"/>
              </w:rPr>
              <w:t>1/</w:t>
            </w:r>
          </w:p>
        </w:tc>
      </w:tr>
      <w:tr w:rsidR="00FE223F" w:rsidRPr="00B312C1" w:rsidTr="00F648FF">
        <w:trPr>
          <w:trHeight w:val="230"/>
          <w:jc w:val="center"/>
        </w:trPr>
        <w:tc>
          <w:tcPr>
            <w:tcW w:w="2372" w:type="dxa"/>
            <w:vMerge/>
            <w:tcBorders>
              <w:left w:val="single" w:sz="8" w:space="0" w:color="006600"/>
            </w:tcBorders>
            <w:shd w:val="clear" w:color="auto" w:fill="auto"/>
            <w:noWrap/>
            <w:vAlign w:val="center"/>
          </w:tcPr>
          <w:p w:rsidR="00951975" w:rsidRPr="00B312C1" w:rsidRDefault="00951975" w:rsidP="00935F86">
            <w:pPr>
              <w:pStyle w:val="Sinespaciado"/>
              <w:rPr>
                <w:rFonts w:cstheme="minorHAnsi"/>
                <w:b/>
                <w:sz w:val="18"/>
                <w:szCs w:val="18"/>
              </w:rPr>
            </w:pPr>
          </w:p>
        </w:tc>
        <w:tc>
          <w:tcPr>
            <w:tcW w:w="1535" w:type="dxa"/>
            <w:gridSpan w:val="3"/>
            <w:tcBorders>
              <w:top w:val="single" w:sz="4" w:space="0" w:color="006600"/>
              <w:bottom w:val="single" w:sz="4" w:space="0" w:color="006600"/>
            </w:tcBorders>
            <w:shd w:val="clear" w:color="auto" w:fill="auto"/>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mensual</w:t>
            </w:r>
          </w:p>
        </w:tc>
        <w:tc>
          <w:tcPr>
            <w:tcW w:w="111" w:type="dxa"/>
            <w:tcBorders>
              <w:top w:val="single" w:sz="4" w:space="0" w:color="006600"/>
              <w:right w:val="nil"/>
            </w:tcBorders>
            <w:shd w:val="clear" w:color="auto" w:fill="auto"/>
            <w:vAlign w:val="center"/>
          </w:tcPr>
          <w:p w:rsidR="00951975" w:rsidRPr="00B312C1" w:rsidRDefault="00951975" w:rsidP="00935F86">
            <w:pPr>
              <w:pStyle w:val="Sinespaciado"/>
              <w:rPr>
                <w:rFonts w:cstheme="minorHAnsi"/>
                <w:b/>
                <w:sz w:val="18"/>
                <w:szCs w:val="18"/>
              </w:rPr>
            </w:pPr>
          </w:p>
        </w:tc>
        <w:tc>
          <w:tcPr>
            <w:tcW w:w="1414" w:type="dxa"/>
            <w:gridSpan w:val="4"/>
            <w:tcBorders>
              <w:top w:val="single" w:sz="4" w:space="0" w:color="006600"/>
              <w:left w:val="nil"/>
              <w:bottom w:val="single" w:sz="4" w:space="0" w:color="006600"/>
            </w:tcBorders>
            <w:shd w:val="clear" w:color="auto" w:fill="auto"/>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anual</w:t>
            </w:r>
          </w:p>
        </w:tc>
        <w:tc>
          <w:tcPr>
            <w:tcW w:w="261" w:type="dxa"/>
            <w:tcBorders>
              <w:left w:val="nil"/>
              <w:right w:val="nil"/>
            </w:tcBorders>
            <w:shd w:val="clear" w:color="auto" w:fill="auto"/>
            <w:vAlign w:val="center"/>
          </w:tcPr>
          <w:p w:rsidR="00951975" w:rsidRPr="00B312C1" w:rsidRDefault="00951975" w:rsidP="00935F86">
            <w:pPr>
              <w:pStyle w:val="Sinespaciado"/>
              <w:rPr>
                <w:rFonts w:cstheme="minorHAnsi"/>
                <w:b/>
                <w:sz w:val="18"/>
                <w:szCs w:val="18"/>
              </w:rPr>
            </w:pPr>
          </w:p>
        </w:tc>
        <w:tc>
          <w:tcPr>
            <w:tcW w:w="1566" w:type="dxa"/>
            <w:gridSpan w:val="3"/>
            <w:tcBorders>
              <w:top w:val="single" w:sz="4" w:space="0" w:color="006600"/>
              <w:left w:val="nil"/>
              <w:bottom w:val="single" w:sz="4" w:space="0" w:color="006600"/>
            </w:tcBorders>
            <w:shd w:val="clear" w:color="auto" w:fill="auto"/>
            <w:noWrap/>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 xml:space="preserve">mensual </w:t>
            </w:r>
          </w:p>
        </w:tc>
        <w:tc>
          <w:tcPr>
            <w:tcW w:w="111" w:type="dxa"/>
            <w:gridSpan w:val="2"/>
            <w:tcBorders>
              <w:top w:val="single" w:sz="4" w:space="0" w:color="006600"/>
              <w:left w:val="nil"/>
              <w:right w:val="nil"/>
            </w:tcBorders>
            <w:shd w:val="clear" w:color="auto" w:fill="auto"/>
            <w:vAlign w:val="center"/>
          </w:tcPr>
          <w:p w:rsidR="00951975" w:rsidRPr="00B312C1" w:rsidRDefault="00951975" w:rsidP="00935F86">
            <w:pPr>
              <w:pStyle w:val="Sinespaciado"/>
              <w:rPr>
                <w:rFonts w:cstheme="minorHAnsi"/>
                <w:b/>
                <w:sz w:val="18"/>
                <w:szCs w:val="18"/>
              </w:rPr>
            </w:pPr>
          </w:p>
        </w:tc>
        <w:tc>
          <w:tcPr>
            <w:tcW w:w="1468" w:type="dxa"/>
            <w:gridSpan w:val="5"/>
            <w:tcBorders>
              <w:top w:val="single" w:sz="4" w:space="0" w:color="006600"/>
              <w:left w:val="nil"/>
              <w:bottom w:val="single" w:sz="4" w:space="0" w:color="006600"/>
              <w:right w:val="single" w:sz="8" w:space="0" w:color="006600"/>
            </w:tcBorders>
            <w:shd w:val="clear" w:color="auto" w:fill="auto"/>
            <w:noWrap/>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 xml:space="preserve">anual </w:t>
            </w:r>
          </w:p>
        </w:tc>
      </w:tr>
      <w:tr w:rsidR="00FE223F" w:rsidRPr="00B312C1" w:rsidTr="00F648FF">
        <w:trPr>
          <w:gridAfter w:val="1"/>
          <w:wAfter w:w="35" w:type="dxa"/>
          <w:trHeight w:val="230"/>
          <w:jc w:val="center"/>
        </w:trPr>
        <w:tc>
          <w:tcPr>
            <w:tcW w:w="2372" w:type="dxa"/>
            <w:vMerge/>
            <w:tcBorders>
              <w:left w:val="single" w:sz="8" w:space="0" w:color="006600"/>
              <w:bottom w:val="single" w:sz="8" w:space="0" w:color="006600"/>
            </w:tcBorders>
            <w:shd w:val="clear" w:color="auto" w:fill="auto"/>
            <w:vAlign w:val="center"/>
            <w:hideMark/>
          </w:tcPr>
          <w:p w:rsidR="00951975" w:rsidRPr="00B312C1" w:rsidRDefault="00951975" w:rsidP="00935F86">
            <w:pPr>
              <w:pStyle w:val="Sinespaciado"/>
              <w:rPr>
                <w:rFonts w:cstheme="minorHAnsi"/>
                <w:b/>
                <w:sz w:val="18"/>
                <w:szCs w:val="18"/>
              </w:rPr>
            </w:pPr>
          </w:p>
        </w:tc>
        <w:tc>
          <w:tcPr>
            <w:tcW w:w="523" w:type="dxa"/>
            <w:tcBorders>
              <w:top w:val="single" w:sz="4" w:space="0" w:color="006600"/>
              <w:bottom w:val="single" w:sz="8" w:space="0" w:color="006600"/>
              <w:right w:val="nil"/>
            </w:tcBorders>
            <w:shd w:val="clear" w:color="auto" w:fill="auto"/>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 xml:space="preserve">2021    </w:t>
            </w:r>
          </w:p>
        </w:tc>
        <w:tc>
          <w:tcPr>
            <w:tcW w:w="501" w:type="dxa"/>
            <w:tcBorders>
              <w:top w:val="single" w:sz="4" w:space="0" w:color="006600"/>
              <w:left w:val="nil"/>
              <w:bottom w:val="single" w:sz="8" w:space="0" w:color="006600"/>
              <w:right w:val="nil"/>
            </w:tcBorders>
            <w:shd w:val="clear" w:color="auto" w:fill="auto"/>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2022</w:t>
            </w:r>
          </w:p>
        </w:tc>
        <w:tc>
          <w:tcPr>
            <w:tcW w:w="511" w:type="dxa"/>
            <w:tcBorders>
              <w:top w:val="single" w:sz="4" w:space="0" w:color="006600"/>
              <w:left w:val="nil"/>
              <w:bottom w:val="single" w:sz="8" w:space="0" w:color="006600"/>
            </w:tcBorders>
            <w:shd w:val="clear" w:color="auto" w:fill="auto"/>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2023</w:t>
            </w:r>
          </w:p>
        </w:tc>
        <w:tc>
          <w:tcPr>
            <w:tcW w:w="111" w:type="dxa"/>
            <w:tcBorders>
              <w:left w:val="nil"/>
              <w:bottom w:val="single" w:sz="8" w:space="0" w:color="006600"/>
              <w:right w:val="nil"/>
            </w:tcBorders>
            <w:shd w:val="clear" w:color="auto" w:fill="auto"/>
            <w:vAlign w:val="center"/>
          </w:tcPr>
          <w:p w:rsidR="00951975" w:rsidRPr="00B312C1" w:rsidRDefault="00951975" w:rsidP="00935F86">
            <w:pPr>
              <w:pStyle w:val="Sinespaciado"/>
              <w:rPr>
                <w:rFonts w:cstheme="minorHAnsi"/>
                <w:b/>
                <w:sz w:val="18"/>
                <w:szCs w:val="18"/>
              </w:rPr>
            </w:pPr>
          </w:p>
        </w:tc>
        <w:tc>
          <w:tcPr>
            <w:tcW w:w="522" w:type="dxa"/>
            <w:tcBorders>
              <w:top w:val="single" w:sz="4" w:space="0" w:color="006600"/>
              <w:left w:val="nil"/>
              <w:bottom w:val="single" w:sz="8" w:space="0" w:color="006600"/>
            </w:tcBorders>
            <w:shd w:val="clear" w:color="auto" w:fill="auto"/>
            <w:noWrap/>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2021</w:t>
            </w:r>
          </w:p>
        </w:tc>
        <w:tc>
          <w:tcPr>
            <w:tcW w:w="505" w:type="dxa"/>
            <w:tcBorders>
              <w:top w:val="single" w:sz="4" w:space="0" w:color="006600"/>
              <w:bottom w:val="single" w:sz="8" w:space="0" w:color="006600"/>
            </w:tcBorders>
            <w:shd w:val="clear" w:color="auto" w:fill="auto"/>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2022</w:t>
            </w:r>
          </w:p>
        </w:tc>
        <w:tc>
          <w:tcPr>
            <w:tcW w:w="387" w:type="dxa"/>
            <w:gridSpan w:val="2"/>
            <w:tcBorders>
              <w:top w:val="single" w:sz="4" w:space="0" w:color="006600"/>
              <w:bottom w:val="single" w:sz="8" w:space="0" w:color="006600"/>
            </w:tcBorders>
            <w:shd w:val="clear" w:color="auto" w:fill="auto"/>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2023</w:t>
            </w:r>
          </w:p>
        </w:tc>
        <w:tc>
          <w:tcPr>
            <w:tcW w:w="261" w:type="dxa"/>
            <w:tcBorders>
              <w:bottom w:val="single" w:sz="8" w:space="0" w:color="006600"/>
              <w:right w:val="nil"/>
            </w:tcBorders>
            <w:shd w:val="clear" w:color="auto" w:fill="auto"/>
            <w:vAlign w:val="center"/>
          </w:tcPr>
          <w:p w:rsidR="00951975" w:rsidRPr="00B312C1" w:rsidRDefault="00951975" w:rsidP="00935F86">
            <w:pPr>
              <w:pStyle w:val="Sinespaciado"/>
              <w:rPr>
                <w:rFonts w:cstheme="minorHAnsi"/>
                <w:b/>
                <w:sz w:val="18"/>
                <w:szCs w:val="18"/>
              </w:rPr>
            </w:pPr>
          </w:p>
        </w:tc>
        <w:tc>
          <w:tcPr>
            <w:tcW w:w="534" w:type="dxa"/>
            <w:tcBorders>
              <w:top w:val="single" w:sz="4" w:space="0" w:color="006600"/>
              <w:left w:val="nil"/>
              <w:bottom w:val="single" w:sz="8" w:space="0" w:color="006600"/>
            </w:tcBorders>
            <w:shd w:val="clear" w:color="auto" w:fill="auto"/>
            <w:noWrap/>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2021</w:t>
            </w:r>
          </w:p>
        </w:tc>
        <w:tc>
          <w:tcPr>
            <w:tcW w:w="484" w:type="dxa"/>
            <w:tcBorders>
              <w:top w:val="single" w:sz="4" w:space="0" w:color="006600"/>
              <w:bottom w:val="single" w:sz="8" w:space="0" w:color="006600"/>
            </w:tcBorders>
            <w:shd w:val="clear" w:color="auto" w:fill="auto"/>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2022</w:t>
            </w:r>
          </w:p>
        </w:tc>
        <w:tc>
          <w:tcPr>
            <w:tcW w:w="554" w:type="dxa"/>
            <w:gridSpan w:val="2"/>
            <w:tcBorders>
              <w:top w:val="single" w:sz="4" w:space="0" w:color="006600"/>
              <w:bottom w:val="single" w:sz="8" w:space="0" w:color="006600"/>
            </w:tcBorders>
            <w:shd w:val="clear" w:color="auto" w:fill="auto"/>
            <w:noWrap/>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2023</w:t>
            </w:r>
          </w:p>
        </w:tc>
        <w:tc>
          <w:tcPr>
            <w:tcW w:w="111" w:type="dxa"/>
            <w:gridSpan w:val="2"/>
            <w:tcBorders>
              <w:bottom w:val="single" w:sz="8" w:space="0" w:color="006600"/>
              <w:right w:val="nil"/>
            </w:tcBorders>
            <w:shd w:val="clear" w:color="auto" w:fill="auto"/>
            <w:vAlign w:val="center"/>
          </w:tcPr>
          <w:p w:rsidR="00951975" w:rsidRPr="00B312C1" w:rsidRDefault="00951975" w:rsidP="00935F86">
            <w:pPr>
              <w:pStyle w:val="Sinespaciado"/>
              <w:rPr>
                <w:rFonts w:cstheme="minorHAnsi"/>
                <w:b/>
                <w:sz w:val="18"/>
                <w:szCs w:val="18"/>
              </w:rPr>
            </w:pPr>
          </w:p>
        </w:tc>
        <w:tc>
          <w:tcPr>
            <w:tcW w:w="471" w:type="dxa"/>
            <w:tcBorders>
              <w:top w:val="single" w:sz="4" w:space="0" w:color="006600"/>
              <w:left w:val="nil"/>
              <w:bottom w:val="single" w:sz="8" w:space="0" w:color="006600"/>
            </w:tcBorders>
            <w:shd w:val="clear" w:color="auto" w:fill="auto"/>
            <w:noWrap/>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2021</w:t>
            </w:r>
          </w:p>
        </w:tc>
        <w:tc>
          <w:tcPr>
            <w:tcW w:w="471" w:type="dxa"/>
            <w:tcBorders>
              <w:top w:val="single" w:sz="4" w:space="0" w:color="006600"/>
              <w:bottom w:val="single" w:sz="8" w:space="0" w:color="006600"/>
            </w:tcBorders>
            <w:shd w:val="clear" w:color="auto" w:fill="auto"/>
            <w:noWrap/>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2022</w:t>
            </w:r>
          </w:p>
        </w:tc>
        <w:tc>
          <w:tcPr>
            <w:tcW w:w="485" w:type="dxa"/>
            <w:tcBorders>
              <w:top w:val="single" w:sz="4" w:space="0" w:color="006600"/>
              <w:left w:val="nil"/>
              <w:bottom w:val="single" w:sz="8" w:space="0" w:color="006600"/>
              <w:right w:val="single" w:sz="8" w:space="0" w:color="006600"/>
            </w:tcBorders>
            <w:shd w:val="clear" w:color="auto" w:fill="auto"/>
            <w:noWrap/>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2023</w:t>
            </w:r>
          </w:p>
        </w:tc>
      </w:tr>
      <w:tr w:rsidR="00FE223F" w:rsidRPr="00F648FF" w:rsidTr="00F648FF">
        <w:trPr>
          <w:gridAfter w:val="1"/>
          <w:wAfter w:w="35" w:type="dxa"/>
          <w:trHeight w:val="276"/>
          <w:jc w:val="center"/>
        </w:trPr>
        <w:tc>
          <w:tcPr>
            <w:tcW w:w="2372" w:type="dxa"/>
            <w:tcBorders>
              <w:top w:val="single" w:sz="8" w:space="0" w:color="006600"/>
              <w:left w:val="single" w:sz="8" w:space="0" w:color="006600"/>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proofErr w:type="spellStart"/>
            <w:r w:rsidRPr="00F648FF">
              <w:rPr>
                <w:rFonts w:cstheme="minorHAnsi"/>
                <w:sz w:val="16"/>
                <w:szCs w:val="16"/>
              </w:rPr>
              <w:t>INPC</w:t>
            </w:r>
            <w:proofErr w:type="spellEnd"/>
            <w:r w:rsidRPr="00F648FF">
              <w:rPr>
                <w:rFonts w:cstheme="minorHAnsi"/>
                <w:sz w:val="16"/>
                <w:szCs w:val="16"/>
              </w:rPr>
              <w:t xml:space="preserve"> </w:t>
            </w:r>
          </w:p>
        </w:tc>
        <w:tc>
          <w:tcPr>
            <w:tcW w:w="523" w:type="dxa"/>
            <w:tcBorders>
              <w:top w:val="single" w:sz="8" w:space="0" w:color="006600"/>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0.36</w:t>
            </w:r>
          </w:p>
        </w:tc>
        <w:tc>
          <w:tcPr>
            <w:tcW w:w="501" w:type="dxa"/>
            <w:tcBorders>
              <w:top w:val="single" w:sz="8" w:space="0" w:color="006600"/>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0.38</w:t>
            </w:r>
          </w:p>
        </w:tc>
        <w:tc>
          <w:tcPr>
            <w:tcW w:w="511" w:type="dxa"/>
            <w:tcBorders>
              <w:top w:val="single" w:sz="8" w:space="0" w:color="006600"/>
              <w:left w:val="nil"/>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0.71</w:t>
            </w:r>
          </w:p>
        </w:tc>
        <w:tc>
          <w:tcPr>
            <w:tcW w:w="111" w:type="dxa"/>
            <w:tcBorders>
              <w:top w:val="single" w:sz="8" w:space="0" w:color="006600"/>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22" w:type="dxa"/>
            <w:tcBorders>
              <w:top w:val="single" w:sz="8" w:space="0" w:color="006600"/>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7.36</w:t>
            </w:r>
          </w:p>
        </w:tc>
        <w:tc>
          <w:tcPr>
            <w:tcW w:w="505" w:type="dxa"/>
            <w:tcBorders>
              <w:top w:val="single" w:sz="8" w:space="0" w:color="006600"/>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7.82</w:t>
            </w:r>
          </w:p>
        </w:tc>
        <w:tc>
          <w:tcPr>
            <w:tcW w:w="387" w:type="dxa"/>
            <w:gridSpan w:val="2"/>
            <w:tcBorders>
              <w:top w:val="single" w:sz="8" w:space="0" w:color="006600"/>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4.66</w:t>
            </w:r>
          </w:p>
        </w:tc>
        <w:tc>
          <w:tcPr>
            <w:tcW w:w="261" w:type="dxa"/>
            <w:tcBorders>
              <w:top w:val="single" w:sz="8" w:space="0" w:color="006600"/>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34" w:type="dxa"/>
            <w:tcBorders>
              <w:top w:val="single" w:sz="8" w:space="0" w:color="006600"/>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0.363</w:t>
            </w:r>
          </w:p>
        </w:tc>
        <w:tc>
          <w:tcPr>
            <w:tcW w:w="484" w:type="dxa"/>
            <w:tcBorders>
              <w:top w:val="single" w:sz="8" w:space="0" w:color="006600"/>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0.381</w:t>
            </w:r>
          </w:p>
        </w:tc>
        <w:tc>
          <w:tcPr>
            <w:tcW w:w="554" w:type="dxa"/>
            <w:gridSpan w:val="2"/>
            <w:tcBorders>
              <w:top w:val="single" w:sz="8" w:space="0" w:color="006600"/>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0.706</w:t>
            </w:r>
          </w:p>
        </w:tc>
        <w:tc>
          <w:tcPr>
            <w:tcW w:w="111" w:type="dxa"/>
            <w:gridSpan w:val="2"/>
            <w:tcBorders>
              <w:top w:val="single" w:sz="8" w:space="0" w:color="006600"/>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471" w:type="dxa"/>
            <w:tcBorders>
              <w:top w:val="single" w:sz="8" w:space="0" w:color="006600"/>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7.355</w:t>
            </w:r>
          </w:p>
        </w:tc>
        <w:tc>
          <w:tcPr>
            <w:tcW w:w="471" w:type="dxa"/>
            <w:tcBorders>
              <w:top w:val="single" w:sz="8" w:space="0" w:color="006600"/>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7.817</w:t>
            </w:r>
          </w:p>
        </w:tc>
        <w:tc>
          <w:tcPr>
            <w:tcW w:w="485" w:type="dxa"/>
            <w:tcBorders>
              <w:top w:val="single" w:sz="8" w:space="0" w:color="006600"/>
              <w:left w:val="nil"/>
              <w:bottom w:val="dotted" w:sz="4" w:space="0" w:color="9FBE62"/>
              <w:right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4.661</w:t>
            </w:r>
          </w:p>
        </w:tc>
      </w:tr>
      <w:tr w:rsidR="00FE223F" w:rsidRPr="00F648FF" w:rsidTr="00F648FF">
        <w:trPr>
          <w:gridAfter w:val="1"/>
          <w:wAfter w:w="35" w:type="dxa"/>
          <w:trHeight w:val="276"/>
          <w:jc w:val="center"/>
        </w:trPr>
        <w:tc>
          <w:tcPr>
            <w:tcW w:w="2372" w:type="dxa"/>
            <w:tcBorders>
              <w:top w:val="dotted" w:sz="4" w:space="0" w:color="9FBE62"/>
              <w:left w:val="single" w:sz="8" w:space="0" w:color="006600"/>
              <w:bottom w:val="dotted" w:sz="4" w:space="0" w:color="9FBE62"/>
            </w:tcBorders>
            <w:shd w:val="clear" w:color="auto" w:fill="auto"/>
            <w:noWrap/>
            <w:vAlign w:val="center"/>
            <w:hideMark/>
          </w:tcPr>
          <w:p w:rsidR="00951975" w:rsidRPr="00F648FF" w:rsidRDefault="00951975" w:rsidP="00935F86">
            <w:pPr>
              <w:pStyle w:val="Sinespaciado"/>
              <w:rPr>
                <w:rFonts w:cstheme="minorHAnsi"/>
                <w:b/>
                <w:sz w:val="16"/>
                <w:szCs w:val="16"/>
              </w:rPr>
            </w:pPr>
            <w:r w:rsidRPr="00F648FF">
              <w:rPr>
                <w:rFonts w:cstheme="minorHAnsi"/>
                <w:b/>
                <w:sz w:val="16"/>
                <w:szCs w:val="16"/>
              </w:rPr>
              <w:t>Subyacente</w:t>
            </w:r>
          </w:p>
        </w:tc>
        <w:tc>
          <w:tcPr>
            <w:tcW w:w="523"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0.80</w:t>
            </w:r>
          </w:p>
        </w:tc>
        <w:tc>
          <w:tcPr>
            <w:tcW w:w="50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0.65</w:t>
            </w:r>
          </w:p>
        </w:tc>
        <w:tc>
          <w:tcPr>
            <w:tcW w:w="511" w:type="dxa"/>
            <w:tcBorders>
              <w:top w:val="dotted" w:sz="4" w:space="0" w:color="9FBE62"/>
              <w:left w:val="nil"/>
              <w:bottom w:val="dotted" w:sz="4" w:space="0" w:color="9FBE62"/>
            </w:tcBorders>
            <w:shd w:val="clear" w:color="auto" w:fill="auto"/>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0.44</w:t>
            </w:r>
          </w:p>
        </w:tc>
        <w:tc>
          <w:tcPr>
            <w:tcW w:w="11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b/>
                <w:sz w:val="16"/>
                <w:szCs w:val="16"/>
              </w:rPr>
            </w:pPr>
          </w:p>
        </w:tc>
        <w:tc>
          <w:tcPr>
            <w:tcW w:w="522"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b/>
                <w:sz w:val="16"/>
                <w:szCs w:val="16"/>
              </w:rPr>
            </w:pPr>
            <w:r w:rsidRPr="00F648FF">
              <w:rPr>
                <w:rFonts w:cstheme="minorHAnsi"/>
                <w:b/>
                <w:sz w:val="16"/>
                <w:szCs w:val="16"/>
              </w:rPr>
              <w:t>5.94</w:t>
            </w:r>
          </w:p>
        </w:tc>
        <w:tc>
          <w:tcPr>
            <w:tcW w:w="505"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8.35</w:t>
            </w:r>
          </w:p>
        </w:tc>
        <w:tc>
          <w:tcPr>
            <w:tcW w:w="387" w:type="dxa"/>
            <w:gridSpan w:val="2"/>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5.09</w:t>
            </w:r>
          </w:p>
        </w:tc>
        <w:tc>
          <w:tcPr>
            <w:tcW w:w="261"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b/>
                <w:sz w:val="16"/>
                <w:szCs w:val="16"/>
              </w:rPr>
            </w:pPr>
          </w:p>
        </w:tc>
        <w:tc>
          <w:tcPr>
            <w:tcW w:w="534"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b/>
                <w:sz w:val="16"/>
                <w:szCs w:val="16"/>
              </w:rPr>
            </w:pPr>
            <w:r w:rsidRPr="00F648FF">
              <w:rPr>
                <w:rFonts w:cstheme="minorHAnsi"/>
                <w:b/>
                <w:sz w:val="16"/>
                <w:szCs w:val="16"/>
              </w:rPr>
              <w:t>0.596</w:t>
            </w:r>
          </w:p>
        </w:tc>
        <w:tc>
          <w:tcPr>
            <w:tcW w:w="484"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0.483</w:t>
            </w:r>
          </w:p>
        </w:tc>
        <w:tc>
          <w:tcPr>
            <w:tcW w:w="554" w:type="dxa"/>
            <w:gridSpan w:val="2"/>
            <w:tcBorders>
              <w:top w:val="dotted" w:sz="4" w:space="0" w:color="9FBE62"/>
              <w:bottom w:val="dotted" w:sz="4" w:space="0" w:color="9FBE62"/>
            </w:tcBorders>
            <w:shd w:val="clear" w:color="auto" w:fill="auto"/>
            <w:noWrap/>
            <w:vAlign w:val="center"/>
            <w:hideMark/>
          </w:tcPr>
          <w:p w:rsidR="00951975" w:rsidRPr="00F648FF" w:rsidRDefault="00951975" w:rsidP="00935F86">
            <w:pPr>
              <w:pStyle w:val="Sinespaciado"/>
              <w:rPr>
                <w:rFonts w:cstheme="minorHAnsi"/>
                <w:b/>
                <w:sz w:val="16"/>
                <w:szCs w:val="16"/>
              </w:rPr>
            </w:pPr>
            <w:r w:rsidRPr="00F648FF">
              <w:rPr>
                <w:rFonts w:cstheme="minorHAnsi"/>
                <w:b/>
                <w:sz w:val="16"/>
                <w:szCs w:val="16"/>
              </w:rPr>
              <w:t>0.331</w:t>
            </w:r>
          </w:p>
        </w:tc>
        <w:tc>
          <w:tcPr>
            <w:tcW w:w="111" w:type="dxa"/>
            <w:gridSpan w:val="2"/>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b/>
                <w:sz w:val="16"/>
                <w:szCs w:val="16"/>
              </w:rPr>
            </w:pPr>
          </w:p>
        </w:tc>
        <w:tc>
          <w:tcPr>
            <w:tcW w:w="471"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b/>
                <w:sz w:val="16"/>
                <w:szCs w:val="16"/>
              </w:rPr>
            </w:pPr>
            <w:r w:rsidRPr="00F648FF">
              <w:rPr>
                <w:rFonts w:cstheme="minorHAnsi"/>
                <w:b/>
                <w:sz w:val="16"/>
                <w:szCs w:val="16"/>
              </w:rPr>
              <w:t>4.483</w:t>
            </w:r>
          </w:p>
        </w:tc>
        <w:tc>
          <w:tcPr>
            <w:tcW w:w="471" w:type="dxa"/>
            <w:tcBorders>
              <w:top w:val="dotted" w:sz="4" w:space="0" w:color="9FBE62"/>
              <w:bottom w:val="dotted" w:sz="4" w:space="0" w:color="9FBE62"/>
            </w:tcBorders>
            <w:shd w:val="clear" w:color="auto" w:fill="auto"/>
            <w:noWrap/>
            <w:vAlign w:val="center"/>
            <w:hideMark/>
          </w:tcPr>
          <w:p w:rsidR="00951975" w:rsidRPr="00F648FF" w:rsidRDefault="00951975" w:rsidP="00935F86">
            <w:pPr>
              <w:pStyle w:val="Sinespaciado"/>
              <w:rPr>
                <w:rFonts w:cstheme="minorHAnsi"/>
                <w:b/>
                <w:sz w:val="16"/>
                <w:szCs w:val="16"/>
              </w:rPr>
            </w:pPr>
            <w:r w:rsidRPr="00F648FF">
              <w:rPr>
                <w:rFonts w:cstheme="minorHAnsi"/>
                <w:b/>
                <w:sz w:val="16"/>
                <w:szCs w:val="16"/>
              </w:rPr>
              <w:t>6.221</w:t>
            </w:r>
          </w:p>
        </w:tc>
        <w:tc>
          <w:tcPr>
            <w:tcW w:w="485" w:type="dxa"/>
            <w:tcBorders>
              <w:top w:val="dotted" w:sz="4" w:space="0" w:color="9FBE62"/>
              <w:left w:val="nil"/>
              <w:bottom w:val="dotted" w:sz="4" w:space="0" w:color="9FBE62"/>
              <w:right w:val="single" w:sz="8" w:space="0" w:color="006600"/>
            </w:tcBorders>
            <w:shd w:val="clear" w:color="auto" w:fill="auto"/>
            <w:noWrap/>
            <w:vAlign w:val="center"/>
            <w:hideMark/>
          </w:tcPr>
          <w:p w:rsidR="00951975" w:rsidRPr="00F648FF" w:rsidRDefault="00951975" w:rsidP="00935F86">
            <w:pPr>
              <w:pStyle w:val="Sinespaciado"/>
              <w:rPr>
                <w:rFonts w:cstheme="minorHAnsi"/>
                <w:b/>
                <w:sz w:val="16"/>
                <w:szCs w:val="16"/>
              </w:rPr>
            </w:pPr>
            <w:r w:rsidRPr="00F648FF">
              <w:rPr>
                <w:rFonts w:cstheme="minorHAnsi"/>
                <w:b/>
                <w:sz w:val="16"/>
                <w:szCs w:val="16"/>
              </w:rPr>
              <w:t>3.811</w:t>
            </w:r>
          </w:p>
        </w:tc>
      </w:tr>
      <w:tr w:rsidR="00FE223F" w:rsidRPr="00F648FF" w:rsidTr="00F648FF">
        <w:trPr>
          <w:gridAfter w:val="1"/>
          <w:wAfter w:w="35" w:type="dxa"/>
          <w:trHeight w:val="276"/>
          <w:jc w:val="center"/>
        </w:trPr>
        <w:tc>
          <w:tcPr>
            <w:tcW w:w="2372" w:type="dxa"/>
            <w:tcBorders>
              <w:top w:val="dotted" w:sz="4" w:space="0" w:color="9FBE62"/>
              <w:left w:val="single" w:sz="8" w:space="0" w:color="006600"/>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Mercancías</w:t>
            </w:r>
          </w:p>
        </w:tc>
        <w:tc>
          <w:tcPr>
            <w:tcW w:w="523"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0.91</w:t>
            </w:r>
          </w:p>
        </w:tc>
        <w:tc>
          <w:tcPr>
            <w:tcW w:w="50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0.74</w:t>
            </w:r>
          </w:p>
        </w:tc>
        <w:tc>
          <w:tcPr>
            <w:tcW w:w="511" w:type="dxa"/>
            <w:tcBorders>
              <w:top w:val="dotted" w:sz="4" w:space="0" w:color="9FBE62"/>
              <w:left w:val="nil"/>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0.32</w:t>
            </w:r>
          </w:p>
        </w:tc>
        <w:tc>
          <w:tcPr>
            <w:tcW w:w="11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22"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7.40</w:t>
            </w:r>
          </w:p>
        </w:tc>
        <w:tc>
          <w:tcPr>
            <w:tcW w:w="505"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11.09</w:t>
            </w:r>
          </w:p>
        </w:tc>
        <w:tc>
          <w:tcPr>
            <w:tcW w:w="387" w:type="dxa"/>
            <w:gridSpan w:val="2"/>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4.89</w:t>
            </w:r>
          </w:p>
        </w:tc>
        <w:tc>
          <w:tcPr>
            <w:tcW w:w="261"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34"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0.362</w:t>
            </w:r>
          </w:p>
        </w:tc>
        <w:tc>
          <w:tcPr>
            <w:tcW w:w="484"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0.303</w:t>
            </w:r>
          </w:p>
        </w:tc>
        <w:tc>
          <w:tcPr>
            <w:tcW w:w="554" w:type="dxa"/>
            <w:gridSpan w:val="2"/>
            <w:tcBorders>
              <w:top w:val="dotted" w:sz="4" w:space="0" w:color="9FBE62"/>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0.132</w:t>
            </w:r>
          </w:p>
        </w:tc>
        <w:tc>
          <w:tcPr>
            <w:tcW w:w="111" w:type="dxa"/>
            <w:gridSpan w:val="2"/>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471"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2.948</w:t>
            </w:r>
          </w:p>
        </w:tc>
        <w:tc>
          <w:tcPr>
            <w:tcW w:w="471" w:type="dxa"/>
            <w:tcBorders>
              <w:top w:val="dotted" w:sz="4" w:space="0" w:color="9FBE62"/>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4.420</w:t>
            </w:r>
          </w:p>
        </w:tc>
        <w:tc>
          <w:tcPr>
            <w:tcW w:w="485" w:type="dxa"/>
            <w:tcBorders>
              <w:top w:val="dotted" w:sz="4" w:space="0" w:color="9FBE62"/>
              <w:left w:val="nil"/>
              <w:bottom w:val="dotted" w:sz="4" w:space="0" w:color="9FBE62"/>
              <w:right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2.008</w:t>
            </w:r>
          </w:p>
        </w:tc>
      </w:tr>
      <w:tr w:rsidR="00FE223F" w:rsidRPr="00F648FF" w:rsidTr="00F648FF">
        <w:trPr>
          <w:gridAfter w:val="1"/>
          <w:wAfter w:w="35" w:type="dxa"/>
          <w:trHeight w:val="276"/>
          <w:jc w:val="center"/>
        </w:trPr>
        <w:tc>
          <w:tcPr>
            <w:tcW w:w="2372" w:type="dxa"/>
            <w:tcBorders>
              <w:top w:val="dotted" w:sz="4" w:space="0" w:color="9FBE62"/>
              <w:left w:val="single" w:sz="8" w:space="0" w:color="006600"/>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Alimentos, bebidas y tabaco</w:t>
            </w:r>
            <w:r w:rsidRPr="00F648FF">
              <w:rPr>
                <w:rFonts w:cstheme="minorHAnsi"/>
                <w:sz w:val="16"/>
                <w:szCs w:val="16"/>
                <w:vertAlign w:val="superscript"/>
              </w:rPr>
              <w:t>2/</w:t>
            </w:r>
          </w:p>
        </w:tc>
        <w:tc>
          <w:tcPr>
            <w:tcW w:w="523"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0.85</w:t>
            </w:r>
          </w:p>
        </w:tc>
        <w:tc>
          <w:tcPr>
            <w:tcW w:w="50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0.89</w:t>
            </w:r>
          </w:p>
        </w:tc>
        <w:tc>
          <w:tcPr>
            <w:tcW w:w="511" w:type="dxa"/>
            <w:tcBorders>
              <w:top w:val="dotted" w:sz="4" w:space="0" w:color="9FBE62"/>
              <w:left w:val="nil"/>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0.39</w:t>
            </w:r>
          </w:p>
        </w:tc>
        <w:tc>
          <w:tcPr>
            <w:tcW w:w="11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22"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8.11</w:t>
            </w:r>
          </w:p>
        </w:tc>
        <w:tc>
          <w:tcPr>
            <w:tcW w:w="505"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14.14</w:t>
            </w:r>
          </w:p>
        </w:tc>
        <w:tc>
          <w:tcPr>
            <w:tcW w:w="387" w:type="dxa"/>
            <w:gridSpan w:val="2"/>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6.25</w:t>
            </w:r>
          </w:p>
        </w:tc>
        <w:tc>
          <w:tcPr>
            <w:tcW w:w="261"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34"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0.177</w:t>
            </w:r>
          </w:p>
        </w:tc>
        <w:tc>
          <w:tcPr>
            <w:tcW w:w="484"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0.197</w:t>
            </w:r>
          </w:p>
        </w:tc>
        <w:tc>
          <w:tcPr>
            <w:tcW w:w="554" w:type="dxa"/>
            <w:gridSpan w:val="2"/>
            <w:tcBorders>
              <w:top w:val="dotted" w:sz="4" w:space="0" w:color="9FBE62"/>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0.088</w:t>
            </w:r>
          </w:p>
        </w:tc>
        <w:tc>
          <w:tcPr>
            <w:tcW w:w="111" w:type="dxa"/>
            <w:gridSpan w:val="2"/>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471"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1.692</w:t>
            </w:r>
          </w:p>
        </w:tc>
        <w:tc>
          <w:tcPr>
            <w:tcW w:w="471" w:type="dxa"/>
            <w:tcBorders>
              <w:top w:val="dotted" w:sz="4" w:space="0" w:color="9FBE62"/>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2.971</w:t>
            </w:r>
          </w:p>
        </w:tc>
        <w:tc>
          <w:tcPr>
            <w:tcW w:w="485" w:type="dxa"/>
            <w:tcBorders>
              <w:top w:val="dotted" w:sz="4" w:space="0" w:color="9FBE62"/>
              <w:left w:val="nil"/>
              <w:bottom w:val="dotted" w:sz="4" w:space="0" w:color="9FBE62"/>
              <w:right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1.391</w:t>
            </w:r>
          </w:p>
        </w:tc>
      </w:tr>
      <w:tr w:rsidR="00FE223F" w:rsidRPr="00F648FF" w:rsidTr="00F648FF">
        <w:trPr>
          <w:gridAfter w:val="1"/>
          <w:wAfter w:w="35" w:type="dxa"/>
          <w:trHeight w:val="276"/>
          <w:jc w:val="center"/>
        </w:trPr>
        <w:tc>
          <w:tcPr>
            <w:tcW w:w="2372" w:type="dxa"/>
            <w:tcBorders>
              <w:top w:val="dotted" w:sz="4" w:space="0" w:color="9FBE62"/>
              <w:left w:val="single" w:sz="8" w:space="0" w:color="006600"/>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Mercancías no alimenticias</w:t>
            </w:r>
          </w:p>
        </w:tc>
        <w:tc>
          <w:tcPr>
            <w:tcW w:w="523"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0.99</w:t>
            </w:r>
          </w:p>
        </w:tc>
        <w:tc>
          <w:tcPr>
            <w:tcW w:w="50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0.57</w:t>
            </w:r>
          </w:p>
        </w:tc>
        <w:tc>
          <w:tcPr>
            <w:tcW w:w="511" w:type="dxa"/>
            <w:tcBorders>
              <w:top w:val="dotted" w:sz="4" w:space="0" w:color="9FBE62"/>
              <w:left w:val="nil"/>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0.24</w:t>
            </w:r>
          </w:p>
        </w:tc>
        <w:tc>
          <w:tcPr>
            <w:tcW w:w="11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22"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6.61</w:t>
            </w:r>
          </w:p>
        </w:tc>
        <w:tc>
          <w:tcPr>
            <w:tcW w:w="505"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7.68</w:t>
            </w:r>
          </w:p>
        </w:tc>
        <w:tc>
          <w:tcPr>
            <w:tcW w:w="387" w:type="dxa"/>
            <w:gridSpan w:val="2"/>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3.28</w:t>
            </w:r>
          </w:p>
        </w:tc>
        <w:tc>
          <w:tcPr>
            <w:tcW w:w="261"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34"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0.185</w:t>
            </w:r>
          </w:p>
        </w:tc>
        <w:tc>
          <w:tcPr>
            <w:tcW w:w="484"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0.107</w:t>
            </w:r>
          </w:p>
        </w:tc>
        <w:tc>
          <w:tcPr>
            <w:tcW w:w="554" w:type="dxa"/>
            <w:gridSpan w:val="2"/>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0.044</w:t>
            </w:r>
          </w:p>
        </w:tc>
        <w:tc>
          <w:tcPr>
            <w:tcW w:w="111" w:type="dxa"/>
            <w:gridSpan w:val="2"/>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471"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1.255</w:t>
            </w:r>
          </w:p>
        </w:tc>
        <w:tc>
          <w:tcPr>
            <w:tcW w:w="471"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1.448</w:t>
            </w:r>
          </w:p>
        </w:tc>
        <w:tc>
          <w:tcPr>
            <w:tcW w:w="485" w:type="dxa"/>
            <w:tcBorders>
              <w:top w:val="dotted" w:sz="4" w:space="0" w:color="9FBE62"/>
              <w:left w:val="nil"/>
              <w:bottom w:val="dotted" w:sz="4" w:space="0" w:color="9FBE62"/>
              <w:right w:val="single" w:sz="8" w:space="0" w:color="006600"/>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0.617</w:t>
            </w:r>
          </w:p>
        </w:tc>
      </w:tr>
      <w:tr w:rsidR="00FE223F" w:rsidRPr="00F648FF" w:rsidTr="00F648FF">
        <w:trPr>
          <w:gridAfter w:val="1"/>
          <w:wAfter w:w="35" w:type="dxa"/>
          <w:trHeight w:val="276"/>
          <w:jc w:val="center"/>
        </w:trPr>
        <w:tc>
          <w:tcPr>
            <w:tcW w:w="2372" w:type="dxa"/>
            <w:tcBorders>
              <w:top w:val="dotted" w:sz="4" w:space="0" w:color="9FBE62"/>
              <w:left w:val="single" w:sz="8" w:space="0" w:color="006600"/>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Servicios</w:t>
            </w:r>
          </w:p>
        </w:tc>
        <w:tc>
          <w:tcPr>
            <w:tcW w:w="523"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0.68</w:t>
            </w:r>
          </w:p>
        </w:tc>
        <w:tc>
          <w:tcPr>
            <w:tcW w:w="50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0.53</w:t>
            </w:r>
          </w:p>
        </w:tc>
        <w:tc>
          <w:tcPr>
            <w:tcW w:w="511" w:type="dxa"/>
            <w:tcBorders>
              <w:top w:val="dotted" w:sz="4" w:space="0" w:color="9FBE62"/>
              <w:left w:val="nil"/>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0.58</w:t>
            </w:r>
          </w:p>
        </w:tc>
        <w:tc>
          <w:tcPr>
            <w:tcW w:w="11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22"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4.30</w:t>
            </w:r>
          </w:p>
        </w:tc>
        <w:tc>
          <w:tcPr>
            <w:tcW w:w="505"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5.19</w:t>
            </w:r>
          </w:p>
        </w:tc>
        <w:tc>
          <w:tcPr>
            <w:tcW w:w="387" w:type="dxa"/>
            <w:gridSpan w:val="2"/>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5.33</w:t>
            </w:r>
          </w:p>
        </w:tc>
        <w:tc>
          <w:tcPr>
            <w:tcW w:w="261"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34"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0.233</w:t>
            </w:r>
          </w:p>
        </w:tc>
        <w:tc>
          <w:tcPr>
            <w:tcW w:w="484"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0.179</w:t>
            </w:r>
          </w:p>
        </w:tc>
        <w:tc>
          <w:tcPr>
            <w:tcW w:w="554" w:type="dxa"/>
            <w:gridSpan w:val="2"/>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0.198</w:t>
            </w:r>
          </w:p>
        </w:tc>
        <w:tc>
          <w:tcPr>
            <w:tcW w:w="111" w:type="dxa"/>
            <w:gridSpan w:val="2"/>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471"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1.536</w:t>
            </w:r>
          </w:p>
        </w:tc>
        <w:tc>
          <w:tcPr>
            <w:tcW w:w="471"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1.801</w:t>
            </w:r>
          </w:p>
        </w:tc>
        <w:tc>
          <w:tcPr>
            <w:tcW w:w="485" w:type="dxa"/>
            <w:tcBorders>
              <w:top w:val="dotted" w:sz="4" w:space="0" w:color="9FBE62"/>
              <w:left w:val="nil"/>
              <w:bottom w:val="dotted" w:sz="4" w:space="0" w:color="9FBE62"/>
              <w:right w:val="single" w:sz="8" w:space="0" w:color="006600"/>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1.803</w:t>
            </w:r>
          </w:p>
        </w:tc>
      </w:tr>
      <w:tr w:rsidR="00FE223F" w:rsidRPr="00F648FF" w:rsidTr="00F648FF">
        <w:trPr>
          <w:gridAfter w:val="1"/>
          <w:wAfter w:w="35" w:type="dxa"/>
          <w:trHeight w:val="276"/>
          <w:jc w:val="center"/>
        </w:trPr>
        <w:tc>
          <w:tcPr>
            <w:tcW w:w="2372" w:type="dxa"/>
            <w:tcBorders>
              <w:top w:val="dotted" w:sz="4" w:space="0" w:color="9FBE62"/>
              <w:left w:val="single" w:sz="8" w:space="0" w:color="006600"/>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Vivienda</w:t>
            </w:r>
            <w:r w:rsidRPr="00F648FF">
              <w:rPr>
                <w:rFonts w:cstheme="minorHAnsi"/>
                <w:sz w:val="16"/>
                <w:szCs w:val="16"/>
                <w:vertAlign w:val="superscript"/>
              </w:rPr>
              <w:t>3/</w:t>
            </w:r>
          </w:p>
        </w:tc>
        <w:tc>
          <w:tcPr>
            <w:tcW w:w="523"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0.22</w:t>
            </w:r>
          </w:p>
        </w:tc>
        <w:tc>
          <w:tcPr>
            <w:tcW w:w="50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0.28</w:t>
            </w:r>
          </w:p>
        </w:tc>
        <w:tc>
          <w:tcPr>
            <w:tcW w:w="511" w:type="dxa"/>
            <w:tcBorders>
              <w:top w:val="dotted" w:sz="4" w:space="0" w:color="9FBE62"/>
              <w:left w:val="nil"/>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0.18</w:t>
            </w:r>
          </w:p>
        </w:tc>
        <w:tc>
          <w:tcPr>
            <w:tcW w:w="11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22"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2.54</w:t>
            </w:r>
          </w:p>
        </w:tc>
        <w:tc>
          <w:tcPr>
            <w:tcW w:w="505"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3.17</w:t>
            </w:r>
          </w:p>
        </w:tc>
        <w:tc>
          <w:tcPr>
            <w:tcW w:w="387" w:type="dxa"/>
            <w:gridSpan w:val="2"/>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3.64</w:t>
            </w:r>
          </w:p>
        </w:tc>
        <w:tc>
          <w:tcPr>
            <w:tcW w:w="261"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34"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0.031</w:t>
            </w:r>
          </w:p>
        </w:tc>
        <w:tc>
          <w:tcPr>
            <w:tcW w:w="484"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0.038</w:t>
            </w:r>
          </w:p>
        </w:tc>
        <w:tc>
          <w:tcPr>
            <w:tcW w:w="554" w:type="dxa"/>
            <w:gridSpan w:val="2"/>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0.025</w:t>
            </w:r>
          </w:p>
        </w:tc>
        <w:tc>
          <w:tcPr>
            <w:tcW w:w="111" w:type="dxa"/>
            <w:gridSpan w:val="2"/>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471"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0.381</w:t>
            </w:r>
          </w:p>
        </w:tc>
        <w:tc>
          <w:tcPr>
            <w:tcW w:w="471"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0.455</w:t>
            </w:r>
          </w:p>
        </w:tc>
        <w:tc>
          <w:tcPr>
            <w:tcW w:w="485" w:type="dxa"/>
            <w:tcBorders>
              <w:top w:val="dotted" w:sz="4" w:space="0" w:color="9FBE62"/>
              <w:left w:val="nil"/>
              <w:bottom w:val="dotted" w:sz="4" w:space="0" w:color="9FBE62"/>
              <w:right w:val="single" w:sz="8" w:space="0" w:color="006600"/>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0.501</w:t>
            </w:r>
          </w:p>
        </w:tc>
      </w:tr>
      <w:tr w:rsidR="00FE223F" w:rsidRPr="00F648FF" w:rsidTr="00F648FF">
        <w:trPr>
          <w:gridAfter w:val="1"/>
          <w:wAfter w:w="35" w:type="dxa"/>
          <w:trHeight w:val="276"/>
          <w:jc w:val="center"/>
        </w:trPr>
        <w:tc>
          <w:tcPr>
            <w:tcW w:w="2372" w:type="dxa"/>
            <w:tcBorders>
              <w:top w:val="dotted" w:sz="4" w:space="0" w:color="9FBE62"/>
              <w:left w:val="single" w:sz="8" w:space="0" w:color="006600"/>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Educación (colegiaturas)</w:t>
            </w:r>
          </w:p>
        </w:tc>
        <w:tc>
          <w:tcPr>
            <w:tcW w:w="523"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0.00</w:t>
            </w:r>
          </w:p>
        </w:tc>
        <w:tc>
          <w:tcPr>
            <w:tcW w:w="50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0.00</w:t>
            </w:r>
          </w:p>
        </w:tc>
        <w:tc>
          <w:tcPr>
            <w:tcW w:w="511" w:type="dxa"/>
            <w:tcBorders>
              <w:top w:val="dotted" w:sz="4" w:space="0" w:color="9FBE62"/>
              <w:left w:val="nil"/>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0.00</w:t>
            </w:r>
          </w:p>
        </w:tc>
        <w:tc>
          <w:tcPr>
            <w:tcW w:w="11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22"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2.09</w:t>
            </w:r>
          </w:p>
        </w:tc>
        <w:tc>
          <w:tcPr>
            <w:tcW w:w="505"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4.49</w:t>
            </w:r>
          </w:p>
        </w:tc>
        <w:tc>
          <w:tcPr>
            <w:tcW w:w="387" w:type="dxa"/>
            <w:gridSpan w:val="2"/>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6.60</w:t>
            </w:r>
          </w:p>
        </w:tc>
        <w:tc>
          <w:tcPr>
            <w:tcW w:w="261"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34"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0.000</w:t>
            </w:r>
          </w:p>
        </w:tc>
        <w:tc>
          <w:tcPr>
            <w:tcW w:w="484"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0.000</w:t>
            </w:r>
          </w:p>
        </w:tc>
        <w:tc>
          <w:tcPr>
            <w:tcW w:w="554" w:type="dxa"/>
            <w:gridSpan w:val="2"/>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0.000</w:t>
            </w:r>
          </w:p>
        </w:tc>
        <w:tc>
          <w:tcPr>
            <w:tcW w:w="111" w:type="dxa"/>
            <w:gridSpan w:val="2"/>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471"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0.076</w:t>
            </w:r>
          </w:p>
        </w:tc>
        <w:tc>
          <w:tcPr>
            <w:tcW w:w="471"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0.156</w:t>
            </w:r>
          </w:p>
        </w:tc>
        <w:tc>
          <w:tcPr>
            <w:tcW w:w="485" w:type="dxa"/>
            <w:tcBorders>
              <w:top w:val="dotted" w:sz="4" w:space="0" w:color="9FBE62"/>
              <w:left w:val="nil"/>
              <w:bottom w:val="dotted" w:sz="4" w:space="0" w:color="9FBE62"/>
              <w:right w:val="single" w:sz="8" w:space="0" w:color="006600"/>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0.222</w:t>
            </w:r>
          </w:p>
        </w:tc>
      </w:tr>
      <w:tr w:rsidR="00FE223F" w:rsidRPr="00F648FF" w:rsidTr="00F648FF">
        <w:trPr>
          <w:gridAfter w:val="1"/>
          <w:wAfter w:w="35" w:type="dxa"/>
          <w:trHeight w:val="276"/>
          <w:jc w:val="center"/>
        </w:trPr>
        <w:tc>
          <w:tcPr>
            <w:tcW w:w="2372" w:type="dxa"/>
            <w:tcBorders>
              <w:top w:val="dotted" w:sz="4" w:space="0" w:color="9FBE62"/>
              <w:left w:val="single" w:sz="8" w:space="0" w:color="006600"/>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 xml:space="preserve">Otros servicios </w:t>
            </w:r>
            <w:r w:rsidRPr="00F648FF">
              <w:rPr>
                <w:rFonts w:cstheme="minorHAnsi"/>
                <w:sz w:val="16"/>
                <w:szCs w:val="16"/>
                <w:vertAlign w:val="superscript"/>
              </w:rPr>
              <w:t>4/</w:t>
            </w:r>
          </w:p>
        </w:tc>
        <w:tc>
          <w:tcPr>
            <w:tcW w:w="523"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1.21</w:t>
            </w:r>
          </w:p>
        </w:tc>
        <w:tc>
          <w:tcPr>
            <w:tcW w:w="50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0.85</w:t>
            </w:r>
          </w:p>
        </w:tc>
        <w:tc>
          <w:tcPr>
            <w:tcW w:w="511" w:type="dxa"/>
            <w:tcBorders>
              <w:top w:val="dotted" w:sz="4" w:space="0" w:color="9FBE62"/>
              <w:left w:val="nil"/>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1.02</w:t>
            </w:r>
          </w:p>
        </w:tc>
        <w:tc>
          <w:tcPr>
            <w:tcW w:w="11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22"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6.35</w:t>
            </w:r>
          </w:p>
        </w:tc>
        <w:tc>
          <w:tcPr>
            <w:tcW w:w="505"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7.07</w:t>
            </w:r>
          </w:p>
        </w:tc>
        <w:tc>
          <w:tcPr>
            <w:tcW w:w="387" w:type="dxa"/>
            <w:gridSpan w:val="2"/>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6.46</w:t>
            </w:r>
          </w:p>
        </w:tc>
        <w:tc>
          <w:tcPr>
            <w:tcW w:w="261"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34"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0.202</w:t>
            </w:r>
          </w:p>
        </w:tc>
        <w:tc>
          <w:tcPr>
            <w:tcW w:w="484"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0.141</w:t>
            </w:r>
          </w:p>
        </w:tc>
        <w:tc>
          <w:tcPr>
            <w:tcW w:w="554" w:type="dxa"/>
            <w:gridSpan w:val="2"/>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0.173</w:t>
            </w:r>
          </w:p>
        </w:tc>
        <w:tc>
          <w:tcPr>
            <w:tcW w:w="111" w:type="dxa"/>
            <w:gridSpan w:val="2"/>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471"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1.078</w:t>
            </w:r>
          </w:p>
        </w:tc>
        <w:tc>
          <w:tcPr>
            <w:tcW w:w="471"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1.190</w:t>
            </w:r>
          </w:p>
        </w:tc>
        <w:tc>
          <w:tcPr>
            <w:tcW w:w="485" w:type="dxa"/>
            <w:tcBorders>
              <w:top w:val="dotted" w:sz="4" w:space="0" w:color="9FBE62"/>
              <w:left w:val="nil"/>
              <w:bottom w:val="dotted" w:sz="4" w:space="0" w:color="9FBE62"/>
              <w:right w:val="single" w:sz="8" w:space="0" w:color="006600"/>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1.080</w:t>
            </w:r>
          </w:p>
        </w:tc>
      </w:tr>
      <w:tr w:rsidR="00FE223F" w:rsidRPr="00F648FF" w:rsidTr="00F648FF">
        <w:trPr>
          <w:gridAfter w:val="1"/>
          <w:wAfter w:w="35" w:type="dxa"/>
          <w:trHeight w:val="276"/>
          <w:jc w:val="center"/>
        </w:trPr>
        <w:tc>
          <w:tcPr>
            <w:tcW w:w="2372" w:type="dxa"/>
            <w:tcBorders>
              <w:top w:val="dotted" w:sz="4" w:space="0" w:color="9FBE62"/>
              <w:left w:val="single" w:sz="8" w:space="0" w:color="006600"/>
              <w:bottom w:val="dotted" w:sz="4" w:space="0" w:color="9FBE62"/>
            </w:tcBorders>
            <w:shd w:val="clear" w:color="auto" w:fill="auto"/>
            <w:noWrap/>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No subyacente</w:t>
            </w:r>
          </w:p>
        </w:tc>
        <w:tc>
          <w:tcPr>
            <w:tcW w:w="523"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-0.90</w:t>
            </w:r>
          </w:p>
        </w:tc>
        <w:tc>
          <w:tcPr>
            <w:tcW w:w="50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-0.40</w:t>
            </w:r>
          </w:p>
        </w:tc>
        <w:tc>
          <w:tcPr>
            <w:tcW w:w="511" w:type="dxa"/>
            <w:tcBorders>
              <w:top w:val="dotted" w:sz="4" w:space="0" w:color="9FBE62"/>
              <w:left w:val="nil"/>
              <w:bottom w:val="dotted" w:sz="4" w:space="0" w:color="9FBE62"/>
            </w:tcBorders>
            <w:shd w:val="clear" w:color="auto" w:fill="auto"/>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1.53</w:t>
            </w:r>
          </w:p>
        </w:tc>
        <w:tc>
          <w:tcPr>
            <w:tcW w:w="11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b/>
                <w:sz w:val="16"/>
                <w:szCs w:val="16"/>
              </w:rPr>
            </w:pPr>
          </w:p>
        </w:tc>
        <w:tc>
          <w:tcPr>
            <w:tcW w:w="522"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11.74</w:t>
            </w:r>
          </w:p>
        </w:tc>
        <w:tc>
          <w:tcPr>
            <w:tcW w:w="505"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6.27</w:t>
            </w:r>
          </w:p>
        </w:tc>
        <w:tc>
          <w:tcPr>
            <w:tcW w:w="387" w:type="dxa"/>
            <w:gridSpan w:val="2"/>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3.39</w:t>
            </w:r>
          </w:p>
        </w:tc>
        <w:tc>
          <w:tcPr>
            <w:tcW w:w="261"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b/>
                <w:sz w:val="16"/>
                <w:szCs w:val="16"/>
              </w:rPr>
            </w:pPr>
          </w:p>
        </w:tc>
        <w:tc>
          <w:tcPr>
            <w:tcW w:w="534"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-0.233</w:t>
            </w:r>
          </w:p>
        </w:tc>
        <w:tc>
          <w:tcPr>
            <w:tcW w:w="484"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-0.101</w:t>
            </w:r>
          </w:p>
        </w:tc>
        <w:tc>
          <w:tcPr>
            <w:tcW w:w="554" w:type="dxa"/>
            <w:gridSpan w:val="2"/>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0.375</w:t>
            </w:r>
          </w:p>
        </w:tc>
        <w:tc>
          <w:tcPr>
            <w:tcW w:w="111" w:type="dxa"/>
            <w:gridSpan w:val="2"/>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b/>
                <w:sz w:val="16"/>
                <w:szCs w:val="16"/>
              </w:rPr>
            </w:pPr>
          </w:p>
        </w:tc>
        <w:tc>
          <w:tcPr>
            <w:tcW w:w="471"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2.872</w:t>
            </w:r>
          </w:p>
        </w:tc>
        <w:tc>
          <w:tcPr>
            <w:tcW w:w="471"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1.597</w:t>
            </w:r>
          </w:p>
        </w:tc>
        <w:tc>
          <w:tcPr>
            <w:tcW w:w="485" w:type="dxa"/>
            <w:tcBorders>
              <w:top w:val="dotted" w:sz="4" w:space="0" w:color="9FBE62"/>
              <w:left w:val="nil"/>
              <w:bottom w:val="dotted" w:sz="4" w:space="0" w:color="9FBE62"/>
              <w:right w:val="single" w:sz="8" w:space="0" w:color="006600"/>
            </w:tcBorders>
            <w:shd w:val="clear" w:color="auto" w:fill="auto"/>
            <w:noWrap/>
            <w:vAlign w:val="center"/>
          </w:tcPr>
          <w:p w:rsidR="00951975" w:rsidRPr="00F648FF" w:rsidRDefault="00951975" w:rsidP="00935F86">
            <w:pPr>
              <w:pStyle w:val="Sinespaciado"/>
              <w:rPr>
                <w:rFonts w:cstheme="minorHAnsi"/>
                <w:b/>
                <w:sz w:val="16"/>
                <w:szCs w:val="16"/>
              </w:rPr>
            </w:pPr>
            <w:r w:rsidRPr="00F648FF">
              <w:rPr>
                <w:rFonts w:cstheme="minorHAnsi"/>
                <w:b/>
                <w:sz w:val="16"/>
                <w:szCs w:val="16"/>
              </w:rPr>
              <w:t>0.850</w:t>
            </w:r>
          </w:p>
        </w:tc>
      </w:tr>
      <w:tr w:rsidR="00FE223F" w:rsidRPr="00F648FF" w:rsidTr="00F648FF">
        <w:trPr>
          <w:gridAfter w:val="1"/>
          <w:wAfter w:w="35" w:type="dxa"/>
          <w:trHeight w:val="276"/>
          <w:jc w:val="center"/>
        </w:trPr>
        <w:tc>
          <w:tcPr>
            <w:tcW w:w="2372" w:type="dxa"/>
            <w:tcBorders>
              <w:top w:val="dotted" w:sz="4" w:space="0" w:color="9FBE62"/>
              <w:left w:val="single" w:sz="8" w:space="0" w:color="006600"/>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Agropecuarios</w:t>
            </w:r>
          </w:p>
        </w:tc>
        <w:tc>
          <w:tcPr>
            <w:tcW w:w="523"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-0.08</w:t>
            </w:r>
          </w:p>
        </w:tc>
        <w:tc>
          <w:tcPr>
            <w:tcW w:w="50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0.50</w:t>
            </w:r>
          </w:p>
        </w:tc>
        <w:tc>
          <w:tcPr>
            <w:tcW w:w="511" w:type="dxa"/>
            <w:tcBorders>
              <w:top w:val="dotted" w:sz="4" w:space="0" w:color="9FBE62"/>
              <w:left w:val="nil"/>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3.25</w:t>
            </w:r>
          </w:p>
        </w:tc>
        <w:tc>
          <w:tcPr>
            <w:tcW w:w="11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22"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15.78</w:t>
            </w:r>
          </w:p>
        </w:tc>
        <w:tc>
          <w:tcPr>
            <w:tcW w:w="505"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9.52</w:t>
            </w:r>
          </w:p>
        </w:tc>
        <w:tc>
          <w:tcPr>
            <w:tcW w:w="387" w:type="dxa"/>
            <w:gridSpan w:val="2"/>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5.66</w:t>
            </w:r>
          </w:p>
        </w:tc>
        <w:tc>
          <w:tcPr>
            <w:tcW w:w="261"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34"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-0.009</w:t>
            </w:r>
          </w:p>
        </w:tc>
        <w:tc>
          <w:tcPr>
            <w:tcW w:w="484"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0.058</w:t>
            </w:r>
          </w:p>
        </w:tc>
        <w:tc>
          <w:tcPr>
            <w:tcW w:w="554" w:type="dxa"/>
            <w:gridSpan w:val="2"/>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0.369</w:t>
            </w:r>
          </w:p>
        </w:tc>
        <w:tc>
          <w:tcPr>
            <w:tcW w:w="111" w:type="dxa"/>
            <w:gridSpan w:val="2"/>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471"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1.661</w:t>
            </w:r>
          </w:p>
        </w:tc>
        <w:tc>
          <w:tcPr>
            <w:tcW w:w="471"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1.081</w:t>
            </w:r>
          </w:p>
        </w:tc>
        <w:tc>
          <w:tcPr>
            <w:tcW w:w="485" w:type="dxa"/>
            <w:tcBorders>
              <w:top w:val="dotted" w:sz="4" w:space="0" w:color="9FBE62"/>
              <w:left w:val="nil"/>
              <w:bottom w:val="dotted" w:sz="4" w:space="0" w:color="9FBE62"/>
              <w:right w:val="single" w:sz="8" w:space="0" w:color="006600"/>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0.653</w:t>
            </w:r>
          </w:p>
        </w:tc>
      </w:tr>
      <w:tr w:rsidR="00FE223F" w:rsidRPr="00F648FF" w:rsidTr="00F648FF">
        <w:trPr>
          <w:gridAfter w:val="1"/>
          <w:wAfter w:w="35" w:type="dxa"/>
          <w:trHeight w:val="276"/>
          <w:jc w:val="center"/>
        </w:trPr>
        <w:tc>
          <w:tcPr>
            <w:tcW w:w="2372" w:type="dxa"/>
            <w:tcBorders>
              <w:top w:val="dotted" w:sz="4" w:space="0" w:color="9FBE62"/>
              <w:left w:val="single" w:sz="8" w:space="0" w:color="006600"/>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Frutas y verduras</w:t>
            </w:r>
          </w:p>
        </w:tc>
        <w:tc>
          <w:tcPr>
            <w:tcW w:w="523"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-2.36</w:t>
            </w:r>
          </w:p>
        </w:tc>
        <w:tc>
          <w:tcPr>
            <w:tcW w:w="50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1.21</w:t>
            </w:r>
          </w:p>
        </w:tc>
        <w:tc>
          <w:tcPr>
            <w:tcW w:w="511" w:type="dxa"/>
            <w:tcBorders>
              <w:top w:val="dotted" w:sz="4" w:space="0" w:color="9FBE62"/>
              <w:left w:val="nil"/>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7.05</w:t>
            </w:r>
          </w:p>
        </w:tc>
        <w:tc>
          <w:tcPr>
            <w:tcW w:w="11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22"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21.73</w:t>
            </w:r>
          </w:p>
        </w:tc>
        <w:tc>
          <w:tcPr>
            <w:tcW w:w="505"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7.22</w:t>
            </w:r>
          </w:p>
        </w:tc>
        <w:tc>
          <w:tcPr>
            <w:tcW w:w="387" w:type="dxa"/>
            <w:gridSpan w:val="2"/>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11.68</w:t>
            </w:r>
          </w:p>
        </w:tc>
        <w:tc>
          <w:tcPr>
            <w:tcW w:w="261"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34"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-0.127</w:t>
            </w:r>
          </w:p>
        </w:tc>
        <w:tc>
          <w:tcPr>
            <w:tcW w:w="484"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0.063</w:t>
            </w:r>
          </w:p>
        </w:tc>
        <w:tc>
          <w:tcPr>
            <w:tcW w:w="554" w:type="dxa"/>
            <w:gridSpan w:val="2"/>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0.370</w:t>
            </w:r>
          </w:p>
        </w:tc>
        <w:tc>
          <w:tcPr>
            <w:tcW w:w="111" w:type="dxa"/>
            <w:gridSpan w:val="2"/>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471"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1.006</w:t>
            </w:r>
          </w:p>
        </w:tc>
        <w:tc>
          <w:tcPr>
            <w:tcW w:w="471"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0.379</w:t>
            </w:r>
          </w:p>
        </w:tc>
        <w:tc>
          <w:tcPr>
            <w:tcW w:w="485" w:type="dxa"/>
            <w:tcBorders>
              <w:top w:val="dotted" w:sz="4" w:space="0" w:color="9FBE62"/>
              <w:left w:val="nil"/>
              <w:bottom w:val="dotted" w:sz="4" w:space="0" w:color="9FBE62"/>
              <w:right w:val="single" w:sz="8" w:space="0" w:color="006600"/>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0.610</w:t>
            </w:r>
          </w:p>
        </w:tc>
      </w:tr>
      <w:tr w:rsidR="00FE223F" w:rsidRPr="00F648FF" w:rsidTr="00F648FF">
        <w:trPr>
          <w:gridAfter w:val="1"/>
          <w:wAfter w:w="35" w:type="dxa"/>
          <w:trHeight w:val="276"/>
          <w:jc w:val="center"/>
        </w:trPr>
        <w:tc>
          <w:tcPr>
            <w:tcW w:w="2372" w:type="dxa"/>
            <w:tcBorders>
              <w:top w:val="dotted" w:sz="4" w:space="0" w:color="9FBE62"/>
              <w:left w:val="single" w:sz="8" w:space="0" w:color="006600"/>
              <w:bottom w:val="dotted" w:sz="4" w:space="0" w:color="9FBE62"/>
            </w:tcBorders>
            <w:shd w:val="clear" w:color="auto" w:fill="auto"/>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Pecuarios</w:t>
            </w:r>
          </w:p>
        </w:tc>
        <w:tc>
          <w:tcPr>
            <w:tcW w:w="523"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1.98</w:t>
            </w:r>
          </w:p>
        </w:tc>
        <w:tc>
          <w:tcPr>
            <w:tcW w:w="50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-0.08</w:t>
            </w:r>
          </w:p>
        </w:tc>
        <w:tc>
          <w:tcPr>
            <w:tcW w:w="511" w:type="dxa"/>
            <w:tcBorders>
              <w:top w:val="dotted" w:sz="4" w:space="0" w:color="9FBE62"/>
              <w:left w:val="nil"/>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-0.01</w:t>
            </w:r>
          </w:p>
        </w:tc>
        <w:tc>
          <w:tcPr>
            <w:tcW w:w="11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22"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11.11</w:t>
            </w:r>
          </w:p>
        </w:tc>
        <w:tc>
          <w:tcPr>
            <w:tcW w:w="505"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11.50</w:t>
            </w:r>
          </w:p>
        </w:tc>
        <w:tc>
          <w:tcPr>
            <w:tcW w:w="387" w:type="dxa"/>
            <w:gridSpan w:val="2"/>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0.68</w:t>
            </w:r>
          </w:p>
        </w:tc>
        <w:tc>
          <w:tcPr>
            <w:tcW w:w="261"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34"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0.119</w:t>
            </w:r>
          </w:p>
        </w:tc>
        <w:tc>
          <w:tcPr>
            <w:tcW w:w="484"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-0.005</w:t>
            </w:r>
          </w:p>
        </w:tc>
        <w:tc>
          <w:tcPr>
            <w:tcW w:w="554" w:type="dxa"/>
            <w:gridSpan w:val="2"/>
            <w:tcBorders>
              <w:top w:val="dotted" w:sz="4" w:space="0" w:color="9FBE62"/>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-0.001</w:t>
            </w:r>
          </w:p>
        </w:tc>
        <w:tc>
          <w:tcPr>
            <w:tcW w:w="111" w:type="dxa"/>
            <w:gridSpan w:val="2"/>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471"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0.655</w:t>
            </w:r>
          </w:p>
        </w:tc>
        <w:tc>
          <w:tcPr>
            <w:tcW w:w="471" w:type="dxa"/>
            <w:tcBorders>
              <w:top w:val="dotted" w:sz="4" w:space="0" w:color="9FBE62"/>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0.702</w:t>
            </w:r>
          </w:p>
        </w:tc>
        <w:tc>
          <w:tcPr>
            <w:tcW w:w="485" w:type="dxa"/>
            <w:tcBorders>
              <w:top w:val="dotted" w:sz="4" w:space="0" w:color="9FBE62"/>
              <w:left w:val="nil"/>
              <w:bottom w:val="dotted" w:sz="4" w:space="0" w:color="9FBE62"/>
              <w:right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0.043</w:t>
            </w:r>
          </w:p>
        </w:tc>
      </w:tr>
      <w:tr w:rsidR="00FE223F" w:rsidRPr="00F648FF" w:rsidTr="00F648FF">
        <w:trPr>
          <w:gridAfter w:val="1"/>
          <w:wAfter w:w="35" w:type="dxa"/>
          <w:trHeight w:val="276"/>
          <w:jc w:val="center"/>
        </w:trPr>
        <w:tc>
          <w:tcPr>
            <w:tcW w:w="2372" w:type="dxa"/>
            <w:tcBorders>
              <w:top w:val="dotted" w:sz="4" w:space="0" w:color="9FBE62"/>
              <w:left w:val="single" w:sz="8" w:space="0" w:color="006600"/>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Energéticos y tarifas autorizadas por el gobierno</w:t>
            </w:r>
          </w:p>
        </w:tc>
        <w:tc>
          <w:tcPr>
            <w:tcW w:w="523"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-1.56</w:t>
            </w:r>
          </w:p>
        </w:tc>
        <w:tc>
          <w:tcPr>
            <w:tcW w:w="50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-1.15</w:t>
            </w:r>
          </w:p>
        </w:tc>
        <w:tc>
          <w:tcPr>
            <w:tcW w:w="511" w:type="dxa"/>
            <w:tcBorders>
              <w:top w:val="dotted" w:sz="4" w:space="0" w:color="9FBE62"/>
              <w:left w:val="nil"/>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0.05</w:t>
            </w:r>
          </w:p>
        </w:tc>
        <w:tc>
          <w:tcPr>
            <w:tcW w:w="11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22"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8.68</w:t>
            </w:r>
          </w:p>
        </w:tc>
        <w:tc>
          <w:tcPr>
            <w:tcW w:w="505"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3.66</w:t>
            </w:r>
          </w:p>
        </w:tc>
        <w:tc>
          <w:tcPr>
            <w:tcW w:w="387" w:type="dxa"/>
            <w:gridSpan w:val="2"/>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1.46</w:t>
            </w:r>
          </w:p>
        </w:tc>
        <w:tc>
          <w:tcPr>
            <w:tcW w:w="261"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34"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-0.225</w:t>
            </w:r>
          </w:p>
        </w:tc>
        <w:tc>
          <w:tcPr>
            <w:tcW w:w="484"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-0.159</w:t>
            </w:r>
          </w:p>
        </w:tc>
        <w:tc>
          <w:tcPr>
            <w:tcW w:w="554" w:type="dxa"/>
            <w:gridSpan w:val="2"/>
            <w:tcBorders>
              <w:top w:val="dotted" w:sz="4" w:space="0" w:color="9FBE62"/>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0.006</w:t>
            </w:r>
          </w:p>
        </w:tc>
        <w:tc>
          <w:tcPr>
            <w:tcW w:w="111" w:type="dxa"/>
            <w:gridSpan w:val="2"/>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471"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1.211</w:t>
            </w:r>
          </w:p>
        </w:tc>
        <w:tc>
          <w:tcPr>
            <w:tcW w:w="471" w:type="dxa"/>
            <w:tcBorders>
              <w:top w:val="dotted" w:sz="4" w:space="0" w:color="9FBE62"/>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0.516</w:t>
            </w:r>
          </w:p>
        </w:tc>
        <w:tc>
          <w:tcPr>
            <w:tcW w:w="485" w:type="dxa"/>
            <w:tcBorders>
              <w:top w:val="dotted" w:sz="4" w:space="0" w:color="9FBE62"/>
              <w:left w:val="nil"/>
              <w:bottom w:val="dotted" w:sz="4" w:space="0" w:color="9FBE62"/>
              <w:right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0.197</w:t>
            </w:r>
          </w:p>
        </w:tc>
      </w:tr>
      <w:tr w:rsidR="00FE223F" w:rsidRPr="00F648FF" w:rsidTr="00F648FF">
        <w:trPr>
          <w:gridAfter w:val="1"/>
          <w:wAfter w:w="35" w:type="dxa"/>
          <w:trHeight w:val="276"/>
          <w:jc w:val="center"/>
        </w:trPr>
        <w:tc>
          <w:tcPr>
            <w:tcW w:w="2372" w:type="dxa"/>
            <w:tcBorders>
              <w:top w:val="dotted" w:sz="4" w:space="0" w:color="9FBE62"/>
              <w:left w:val="single" w:sz="8" w:space="0" w:color="006600"/>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Energéticos</w:t>
            </w:r>
          </w:p>
        </w:tc>
        <w:tc>
          <w:tcPr>
            <w:tcW w:w="523"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-2.30</w:t>
            </w:r>
          </w:p>
        </w:tc>
        <w:tc>
          <w:tcPr>
            <w:tcW w:w="50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-1.71</w:t>
            </w:r>
          </w:p>
        </w:tc>
        <w:tc>
          <w:tcPr>
            <w:tcW w:w="511" w:type="dxa"/>
            <w:tcBorders>
              <w:top w:val="dotted" w:sz="4" w:space="0" w:color="9FBE62"/>
              <w:left w:val="nil"/>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-0.01</w:t>
            </w:r>
          </w:p>
        </w:tc>
        <w:tc>
          <w:tcPr>
            <w:tcW w:w="111" w:type="dxa"/>
            <w:tcBorders>
              <w:top w:val="dotted" w:sz="4" w:space="0" w:color="9FBE62"/>
              <w:left w:val="nil"/>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22"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11.50</w:t>
            </w:r>
          </w:p>
        </w:tc>
        <w:tc>
          <w:tcPr>
            <w:tcW w:w="505"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2.91</w:t>
            </w:r>
          </w:p>
        </w:tc>
        <w:tc>
          <w:tcPr>
            <w:tcW w:w="387" w:type="dxa"/>
            <w:gridSpan w:val="2"/>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0.06</w:t>
            </w:r>
          </w:p>
        </w:tc>
        <w:tc>
          <w:tcPr>
            <w:tcW w:w="261"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34"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-0.238</w:t>
            </w:r>
          </w:p>
        </w:tc>
        <w:tc>
          <w:tcPr>
            <w:tcW w:w="484"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-0.167</w:t>
            </w:r>
          </w:p>
        </w:tc>
        <w:tc>
          <w:tcPr>
            <w:tcW w:w="554" w:type="dxa"/>
            <w:gridSpan w:val="2"/>
            <w:tcBorders>
              <w:top w:val="dotted" w:sz="4" w:space="0" w:color="9FBE62"/>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-0.001</w:t>
            </w:r>
          </w:p>
        </w:tc>
        <w:tc>
          <w:tcPr>
            <w:tcW w:w="111" w:type="dxa"/>
            <w:gridSpan w:val="2"/>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471"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1.112</w:t>
            </w:r>
          </w:p>
        </w:tc>
        <w:tc>
          <w:tcPr>
            <w:tcW w:w="471" w:type="dxa"/>
            <w:tcBorders>
              <w:top w:val="dotted" w:sz="4" w:space="0" w:color="9FBE62"/>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0.293</w:t>
            </w:r>
          </w:p>
        </w:tc>
        <w:tc>
          <w:tcPr>
            <w:tcW w:w="485" w:type="dxa"/>
            <w:tcBorders>
              <w:top w:val="dotted" w:sz="4" w:space="0" w:color="9FBE62"/>
              <w:left w:val="nil"/>
              <w:bottom w:val="dotted" w:sz="4" w:space="0" w:color="9FBE62"/>
              <w:right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0.005</w:t>
            </w:r>
          </w:p>
        </w:tc>
      </w:tr>
      <w:tr w:rsidR="00FE223F" w:rsidRPr="00F648FF" w:rsidTr="00F648FF">
        <w:trPr>
          <w:gridAfter w:val="1"/>
          <w:wAfter w:w="35" w:type="dxa"/>
          <w:trHeight w:val="276"/>
          <w:jc w:val="center"/>
        </w:trPr>
        <w:tc>
          <w:tcPr>
            <w:tcW w:w="2372" w:type="dxa"/>
            <w:tcBorders>
              <w:top w:val="dotted" w:sz="4" w:space="0" w:color="9FBE62"/>
              <w:left w:val="single" w:sz="8" w:space="0" w:color="006600"/>
              <w:bottom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Tarifas autorizadas por el gobierno</w:t>
            </w:r>
          </w:p>
        </w:tc>
        <w:tc>
          <w:tcPr>
            <w:tcW w:w="523" w:type="dxa"/>
            <w:tcBorders>
              <w:top w:val="dotted" w:sz="4" w:space="0" w:color="9FBE62"/>
              <w:bottom w:val="single" w:sz="8" w:space="0" w:color="006600"/>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0.32</w:t>
            </w:r>
          </w:p>
        </w:tc>
        <w:tc>
          <w:tcPr>
            <w:tcW w:w="501" w:type="dxa"/>
            <w:tcBorders>
              <w:top w:val="dotted" w:sz="4" w:space="0" w:color="9FBE62"/>
              <w:left w:val="nil"/>
              <w:bottom w:val="single" w:sz="8" w:space="0" w:color="006600"/>
              <w:right w:val="nil"/>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0.20</w:t>
            </w:r>
          </w:p>
        </w:tc>
        <w:tc>
          <w:tcPr>
            <w:tcW w:w="511" w:type="dxa"/>
            <w:tcBorders>
              <w:top w:val="dotted" w:sz="4" w:space="0" w:color="9FBE62"/>
              <w:left w:val="nil"/>
              <w:bottom w:val="single" w:sz="8" w:space="0" w:color="006600"/>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0.19</w:t>
            </w:r>
          </w:p>
        </w:tc>
        <w:tc>
          <w:tcPr>
            <w:tcW w:w="111" w:type="dxa"/>
            <w:tcBorders>
              <w:top w:val="dotted" w:sz="4" w:space="0" w:color="9FBE62"/>
              <w:left w:val="nil"/>
              <w:bottom w:val="single" w:sz="8" w:space="0" w:color="006600"/>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22" w:type="dxa"/>
            <w:tcBorders>
              <w:top w:val="dotted" w:sz="4" w:space="0" w:color="9FBE62"/>
              <w:left w:val="nil"/>
              <w:bottom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2.30</w:t>
            </w:r>
          </w:p>
        </w:tc>
        <w:tc>
          <w:tcPr>
            <w:tcW w:w="505" w:type="dxa"/>
            <w:tcBorders>
              <w:top w:val="dotted" w:sz="4" w:space="0" w:color="9FBE62"/>
              <w:bottom w:val="single" w:sz="8" w:space="0" w:color="006600"/>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5.48</w:t>
            </w:r>
          </w:p>
        </w:tc>
        <w:tc>
          <w:tcPr>
            <w:tcW w:w="387" w:type="dxa"/>
            <w:gridSpan w:val="2"/>
            <w:tcBorders>
              <w:top w:val="dotted" w:sz="4" w:space="0" w:color="9FBE62"/>
              <w:bottom w:val="single" w:sz="8" w:space="0" w:color="006600"/>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4.82</w:t>
            </w:r>
          </w:p>
        </w:tc>
        <w:tc>
          <w:tcPr>
            <w:tcW w:w="261" w:type="dxa"/>
            <w:tcBorders>
              <w:top w:val="dotted" w:sz="4" w:space="0" w:color="9FBE62"/>
              <w:bottom w:val="single" w:sz="8" w:space="0" w:color="006600"/>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534" w:type="dxa"/>
            <w:tcBorders>
              <w:top w:val="dotted" w:sz="4" w:space="0" w:color="9FBE62"/>
              <w:left w:val="nil"/>
              <w:bottom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0.013</w:t>
            </w:r>
          </w:p>
        </w:tc>
        <w:tc>
          <w:tcPr>
            <w:tcW w:w="484" w:type="dxa"/>
            <w:tcBorders>
              <w:top w:val="dotted" w:sz="4" w:space="0" w:color="9FBE62"/>
              <w:bottom w:val="single" w:sz="8" w:space="0" w:color="006600"/>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0.008</w:t>
            </w:r>
          </w:p>
        </w:tc>
        <w:tc>
          <w:tcPr>
            <w:tcW w:w="554" w:type="dxa"/>
            <w:gridSpan w:val="2"/>
            <w:tcBorders>
              <w:top w:val="dotted" w:sz="4" w:space="0" w:color="9FBE62"/>
              <w:bottom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0.008</w:t>
            </w:r>
          </w:p>
        </w:tc>
        <w:tc>
          <w:tcPr>
            <w:tcW w:w="111" w:type="dxa"/>
            <w:gridSpan w:val="2"/>
            <w:tcBorders>
              <w:top w:val="dotted" w:sz="4" w:space="0" w:color="9FBE62"/>
              <w:bottom w:val="single" w:sz="8" w:space="0" w:color="006600"/>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471" w:type="dxa"/>
            <w:tcBorders>
              <w:top w:val="dotted" w:sz="4" w:space="0" w:color="9FBE62"/>
              <w:left w:val="nil"/>
              <w:bottom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0.098</w:t>
            </w:r>
          </w:p>
        </w:tc>
        <w:tc>
          <w:tcPr>
            <w:tcW w:w="471" w:type="dxa"/>
            <w:tcBorders>
              <w:top w:val="dotted" w:sz="4" w:space="0" w:color="9FBE62"/>
              <w:bottom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0.223</w:t>
            </w:r>
          </w:p>
        </w:tc>
        <w:tc>
          <w:tcPr>
            <w:tcW w:w="485" w:type="dxa"/>
            <w:tcBorders>
              <w:top w:val="dotted" w:sz="4" w:space="0" w:color="9FBE62"/>
              <w:left w:val="nil"/>
              <w:bottom w:val="single" w:sz="8" w:space="0" w:color="006600"/>
              <w:right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0.192</w:t>
            </w:r>
          </w:p>
        </w:tc>
      </w:tr>
    </w:tbl>
    <w:p w:rsidR="009E65DA" w:rsidRPr="0066506B" w:rsidRDefault="009E65DA" w:rsidP="001457BE">
      <w:pPr>
        <w:autoSpaceDE w:val="0"/>
        <w:autoSpaceDN w:val="0"/>
        <w:adjustRightInd w:val="0"/>
        <w:spacing w:before="100" w:beforeAutospacing="1" w:after="100" w:afterAutospacing="1" w:line="240" w:lineRule="auto"/>
        <w:ind w:left="709" w:right="51" w:hanging="641"/>
        <w:jc w:val="both"/>
        <w:rPr>
          <w:rFonts w:asciiTheme="minorHAnsi" w:hAnsiTheme="minorHAnsi" w:cstheme="minorHAnsi"/>
          <w:sz w:val="20"/>
        </w:rPr>
      </w:pPr>
      <w:r w:rsidRPr="009E65DA">
        <w:rPr>
          <w:rFonts w:asciiTheme="minorHAnsi" w:hAnsiTheme="minorHAnsi" w:cstheme="minorHAnsi"/>
          <w:vertAlign w:val="superscript"/>
        </w:rPr>
        <w:t>1/</w:t>
      </w:r>
      <w:r w:rsidRPr="009E65DA">
        <w:rPr>
          <w:rFonts w:asciiTheme="minorHAnsi" w:hAnsiTheme="minorHAnsi" w:cstheme="minorHAnsi"/>
          <w:vertAlign w:val="superscript"/>
        </w:rPr>
        <w:tab/>
      </w:r>
      <w:r w:rsidRPr="0066506B">
        <w:rPr>
          <w:rFonts w:asciiTheme="minorHAnsi" w:hAnsiTheme="minorHAnsi" w:cstheme="minorHAnsi"/>
          <w:sz w:val="20"/>
        </w:rPr>
        <w:t xml:space="preserve">La incidencia se refiere a la contribución, en puntos porcentuales, de cada componente del </w:t>
      </w:r>
      <w:proofErr w:type="spellStart"/>
      <w:r w:rsidRPr="0066506B">
        <w:rPr>
          <w:rFonts w:asciiTheme="minorHAnsi" w:hAnsiTheme="minorHAnsi" w:cstheme="minorHAnsi"/>
          <w:smallCaps/>
          <w:sz w:val="20"/>
        </w:rPr>
        <w:t>inpc</w:t>
      </w:r>
      <w:proofErr w:type="spellEnd"/>
      <w:r w:rsidRPr="0066506B">
        <w:rPr>
          <w:rFonts w:asciiTheme="minorHAnsi" w:hAnsiTheme="minorHAnsi" w:cstheme="minorHAnsi"/>
          <w:smallCaps/>
          <w:sz w:val="20"/>
        </w:rPr>
        <w:t xml:space="preserve"> </w:t>
      </w:r>
      <w:r w:rsidRPr="0066506B">
        <w:rPr>
          <w:rFonts w:asciiTheme="minorHAnsi" w:hAnsiTheme="minorHAnsi" w:cstheme="minorHAnsi"/>
          <w:sz w:val="20"/>
        </w:rPr>
        <w:t>a la inflación general. Esta se calcula utilizando los ponderadores de cada subíndice, así como los precios relativos y sus respectivas variaciones. En ciertos casos, la suma de los componentes de algún grupo de subíndices puede presentar discrepancias por efectos de redondeo.</w:t>
      </w:r>
    </w:p>
    <w:p w:rsidR="009E65DA" w:rsidRPr="0066506B" w:rsidRDefault="009E65DA" w:rsidP="001457BE">
      <w:pPr>
        <w:autoSpaceDE w:val="0"/>
        <w:autoSpaceDN w:val="0"/>
        <w:adjustRightInd w:val="0"/>
        <w:spacing w:before="100" w:beforeAutospacing="1" w:after="100" w:afterAutospacing="1" w:line="240" w:lineRule="auto"/>
        <w:ind w:left="709" w:right="51" w:hanging="641"/>
        <w:jc w:val="both"/>
        <w:rPr>
          <w:rFonts w:asciiTheme="minorHAnsi" w:hAnsiTheme="minorHAnsi" w:cstheme="minorHAnsi"/>
          <w:sz w:val="20"/>
        </w:rPr>
      </w:pPr>
      <w:r w:rsidRPr="0066506B">
        <w:rPr>
          <w:rFonts w:asciiTheme="minorHAnsi" w:hAnsiTheme="minorHAnsi" w:cstheme="minorHAnsi"/>
          <w:sz w:val="20"/>
          <w:vertAlign w:val="superscript"/>
        </w:rPr>
        <w:t>2/</w:t>
      </w:r>
      <w:r w:rsidRPr="0066506B">
        <w:rPr>
          <w:rFonts w:asciiTheme="minorHAnsi" w:hAnsiTheme="minorHAnsi" w:cstheme="minorHAnsi"/>
          <w:sz w:val="20"/>
          <w:vertAlign w:val="superscript"/>
        </w:rPr>
        <w:tab/>
      </w:r>
      <w:r w:rsidRPr="0066506B">
        <w:rPr>
          <w:rFonts w:asciiTheme="minorHAnsi" w:hAnsiTheme="minorHAnsi" w:cstheme="minorHAnsi"/>
          <w:sz w:val="20"/>
        </w:rPr>
        <w:t>Incluye alimentos procesados, bebidas y tabaco. No incluye productos agropecuarios.</w:t>
      </w:r>
    </w:p>
    <w:p w:rsidR="009E65DA" w:rsidRPr="0066506B" w:rsidRDefault="009E65DA" w:rsidP="001457BE">
      <w:pPr>
        <w:autoSpaceDE w:val="0"/>
        <w:autoSpaceDN w:val="0"/>
        <w:adjustRightInd w:val="0"/>
        <w:spacing w:before="100" w:beforeAutospacing="1" w:after="100" w:afterAutospacing="1" w:line="240" w:lineRule="auto"/>
        <w:ind w:left="709" w:right="51" w:hanging="641"/>
        <w:jc w:val="both"/>
        <w:rPr>
          <w:rFonts w:asciiTheme="minorHAnsi" w:hAnsiTheme="minorHAnsi" w:cstheme="minorHAnsi"/>
          <w:sz w:val="20"/>
        </w:rPr>
      </w:pPr>
      <w:r w:rsidRPr="0066506B">
        <w:rPr>
          <w:rFonts w:asciiTheme="minorHAnsi" w:hAnsiTheme="minorHAnsi" w:cstheme="minorHAnsi"/>
          <w:sz w:val="20"/>
          <w:vertAlign w:val="superscript"/>
        </w:rPr>
        <w:t>3/</w:t>
      </w:r>
      <w:r w:rsidRPr="0066506B">
        <w:rPr>
          <w:rFonts w:asciiTheme="minorHAnsi" w:hAnsiTheme="minorHAnsi" w:cstheme="minorHAnsi"/>
          <w:sz w:val="20"/>
          <w:vertAlign w:val="superscript"/>
        </w:rPr>
        <w:tab/>
      </w:r>
      <w:r w:rsidRPr="0066506B">
        <w:rPr>
          <w:rFonts w:asciiTheme="minorHAnsi" w:hAnsiTheme="minorHAnsi" w:cstheme="minorHAnsi"/>
          <w:sz w:val="20"/>
        </w:rPr>
        <w:t>Incluye vivienda propia, renta de vivienda, servicio doméstico y otros servicios para el hogar.</w:t>
      </w:r>
    </w:p>
    <w:p w:rsidR="009E65DA" w:rsidRPr="0066506B" w:rsidRDefault="009E65DA" w:rsidP="001457BE">
      <w:pPr>
        <w:autoSpaceDE w:val="0"/>
        <w:autoSpaceDN w:val="0"/>
        <w:adjustRightInd w:val="0"/>
        <w:spacing w:before="100" w:beforeAutospacing="1" w:after="100" w:afterAutospacing="1" w:line="240" w:lineRule="auto"/>
        <w:ind w:left="709" w:right="51" w:hanging="641"/>
        <w:jc w:val="both"/>
        <w:rPr>
          <w:rFonts w:asciiTheme="minorHAnsi" w:hAnsiTheme="minorHAnsi" w:cstheme="minorHAnsi"/>
          <w:sz w:val="20"/>
        </w:rPr>
      </w:pPr>
      <w:r w:rsidRPr="0066506B">
        <w:rPr>
          <w:rFonts w:asciiTheme="minorHAnsi" w:hAnsiTheme="minorHAnsi" w:cstheme="minorHAnsi"/>
          <w:sz w:val="20"/>
          <w:vertAlign w:val="superscript"/>
        </w:rPr>
        <w:t>4/</w:t>
      </w:r>
      <w:r w:rsidRPr="0066506B">
        <w:rPr>
          <w:rFonts w:asciiTheme="minorHAnsi" w:hAnsiTheme="minorHAnsi" w:cstheme="minorHAnsi"/>
          <w:sz w:val="20"/>
          <w:vertAlign w:val="superscript"/>
        </w:rPr>
        <w:tab/>
      </w:r>
      <w:r w:rsidRPr="0066506B">
        <w:rPr>
          <w:rFonts w:asciiTheme="minorHAnsi" w:hAnsiTheme="minorHAnsi" w:cstheme="minorHAnsi"/>
          <w:sz w:val="20"/>
        </w:rPr>
        <w:t>Incluye loncherías, fondas y taquerías, restaurantes y similares, servicio de telefonía móvil, mantenimiento de automóvil, consulta médica, servicios turísticos en paquete, entre otros.</w:t>
      </w:r>
    </w:p>
    <w:p w:rsidR="009E65DA" w:rsidRPr="0066506B" w:rsidRDefault="009E65DA" w:rsidP="001457BE">
      <w:pPr>
        <w:autoSpaceDE w:val="0"/>
        <w:autoSpaceDN w:val="0"/>
        <w:adjustRightInd w:val="0"/>
        <w:spacing w:before="100" w:beforeAutospacing="1" w:after="100" w:afterAutospacing="1" w:line="240" w:lineRule="auto"/>
        <w:ind w:left="210" w:right="51" w:hanging="142"/>
        <w:jc w:val="both"/>
        <w:rPr>
          <w:rFonts w:asciiTheme="minorHAnsi" w:hAnsiTheme="minorHAnsi" w:cstheme="minorHAnsi"/>
          <w:sz w:val="20"/>
        </w:rPr>
      </w:pPr>
      <w:r w:rsidRPr="0066506B">
        <w:rPr>
          <w:rFonts w:asciiTheme="minorHAnsi" w:hAnsiTheme="minorHAnsi" w:cstheme="minorHAnsi"/>
          <w:color w:val="000000" w:themeColor="text1"/>
          <w:sz w:val="20"/>
        </w:rPr>
        <w:t xml:space="preserve">Fuente:  </w:t>
      </w:r>
      <w:proofErr w:type="spellStart"/>
      <w:r w:rsidRPr="0066506B">
        <w:rPr>
          <w:rFonts w:asciiTheme="minorHAnsi" w:hAnsiTheme="minorHAnsi" w:cstheme="minorHAnsi"/>
          <w:smallCaps/>
          <w:sz w:val="20"/>
        </w:rPr>
        <w:t>inegi</w:t>
      </w:r>
      <w:proofErr w:type="spellEnd"/>
      <w:r w:rsidRPr="0066506B">
        <w:rPr>
          <w:rFonts w:asciiTheme="minorHAnsi" w:hAnsiTheme="minorHAnsi" w:cstheme="minorHAnsi"/>
          <w:caps/>
          <w:sz w:val="20"/>
        </w:rPr>
        <w:t xml:space="preserve">. </w:t>
      </w:r>
      <w:proofErr w:type="spellStart"/>
      <w:r w:rsidRPr="0066506B">
        <w:rPr>
          <w:rFonts w:asciiTheme="minorHAnsi" w:hAnsiTheme="minorHAnsi" w:cstheme="minorHAnsi"/>
          <w:smallCaps/>
          <w:sz w:val="20"/>
        </w:rPr>
        <w:t>inpc</w:t>
      </w:r>
      <w:proofErr w:type="spellEnd"/>
      <w:r w:rsidRPr="0066506B">
        <w:rPr>
          <w:rFonts w:asciiTheme="minorHAnsi" w:hAnsiTheme="minorHAnsi" w:cstheme="minorHAnsi"/>
          <w:sz w:val="20"/>
        </w:rPr>
        <w:t>, 2023.</w:t>
      </w:r>
    </w:p>
    <w:p w:rsidR="009E65DA" w:rsidRPr="0066506B" w:rsidRDefault="009E65DA" w:rsidP="001457BE">
      <w:pPr>
        <w:pStyle w:val="NormalWeb"/>
        <w:jc w:val="both"/>
        <w:rPr>
          <w:rFonts w:asciiTheme="minorHAnsi" w:hAnsiTheme="minorHAnsi" w:cstheme="minorHAnsi"/>
          <w:bCs/>
          <w:sz w:val="20"/>
          <w:szCs w:val="22"/>
        </w:rPr>
      </w:pPr>
      <w:r w:rsidRPr="0066506B">
        <w:rPr>
          <w:rFonts w:asciiTheme="minorHAnsi" w:hAnsiTheme="minorHAnsi" w:cstheme="minorHAnsi"/>
          <w:bCs/>
          <w:sz w:val="20"/>
          <w:szCs w:val="22"/>
        </w:rPr>
        <w:t>En diciembre de 2023, el INPC presentó un aumento mensual de 0.71 por ciento. En el mismo mes de 2022, creció 0.38 por ciento.</w:t>
      </w:r>
    </w:p>
    <w:p w:rsidR="009E65DA" w:rsidRPr="0066506B" w:rsidRDefault="009E65DA" w:rsidP="001457BE">
      <w:pPr>
        <w:autoSpaceDE w:val="0"/>
        <w:autoSpaceDN w:val="0"/>
        <w:adjustRightInd w:val="0"/>
        <w:spacing w:before="100" w:beforeAutospacing="1" w:after="100" w:afterAutospacing="1" w:line="240" w:lineRule="auto"/>
        <w:jc w:val="both"/>
        <w:rPr>
          <w:rFonts w:asciiTheme="minorHAnsi" w:hAnsiTheme="minorHAnsi" w:cstheme="minorHAnsi"/>
          <w:sz w:val="20"/>
        </w:rPr>
      </w:pPr>
      <w:r w:rsidRPr="0066506B">
        <w:rPr>
          <w:rFonts w:asciiTheme="minorHAnsi" w:hAnsiTheme="minorHAnsi" w:cstheme="minorHAnsi"/>
          <w:sz w:val="20"/>
        </w:rPr>
        <w:lastRenderedPageBreak/>
        <w:t>A continuación, se presentan los principales productos genéricos cuyas variaciones de precios destacaron por su incidencia sobre la inflación general.</w:t>
      </w:r>
    </w:p>
    <w:p w:rsidR="009E65DA" w:rsidRPr="009E65DA" w:rsidRDefault="009E65DA" w:rsidP="00B32695">
      <w:pPr>
        <w:autoSpaceDE w:val="0"/>
        <w:autoSpaceDN w:val="0"/>
        <w:adjustRightInd w:val="0"/>
        <w:spacing w:after="0" w:line="240" w:lineRule="auto"/>
        <w:jc w:val="center"/>
        <w:rPr>
          <w:rFonts w:asciiTheme="minorHAnsi" w:hAnsiTheme="minorHAnsi" w:cstheme="minorHAnsi"/>
          <w:b/>
          <w:bCs/>
          <w:smallCaps/>
          <w:color w:val="000000" w:themeColor="text1"/>
          <w:spacing w:val="1"/>
        </w:rPr>
      </w:pPr>
      <w:r w:rsidRPr="009E65DA">
        <w:rPr>
          <w:rFonts w:asciiTheme="minorHAnsi" w:hAnsiTheme="minorHAnsi" w:cstheme="minorHAnsi"/>
          <w:b/>
          <w:bCs/>
          <w:iCs/>
          <w:smallCaps/>
          <w:color w:val="000000" w:themeColor="text1"/>
        </w:rPr>
        <w:t>Variación</w:t>
      </w:r>
      <w:r w:rsidRPr="009E65DA">
        <w:rPr>
          <w:rFonts w:asciiTheme="minorHAnsi" w:hAnsiTheme="minorHAnsi" w:cstheme="minorHAnsi"/>
          <w:b/>
          <w:bCs/>
          <w:smallCaps/>
          <w:color w:val="000000" w:themeColor="text1"/>
          <w:spacing w:val="1"/>
        </w:rPr>
        <w:t xml:space="preserve"> e incidencia del Índice Nacional de Precios al Consumidor</w:t>
      </w:r>
    </w:p>
    <w:p w:rsidR="009E65DA" w:rsidRPr="009E65DA" w:rsidRDefault="009E65DA" w:rsidP="00B32695">
      <w:pPr>
        <w:widowControl w:val="0"/>
        <w:tabs>
          <w:tab w:val="left" w:pos="1220"/>
        </w:tabs>
        <w:autoSpaceDE w:val="0"/>
        <w:autoSpaceDN w:val="0"/>
        <w:adjustRightInd w:val="0"/>
        <w:spacing w:after="0" w:line="240" w:lineRule="auto"/>
        <w:jc w:val="center"/>
        <w:rPr>
          <w:rFonts w:asciiTheme="minorHAnsi" w:hAnsiTheme="minorHAnsi" w:cstheme="minorHAnsi"/>
          <w:b/>
          <w:bCs/>
          <w:smallCaps/>
          <w:color w:val="000000" w:themeColor="text1"/>
          <w:spacing w:val="1"/>
        </w:rPr>
      </w:pPr>
      <w:r w:rsidRPr="009E65DA">
        <w:rPr>
          <w:rFonts w:asciiTheme="minorHAnsi" w:hAnsiTheme="minorHAnsi" w:cstheme="minorHAnsi"/>
          <w:b/>
          <w:bCs/>
          <w:smallCaps/>
          <w:color w:val="000000" w:themeColor="text1"/>
          <w:spacing w:val="1"/>
        </w:rPr>
        <w:t>productos genéricos con mayor incidencia</w:t>
      </w:r>
    </w:p>
    <w:p w:rsidR="009E65DA" w:rsidRDefault="009E65DA" w:rsidP="00B32695">
      <w:pPr>
        <w:widowControl w:val="0"/>
        <w:tabs>
          <w:tab w:val="left" w:pos="1220"/>
        </w:tabs>
        <w:autoSpaceDE w:val="0"/>
        <w:autoSpaceDN w:val="0"/>
        <w:adjustRightInd w:val="0"/>
        <w:spacing w:after="0" w:line="240" w:lineRule="auto"/>
        <w:jc w:val="center"/>
        <w:rPr>
          <w:rFonts w:asciiTheme="minorHAnsi" w:hAnsiTheme="minorHAnsi" w:cstheme="minorHAnsi"/>
          <w:b/>
          <w:color w:val="000000"/>
          <w:position w:val="-1"/>
        </w:rPr>
      </w:pPr>
      <w:r w:rsidRPr="00BE2484">
        <w:rPr>
          <w:rFonts w:asciiTheme="minorHAnsi" w:hAnsiTheme="minorHAnsi" w:cstheme="minorHAnsi"/>
          <w:b/>
          <w:color w:val="000000"/>
          <w:position w:val="-1"/>
        </w:rPr>
        <w:t>Diciembre de 2023</w:t>
      </w:r>
    </w:p>
    <w:tbl>
      <w:tblPr>
        <w:tblW w:w="4479" w:type="pct"/>
        <w:jc w:val="center"/>
        <w:tblLayout w:type="fixed"/>
        <w:tblCellMar>
          <w:left w:w="0" w:type="dxa"/>
          <w:right w:w="0" w:type="dxa"/>
        </w:tblCellMar>
        <w:tblLook w:val="04A0" w:firstRow="1" w:lastRow="0" w:firstColumn="1" w:lastColumn="0" w:noHBand="0" w:noVBand="1"/>
      </w:tblPr>
      <w:tblGrid>
        <w:gridCol w:w="2232"/>
        <w:gridCol w:w="939"/>
        <w:gridCol w:w="939"/>
        <w:gridCol w:w="149"/>
        <w:gridCol w:w="2228"/>
        <w:gridCol w:w="939"/>
        <w:gridCol w:w="941"/>
      </w:tblGrid>
      <w:tr w:rsidR="00951975" w:rsidRPr="00B312C1" w:rsidTr="00F648FF">
        <w:trPr>
          <w:trHeight w:val="495"/>
          <w:jc w:val="center"/>
        </w:trPr>
        <w:tc>
          <w:tcPr>
            <w:tcW w:w="2232" w:type="dxa"/>
            <w:tcBorders>
              <w:top w:val="single" w:sz="8" w:space="0" w:color="006600"/>
              <w:left w:val="single" w:sz="8" w:space="0" w:color="006600"/>
              <w:bottom w:val="single" w:sz="8" w:space="0" w:color="006600"/>
            </w:tcBorders>
            <w:shd w:val="clear" w:color="auto" w:fill="auto"/>
            <w:noWrap/>
            <w:vAlign w:val="center"/>
            <w:hideMark/>
          </w:tcPr>
          <w:p w:rsidR="00951975" w:rsidRPr="00B312C1" w:rsidRDefault="00951975" w:rsidP="00935F86">
            <w:pPr>
              <w:pStyle w:val="Sinespaciado"/>
              <w:rPr>
                <w:rFonts w:cstheme="minorHAnsi"/>
                <w:b/>
                <w:sz w:val="18"/>
                <w:szCs w:val="18"/>
              </w:rPr>
            </w:pPr>
            <w:r w:rsidRPr="00B312C1">
              <w:rPr>
                <w:rFonts w:cstheme="minorHAnsi"/>
                <w:b/>
                <w:sz w:val="18"/>
                <w:szCs w:val="18"/>
              </w:rPr>
              <w:t xml:space="preserve">Productos con precios </w:t>
            </w:r>
            <w:r w:rsidRPr="00B312C1">
              <w:rPr>
                <w:rFonts w:cstheme="minorHAnsi"/>
                <w:b/>
                <w:sz w:val="18"/>
                <w:szCs w:val="18"/>
              </w:rPr>
              <w:br/>
              <w:t>al alza</w:t>
            </w:r>
          </w:p>
        </w:tc>
        <w:tc>
          <w:tcPr>
            <w:tcW w:w="939" w:type="dxa"/>
            <w:tcBorders>
              <w:top w:val="single" w:sz="8" w:space="0" w:color="006600"/>
              <w:left w:val="nil"/>
              <w:bottom w:val="single" w:sz="8" w:space="0" w:color="006600"/>
            </w:tcBorders>
            <w:shd w:val="clear" w:color="auto" w:fill="auto"/>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Variación % mensual</w:t>
            </w:r>
          </w:p>
        </w:tc>
        <w:tc>
          <w:tcPr>
            <w:tcW w:w="939" w:type="dxa"/>
            <w:tcBorders>
              <w:top w:val="single" w:sz="8" w:space="0" w:color="006600"/>
              <w:left w:val="nil"/>
              <w:bottom w:val="single" w:sz="8" w:space="0" w:color="006600"/>
            </w:tcBorders>
            <w:shd w:val="clear" w:color="auto" w:fill="auto"/>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 xml:space="preserve">Incidencia </w:t>
            </w:r>
            <w:r w:rsidRPr="00B312C1">
              <w:rPr>
                <w:rFonts w:cstheme="minorHAnsi"/>
                <w:b/>
                <w:sz w:val="18"/>
                <w:szCs w:val="18"/>
                <w:vertAlign w:val="superscript"/>
              </w:rPr>
              <w:t>1/</w:t>
            </w:r>
            <w:r w:rsidRPr="00B312C1">
              <w:rPr>
                <w:rFonts w:cstheme="minorHAnsi"/>
                <w:b/>
                <w:sz w:val="18"/>
                <w:szCs w:val="18"/>
              </w:rPr>
              <w:t xml:space="preserve"> mensual</w:t>
            </w:r>
          </w:p>
        </w:tc>
        <w:tc>
          <w:tcPr>
            <w:tcW w:w="149" w:type="dxa"/>
            <w:tcBorders>
              <w:top w:val="single" w:sz="8" w:space="0" w:color="006600"/>
              <w:left w:val="nil"/>
              <w:bottom w:val="single" w:sz="8" w:space="0" w:color="006600"/>
              <w:right w:val="nil"/>
            </w:tcBorders>
            <w:shd w:val="clear" w:color="auto" w:fill="auto"/>
            <w:vAlign w:val="center"/>
          </w:tcPr>
          <w:p w:rsidR="00951975" w:rsidRPr="00B312C1" w:rsidRDefault="00951975" w:rsidP="00935F86">
            <w:pPr>
              <w:pStyle w:val="Sinespaciado"/>
              <w:rPr>
                <w:rFonts w:cstheme="minorHAnsi"/>
                <w:b/>
                <w:sz w:val="18"/>
                <w:szCs w:val="18"/>
              </w:rPr>
            </w:pPr>
          </w:p>
        </w:tc>
        <w:tc>
          <w:tcPr>
            <w:tcW w:w="2228" w:type="dxa"/>
            <w:tcBorders>
              <w:top w:val="single" w:sz="8" w:space="0" w:color="006600"/>
              <w:left w:val="nil"/>
              <w:bottom w:val="single" w:sz="8" w:space="0" w:color="006600"/>
            </w:tcBorders>
            <w:shd w:val="clear" w:color="auto" w:fill="auto"/>
            <w:noWrap/>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 xml:space="preserve">Productos con precios </w:t>
            </w:r>
            <w:r w:rsidRPr="00B312C1">
              <w:rPr>
                <w:rFonts w:cstheme="minorHAnsi"/>
                <w:b/>
                <w:sz w:val="18"/>
                <w:szCs w:val="18"/>
              </w:rPr>
              <w:br/>
              <w:t>a la baja</w:t>
            </w:r>
          </w:p>
        </w:tc>
        <w:tc>
          <w:tcPr>
            <w:tcW w:w="939" w:type="dxa"/>
            <w:tcBorders>
              <w:top w:val="single" w:sz="8" w:space="0" w:color="006600"/>
              <w:bottom w:val="single" w:sz="8" w:space="0" w:color="006600"/>
            </w:tcBorders>
            <w:shd w:val="clear" w:color="auto" w:fill="auto"/>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Variación % mensual</w:t>
            </w:r>
          </w:p>
        </w:tc>
        <w:tc>
          <w:tcPr>
            <w:tcW w:w="941" w:type="dxa"/>
            <w:tcBorders>
              <w:top w:val="single" w:sz="8" w:space="0" w:color="006600"/>
              <w:left w:val="nil"/>
              <w:bottom w:val="single" w:sz="8" w:space="0" w:color="006600"/>
              <w:right w:val="single" w:sz="8" w:space="0" w:color="006600"/>
            </w:tcBorders>
            <w:shd w:val="clear" w:color="auto" w:fill="auto"/>
            <w:vAlign w:val="center"/>
          </w:tcPr>
          <w:p w:rsidR="00951975" w:rsidRPr="00B312C1" w:rsidRDefault="00951975" w:rsidP="00935F86">
            <w:pPr>
              <w:pStyle w:val="Sinespaciado"/>
              <w:rPr>
                <w:rFonts w:cstheme="minorHAnsi"/>
                <w:b/>
                <w:sz w:val="18"/>
                <w:szCs w:val="18"/>
              </w:rPr>
            </w:pPr>
            <w:r w:rsidRPr="00B312C1">
              <w:rPr>
                <w:rFonts w:cstheme="minorHAnsi"/>
                <w:b/>
                <w:sz w:val="18"/>
                <w:szCs w:val="18"/>
              </w:rPr>
              <w:t xml:space="preserve">Incidencia </w:t>
            </w:r>
            <w:r w:rsidRPr="00B312C1">
              <w:rPr>
                <w:rFonts w:cstheme="minorHAnsi"/>
                <w:b/>
                <w:sz w:val="18"/>
                <w:szCs w:val="18"/>
                <w:vertAlign w:val="superscript"/>
              </w:rPr>
              <w:t>1/</w:t>
            </w:r>
            <w:r w:rsidRPr="00B312C1">
              <w:rPr>
                <w:rFonts w:cstheme="minorHAnsi"/>
                <w:b/>
                <w:sz w:val="18"/>
                <w:szCs w:val="18"/>
              </w:rPr>
              <w:t xml:space="preserve"> mensual</w:t>
            </w:r>
          </w:p>
        </w:tc>
      </w:tr>
      <w:tr w:rsidR="00951975" w:rsidRPr="00F648FF" w:rsidTr="00F648FF">
        <w:trPr>
          <w:trHeight w:val="314"/>
          <w:jc w:val="center"/>
        </w:trPr>
        <w:tc>
          <w:tcPr>
            <w:tcW w:w="2232" w:type="dxa"/>
            <w:tcBorders>
              <w:top w:val="single" w:sz="8" w:space="0" w:color="006600"/>
              <w:left w:val="single" w:sz="8" w:space="0" w:color="006600"/>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Jitomate</w:t>
            </w:r>
          </w:p>
        </w:tc>
        <w:tc>
          <w:tcPr>
            <w:tcW w:w="939" w:type="dxa"/>
            <w:tcBorders>
              <w:top w:val="single" w:sz="8" w:space="0" w:color="006600"/>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29.60</w:t>
            </w:r>
          </w:p>
        </w:tc>
        <w:tc>
          <w:tcPr>
            <w:tcW w:w="939" w:type="dxa"/>
            <w:tcBorders>
              <w:top w:val="single" w:sz="8" w:space="0" w:color="006600"/>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0.178</w:t>
            </w:r>
          </w:p>
        </w:tc>
        <w:tc>
          <w:tcPr>
            <w:tcW w:w="149" w:type="dxa"/>
            <w:tcBorders>
              <w:top w:val="single" w:sz="8" w:space="0" w:color="006600"/>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2228" w:type="dxa"/>
            <w:tcBorders>
              <w:top w:val="single" w:sz="8" w:space="0" w:color="006600"/>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Chile serrano</w:t>
            </w:r>
          </w:p>
        </w:tc>
        <w:tc>
          <w:tcPr>
            <w:tcW w:w="939" w:type="dxa"/>
            <w:tcBorders>
              <w:top w:val="single" w:sz="8" w:space="0" w:color="006600"/>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-16.48</w:t>
            </w:r>
          </w:p>
        </w:tc>
        <w:tc>
          <w:tcPr>
            <w:tcW w:w="941" w:type="dxa"/>
            <w:tcBorders>
              <w:top w:val="single" w:sz="8" w:space="0" w:color="006600"/>
              <w:left w:val="nil"/>
              <w:bottom w:val="dotted" w:sz="4" w:space="0" w:color="9FBE62"/>
              <w:right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-0.019</w:t>
            </w:r>
          </w:p>
        </w:tc>
      </w:tr>
      <w:tr w:rsidR="00951975" w:rsidRPr="00F648FF" w:rsidTr="00F648FF">
        <w:trPr>
          <w:trHeight w:val="314"/>
          <w:jc w:val="center"/>
        </w:trPr>
        <w:tc>
          <w:tcPr>
            <w:tcW w:w="2232" w:type="dxa"/>
            <w:tcBorders>
              <w:top w:val="dotted" w:sz="4" w:space="0" w:color="9FBE62"/>
              <w:left w:val="single" w:sz="8" w:space="0" w:color="006600"/>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Cebolla</w:t>
            </w:r>
          </w:p>
        </w:tc>
        <w:tc>
          <w:tcPr>
            <w:tcW w:w="939"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55.29</w:t>
            </w:r>
          </w:p>
        </w:tc>
        <w:tc>
          <w:tcPr>
            <w:tcW w:w="939" w:type="dxa"/>
            <w:tcBorders>
              <w:top w:val="dotted" w:sz="4" w:space="0" w:color="9FBE62"/>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0.137</w:t>
            </w:r>
          </w:p>
        </w:tc>
        <w:tc>
          <w:tcPr>
            <w:tcW w:w="149"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2228"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Zanahoria</w:t>
            </w:r>
          </w:p>
        </w:tc>
        <w:tc>
          <w:tcPr>
            <w:tcW w:w="939" w:type="dxa"/>
            <w:tcBorders>
              <w:top w:val="dotted" w:sz="4" w:space="0" w:color="9FBE62"/>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-15.06</w:t>
            </w:r>
          </w:p>
        </w:tc>
        <w:tc>
          <w:tcPr>
            <w:tcW w:w="941" w:type="dxa"/>
            <w:tcBorders>
              <w:top w:val="dotted" w:sz="4" w:space="0" w:color="9FBE62"/>
              <w:left w:val="nil"/>
              <w:bottom w:val="dotted" w:sz="4" w:space="0" w:color="9FBE62"/>
              <w:right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-0.018</w:t>
            </w:r>
          </w:p>
        </w:tc>
      </w:tr>
      <w:tr w:rsidR="00951975" w:rsidRPr="00F648FF" w:rsidTr="00F648FF">
        <w:trPr>
          <w:trHeight w:val="314"/>
          <w:jc w:val="center"/>
        </w:trPr>
        <w:tc>
          <w:tcPr>
            <w:tcW w:w="2232" w:type="dxa"/>
            <w:tcBorders>
              <w:top w:val="dotted" w:sz="4" w:space="0" w:color="9FBE62"/>
              <w:left w:val="single" w:sz="8" w:space="0" w:color="006600"/>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Transporte aéreo</w:t>
            </w:r>
          </w:p>
        </w:tc>
        <w:tc>
          <w:tcPr>
            <w:tcW w:w="939"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15.82</w:t>
            </w:r>
          </w:p>
        </w:tc>
        <w:tc>
          <w:tcPr>
            <w:tcW w:w="939"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0.043</w:t>
            </w:r>
          </w:p>
        </w:tc>
        <w:tc>
          <w:tcPr>
            <w:tcW w:w="149"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2228"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Gasolina de bajo octanaje</w:t>
            </w:r>
          </w:p>
        </w:tc>
        <w:tc>
          <w:tcPr>
            <w:tcW w:w="939"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-0.31</w:t>
            </w:r>
          </w:p>
        </w:tc>
        <w:tc>
          <w:tcPr>
            <w:tcW w:w="941" w:type="dxa"/>
            <w:tcBorders>
              <w:top w:val="dotted" w:sz="4" w:space="0" w:color="9FBE62"/>
              <w:left w:val="nil"/>
              <w:bottom w:val="dotted" w:sz="4" w:space="0" w:color="9FBE62"/>
              <w:right w:val="single" w:sz="8" w:space="0" w:color="006600"/>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-0.015</w:t>
            </w:r>
          </w:p>
        </w:tc>
      </w:tr>
      <w:tr w:rsidR="00951975" w:rsidRPr="00F648FF" w:rsidTr="00F648FF">
        <w:trPr>
          <w:trHeight w:val="314"/>
          <w:jc w:val="center"/>
        </w:trPr>
        <w:tc>
          <w:tcPr>
            <w:tcW w:w="2232" w:type="dxa"/>
            <w:tcBorders>
              <w:top w:val="dotted" w:sz="4" w:space="0" w:color="9FBE62"/>
              <w:left w:val="single" w:sz="8" w:space="0" w:color="006600"/>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 xml:space="preserve">Loncherías, fondas, </w:t>
            </w:r>
            <w:proofErr w:type="spellStart"/>
            <w:r w:rsidRPr="00F648FF">
              <w:rPr>
                <w:rFonts w:cstheme="minorHAnsi"/>
                <w:sz w:val="16"/>
                <w:szCs w:val="16"/>
              </w:rPr>
              <w:t>torterías</w:t>
            </w:r>
            <w:proofErr w:type="spellEnd"/>
            <w:r w:rsidRPr="00F648FF">
              <w:rPr>
                <w:rFonts w:cstheme="minorHAnsi"/>
                <w:sz w:val="16"/>
                <w:szCs w:val="16"/>
              </w:rPr>
              <w:t xml:space="preserve"> y taquerías</w:t>
            </w:r>
          </w:p>
        </w:tc>
        <w:tc>
          <w:tcPr>
            <w:tcW w:w="939"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0.82</w:t>
            </w:r>
          </w:p>
        </w:tc>
        <w:tc>
          <w:tcPr>
            <w:tcW w:w="939" w:type="dxa"/>
            <w:tcBorders>
              <w:top w:val="dotted" w:sz="4" w:space="0" w:color="9FBE62"/>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0.042</w:t>
            </w:r>
          </w:p>
        </w:tc>
        <w:tc>
          <w:tcPr>
            <w:tcW w:w="149"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2228" w:type="dxa"/>
            <w:tcBorders>
              <w:top w:val="dotted" w:sz="4" w:space="0" w:color="9FBE62"/>
              <w:left w:val="nil"/>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Huevo</w:t>
            </w:r>
          </w:p>
        </w:tc>
        <w:tc>
          <w:tcPr>
            <w:tcW w:w="939" w:type="dxa"/>
            <w:tcBorders>
              <w:top w:val="dotted" w:sz="4" w:space="0" w:color="9FBE62"/>
              <w:bottom w:val="dotted" w:sz="4" w:space="0" w:color="9FBE62"/>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-0.99</w:t>
            </w:r>
          </w:p>
        </w:tc>
        <w:tc>
          <w:tcPr>
            <w:tcW w:w="941" w:type="dxa"/>
            <w:tcBorders>
              <w:top w:val="dotted" w:sz="4" w:space="0" w:color="9FBE62"/>
              <w:left w:val="nil"/>
              <w:bottom w:val="dotted" w:sz="4" w:space="0" w:color="9FBE62"/>
              <w:right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-0.010</w:t>
            </w:r>
          </w:p>
        </w:tc>
      </w:tr>
      <w:tr w:rsidR="00951975" w:rsidRPr="00F648FF" w:rsidTr="00F648FF">
        <w:trPr>
          <w:trHeight w:val="314"/>
          <w:jc w:val="center"/>
        </w:trPr>
        <w:tc>
          <w:tcPr>
            <w:tcW w:w="2232" w:type="dxa"/>
            <w:tcBorders>
              <w:top w:val="dotted" w:sz="4" w:space="0" w:color="9FBE62"/>
              <w:left w:val="single" w:sz="8" w:space="0" w:color="006600"/>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Nopales</w:t>
            </w:r>
          </w:p>
        </w:tc>
        <w:tc>
          <w:tcPr>
            <w:tcW w:w="939"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33.76</w:t>
            </w:r>
          </w:p>
        </w:tc>
        <w:tc>
          <w:tcPr>
            <w:tcW w:w="939"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0.032</w:t>
            </w:r>
          </w:p>
        </w:tc>
        <w:tc>
          <w:tcPr>
            <w:tcW w:w="149"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2228"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Limón</w:t>
            </w:r>
          </w:p>
        </w:tc>
        <w:tc>
          <w:tcPr>
            <w:tcW w:w="939"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-6.64</w:t>
            </w:r>
          </w:p>
        </w:tc>
        <w:tc>
          <w:tcPr>
            <w:tcW w:w="941" w:type="dxa"/>
            <w:tcBorders>
              <w:top w:val="dotted" w:sz="4" w:space="0" w:color="9FBE62"/>
              <w:left w:val="nil"/>
              <w:bottom w:val="dotted" w:sz="4" w:space="0" w:color="9FBE62"/>
              <w:right w:val="single" w:sz="8" w:space="0" w:color="006600"/>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-0.009</w:t>
            </w:r>
          </w:p>
        </w:tc>
      </w:tr>
      <w:tr w:rsidR="00951975" w:rsidRPr="00F648FF" w:rsidTr="00F648FF">
        <w:trPr>
          <w:trHeight w:val="314"/>
          <w:jc w:val="center"/>
        </w:trPr>
        <w:tc>
          <w:tcPr>
            <w:tcW w:w="2232" w:type="dxa"/>
            <w:tcBorders>
              <w:top w:val="dotted" w:sz="4" w:space="0" w:color="9FBE62"/>
              <w:left w:val="single" w:sz="8" w:space="0" w:color="006600"/>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Tomate verde</w:t>
            </w:r>
          </w:p>
        </w:tc>
        <w:tc>
          <w:tcPr>
            <w:tcW w:w="939"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16.69</w:t>
            </w:r>
          </w:p>
        </w:tc>
        <w:tc>
          <w:tcPr>
            <w:tcW w:w="939"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0.028</w:t>
            </w:r>
          </w:p>
        </w:tc>
        <w:tc>
          <w:tcPr>
            <w:tcW w:w="149"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2228"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Otras frutas</w:t>
            </w:r>
          </w:p>
        </w:tc>
        <w:tc>
          <w:tcPr>
            <w:tcW w:w="939"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-2.62</w:t>
            </w:r>
          </w:p>
        </w:tc>
        <w:tc>
          <w:tcPr>
            <w:tcW w:w="941" w:type="dxa"/>
            <w:tcBorders>
              <w:top w:val="dotted" w:sz="4" w:space="0" w:color="9FBE62"/>
              <w:left w:val="nil"/>
              <w:bottom w:val="dotted" w:sz="4" w:space="0" w:color="9FBE62"/>
              <w:right w:val="single" w:sz="8" w:space="0" w:color="006600"/>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-0.009</w:t>
            </w:r>
          </w:p>
        </w:tc>
      </w:tr>
      <w:tr w:rsidR="00951975" w:rsidRPr="00F648FF" w:rsidTr="00F648FF">
        <w:trPr>
          <w:trHeight w:val="314"/>
          <w:jc w:val="center"/>
        </w:trPr>
        <w:tc>
          <w:tcPr>
            <w:tcW w:w="2232" w:type="dxa"/>
            <w:tcBorders>
              <w:top w:val="dotted" w:sz="4" w:space="0" w:color="9FBE62"/>
              <w:left w:val="single" w:sz="8" w:space="0" w:color="006600"/>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Restaurantes y similares</w:t>
            </w:r>
          </w:p>
        </w:tc>
        <w:tc>
          <w:tcPr>
            <w:tcW w:w="939"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0.81</w:t>
            </w:r>
          </w:p>
        </w:tc>
        <w:tc>
          <w:tcPr>
            <w:tcW w:w="939"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0.024</w:t>
            </w:r>
          </w:p>
        </w:tc>
        <w:tc>
          <w:tcPr>
            <w:tcW w:w="149"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2228"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Naranja</w:t>
            </w:r>
          </w:p>
        </w:tc>
        <w:tc>
          <w:tcPr>
            <w:tcW w:w="939"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-4.16</w:t>
            </w:r>
          </w:p>
        </w:tc>
        <w:tc>
          <w:tcPr>
            <w:tcW w:w="941" w:type="dxa"/>
            <w:tcBorders>
              <w:top w:val="dotted" w:sz="4" w:space="0" w:color="9FBE62"/>
              <w:left w:val="nil"/>
              <w:bottom w:val="dotted" w:sz="4" w:space="0" w:color="9FBE62"/>
              <w:right w:val="single" w:sz="8" w:space="0" w:color="006600"/>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-0.008</w:t>
            </w:r>
          </w:p>
        </w:tc>
      </w:tr>
      <w:tr w:rsidR="00951975" w:rsidRPr="00F648FF" w:rsidTr="00F648FF">
        <w:trPr>
          <w:trHeight w:val="314"/>
          <w:jc w:val="center"/>
        </w:trPr>
        <w:tc>
          <w:tcPr>
            <w:tcW w:w="2232" w:type="dxa"/>
            <w:tcBorders>
              <w:top w:val="dotted" w:sz="4" w:space="0" w:color="9FBE62"/>
              <w:left w:val="single" w:sz="8" w:space="0" w:color="006600"/>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Refrescos envasados</w:t>
            </w:r>
          </w:p>
        </w:tc>
        <w:tc>
          <w:tcPr>
            <w:tcW w:w="939"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0.99</w:t>
            </w:r>
          </w:p>
        </w:tc>
        <w:tc>
          <w:tcPr>
            <w:tcW w:w="939"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0.022</w:t>
            </w:r>
          </w:p>
        </w:tc>
        <w:tc>
          <w:tcPr>
            <w:tcW w:w="149"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2228"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Otros chiles frescos</w:t>
            </w:r>
          </w:p>
        </w:tc>
        <w:tc>
          <w:tcPr>
            <w:tcW w:w="939"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-5.72</w:t>
            </w:r>
          </w:p>
        </w:tc>
        <w:tc>
          <w:tcPr>
            <w:tcW w:w="941" w:type="dxa"/>
            <w:tcBorders>
              <w:top w:val="dotted" w:sz="4" w:space="0" w:color="9FBE62"/>
              <w:left w:val="nil"/>
              <w:bottom w:val="dotted" w:sz="4" w:space="0" w:color="9FBE62"/>
              <w:right w:val="single" w:sz="8" w:space="0" w:color="006600"/>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-0.007</w:t>
            </w:r>
          </w:p>
        </w:tc>
      </w:tr>
      <w:tr w:rsidR="00951975" w:rsidRPr="00F648FF" w:rsidTr="00F648FF">
        <w:trPr>
          <w:trHeight w:val="314"/>
          <w:jc w:val="center"/>
        </w:trPr>
        <w:tc>
          <w:tcPr>
            <w:tcW w:w="2232" w:type="dxa"/>
            <w:tcBorders>
              <w:top w:val="dotted" w:sz="4" w:space="0" w:color="9FBE62"/>
              <w:left w:val="single" w:sz="8" w:space="0" w:color="006600"/>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Autobús foráneo</w:t>
            </w:r>
          </w:p>
        </w:tc>
        <w:tc>
          <w:tcPr>
            <w:tcW w:w="939" w:type="dxa"/>
            <w:tcBorders>
              <w:top w:val="dotted" w:sz="4" w:space="0" w:color="9FBE62"/>
              <w:bottom w:val="dotted" w:sz="4" w:space="0" w:color="9FBE62"/>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2.72</w:t>
            </w:r>
          </w:p>
        </w:tc>
        <w:tc>
          <w:tcPr>
            <w:tcW w:w="939"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0.021</w:t>
            </w:r>
          </w:p>
        </w:tc>
        <w:tc>
          <w:tcPr>
            <w:tcW w:w="149" w:type="dxa"/>
            <w:tcBorders>
              <w:top w:val="dotted" w:sz="4" w:space="0" w:color="9FBE62"/>
              <w:bottom w:val="dotted" w:sz="4" w:space="0" w:color="9FBE62"/>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2228" w:type="dxa"/>
            <w:tcBorders>
              <w:top w:val="dotted" w:sz="4" w:space="0" w:color="9FBE62"/>
              <w:left w:val="nil"/>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Manzana</w:t>
            </w:r>
          </w:p>
        </w:tc>
        <w:tc>
          <w:tcPr>
            <w:tcW w:w="939" w:type="dxa"/>
            <w:tcBorders>
              <w:top w:val="dotted" w:sz="4" w:space="0" w:color="9FBE62"/>
              <w:bottom w:val="dotted" w:sz="4" w:space="0" w:color="9FBE62"/>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-3.02</w:t>
            </w:r>
          </w:p>
        </w:tc>
        <w:tc>
          <w:tcPr>
            <w:tcW w:w="941" w:type="dxa"/>
            <w:tcBorders>
              <w:top w:val="dotted" w:sz="4" w:space="0" w:color="9FBE62"/>
              <w:left w:val="nil"/>
              <w:bottom w:val="dotted" w:sz="4" w:space="0" w:color="9FBE62"/>
              <w:right w:val="single" w:sz="8" w:space="0" w:color="006600"/>
            </w:tcBorders>
            <w:shd w:val="clear" w:color="auto" w:fill="auto"/>
            <w:noWrap/>
            <w:vAlign w:val="center"/>
          </w:tcPr>
          <w:p w:rsidR="00951975" w:rsidRPr="00F648FF" w:rsidRDefault="00951975" w:rsidP="00935F86">
            <w:pPr>
              <w:pStyle w:val="Sinespaciado"/>
              <w:rPr>
                <w:rFonts w:cstheme="minorHAnsi"/>
                <w:sz w:val="16"/>
                <w:szCs w:val="16"/>
              </w:rPr>
            </w:pPr>
            <w:r w:rsidRPr="00F648FF">
              <w:rPr>
                <w:rFonts w:cstheme="minorHAnsi"/>
                <w:sz w:val="16"/>
                <w:szCs w:val="16"/>
              </w:rPr>
              <w:t>-0.007</w:t>
            </w:r>
          </w:p>
        </w:tc>
      </w:tr>
      <w:tr w:rsidR="00951975" w:rsidRPr="00F648FF" w:rsidTr="00F648FF">
        <w:trPr>
          <w:trHeight w:val="314"/>
          <w:jc w:val="center"/>
        </w:trPr>
        <w:tc>
          <w:tcPr>
            <w:tcW w:w="2232" w:type="dxa"/>
            <w:tcBorders>
              <w:top w:val="dotted" w:sz="4" w:space="0" w:color="9FBE62"/>
              <w:left w:val="single" w:sz="8" w:space="0" w:color="006600"/>
              <w:bottom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Servicios turísticos en paquete</w:t>
            </w:r>
          </w:p>
        </w:tc>
        <w:tc>
          <w:tcPr>
            <w:tcW w:w="939" w:type="dxa"/>
            <w:tcBorders>
              <w:top w:val="dotted" w:sz="4" w:space="0" w:color="9FBE62"/>
              <w:bottom w:val="single" w:sz="8" w:space="0" w:color="006600"/>
            </w:tcBorders>
            <w:shd w:val="clear" w:color="auto" w:fill="auto"/>
            <w:vAlign w:val="center"/>
          </w:tcPr>
          <w:p w:rsidR="00951975" w:rsidRPr="00F648FF" w:rsidRDefault="00951975" w:rsidP="00935F86">
            <w:pPr>
              <w:pStyle w:val="Sinespaciado"/>
              <w:rPr>
                <w:rFonts w:cstheme="minorHAnsi"/>
                <w:sz w:val="16"/>
                <w:szCs w:val="16"/>
              </w:rPr>
            </w:pPr>
            <w:r w:rsidRPr="00F648FF">
              <w:rPr>
                <w:rFonts w:cstheme="minorHAnsi"/>
                <w:sz w:val="16"/>
                <w:szCs w:val="16"/>
              </w:rPr>
              <w:t>6.12</w:t>
            </w:r>
          </w:p>
        </w:tc>
        <w:tc>
          <w:tcPr>
            <w:tcW w:w="939" w:type="dxa"/>
            <w:tcBorders>
              <w:top w:val="dotted" w:sz="4" w:space="0" w:color="9FBE62"/>
              <w:bottom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0.020</w:t>
            </w:r>
          </w:p>
        </w:tc>
        <w:tc>
          <w:tcPr>
            <w:tcW w:w="149" w:type="dxa"/>
            <w:tcBorders>
              <w:top w:val="dotted" w:sz="4" w:space="0" w:color="9FBE62"/>
              <w:bottom w:val="single" w:sz="8" w:space="0" w:color="006600"/>
              <w:right w:val="nil"/>
            </w:tcBorders>
            <w:shd w:val="clear" w:color="auto" w:fill="auto"/>
            <w:vAlign w:val="center"/>
          </w:tcPr>
          <w:p w:rsidR="00951975" w:rsidRPr="00F648FF" w:rsidRDefault="00951975" w:rsidP="00935F86">
            <w:pPr>
              <w:pStyle w:val="Sinespaciado"/>
              <w:rPr>
                <w:rFonts w:cstheme="minorHAnsi"/>
                <w:sz w:val="16"/>
                <w:szCs w:val="16"/>
              </w:rPr>
            </w:pPr>
          </w:p>
        </w:tc>
        <w:tc>
          <w:tcPr>
            <w:tcW w:w="2228" w:type="dxa"/>
            <w:tcBorders>
              <w:top w:val="dotted" w:sz="4" w:space="0" w:color="9FBE62"/>
              <w:left w:val="nil"/>
              <w:bottom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Aguacate</w:t>
            </w:r>
          </w:p>
        </w:tc>
        <w:tc>
          <w:tcPr>
            <w:tcW w:w="939" w:type="dxa"/>
            <w:tcBorders>
              <w:top w:val="dotted" w:sz="4" w:space="0" w:color="9FBE62"/>
              <w:bottom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-2.97</w:t>
            </w:r>
          </w:p>
        </w:tc>
        <w:tc>
          <w:tcPr>
            <w:tcW w:w="941" w:type="dxa"/>
            <w:tcBorders>
              <w:top w:val="dotted" w:sz="4" w:space="0" w:color="9FBE62"/>
              <w:left w:val="nil"/>
              <w:bottom w:val="single" w:sz="8" w:space="0" w:color="006600"/>
              <w:right w:val="single" w:sz="8" w:space="0" w:color="006600"/>
            </w:tcBorders>
            <w:shd w:val="clear" w:color="auto" w:fill="auto"/>
            <w:noWrap/>
            <w:vAlign w:val="center"/>
            <w:hideMark/>
          </w:tcPr>
          <w:p w:rsidR="00951975" w:rsidRPr="00F648FF" w:rsidRDefault="00951975" w:rsidP="00935F86">
            <w:pPr>
              <w:pStyle w:val="Sinespaciado"/>
              <w:rPr>
                <w:rFonts w:cstheme="minorHAnsi"/>
                <w:sz w:val="16"/>
                <w:szCs w:val="16"/>
              </w:rPr>
            </w:pPr>
            <w:r w:rsidRPr="00F648FF">
              <w:rPr>
                <w:rFonts w:cstheme="minorHAnsi"/>
                <w:sz w:val="16"/>
                <w:szCs w:val="16"/>
              </w:rPr>
              <w:t>-0.007</w:t>
            </w:r>
          </w:p>
        </w:tc>
      </w:tr>
    </w:tbl>
    <w:p w:rsidR="00B32695" w:rsidRDefault="00B32695" w:rsidP="00B32695">
      <w:pPr>
        <w:autoSpaceDE w:val="0"/>
        <w:autoSpaceDN w:val="0"/>
        <w:adjustRightInd w:val="0"/>
        <w:spacing w:after="0" w:line="240" w:lineRule="auto"/>
        <w:ind w:left="708" w:right="51" w:hanging="595"/>
        <w:jc w:val="both"/>
        <w:rPr>
          <w:rFonts w:asciiTheme="minorHAnsi" w:hAnsiTheme="minorHAnsi" w:cstheme="minorHAnsi"/>
          <w:sz w:val="20"/>
          <w:vertAlign w:val="superscript"/>
        </w:rPr>
      </w:pPr>
    </w:p>
    <w:p w:rsidR="009E65DA" w:rsidRPr="0066506B" w:rsidRDefault="009E65DA" w:rsidP="0066506B">
      <w:pPr>
        <w:autoSpaceDE w:val="0"/>
        <w:autoSpaceDN w:val="0"/>
        <w:adjustRightInd w:val="0"/>
        <w:ind w:left="709" w:right="51" w:hanging="596"/>
        <w:jc w:val="both"/>
        <w:rPr>
          <w:rFonts w:asciiTheme="minorHAnsi" w:hAnsiTheme="minorHAnsi" w:cstheme="minorHAnsi"/>
          <w:sz w:val="20"/>
        </w:rPr>
      </w:pPr>
      <w:r w:rsidRPr="0066506B">
        <w:rPr>
          <w:rFonts w:asciiTheme="minorHAnsi" w:hAnsiTheme="minorHAnsi" w:cstheme="minorHAnsi"/>
          <w:sz w:val="20"/>
          <w:vertAlign w:val="superscript"/>
        </w:rPr>
        <w:t>1/</w:t>
      </w:r>
      <w:r w:rsidRPr="0066506B">
        <w:rPr>
          <w:rFonts w:asciiTheme="minorHAnsi" w:hAnsiTheme="minorHAnsi" w:cstheme="minorHAnsi"/>
          <w:sz w:val="20"/>
          <w:vertAlign w:val="superscript"/>
        </w:rPr>
        <w:tab/>
      </w:r>
      <w:r w:rsidRPr="0066506B">
        <w:rPr>
          <w:rFonts w:asciiTheme="minorHAnsi" w:hAnsiTheme="minorHAnsi" w:cstheme="minorHAnsi"/>
          <w:sz w:val="20"/>
        </w:rPr>
        <w:t xml:space="preserve">La incidencia se refiere a la contribución, en puntos porcentuales, de cada componente del </w:t>
      </w:r>
      <w:proofErr w:type="spellStart"/>
      <w:r w:rsidRPr="0066506B">
        <w:rPr>
          <w:rFonts w:asciiTheme="minorHAnsi" w:hAnsiTheme="minorHAnsi" w:cstheme="minorHAnsi"/>
          <w:smallCaps/>
          <w:sz w:val="20"/>
        </w:rPr>
        <w:t>inpc</w:t>
      </w:r>
      <w:proofErr w:type="spellEnd"/>
      <w:r w:rsidRPr="0066506B">
        <w:rPr>
          <w:rFonts w:asciiTheme="minorHAnsi" w:hAnsiTheme="minorHAnsi" w:cstheme="minorHAnsi"/>
          <w:sz w:val="20"/>
        </w:rPr>
        <w:t xml:space="preserve"> a la inflación general. Esta se calcula utilizando los ponderadores de cada subíndice, así como los precios relativos y sus respectivas variaciones.</w:t>
      </w:r>
    </w:p>
    <w:p w:rsidR="009E65DA" w:rsidRPr="0066506B" w:rsidRDefault="009E65DA" w:rsidP="0066506B">
      <w:pPr>
        <w:autoSpaceDE w:val="0"/>
        <w:autoSpaceDN w:val="0"/>
        <w:adjustRightInd w:val="0"/>
        <w:ind w:left="283" w:right="51" w:hanging="170"/>
        <w:jc w:val="both"/>
        <w:rPr>
          <w:rFonts w:asciiTheme="minorHAnsi" w:hAnsiTheme="minorHAnsi" w:cstheme="minorHAnsi"/>
          <w:color w:val="000000" w:themeColor="text1"/>
          <w:sz w:val="20"/>
        </w:rPr>
      </w:pPr>
      <w:r w:rsidRPr="0066506B">
        <w:rPr>
          <w:rFonts w:asciiTheme="minorHAnsi" w:hAnsiTheme="minorHAnsi" w:cstheme="minorHAnsi"/>
          <w:color w:val="000000" w:themeColor="text1"/>
          <w:sz w:val="20"/>
        </w:rPr>
        <w:t>Fuente</w:t>
      </w:r>
      <w:r w:rsidRPr="0066506B">
        <w:rPr>
          <w:rFonts w:asciiTheme="minorHAnsi" w:hAnsiTheme="minorHAnsi" w:cstheme="minorHAnsi"/>
          <w:smallCaps/>
          <w:color w:val="000000" w:themeColor="text1"/>
          <w:sz w:val="20"/>
        </w:rPr>
        <w:t xml:space="preserve">: </w:t>
      </w:r>
      <w:proofErr w:type="spellStart"/>
      <w:r w:rsidRPr="0066506B">
        <w:rPr>
          <w:rFonts w:asciiTheme="minorHAnsi" w:hAnsiTheme="minorHAnsi" w:cstheme="minorHAnsi"/>
          <w:smallCaps/>
          <w:color w:val="000000" w:themeColor="text1"/>
          <w:sz w:val="20"/>
        </w:rPr>
        <w:t>inegi</w:t>
      </w:r>
      <w:proofErr w:type="spellEnd"/>
      <w:r w:rsidRPr="0066506B">
        <w:rPr>
          <w:rFonts w:asciiTheme="minorHAnsi" w:hAnsiTheme="minorHAnsi" w:cstheme="minorHAnsi"/>
          <w:color w:val="000000" w:themeColor="text1"/>
          <w:sz w:val="20"/>
        </w:rPr>
        <w:t xml:space="preserve">. </w:t>
      </w:r>
      <w:proofErr w:type="spellStart"/>
      <w:r w:rsidRPr="0066506B">
        <w:rPr>
          <w:rFonts w:asciiTheme="minorHAnsi" w:hAnsiTheme="minorHAnsi" w:cstheme="minorHAnsi"/>
          <w:smallCaps/>
          <w:sz w:val="20"/>
        </w:rPr>
        <w:t>inpc</w:t>
      </w:r>
      <w:proofErr w:type="spellEnd"/>
      <w:r w:rsidRPr="0066506B">
        <w:rPr>
          <w:rFonts w:asciiTheme="minorHAnsi" w:hAnsiTheme="minorHAnsi" w:cstheme="minorHAnsi"/>
          <w:sz w:val="20"/>
        </w:rPr>
        <w:t>, 2023.</w:t>
      </w:r>
      <w:r w:rsidRPr="0066506B">
        <w:rPr>
          <w:rFonts w:asciiTheme="minorHAnsi" w:hAnsiTheme="minorHAnsi" w:cstheme="minorHAnsi"/>
          <w:color w:val="000000" w:themeColor="text1"/>
          <w:sz w:val="20"/>
        </w:rPr>
        <w:t xml:space="preserve"> </w:t>
      </w:r>
    </w:p>
    <w:p w:rsidR="009E65DA" w:rsidRDefault="009E65DA" w:rsidP="0066506B">
      <w:pPr>
        <w:autoSpaceDE w:val="0"/>
        <w:autoSpaceDN w:val="0"/>
        <w:adjustRightInd w:val="0"/>
        <w:spacing w:before="240"/>
        <w:jc w:val="both"/>
        <w:rPr>
          <w:rFonts w:asciiTheme="minorHAnsi" w:hAnsiTheme="minorHAnsi" w:cstheme="minorHAnsi"/>
          <w:sz w:val="20"/>
        </w:rPr>
      </w:pPr>
      <w:r w:rsidRPr="0066506B">
        <w:rPr>
          <w:rFonts w:asciiTheme="minorHAnsi" w:hAnsiTheme="minorHAnsi" w:cstheme="minorHAnsi"/>
          <w:sz w:val="20"/>
        </w:rPr>
        <w:t xml:space="preserve">En los siguientes cuadros, se presentan las entidades federativas y ciudades en las que el </w:t>
      </w:r>
      <w:proofErr w:type="spellStart"/>
      <w:r w:rsidRPr="0066506B">
        <w:rPr>
          <w:rFonts w:asciiTheme="minorHAnsi" w:hAnsiTheme="minorHAnsi" w:cstheme="minorHAnsi"/>
          <w:smallCaps/>
          <w:sz w:val="20"/>
        </w:rPr>
        <w:t>inpc</w:t>
      </w:r>
      <w:proofErr w:type="spellEnd"/>
      <w:r w:rsidRPr="0066506B">
        <w:rPr>
          <w:rFonts w:asciiTheme="minorHAnsi" w:hAnsiTheme="minorHAnsi" w:cstheme="minorHAnsi"/>
          <w:sz w:val="20"/>
        </w:rPr>
        <w:t xml:space="preserve"> alcanzó las mayores variaciones durante diciembre de 2023.</w:t>
      </w:r>
    </w:p>
    <w:p w:rsidR="009E65DA" w:rsidRPr="009E65DA" w:rsidRDefault="009E65DA" w:rsidP="00B32695">
      <w:pPr>
        <w:autoSpaceDE w:val="0"/>
        <w:autoSpaceDN w:val="0"/>
        <w:adjustRightInd w:val="0"/>
        <w:spacing w:after="0"/>
        <w:jc w:val="center"/>
        <w:rPr>
          <w:rFonts w:asciiTheme="minorHAnsi" w:hAnsiTheme="minorHAnsi" w:cstheme="minorHAnsi"/>
          <w:b/>
          <w:bCs/>
          <w:smallCaps/>
          <w:color w:val="000000" w:themeColor="text1"/>
          <w:spacing w:val="1"/>
        </w:rPr>
      </w:pPr>
      <w:r w:rsidRPr="009E65DA">
        <w:rPr>
          <w:rFonts w:asciiTheme="minorHAnsi" w:hAnsiTheme="minorHAnsi" w:cstheme="minorHAnsi"/>
          <w:b/>
          <w:bCs/>
          <w:iCs/>
          <w:smallCaps/>
          <w:color w:val="000000" w:themeColor="text1"/>
        </w:rPr>
        <w:t>Variación</w:t>
      </w:r>
      <w:r w:rsidRPr="009E65DA">
        <w:rPr>
          <w:rFonts w:asciiTheme="minorHAnsi" w:hAnsiTheme="minorHAnsi" w:cstheme="minorHAnsi"/>
          <w:b/>
          <w:bCs/>
          <w:smallCaps/>
          <w:color w:val="000000" w:themeColor="text1"/>
          <w:spacing w:val="1"/>
        </w:rPr>
        <w:t xml:space="preserve"> del Índice Nacional de Precios al Consumidor</w:t>
      </w:r>
    </w:p>
    <w:p w:rsidR="009E65DA" w:rsidRPr="009E65DA" w:rsidRDefault="009E65DA" w:rsidP="00B32695">
      <w:pPr>
        <w:widowControl w:val="0"/>
        <w:tabs>
          <w:tab w:val="left" w:pos="1220"/>
        </w:tabs>
        <w:autoSpaceDE w:val="0"/>
        <w:autoSpaceDN w:val="0"/>
        <w:adjustRightInd w:val="0"/>
        <w:spacing w:after="0"/>
        <w:jc w:val="center"/>
        <w:rPr>
          <w:rFonts w:asciiTheme="minorHAnsi" w:hAnsiTheme="minorHAnsi" w:cstheme="minorHAnsi"/>
          <w:b/>
          <w:bCs/>
          <w:smallCaps/>
          <w:color w:val="000000" w:themeColor="text1"/>
          <w:spacing w:val="1"/>
        </w:rPr>
      </w:pPr>
      <w:r w:rsidRPr="009E65DA">
        <w:rPr>
          <w:rFonts w:asciiTheme="minorHAnsi" w:hAnsiTheme="minorHAnsi" w:cstheme="minorHAnsi"/>
          <w:b/>
          <w:bCs/>
          <w:smallCaps/>
          <w:color w:val="000000" w:themeColor="text1"/>
          <w:spacing w:val="1"/>
        </w:rPr>
        <w:t>entidades federativas con mayor variación *</w:t>
      </w:r>
    </w:p>
    <w:p w:rsidR="00B32695" w:rsidRDefault="009E65DA" w:rsidP="00B32695">
      <w:pPr>
        <w:widowControl w:val="0"/>
        <w:tabs>
          <w:tab w:val="left" w:pos="1220"/>
        </w:tabs>
        <w:autoSpaceDE w:val="0"/>
        <w:autoSpaceDN w:val="0"/>
        <w:adjustRightInd w:val="0"/>
        <w:spacing w:after="0"/>
        <w:jc w:val="center"/>
        <w:rPr>
          <w:rFonts w:asciiTheme="minorHAnsi" w:hAnsiTheme="minorHAnsi" w:cstheme="minorHAnsi"/>
          <w:b/>
          <w:bCs/>
          <w:color w:val="000000" w:themeColor="text1"/>
          <w:spacing w:val="1"/>
        </w:rPr>
      </w:pPr>
      <w:r w:rsidRPr="00935F86">
        <w:rPr>
          <w:rFonts w:asciiTheme="minorHAnsi" w:hAnsiTheme="minorHAnsi" w:cstheme="minorHAnsi"/>
          <w:b/>
          <w:bCs/>
          <w:color w:val="000000" w:themeColor="text1"/>
          <w:spacing w:val="1"/>
        </w:rPr>
        <w:t>Diciembre de 2023</w:t>
      </w:r>
    </w:p>
    <w:tbl>
      <w:tblPr>
        <w:tblW w:w="7200" w:type="dxa"/>
        <w:jc w:val="center"/>
        <w:tblCellMar>
          <w:left w:w="70" w:type="dxa"/>
          <w:right w:w="70" w:type="dxa"/>
        </w:tblCellMar>
        <w:tblLook w:val="04A0" w:firstRow="1" w:lastRow="0" w:firstColumn="1" w:lastColumn="0" w:noHBand="0" w:noVBand="1"/>
      </w:tblPr>
      <w:tblGrid>
        <w:gridCol w:w="2200"/>
        <w:gridCol w:w="1780"/>
        <w:gridCol w:w="1980"/>
        <w:gridCol w:w="1240"/>
      </w:tblGrid>
      <w:tr w:rsidR="00F648FF" w:rsidRPr="00F648FF" w:rsidTr="00F648FF">
        <w:trPr>
          <w:trHeight w:val="690"/>
          <w:jc w:val="center"/>
        </w:trPr>
        <w:tc>
          <w:tcPr>
            <w:tcW w:w="2200" w:type="dxa"/>
            <w:tcBorders>
              <w:top w:val="single" w:sz="8" w:space="0" w:color="006600"/>
              <w:left w:val="single" w:sz="8" w:space="0" w:color="006600"/>
              <w:bottom w:val="nil"/>
              <w:right w:val="nil"/>
            </w:tcBorders>
            <w:shd w:val="clear" w:color="auto" w:fill="auto"/>
            <w:vAlign w:val="center"/>
            <w:hideMark/>
          </w:tcPr>
          <w:p w:rsidR="00F648FF" w:rsidRPr="00F648FF" w:rsidRDefault="00F648FF" w:rsidP="00F648FF">
            <w:pPr>
              <w:spacing w:after="0" w:line="240" w:lineRule="auto"/>
              <w:jc w:val="center"/>
              <w:rPr>
                <w:rFonts w:eastAsia="Times New Roman" w:cs="Calibri"/>
                <w:b/>
                <w:bCs/>
                <w:color w:val="000000"/>
                <w:sz w:val="16"/>
                <w:szCs w:val="16"/>
                <w:lang w:eastAsia="es-MX"/>
              </w:rPr>
            </w:pPr>
            <w:r w:rsidRPr="00F648FF">
              <w:rPr>
                <w:rFonts w:eastAsia="Times New Roman" w:cs="Calibri"/>
                <w:b/>
                <w:bCs/>
                <w:color w:val="000000"/>
                <w:sz w:val="16"/>
                <w:szCs w:val="16"/>
                <w:lang w:eastAsia="es-MX"/>
              </w:rPr>
              <w:t xml:space="preserve">Entidades con variación por arriba del promedio nacional        </w:t>
            </w:r>
          </w:p>
        </w:tc>
        <w:tc>
          <w:tcPr>
            <w:tcW w:w="1780" w:type="dxa"/>
            <w:tcBorders>
              <w:top w:val="single" w:sz="8" w:space="0" w:color="006600"/>
              <w:left w:val="nil"/>
              <w:bottom w:val="nil"/>
              <w:right w:val="nil"/>
            </w:tcBorders>
            <w:shd w:val="clear" w:color="auto" w:fill="auto"/>
            <w:vAlign w:val="center"/>
            <w:hideMark/>
          </w:tcPr>
          <w:p w:rsidR="00F648FF" w:rsidRPr="00F648FF" w:rsidRDefault="00F648FF" w:rsidP="00F648FF">
            <w:pPr>
              <w:spacing w:after="0" w:line="240" w:lineRule="auto"/>
              <w:jc w:val="center"/>
              <w:rPr>
                <w:rFonts w:eastAsia="Times New Roman" w:cs="Calibri"/>
                <w:b/>
                <w:bCs/>
                <w:color w:val="000000"/>
                <w:sz w:val="16"/>
                <w:szCs w:val="16"/>
                <w:lang w:eastAsia="es-MX"/>
              </w:rPr>
            </w:pPr>
            <w:r w:rsidRPr="00F648FF">
              <w:rPr>
                <w:rFonts w:eastAsia="Times New Roman" w:cs="Calibri"/>
                <w:b/>
                <w:bCs/>
                <w:color w:val="000000"/>
                <w:sz w:val="16"/>
                <w:szCs w:val="16"/>
                <w:lang w:eastAsia="es-MX"/>
              </w:rPr>
              <w:t>Variación % mensual</w:t>
            </w:r>
          </w:p>
        </w:tc>
        <w:tc>
          <w:tcPr>
            <w:tcW w:w="1980" w:type="dxa"/>
            <w:tcBorders>
              <w:top w:val="single" w:sz="8" w:space="0" w:color="006600"/>
              <w:left w:val="nil"/>
              <w:bottom w:val="nil"/>
              <w:right w:val="nil"/>
            </w:tcBorders>
            <w:shd w:val="clear" w:color="auto" w:fill="auto"/>
            <w:vAlign w:val="center"/>
            <w:hideMark/>
          </w:tcPr>
          <w:p w:rsidR="00F648FF" w:rsidRPr="00F648FF" w:rsidRDefault="00F648FF" w:rsidP="00F648FF">
            <w:pPr>
              <w:spacing w:after="0" w:line="240" w:lineRule="auto"/>
              <w:jc w:val="center"/>
              <w:rPr>
                <w:rFonts w:eastAsia="Times New Roman" w:cs="Calibri"/>
                <w:b/>
                <w:bCs/>
                <w:color w:val="000000"/>
                <w:sz w:val="16"/>
                <w:szCs w:val="16"/>
                <w:lang w:eastAsia="es-MX"/>
              </w:rPr>
            </w:pPr>
            <w:r w:rsidRPr="00F648FF">
              <w:rPr>
                <w:rFonts w:eastAsia="Times New Roman" w:cs="Calibri"/>
                <w:b/>
                <w:bCs/>
                <w:color w:val="000000"/>
                <w:sz w:val="16"/>
                <w:szCs w:val="16"/>
                <w:lang w:eastAsia="es-MX"/>
              </w:rPr>
              <w:t>Entidades con variación por debajo del promedio nacional</w:t>
            </w:r>
          </w:p>
        </w:tc>
        <w:tc>
          <w:tcPr>
            <w:tcW w:w="1240" w:type="dxa"/>
            <w:tcBorders>
              <w:top w:val="single" w:sz="8" w:space="0" w:color="006600"/>
              <w:left w:val="nil"/>
              <w:bottom w:val="single" w:sz="8" w:space="0" w:color="006600"/>
              <w:right w:val="single" w:sz="8" w:space="0" w:color="006600"/>
            </w:tcBorders>
            <w:shd w:val="clear" w:color="auto" w:fill="auto"/>
            <w:vAlign w:val="center"/>
            <w:hideMark/>
          </w:tcPr>
          <w:p w:rsidR="00F648FF" w:rsidRPr="00F648FF" w:rsidRDefault="00F648FF" w:rsidP="00F648FF">
            <w:pPr>
              <w:spacing w:after="0" w:line="240" w:lineRule="auto"/>
              <w:jc w:val="center"/>
              <w:rPr>
                <w:rFonts w:eastAsia="Times New Roman" w:cs="Calibri"/>
                <w:b/>
                <w:bCs/>
                <w:color w:val="000000"/>
                <w:sz w:val="16"/>
                <w:szCs w:val="16"/>
                <w:lang w:eastAsia="es-MX"/>
              </w:rPr>
            </w:pPr>
            <w:r w:rsidRPr="00F648FF">
              <w:rPr>
                <w:rFonts w:eastAsia="Times New Roman" w:cs="Calibri"/>
                <w:b/>
                <w:bCs/>
                <w:color w:val="000000"/>
                <w:sz w:val="16"/>
                <w:szCs w:val="16"/>
                <w:lang w:eastAsia="es-MX"/>
              </w:rPr>
              <w:t>Variación % mensual</w:t>
            </w:r>
          </w:p>
        </w:tc>
      </w:tr>
      <w:tr w:rsidR="00F648FF" w:rsidRPr="00F648FF" w:rsidTr="00F648FF">
        <w:trPr>
          <w:trHeight w:val="300"/>
          <w:jc w:val="center"/>
        </w:trPr>
        <w:tc>
          <w:tcPr>
            <w:tcW w:w="2200" w:type="dxa"/>
            <w:tcBorders>
              <w:top w:val="single" w:sz="8" w:space="0" w:color="006600"/>
              <w:left w:val="single" w:sz="8" w:space="0" w:color="006600"/>
              <w:bottom w:val="dotted" w:sz="4" w:space="0" w:color="9FBE62"/>
              <w:right w:val="nil"/>
            </w:tcBorders>
            <w:shd w:val="clear" w:color="auto" w:fill="auto"/>
            <w:noWrap/>
            <w:vAlign w:val="center"/>
            <w:hideMark/>
          </w:tcPr>
          <w:p w:rsidR="00F648FF" w:rsidRPr="00F648FF" w:rsidRDefault="00F648FF" w:rsidP="00F648FF">
            <w:pPr>
              <w:spacing w:after="0" w:line="240" w:lineRule="auto"/>
              <w:rPr>
                <w:rFonts w:eastAsia="Times New Roman" w:cs="Calibri"/>
                <w:color w:val="000000"/>
                <w:sz w:val="18"/>
                <w:szCs w:val="18"/>
                <w:lang w:eastAsia="es-MX"/>
              </w:rPr>
            </w:pPr>
            <w:r w:rsidRPr="00F648FF">
              <w:rPr>
                <w:rFonts w:eastAsia="Times New Roman" w:cs="Calibri"/>
                <w:color w:val="000000"/>
                <w:sz w:val="18"/>
                <w:szCs w:val="18"/>
                <w:lang w:eastAsia="es-MX"/>
              </w:rPr>
              <w:t>Oaxaca</w:t>
            </w:r>
          </w:p>
        </w:tc>
        <w:tc>
          <w:tcPr>
            <w:tcW w:w="1780" w:type="dxa"/>
            <w:tcBorders>
              <w:top w:val="single" w:sz="8" w:space="0" w:color="006600"/>
              <w:left w:val="nil"/>
              <w:bottom w:val="dotted" w:sz="4" w:space="0" w:color="9FBE62"/>
              <w:right w:val="nil"/>
            </w:tcBorders>
            <w:shd w:val="clear" w:color="auto" w:fill="auto"/>
            <w:vAlign w:val="center"/>
            <w:hideMark/>
          </w:tcPr>
          <w:p w:rsidR="00F648FF" w:rsidRPr="00F648FF" w:rsidRDefault="00F648FF" w:rsidP="00F648FF">
            <w:pPr>
              <w:spacing w:after="0" w:line="240" w:lineRule="auto"/>
              <w:jc w:val="center"/>
              <w:rPr>
                <w:rFonts w:eastAsia="Times New Roman" w:cs="Calibri"/>
                <w:color w:val="000000"/>
                <w:sz w:val="18"/>
                <w:szCs w:val="18"/>
                <w:lang w:eastAsia="es-MX"/>
              </w:rPr>
            </w:pPr>
            <w:r w:rsidRPr="00F648FF">
              <w:rPr>
                <w:rFonts w:eastAsia="Times New Roman" w:cs="Calibri"/>
                <w:color w:val="000000"/>
                <w:sz w:val="18"/>
                <w:szCs w:val="18"/>
                <w:lang w:eastAsia="es-MX"/>
              </w:rPr>
              <w:t>1.03</w:t>
            </w:r>
          </w:p>
        </w:tc>
        <w:tc>
          <w:tcPr>
            <w:tcW w:w="1980" w:type="dxa"/>
            <w:tcBorders>
              <w:top w:val="single" w:sz="8" w:space="0" w:color="006600"/>
              <w:left w:val="nil"/>
              <w:bottom w:val="dotted" w:sz="4" w:space="0" w:color="9FBE62"/>
              <w:right w:val="nil"/>
            </w:tcBorders>
            <w:shd w:val="clear" w:color="auto" w:fill="auto"/>
            <w:noWrap/>
            <w:vAlign w:val="center"/>
            <w:hideMark/>
          </w:tcPr>
          <w:p w:rsidR="00F648FF" w:rsidRPr="00F648FF" w:rsidRDefault="00F648FF" w:rsidP="00F648FF">
            <w:pPr>
              <w:spacing w:after="0" w:line="240" w:lineRule="auto"/>
              <w:rPr>
                <w:rFonts w:eastAsia="Times New Roman" w:cs="Calibri"/>
                <w:color w:val="000000"/>
                <w:sz w:val="18"/>
                <w:szCs w:val="18"/>
                <w:lang w:eastAsia="es-MX"/>
              </w:rPr>
            </w:pPr>
            <w:r w:rsidRPr="00F648FF">
              <w:rPr>
                <w:rFonts w:eastAsia="Times New Roman" w:cs="Calibri"/>
                <w:color w:val="000000"/>
                <w:sz w:val="18"/>
                <w:szCs w:val="18"/>
                <w:lang w:eastAsia="es-MX"/>
              </w:rPr>
              <w:t>Durango</w:t>
            </w:r>
          </w:p>
        </w:tc>
        <w:tc>
          <w:tcPr>
            <w:tcW w:w="1240" w:type="dxa"/>
            <w:tcBorders>
              <w:top w:val="nil"/>
              <w:left w:val="nil"/>
              <w:bottom w:val="dotted" w:sz="4" w:space="0" w:color="9FBE62"/>
              <w:right w:val="single" w:sz="8" w:space="0" w:color="006600"/>
            </w:tcBorders>
            <w:shd w:val="clear" w:color="auto" w:fill="auto"/>
            <w:noWrap/>
            <w:vAlign w:val="center"/>
            <w:hideMark/>
          </w:tcPr>
          <w:p w:rsidR="00F648FF" w:rsidRPr="00F648FF" w:rsidRDefault="00F648FF" w:rsidP="00F648FF">
            <w:pPr>
              <w:spacing w:after="0" w:line="240" w:lineRule="auto"/>
              <w:jc w:val="right"/>
              <w:rPr>
                <w:rFonts w:eastAsia="Times New Roman" w:cs="Calibri"/>
                <w:color w:val="000000"/>
                <w:sz w:val="18"/>
                <w:szCs w:val="18"/>
                <w:lang w:eastAsia="es-MX"/>
              </w:rPr>
            </w:pPr>
            <w:r w:rsidRPr="00F648FF">
              <w:rPr>
                <w:rFonts w:eastAsia="Times New Roman" w:cs="Calibri"/>
                <w:color w:val="000000"/>
                <w:sz w:val="18"/>
                <w:szCs w:val="18"/>
                <w:lang w:eastAsia="es-MX"/>
              </w:rPr>
              <w:t>0.08</w:t>
            </w:r>
          </w:p>
        </w:tc>
      </w:tr>
      <w:tr w:rsidR="00F648FF" w:rsidRPr="00F648FF" w:rsidTr="00F648FF">
        <w:trPr>
          <w:trHeight w:val="300"/>
          <w:jc w:val="center"/>
        </w:trPr>
        <w:tc>
          <w:tcPr>
            <w:tcW w:w="2200" w:type="dxa"/>
            <w:tcBorders>
              <w:top w:val="nil"/>
              <w:left w:val="single" w:sz="8" w:space="0" w:color="006600"/>
              <w:bottom w:val="dotted" w:sz="4" w:space="0" w:color="9FBE62"/>
              <w:right w:val="nil"/>
            </w:tcBorders>
            <w:shd w:val="clear" w:color="auto" w:fill="auto"/>
            <w:noWrap/>
            <w:vAlign w:val="center"/>
            <w:hideMark/>
          </w:tcPr>
          <w:p w:rsidR="00F648FF" w:rsidRPr="00F648FF" w:rsidRDefault="00F648FF" w:rsidP="00F648FF">
            <w:pPr>
              <w:spacing w:after="0" w:line="240" w:lineRule="auto"/>
              <w:rPr>
                <w:rFonts w:eastAsia="Times New Roman" w:cs="Calibri"/>
                <w:color w:val="000000"/>
                <w:sz w:val="18"/>
                <w:szCs w:val="18"/>
                <w:lang w:eastAsia="es-MX"/>
              </w:rPr>
            </w:pPr>
            <w:r w:rsidRPr="00F648FF">
              <w:rPr>
                <w:rFonts w:eastAsia="Times New Roman" w:cs="Calibri"/>
                <w:color w:val="000000"/>
                <w:sz w:val="18"/>
                <w:szCs w:val="18"/>
                <w:lang w:eastAsia="es-MX"/>
              </w:rPr>
              <w:t>Hidalgo</w:t>
            </w:r>
          </w:p>
        </w:tc>
        <w:tc>
          <w:tcPr>
            <w:tcW w:w="1780" w:type="dxa"/>
            <w:tcBorders>
              <w:top w:val="nil"/>
              <w:left w:val="nil"/>
              <w:bottom w:val="dotted" w:sz="4" w:space="0" w:color="9FBE62"/>
              <w:right w:val="nil"/>
            </w:tcBorders>
            <w:shd w:val="clear" w:color="auto" w:fill="auto"/>
            <w:vAlign w:val="center"/>
            <w:hideMark/>
          </w:tcPr>
          <w:p w:rsidR="00F648FF" w:rsidRPr="00F648FF" w:rsidRDefault="00F648FF" w:rsidP="00F648FF">
            <w:pPr>
              <w:spacing w:after="0" w:line="240" w:lineRule="auto"/>
              <w:jc w:val="center"/>
              <w:rPr>
                <w:rFonts w:eastAsia="Times New Roman" w:cs="Calibri"/>
                <w:color w:val="000000"/>
                <w:sz w:val="18"/>
                <w:szCs w:val="18"/>
                <w:lang w:eastAsia="es-MX"/>
              </w:rPr>
            </w:pPr>
            <w:r w:rsidRPr="00F648FF">
              <w:rPr>
                <w:rFonts w:eastAsia="Times New Roman" w:cs="Calibri"/>
                <w:color w:val="000000"/>
                <w:sz w:val="18"/>
                <w:szCs w:val="18"/>
                <w:lang w:eastAsia="es-MX"/>
              </w:rPr>
              <w:t>0.99</w:t>
            </w:r>
          </w:p>
        </w:tc>
        <w:tc>
          <w:tcPr>
            <w:tcW w:w="1980" w:type="dxa"/>
            <w:tcBorders>
              <w:top w:val="nil"/>
              <w:left w:val="nil"/>
              <w:bottom w:val="dotted" w:sz="4" w:space="0" w:color="9FBE62"/>
              <w:right w:val="nil"/>
            </w:tcBorders>
            <w:shd w:val="clear" w:color="auto" w:fill="auto"/>
            <w:noWrap/>
            <w:vAlign w:val="center"/>
            <w:hideMark/>
          </w:tcPr>
          <w:p w:rsidR="00F648FF" w:rsidRPr="00F648FF" w:rsidRDefault="00F648FF" w:rsidP="00F648FF">
            <w:pPr>
              <w:spacing w:after="0" w:line="240" w:lineRule="auto"/>
              <w:rPr>
                <w:rFonts w:eastAsia="Times New Roman" w:cs="Calibri"/>
                <w:color w:val="000000"/>
                <w:sz w:val="18"/>
                <w:szCs w:val="18"/>
                <w:lang w:eastAsia="es-MX"/>
              </w:rPr>
            </w:pPr>
            <w:r w:rsidRPr="00F648FF">
              <w:rPr>
                <w:rFonts w:eastAsia="Times New Roman" w:cs="Calibri"/>
                <w:color w:val="000000"/>
                <w:sz w:val="18"/>
                <w:szCs w:val="18"/>
                <w:lang w:eastAsia="es-MX"/>
              </w:rPr>
              <w:t>Chihuahua</w:t>
            </w:r>
          </w:p>
        </w:tc>
        <w:tc>
          <w:tcPr>
            <w:tcW w:w="1240" w:type="dxa"/>
            <w:tcBorders>
              <w:top w:val="nil"/>
              <w:left w:val="nil"/>
              <w:bottom w:val="dotted" w:sz="4" w:space="0" w:color="9FBE62"/>
              <w:right w:val="single" w:sz="8" w:space="0" w:color="006600"/>
            </w:tcBorders>
            <w:shd w:val="clear" w:color="auto" w:fill="auto"/>
            <w:noWrap/>
            <w:vAlign w:val="center"/>
            <w:hideMark/>
          </w:tcPr>
          <w:p w:rsidR="00F648FF" w:rsidRPr="00F648FF" w:rsidRDefault="00F648FF" w:rsidP="00F648FF">
            <w:pPr>
              <w:spacing w:after="0" w:line="240" w:lineRule="auto"/>
              <w:jc w:val="right"/>
              <w:rPr>
                <w:rFonts w:eastAsia="Times New Roman" w:cs="Calibri"/>
                <w:color w:val="000000"/>
                <w:sz w:val="18"/>
                <w:szCs w:val="18"/>
                <w:lang w:eastAsia="es-MX"/>
              </w:rPr>
            </w:pPr>
            <w:r w:rsidRPr="00F648FF">
              <w:rPr>
                <w:rFonts w:eastAsia="Times New Roman" w:cs="Calibri"/>
                <w:color w:val="000000"/>
                <w:sz w:val="18"/>
                <w:szCs w:val="18"/>
                <w:lang w:eastAsia="es-MX"/>
              </w:rPr>
              <w:t>0.24</w:t>
            </w:r>
          </w:p>
        </w:tc>
      </w:tr>
      <w:tr w:rsidR="00F648FF" w:rsidRPr="00F648FF" w:rsidTr="00F648FF">
        <w:trPr>
          <w:trHeight w:val="300"/>
          <w:jc w:val="center"/>
        </w:trPr>
        <w:tc>
          <w:tcPr>
            <w:tcW w:w="2200" w:type="dxa"/>
            <w:tcBorders>
              <w:top w:val="nil"/>
              <w:left w:val="single" w:sz="8" w:space="0" w:color="006600"/>
              <w:bottom w:val="dotted" w:sz="4" w:space="0" w:color="9FBE62"/>
              <w:right w:val="nil"/>
            </w:tcBorders>
            <w:shd w:val="clear" w:color="auto" w:fill="auto"/>
            <w:noWrap/>
            <w:vAlign w:val="center"/>
            <w:hideMark/>
          </w:tcPr>
          <w:p w:rsidR="00F648FF" w:rsidRPr="00F648FF" w:rsidRDefault="00F648FF" w:rsidP="00F648FF">
            <w:pPr>
              <w:spacing w:after="0" w:line="240" w:lineRule="auto"/>
              <w:rPr>
                <w:rFonts w:eastAsia="Times New Roman" w:cs="Calibri"/>
                <w:color w:val="000000"/>
                <w:sz w:val="18"/>
                <w:szCs w:val="18"/>
                <w:lang w:eastAsia="es-MX"/>
              </w:rPr>
            </w:pPr>
            <w:r w:rsidRPr="00F648FF">
              <w:rPr>
                <w:rFonts w:eastAsia="Times New Roman" w:cs="Calibri"/>
                <w:color w:val="000000"/>
                <w:sz w:val="18"/>
                <w:szCs w:val="18"/>
                <w:lang w:eastAsia="es-MX"/>
              </w:rPr>
              <w:t>Yucatán</w:t>
            </w:r>
          </w:p>
        </w:tc>
        <w:tc>
          <w:tcPr>
            <w:tcW w:w="1780" w:type="dxa"/>
            <w:tcBorders>
              <w:top w:val="nil"/>
              <w:left w:val="nil"/>
              <w:bottom w:val="dotted" w:sz="4" w:space="0" w:color="9FBE62"/>
              <w:right w:val="nil"/>
            </w:tcBorders>
            <w:shd w:val="clear" w:color="auto" w:fill="auto"/>
            <w:vAlign w:val="center"/>
            <w:hideMark/>
          </w:tcPr>
          <w:p w:rsidR="00F648FF" w:rsidRPr="00F648FF" w:rsidRDefault="00F648FF" w:rsidP="00F648FF">
            <w:pPr>
              <w:spacing w:after="0" w:line="240" w:lineRule="auto"/>
              <w:jc w:val="center"/>
              <w:rPr>
                <w:rFonts w:eastAsia="Times New Roman" w:cs="Calibri"/>
                <w:color w:val="000000"/>
                <w:sz w:val="18"/>
                <w:szCs w:val="18"/>
                <w:lang w:eastAsia="es-MX"/>
              </w:rPr>
            </w:pPr>
            <w:r w:rsidRPr="00F648FF">
              <w:rPr>
                <w:rFonts w:eastAsia="Times New Roman" w:cs="Calibri"/>
                <w:color w:val="000000"/>
                <w:sz w:val="18"/>
                <w:szCs w:val="18"/>
                <w:lang w:eastAsia="es-MX"/>
              </w:rPr>
              <w:t>0.96</w:t>
            </w:r>
          </w:p>
        </w:tc>
        <w:tc>
          <w:tcPr>
            <w:tcW w:w="1980" w:type="dxa"/>
            <w:tcBorders>
              <w:top w:val="nil"/>
              <w:left w:val="nil"/>
              <w:bottom w:val="dotted" w:sz="4" w:space="0" w:color="9FBE62"/>
              <w:right w:val="nil"/>
            </w:tcBorders>
            <w:shd w:val="clear" w:color="auto" w:fill="auto"/>
            <w:noWrap/>
            <w:vAlign w:val="center"/>
            <w:hideMark/>
          </w:tcPr>
          <w:p w:rsidR="00F648FF" w:rsidRPr="00F648FF" w:rsidRDefault="00F648FF" w:rsidP="00F648FF">
            <w:pPr>
              <w:spacing w:after="0" w:line="240" w:lineRule="auto"/>
              <w:rPr>
                <w:rFonts w:eastAsia="Times New Roman" w:cs="Calibri"/>
                <w:color w:val="000000"/>
                <w:sz w:val="18"/>
                <w:szCs w:val="18"/>
                <w:lang w:eastAsia="es-MX"/>
              </w:rPr>
            </w:pPr>
            <w:r w:rsidRPr="00F648FF">
              <w:rPr>
                <w:rFonts w:eastAsia="Times New Roman" w:cs="Calibri"/>
                <w:color w:val="000000"/>
                <w:sz w:val="18"/>
                <w:szCs w:val="18"/>
                <w:lang w:eastAsia="es-MX"/>
              </w:rPr>
              <w:t>Tabasco</w:t>
            </w:r>
          </w:p>
        </w:tc>
        <w:tc>
          <w:tcPr>
            <w:tcW w:w="1240" w:type="dxa"/>
            <w:tcBorders>
              <w:top w:val="nil"/>
              <w:left w:val="nil"/>
              <w:bottom w:val="dotted" w:sz="4" w:space="0" w:color="9FBE62"/>
              <w:right w:val="single" w:sz="8" w:space="0" w:color="006600"/>
            </w:tcBorders>
            <w:shd w:val="clear" w:color="auto" w:fill="auto"/>
            <w:noWrap/>
            <w:vAlign w:val="center"/>
            <w:hideMark/>
          </w:tcPr>
          <w:p w:rsidR="00F648FF" w:rsidRPr="00F648FF" w:rsidRDefault="00F648FF" w:rsidP="00F648FF">
            <w:pPr>
              <w:spacing w:after="0" w:line="240" w:lineRule="auto"/>
              <w:jc w:val="right"/>
              <w:rPr>
                <w:rFonts w:eastAsia="Times New Roman" w:cs="Calibri"/>
                <w:color w:val="000000"/>
                <w:sz w:val="18"/>
                <w:szCs w:val="18"/>
                <w:lang w:eastAsia="es-MX"/>
              </w:rPr>
            </w:pPr>
            <w:r w:rsidRPr="00F648FF">
              <w:rPr>
                <w:rFonts w:eastAsia="Times New Roman" w:cs="Calibri"/>
                <w:color w:val="000000"/>
                <w:sz w:val="18"/>
                <w:szCs w:val="18"/>
                <w:lang w:eastAsia="es-MX"/>
              </w:rPr>
              <w:t>0.32</w:t>
            </w:r>
          </w:p>
        </w:tc>
      </w:tr>
      <w:tr w:rsidR="00F648FF" w:rsidRPr="00F648FF" w:rsidTr="00F648FF">
        <w:trPr>
          <w:trHeight w:val="300"/>
          <w:jc w:val="center"/>
        </w:trPr>
        <w:tc>
          <w:tcPr>
            <w:tcW w:w="2200" w:type="dxa"/>
            <w:tcBorders>
              <w:top w:val="nil"/>
              <w:left w:val="single" w:sz="8" w:space="0" w:color="006600"/>
              <w:bottom w:val="dotted" w:sz="4" w:space="0" w:color="9FBE62"/>
              <w:right w:val="nil"/>
            </w:tcBorders>
            <w:shd w:val="clear" w:color="auto" w:fill="auto"/>
            <w:noWrap/>
            <w:vAlign w:val="center"/>
            <w:hideMark/>
          </w:tcPr>
          <w:p w:rsidR="00F648FF" w:rsidRPr="00F648FF" w:rsidRDefault="00F648FF" w:rsidP="00F648FF">
            <w:pPr>
              <w:spacing w:after="0" w:line="240" w:lineRule="auto"/>
              <w:rPr>
                <w:rFonts w:eastAsia="Times New Roman" w:cs="Calibri"/>
                <w:color w:val="000000"/>
                <w:sz w:val="18"/>
                <w:szCs w:val="18"/>
                <w:lang w:eastAsia="es-MX"/>
              </w:rPr>
            </w:pPr>
            <w:r w:rsidRPr="00F648FF">
              <w:rPr>
                <w:rFonts w:eastAsia="Times New Roman" w:cs="Calibri"/>
                <w:color w:val="000000"/>
                <w:sz w:val="18"/>
                <w:szCs w:val="18"/>
                <w:lang w:eastAsia="es-MX"/>
              </w:rPr>
              <w:t>Ciudad de México</w:t>
            </w:r>
          </w:p>
        </w:tc>
        <w:tc>
          <w:tcPr>
            <w:tcW w:w="1780" w:type="dxa"/>
            <w:tcBorders>
              <w:top w:val="nil"/>
              <w:left w:val="nil"/>
              <w:bottom w:val="dotted" w:sz="4" w:space="0" w:color="9FBE62"/>
              <w:right w:val="nil"/>
            </w:tcBorders>
            <w:shd w:val="clear" w:color="auto" w:fill="auto"/>
            <w:vAlign w:val="center"/>
            <w:hideMark/>
          </w:tcPr>
          <w:p w:rsidR="00F648FF" w:rsidRPr="00F648FF" w:rsidRDefault="00F648FF" w:rsidP="00F648FF">
            <w:pPr>
              <w:spacing w:after="0" w:line="240" w:lineRule="auto"/>
              <w:jc w:val="center"/>
              <w:rPr>
                <w:rFonts w:eastAsia="Times New Roman" w:cs="Calibri"/>
                <w:color w:val="000000"/>
                <w:sz w:val="18"/>
                <w:szCs w:val="18"/>
                <w:lang w:eastAsia="es-MX"/>
              </w:rPr>
            </w:pPr>
            <w:r w:rsidRPr="00F648FF">
              <w:rPr>
                <w:rFonts w:eastAsia="Times New Roman" w:cs="Calibri"/>
                <w:color w:val="000000"/>
                <w:sz w:val="18"/>
                <w:szCs w:val="18"/>
                <w:lang w:eastAsia="es-MX"/>
              </w:rPr>
              <w:t>0.95</w:t>
            </w:r>
          </w:p>
        </w:tc>
        <w:tc>
          <w:tcPr>
            <w:tcW w:w="1980" w:type="dxa"/>
            <w:tcBorders>
              <w:top w:val="nil"/>
              <w:left w:val="nil"/>
              <w:bottom w:val="dotted" w:sz="4" w:space="0" w:color="9FBE62"/>
              <w:right w:val="nil"/>
            </w:tcBorders>
            <w:shd w:val="clear" w:color="auto" w:fill="auto"/>
            <w:noWrap/>
            <w:vAlign w:val="center"/>
            <w:hideMark/>
          </w:tcPr>
          <w:p w:rsidR="00F648FF" w:rsidRPr="00F648FF" w:rsidRDefault="00F648FF" w:rsidP="00F648FF">
            <w:pPr>
              <w:spacing w:after="0" w:line="240" w:lineRule="auto"/>
              <w:rPr>
                <w:rFonts w:eastAsia="Times New Roman" w:cs="Calibri"/>
                <w:color w:val="000000"/>
                <w:sz w:val="18"/>
                <w:szCs w:val="18"/>
                <w:lang w:eastAsia="es-MX"/>
              </w:rPr>
            </w:pPr>
            <w:r w:rsidRPr="00F648FF">
              <w:rPr>
                <w:rFonts w:eastAsia="Times New Roman" w:cs="Calibri"/>
                <w:color w:val="000000"/>
                <w:sz w:val="18"/>
                <w:szCs w:val="18"/>
                <w:lang w:eastAsia="es-MX"/>
              </w:rPr>
              <w:t>Baja California</w:t>
            </w:r>
          </w:p>
        </w:tc>
        <w:tc>
          <w:tcPr>
            <w:tcW w:w="1240" w:type="dxa"/>
            <w:tcBorders>
              <w:top w:val="nil"/>
              <w:left w:val="nil"/>
              <w:bottom w:val="dotted" w:sz="4" w:space="0" w:color="9FBE62"/>
              <w:right w:val="single" w:sz="8" w:space="0" w:color="006600"/>
            </w:tcBorders>
            <w:shd w:val="clear" w:color="auto" w:fill="auto"/>
            <w:noWrap/>
            <w:vAlign w:val="center"/>
            <w:hideMark/>
          </w:tcPr>
          <w:p w:rsidR="00F648FF" w:rsidRPr="00F648FF" w:rsidRDefault="00F648FF" w:rsidP="00F648FF">
            <w:pPr>
              <w:spacing w:after="0" w:line="240" w:lineRule="auto"/>
              <w:jc w:val="right"/>
              <w:rPr>
                <w:rFonts w:eastAsia="Times New Roman" w:cs="Calibri"/>
                <w:color w:val="000000"/>
                <w:sz w:val="18"/>
                <w:szCs w:val="18"/>
                <w:lang w:eastAsia="es-MX"/>
              </w:rPr>
            </w:pPr>
            <w:r w:rsidRPr="00F648FF">
              <w:rPr>
                <w:rFonts w:eastAsia="Times New Roman" w:cs="Calibri"/>
                <w:color w:val="000000"/>
                <w:sz w:val="18"/>
                <w:szCs w:val="18"/>
                <w:lang w:eastAsia="es-MX"/>
              </w:rPr>
              <w:t>0.32</w:t>
            </w:r>
          </w:p>
        </w:tc>
      </w:tr>
      <w:tr w:rsidR="00F648FF" w:rsidRPr="00F648FF" w:rsidTr="00F648FF">
        <w:trPr>
          <w:trHeight w:val="315"/>
          <w:jc w:val="center"/>
        </w:trPr>
        <w:tc>
          <w:tcPr>
            <w:tcW w:w="2200" w:type="dxa"/>
            <w:tcBorders>
              <w:top w:val="nil"/>
              <w:left w:val="single" w:sz="8" w:space="0" w:color="006600"/>
              <w:bottom w:val="single" w:sz="8" w:space="0" w:color="006600"/>
              <w:right w:val="nil"/>
            </w:tcBorders>
            <w:shd w:val="clear" w:color="auto" w:fill="auto"/>
            <w:noWrap/>
            <w:vAlign w:val="center"/>
            <w:hideMark/>
          </w:tcPr>
          <w:p w:rsidR="00F648FF" w:rsidRPr="00F648FF" w:rsidRDefault="00F648FF" w:rsidP="00F648FF">
            <w:pPr>
              <w:spacing w:after="0" w:line="240" w:lineRule="auto"/>
              <w:rPr>
                <w:rFonts w:eastAsia="Times New Roman" w:cs="Calibri"/>
                <w:color w:val="000000"/>
                <w:sz w:val="18"/>
                <w:szCs w:val="18"/>
                <w:lang w:eastAsia="es-MX"/>
              </w:rPr>
            </w:pPr>
            <w:r w:rsidRPr="00F648FF">
              <w:rPr>
                <w:rFonts w:eastAsia="Times New Roman" w:cs="Calibri"/>
                <w:color w:val="000000"/>
                <w:sz w:val="18"/>
                <w:szCs w:val="18"/>
                <w:lang w:eastAsia="es-MX"/>
              </w:rPr>
              <w:t>Tlaxcala</w:t>
            </w:r>
          </w:p>
        </w:tc>
        <w:tc>
          <w:tcPr>
            <w:tcW w:w="1780" w:type="dxa"/>
            <w:tcBorders>
              <w:top w:val="nil"/>
              <w:left w:val="nil"/>
              <w:bottom w:val="single" w:sz="8" w:space="0" w:color="006600"/>
              <w:right w:val="nil"/>
            </w:tcBorders>
            <w:shd w:val="clear" w:color="auto" w:fill="auto"/>
            <w:vAlign w:val="center"/>
            <w:hideMark/>
          </w:tcPr>
          <w:p w:rsidR="00F648FF" w:rsidRPr="00F648FF" w:rsidRDefault="00F648FF" w:rsidP="00F648FF">
            <w:pPr>
              <w:spacing w:after="0" w:line="240" w:lineRule="auto"/>
              <w:jc w:val="center"/>
              <w:rPr>
                <w:rFonts w:eastAsia="Times New Roman" w:cs="Calibri"/>
                <w:color w:val="000000"/>
                <w:sz w:val="18"/>
                <w:szCs w:val="18"/>
                <w:lang w:eastAsia="es-MX"/>
              </w:rPr>
            </w:pPr>
            <w:r w:rsidRPr="00F648FF">
              <w:rPr>
                <w:rFonts w:eastAsia="Times New Roman" w:cs="Calibri"/>
                <w:color w:val="000000"/>
                <w:sz w:val="18"/>
                <w:szCs w:val="18"/>
                <w:lang w:eastAsia="es-MX"/>
              </w:rPr>
              <w:t>0.91</w:t>
            </w:r>
          </w:p>
        </w:tc>
        <w:tc>
          <w:tcPr>
            <w:tcW w:w="1980" w:type="dxa"/>
            <w:tcBorders>
              <w:top w:val="nil"/>
              <w:left w:val="nil"/>
              <w:bottom w:val="single" w:sz="8" w:space="0" w:color="006600"/>
              <w:right w:val="nil"/>
            </w:tcBorders>
            <w:shd w:val="clear" w:color="auto" w:fill="auto"/>
            <w:noWrap/>
            <w:vAlign w:val="center"/>
            <w:hideMark/>
          </w:tcPr>
          <w:p w:rsidR="00F648FF" w:rsidRPr="00F648FF" w:rsidRDefault="00F648FF" w:rsidP="00F648FF">
            <w:pPr>
              <w:spacing w:after="0" w:line="240" w:lineRule="auto"/>
              <w:rPr>
                <w:rFonts w:eastAsia="Times New Roman" w:cs="Calibri"/>
                <w:color w:val="000000"/>
                <w:sz w:val="18"/>
                <w:szCs w:val="18"/>
                <w:lang w:eastAsia="es-MX"/>
              </w:rPr>
            </w:pPr>
            <w:r w:rsidRPr="00F648FF">
              <w:rPr>
                <w:rFonts w:eastAsia="Times New Roman" w:cs="Calibri"/>
                <w:color w:val="000000"/>
                <w:sz w:val="18"/>
                <w:szCs w:val="18"/>
                <w:lang w:eastAsia="es-MX"/>
              </w:rPr>
              <w:t>Jalisco</w:t>
            </w:r>
          </w:p>
        </w:tc>
        <w:tc>
          <w:tcPr>
            <w:tcW w:w="1240" w:type="dxa"/>
            <w:tcBorders>
              <w:top w:val="nil"/>
              <w:left w:val="nil"/>
              <w:bottom w:val="single" w:sz="8" w:space="0" w:color="006600"/>
              <w:right w:val="single" w:sz="8" w:space="0" w:color="006600"/>
            </w:tcBorders>
            <w:shd w:val="clear" w:color="auto" w:fill="auto"/>
            <w:noWrap/>
            <w:vAlign w:val="center"/>
            <w:hideMark/>
          </w:tcPr>
          <w:p w:rsidR="00F648FF" w:rsidRPr="00F648FF" w:rsidRDefault="00F648FF" w:rsidP="00F648FF">
            <w:pPr>
              <w:spacing w:after="0" w:line="240" w:lineRule="auto"/>
              <w:jc w:val="right"/>
              <w:rPr>
                <w:rFonts w:eastAsia="Times New Roman" w:cs="Calibri"/>
                <w:color w:val="000000"/>
                <w:sz w:val="18"/>
                <w:szCs w:val="18"/>
                <w:lang w:eastAsia="es-MX"/>
              </w:rPr>
            </w:pPr>
            <w:r w:rsidRPr="00F648FF">
              <w:rPr>
                <w:rFonts w:eastAsia="Times New Roman" w:cs="Calibri"/>
                <w:color w:val="000000"/>
                <w:sz w:val="18"/>
                <w:szCs w:val="18"/>
                <w:lang w:eastAsia="es-MX"/>
              </w:rPr>
              <w:t>0.36</w:t>
            </w:r>
          </w:p>
        </w:tc>
      </w:tr>
    </w:tbl>
    <w:p w:rsidR="00935F86" w:rsidRDefault="00935F86" w:rsidP="00935F86">
      <w:pPr>
        <w:autoSpaceDE w:val="0"/>
        <w:autoSpaceDN w:val="0"/>
        <w:adjustRightInd w:val="0"/>
        <w:spacing w:after="0"/>
        <w:ind w:left="709" w:right="113" w:hanging="596"/>
        <w:rPr>
          <w:rStyle w:val="Hipervnculo"/>
          <w:rFonts w:asciiTheme="minorHAnsi" w:hAnsiTheme="minorHAnsi" w:cstheme="minorHAnsi"/>
          <w:sz w:val="18"/>
          <w:u w:val="none"/>
        </w:rPr>
      </w:pPr>
    </w:p>
    <w:p w:rsidR="009E65DA" w:rsidRPr="00935F86" w:rsidRDefault="009E65DA" w:rsidP="00935F86">
      <w:pPr>
        <w:autoSpaceDE w:val="0"/>
        <w:autoSpaceDN w:val="0"/>
        <w:adjustRightInd w:val="0"/>
        <w:spacing w:after="0"/>
        <w:ind w:left="709" w:right="113" w:hanging="596"/>
        <w:rPr>
          <w:rStyle w:val="Hipervnculo"/>
          <w:rFonts w:asciiTheme="minorHAnsi" w:hAnsiTheme="minorHAnsi" w:cstheme="minorHAnsi"/>
          <w:sz w:val="18"/>
          <w:u w:val="none"/>
        </w:rPr>
      </w:pPr>
      <w:r w:rsidRPr="00935F86">
        <w:rPr>
          <w:rStyle w:val="Hipervnculo"/>
          <w:rFonts w:asciiTheme="minorHAnsi" w:hAnsiTheme="minorHAnsi" w:cstheme="minorHAnsi"/>
          <w:sz w:val="18"/>
          <w:u w:val="none"/>
        </w:rPr>
        <w:t>*</w:t>
      </w:r>
      <w:r w:rsidRPr="00935F86">
        <w:rPr>
          <w:rStyle w:val="Hipervnculo"/>
          <w:rFonts w:asciiTheme="minorHAnsi" w:hAnsiTheme="minorHAnsi" w:cstheme="minorHAnsi"/>
          <w:sz w:val="18"/>
          <w:u w:val="none"/>
        </w:rPr>
        <w:tab/>
        <w:t xml:space="preserve">Las desagregaciones del </w:t>
      </w:r>
      <w:proofErr w:type="spellStart"/>
      <w:r w:rsidRPr="00935F86">
        <w:rPr>
          <w:rStyle w:val="Hipervnculo"/>
          <w:rFonts w:asciiTheme="minorHAnsi" w:hAnsiTheme="minorHAnsi" w:cstheme="minorHAnsi"/>
          <w:smallCaps/>
          <w:sz w:val="18"/>
          <w:u w:val="none"/>
        </w:rPr>
        <w:t>inpc</w:t>
      </w:r>
      <w:proofErr w:type="spellEnd"/>
      <w:r w:rsidRPr="00935F86">
        <w:rPr>
          <w:rStyle w:val="Hipervnculo"/>
          <w:rFonts w:asciiTheme="minorHAnsi" w:hAnsiTheme="minorHAnsi" w:cstheme="minorHAnsi"/>
          <w:sz w:val="18"/>
          <w:u w:val="none"/>
        </w:rPr>
        <w:t xml:space="preserve"> solo tienen valor informativo.</w:t>
      </w:r>
    </w:p>
    <w:p w:rsidR="009E65DA" w:rsidRPr="005F31A4" w:rsidRDefault="009E65DA" w:rsidP="00935F86">
      <w:pPr>
        <w:autoSpaceDE w:val="0"/>
        <w:autoSpaceDN w:val="0"/>
        <w:adjustRightInd w:val="0"/>
        <w:spacing w:after="0"/>
        <w:ind w:left="283" w:right="113" w:hanging="170"/>
        <w:rPr>
          <w:rFonts w:asciiTheme="minorHAnsi" w:hAnsiTheme="minorHAnsi" w:cstheme="minorHAnsi"/>
          <w:color w:val="000000" w:themeColor="text1"/>
          <w:sz w:val="20"/>
        </w:rPr>
      </w:pPr>
      <w:r w:rsidRPr="005F31A4">
        <w:rPr>
          <w:rFonts w:asciiTheme="minorHAnsi" w:hAnsiTheme="minorHAnsi" w:cstheme="minorHAnsi"/>
          <w:color w:val="000000" w:themeColor="text1"/>
          <w:sz w:val="20"/>
        </w:rPr>
        <w:t xml:space="preserve">Fuente: </w:t>
      </w:r>
      <w:proofErr w:type="spellStart"/>
      <w:r w:rsidRPr="005F31A4">
        <w:rPr>
          <w:rFonts w:asciiTheme="minorHAnsi" w:hAnsiTheme="minorHAnsi" w:cstheme="minorHAnsi"/>
          <w:smallCaps/>
          <w:color w:val="000000" w:themeColor="text1"/>
          <w:sz w:val="20"/>
        </w:rPr>
        <w:t>inegi</w:t>
      </w:r>
      <w:proofErr w:type="spellEnd"/>
      <w:r w:rsidRPr="005F31A4">
        <w:rPr>
          <w:rFonts w:asciiTheme="minorHAnsi" w:hAnsiTheme="minorHAnsi" w:cstheme="minorHAnsi"/>
          <w:smallCaps/>
          <w:color w:val="000000" w:themeColor="text1"/>
          <w:sz w:val="20"/>
        </w:rPr>
        <w:t>.</w:t>
      </w:r>
      <w:r w:rsidRPr="005F31A4">
        <w:rPr>
          <w:rFonts w:asciiTheme="minorHAnsi" w:hAnsiTheme="minorHAnsi" w:cstheme="minorHAnsi"/>
          <w:color w:val="000000" w:themeColor="text1"/>
          <w:sz w:val="20"/>
        </w:rPr>
        <w:t xml:space="preserve"> </w:t>
      </w:r>
      <w:proofErr w:type="spellStart"/>
      <w:r w:rsidRPr="005F31A4">
        <w:rPr>
          <w:rFonts w:asciiTheme="minorHAnsi" w:hAnsiTheme="minorHAnsi" w:cstheme="minorHAnsi"/>
          <w:smallCaps/>
          <w:sz w:val="20"/>
        </w:rPr>
        <w:t>inpc</w:t>
      </w:r>
      <w:proofErr w:type="spellEnd"/>
      <w:r w:rsidRPr="005F31A4">
        <w:rPr>
          <w:rFonts w:asciiTheme="minorHAnsi" w:hAnsiTheme="minorHAnsi" w:cstheme="minorHAnsi"/>
          <w:sz w:val="20"/>
        </w:rPr>
        <w:t>, 2023.</w:t>
      </w:r>
    </w:p>
    <w:p w:rsidR="00935F86" w:rsidRPr="00935F86" w:rsidRDefault="00935F86" w:rsidP="00935F86">
      <w:pPr>
        <w:spacing w:after="0"/>
        <w:rPr>
          <w:sz w:val="14"/>
        </w:rPr>
      </w:pPr>
    </w:p>
    <w:p w:rsidR="009E65DA" w:rsidRPr="005F31A4" w:rsidRDefault="00FE223F" w:rsidP="00935F86">
      <w:pPr>
        <w:spacing w:after="0"/>
        <w:rPr>
          <w:rFonts w:asciiTheme="minorHAnsi" w:hAnsiTheme="minorHAnsi" w:cstheme="minorHAnsi"/>
          <w:bCs/>
          <w:sz w:val="20"/>
        </w:rPr>
      </w:pPr>
      <w:hyperlink r:id="rId13" w:history="1">
        <w:r w:rsidR="009E65DA" w:rsidRPr="005F31A4">
          <w:rPr>
            <w:rStyle w:val="Hipervnculo"/>
            <w:rFonts w:asciiTheme="minorHAnsi" w:hAnsiTheme="minorHAnsi" w:cstheme="minorHAnsi"/>
            <w:bCs/>
            <w:sz w:val="20"/>
          </w:rPr>
          <w:t>https://www.inegi.org.mx/app/saladeprensa/noticia.html?id=8753</w:t>
        </w:r>
      </w:hyperlink>
    </w:p>
    <w:p w:rsidR="009E65DA" w:rsidRPr="005F31A4" w:rsidRDefault="009E65DA" w:rsidP="00935F86">
      <w:pPr>
        <w:pStyle w:val="NormalWeb"/>
        <w:spacing w:before="0" w:beforeAutospacing="0" w:after="0" w:afterAutospacing="0"/>
        <w:jc w:val="both"/>
        <w:rPr>
          <w:rFonts w:asciiTheme="minorHAnsi" w:hAnsiTheme="minorHAnsi" w:cstheme="minorHAnsi"/>
          <w:b/>
          <w:sz w:val="22"/>
        </w:rPr>
      </w:pPr>
      <w:r w:rsidRPr="005F31A4">
        <w:rPr>
          <w:rFonts w:asciiTheme="minorHAnsi" w:hAnsiTheme="minorHAnsi" w:cstheme="minorHAnsi"/>
          <w:b/>
          <w:sz w:val="22"/>
        </w:rPr>
        <w:lastRenderedPageBreak/>
        <w:t>1.2.5.- Precio de la Mezcla Mexicana de Exportación de Petróleo.</w:t>
      </w:r>
    </w:p>
    <w:p w:rsidR="009E65DA" w:rsidRPr="005F31A4" w:rsidRDefault="009E65DA" w:rsidP="001457BE">
      <w:pPr>
        <w:spacing w:before="100" w:beforeAutospacing="1" w:after="100" w:afterAutospacing="1" w:line="240" w:lineRule="auto"/>
        <w:jc w:val="both"/>
        <w:rPr>
          <w:rFonts w:asciiTheme="minorHAnsi" w:hAnsiTheme="minorHAnsi" w:cstheme="minorHAnsi"/>
          <w:bCs/>
          <w:sz w:val="20"/>
        </w:rPr>
      </w:pPr>
      <w:r w:rsidRPr="005F31A4">
        <w:rPr>
          <w:rFonts w:asciiTheme="minorHAnsi" w:hAnsiTheme="minorHAnsi" w:cstheme="minorHAnsi"/>
          <w:bCs/>
          <w:sz w:val="20"/>
        </w:rPr>
        <w:t>La mezcla mexicana de petróleo alcanzó un precio máximo durante la segunda quincena de diciembre de 2023 de 71.28 dólares por barril este 26 de diciembre de 2023, de acuerdo con la información actualizada diariamente en la página web oficial de Petróleos Mexicanos (Pemex).</w:t>
      </w:r>
    </w:p>
    <w:p w:rsidR="009E65DA" w:rsidRPr="005F31A4" w:rsidRDefault="009E65DA" w:rsidP="001457BE">
      <w:pPr>
        <w:spacing w:before="100" w:beforeAutospacing="1" w:after="100" w:afterAutospacing="1" w:line="240" w:lineRule="auto"/>
        <w:jc w:val="both"/>
        <w:rPr>
          <w:rFonts w:asciiTheme="minorHAnsi" w:hAnsiTheme="minorHAnsi" w:cstheme="minorHAnsi"/>
          <w:bCs/>
          <w:sz w:val="20"/>
        </w:rPr>
      </w:pPr>
      <w:r w:rsidRPr="005F31A4">
        <w:rPr>
          <w:rFonts w:asciiTheme="minorHAnsi" w:hAnsiTheme="minorHAnsi" w:cstheme="minorHAnsi"/>
          <w:bCs/>
          <w:sz w:val="20"/>
        </w:rPr>
        <w:t>El precio promedio de la mezcla mexicana de petróleo en la segunda quincena de diciembre de 2023 fue de 69.52, lo que significa una ganancia de 0.82 dólares por barril, ello conforme a lo presupuestado en los CGPE 2023, que fue de 68.7 dólares por barril.</w:t>
      </w:r>
    </w:p>
    <w:p w:rsidR="009E65DA" w:rsidRPr="005F31A4" w:rsidRDefault="009E65DA" w:rsidP="001457BE">
      <w:pPr>
        <w:spacing w:before="100" w:beforeAutospacing="1" w:after="100" w:afterAutospacing="1" w:line="240" w:lineRule="auto"/>
        <w:jc w:val="both"/>
        <w:rPr>
          <w:rFonts w:asciiTheme="minorHAnsi" w:hAnsiTheme="minorHAnsi" w:cstheme="minorHAnsi"/>
          <w:b/>
          <w:szCs w:val="24"/>
        </w:rPr>
      </w:pPr>
      <w:r w:rsidRPr="005F31A4">
        <w:rPr>
          <w:rFonts w:asciiTheme="minorHAnsi" w:hAnsiTheme="minorHAnsi" w:cstheme="minorHAnsi"/>
          <w:b/>
          <w:szCs w:val="24"/>
        </w:rPr>
        <w:t>Tipos de crudo en México</w:t>
      </w:r>
    </w:p>
    <w:p w:rsidR="009E65DA" w:rsidRPr="005F31A4" w:rsidRDefault="009E65DA" w:rsidP="001457BE">
      <w:pPr>
        <w:spacing w:before="100" w:beforeAutospacing="1" w:after="100" w:afterAutospacing="1" w:line="240" w:lineRule="auto"/>
        <w:jc w:val="both"/>
        <w:rPr>
          <w:rFonts w:asciiTheme="minorHAnsi" w:hAnsiTheme="minorHAnsi" w:cstheme="minorHAnsi"/>
          <w:bCs/>
          <w:sz w:val="20"/>
        </w:rPr>
      </w:pPr>
      <w:r w:rsidRPr="005F31A4">
        <w:rPr>
          <w:rFonts w:asciiTheme="minorHAnsi" w:hAnsiTheme="minorHAnsi" w:cstheme="minorHAnsi"/>
          <w:bCs/>
          <w:sz w:val="20"/>
        </w:rPr>
        <w:t xml:space="preserve">De acuerdo con indicadores de Pemex, de la producción petrolera en el país, el 54% es considerada como crudo pesado (Maya), el 33% como ligero (Istmo) y el 12% restante corresponde a crudo </w:t>
      </w:r>
      <w:proofErr w:type="spellStart"/>
      <w:r w:rsidRPr="005F31A4">
        <w:rPr>
          <w:rFonts w:asciiTheme="minorHAnsi" w:hAnsiTheme="minorHAnsi" w:cstheme="minorHAnsi"/>
          <w:bCs/>
          <w:sz w:val="20"/>
        </w:rPr>
        <w:t>superligero</w:t>
      </w:r>
      <w:proofErr w:type="spellEnd"/>
      <w:r w:rsidRPr="005F31A4">
        <w:rPr>
          <w:rFonts w:asciiTheme="minorHAnsi" w:hAnsiTheme="minorHAnsi" w:cstheme="minorHAnsi"/>
          <w:bCs/>
          <w:sz w:val="20"/>
        </w:rPr>
        <w:t xml:space="preserve"> (Olmeca).</w:t>
      </w:r>
    </w:p>
    <w:p w:rsidR="009E65DA" w:rsidRPr="005F31A4" w:rsidRDefault="009E65DA" w:rsidP="001457BE">
      <w:pPr>
        <w:spacing w:before="100" w:beforeAutospacing="1" w:after="100" w:afterAutospacing="1" w:line="240" w:lineRule="auto"/>
        <w:jc w:val="both"/>
        <w:rPr>
          <w:rFonts w:asciiTheme="minorHAnsi" w:hAnsiTheme="minorHAnsi" w:cstheme="minorHAnsi"/>
          <w:bCs/>
          <w:sz w:val="20"/>
        </w:rPr>
      </w:pPr>
      <w:r w:rsidRPr="005F31A4">
        <w:rPr>
          <w:rFonts w:asciiTheme="minorHAnsi" w:hAnsiTheme="minorHAnsi" w:cstheme="minorHAnsi"/>
          <w:bCs/>
          <w:sz w:val="20"/>
        </w:rPr>
        <w:t xml:space="preserve">Se considera que la mezcla Maya es la más competitiva de las mexicanas al ser la de mayor exportación, además de utilizarse como mezcla sustituta de las otras dos. Por tratarse de un crudo "pesado" tiene un menor rendimiento en la producción de gasolinas y </w:t>
      </w:r>
      <w:proofErr w:type="spellStart"/>
      <w:r w:rsidRPr="005F31A4">
        <w:rPr>
          <w:rFonts w:asciiTheme="minorHAnsi" w:hAnsiTheme="minorHAnsi" w:cstheme="minorHAnsi"/>
          <w:bCs/>
          <w:sz w:val="20"/>
        </w:rPr>
        <w:t>diesel</w:t>
      </w:r>
      <w:proofErr w:type="spellEnd"/>
      <w:r w:rsidRPr="005F31A4">
        <w:rPr>
          <w:rFonts w:asciiTheme="minorHAnsi" w:hAnsiTheme="minorHAnsi" w:cstheme="minorHAnsi"/>
          <w:bCs/>
          <w:sz w:val="20"/>
        </w:rPr>
        <w:t>, sin embargo, gracias a esta característica, es la principal fuente de energía para la producción de energía para uso doméstico.</w:t>
      </w:r>
    </w:p>
    <w:p w:rsidR="009E65DA" w:rsidRPr="005F31A4" w:rsidRDefault="009E65DA" w:rsidP="001457BE">
      <w:pPr>
        <w:spacing w:before="100" w:beforeAutospacing="1" w:after="100" w:afterAutospacing="1" w:line="240" w:lineRule="auto"/>
        <w:jc w:val="both"/>
        <w:rPr>
          <w:rFonts w:asciiTheme="minorHAnsi" w:hAnsiTheme="minorHAnsi" w:cstheme="minorHAnsi"/>
          <w:bCs/>
          <w:sz w:val="20"/>
        </w:rPr>
      </w:pPr>
      <w:r w:rsidRPr="005F31A4">
        <w:rPr>
          <w:rFonts w:asciiTheme="minorHAnsi" w:hAnsiTheme="minorHAnsi" w:cstheme="minorHAnsi"/>
          <w:bCs/>
          <w:sz w:val="20"/>
        </w:rPr>
        <w:t>El Istmo, al ser un crudo ligero, puede dar mayor rendimiento en la producción de gasolinas y destilados intermedios (productos derivados del petróleo que se obtienen en el intervalo "medio" de ebullición, entre 180°C y 360°C).</w:t>
      </w:r>
    </w:p>
    <w:p w:rsidR="009E65DA" w:rsidRPr="005F31A4" w:rsidRDefault="009E65DA" w:rsidP="001457BE">
      <w:pPr>
        <w:spacing w:before="100" w:beforeAutospacing="1" w:after="100" w:afterAutospacing="1" w:line="240" w:lineRule="auto"/>
        <w:jc w:val="both"/>
        <w:rPr>
          <w:rFonts w:asciiTheme="minorHAnsi" w:hAnsiTheme="minorHAnsi" w:cstheme="minorHAnsi"/>
          <w:bCs/>
          <w:sz w:val="20"/>
        </w:rPr>
      </w:pPr>
      <w:r w:rsidRPr="005F31A4">
        <w:rPr>
          <w:rFonts w:asciiTheme="minorHAnsi" w:hAnsiTheme="minorHAnsi" w:cstheme="minorHAnsi"/>
          <w:bCs/>
          <w:sz w:val="20"/>
        </w:rPr>
        <w:t>La mezcla Olmeca está considerada como “extra ligera”, característica que la hace útil para la producción de lubricantes y petroquímicos.</w:t>
      </w:r>
    </w:p>
    <w:p w:rsidR="009E65DA" w:rsidRPr="005F31A4" w:rsidRDefault="009E65DA" w:rsidP="001457BE">
      <w:pPr>
        <w:spacing w:before="100" w:beforeAutospacing="1" w:after="100" w:afterAutospacing="1" w:line="240" w:lineRule="auto"/>
        <w:jc w:val="both"/>
        <w:rPr>
          <w:rFonts w:asciiTheme="minorHAnsi" w:hAnsiTheme="minorHAnsi" w:cstheme="minorHAnsi"/>
          <w:b/>
          <w:color w:val="000000"/>
          <w:szCs w:val="24"/>
        </w:rPr>
      </w:pPr>
      <w:r w:rsidRPr="005F31A4">
        <w:rPr>
          <w:rFonts w:asciiTheme="minorHAnsi" w:hAnsiTheme="minorHAnsi" w:cstheme="minorHAnsi"/>
          <w:b/>
          <w:color w:val="000000"/>
          <w:szCs w:val="24"/>
        </w:rPr>
        <w:t>1.2.6.- Ingresos por Remesas provenientes del exterior.</w:t>
      </w:r>
    </w:p>
    <w:p w:rsidR="009E65DA" w:rsidRDefault="009E65DA" w:rsidP="001457BE">
      <w:pPr>
        <w:spacing w:before="100" w:beforeAutospacing="1" w:after="100" w:afterAutospacing="1" w:line="240" w:lineRule="auto"/>
        <w:jc w:val="both"/>
        <w:rPr>
          <w:rFonts w:asciiTheme="minorHAnsi" w:hAnsiTheme="minorHAnsi" w:cstheme="minorHAnsi"/>
          <w:bCs/>
          <w:color w:val="000000"/>
          <w:sz w:val="20"/>
        </w:rPr>
      </w:pPr>
      <w:r w:rsidRPr="005F31A4">
        <w:rPr>
          <w:rFonts w:asciiTheme="minorHAnsi" w:hAnsiTheme="minorHAnsi" w:cstheme="minorHAnsi"/>
          <w:bCs/>
          <w:color w:val="000000"/>
          <w:sz w:val="20"/>
        </w:rPr>
        <w:t>En el undécimo mes de 2023, los ingresos por remesas provenientes del exterior fueron de 4,908 millones de dólares, los cuales se derivaron de 12.7 millones de transacciones, con un envío promedio de 386 dólares. De esta manera, en noviembre de 2023 los ingresos por remesas mostraron un aumento anual de 1.9%, resultado neto de un incremento de 4.0% en el número de envíos y de una contracción de 2.0% en el monto de la remesa promedio.</w:t>
      </w:r>
    </w:p>
    <w:p w:rsidR="00F648FF" w:rsidRDefault="00F648FF" w:rsidP="001457BE">
      <w:pPr>
        <w:spacing w:before="100" w:beforeAutospacing="1" w:after="100" w:afterAutospacing="1" w:line="240" w:lineRule="auto"/>
        <w:jc w:val="both"/>
        <w:rPr>
          <w:rFonts w:asciiTheme="minorHAnsi" w:hAnsiTheme="minorHAnsi" w:cstheme="minorHAnsi"/>
          <w:bCs/>
          <w:color w:val="000000"/>
          <w:sz w:val="20"/>
        </w:rPr>
      </w:pPr>
      <w:r w:rsidRPr="009E65DA">
        <w:rPr>
          <w:rFonts w:asciiTheme="minorHAnsi" w:hAnsiTheme="minorHAnsi" w:cstheme="minorHAnsi"/>
          <w:bCs/>
          <w:noProof/>
          <w:color w:val="000000"/>
          <w:lang w:eastAsia="es-MX"/>
        </w:rPr>
        <w:drawing>
          <wp:anchor distT="0" distB="0" distL="114300" distR="114300" simplePos="0" relativeHeight="251662336" behindDoc="0" locked="0" layoutInCell="1" allowOverlap="1" wp14:anchorId="6C8DA52C" wp14:editId="110681D9">
            <wp:simplePos x="0" y="0"/>
            <wp:positionH relativeFrom="column">
              <wp:posOffset>1352550</wp:posOffset>
            </wp:positionH>
            <wp:positionV relativeFrom="paragraph">
              <wp:posOffset>291465</wp:posOffset>
            </wp:positionV>
            <wp:extent cx="3525520" cy="2000250"/>
            <wp:effectExtent l="19050" t="19050" r="17780" b="19050"/>
            <wp:wrapSquare wrapText="bothSides"/>
            <wp:docPr id="1810381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81122" name="Imagen 18103811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5520" cy="2000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648FF" w:rsidRDefault="00F648FF" w:rsidP="001457BE">
      <w:pPr>
        <w:spacing w:before="100" w:beforeAutospacing="1" w:after="100" w:afterAutospacing="1" w:line="240" w:lineRule="auto"/>
        <w:jc w:val="both"/>
        <w:rPr>
          <w:rFonts w:asciiTheme="minorHAnsi" w:hAnsiTheme="minorHAnsi" w:cstheme="minorHAnsi"/>
          <w:bCs/>
          <w:color w:val="000000"/>
          <w:sz w:val="20"/>
        </w:rPr>
      </w:pPr>
    </w:p>
    <w:p w:rsidR="00F648FF" w:rsidRDefault="00F648FF" w:rsidP="001457BE">
      <w:pPr>
        <w:spacing w:before="100" w:beforeAutospacing="1" w:after="100" w:afterAutospacing="1" w:line="240" w:lineRule="auto"/>
        <w:jc w:val="both"/>
        <w:rPr>
          <w:rFonts w:asciiTheme="minorHAnsi" w:hAnsiTheme="minorHAnsi" w:cstheme="minorHAnsi"/>
          <w:bCs/>
          <w:color w:val="000000"/>
          <w:sz w:val="20"/>
        </w:rPr>
      </w:pPr>
    </w:p>
    <w:p w:rsidR="00F648FF" w:rsidRDefault="00F648FF" w:rsidP="001457BE">
      <w:pPr>
        <w:spacing w:before="100" w:beforeAutospacing="1" w:after="100" w:afterAutospacing="1" w:line="240" w:lineRule="auto"/>
        <w:jc w:val="both"/>
        <w:rPr>
          <w:rFonts w:asciiTheme="minorHAnsi" w:hAnsiTheme="minorHAnsi" w:cstheme="minorHAnsi"/>
          <w:bCs/>
          <w:color w:val="000000"/>
          <w:sz w:val="20"/>
        </w:rPr>
      </w:pPr>
    </w:p>
    <w:p w:rsidR="00F648FF" w:rsidRDefault="00F648FF" w:rsidP="001457BE">
      <w:pPr>
        <w:spacing w:before="100" w:beforeAutospacing="1" w:after="100" w:afterAutospacing="1" w:line="240" w:lineRule="auto"/>
        <w:jc w:val="both"/>
        <w:rPr>
          <w:rFonts w:asciiTheme="minorHAnsi" w:hAnsiTheme="minorHAnsi" w:cstheme="minorHAnsi"/>
          <w:bCs/>
          <w:color w:val="000000"/>
          <w:sz w:val="20"/>
        </w:rPr>
      </w:pPr>
    </w:p>
    <w:p w:rsidR="00F648FF" w:rsidRDefault="00F648FF" w:rsidP="001457BE">
      <w:pPr>
        <w:spacing w:before="100" w:beforeAutospacing="1" w:after="100" w:afterAutospacing="1" w:line="240" w:lineRule="auto"/>
        <w:jc w:val="both"/>
        <w:rPr>
          <w:rFonts w:asciiTheme="minorHAnsi" w:hAnsiTheme="minorHAnsi" w:cstheme="minorHAnsi"/>
          <w:bCs/>
          <w:color w:val="000000"/>
          <w:sz w:val="20"/>
        </w:rPr>
      </w:pPr>
    </w:p>
    <w:p w:rsidR="00F648FF" w:rsidRDefault="00F648FF" w:rsidP="001457BE">
      <w:pPr>
        <w:spacing w:before="100" w:beforeAutospacing="1" w:after="100" w:afterAutospacing="1" w:line="240" w:lineRule="auto"/>
        <w:jc w:val="both"/>
        <w:rPr>
          <w:rFonts w:asciiTheme="minorHAnsi" w:hAnsiTheme="minorHAnsi" w:cstheme="minorHAnsi"/>
          <w:bCs/>
          <w:color w:val="000000"/>
          <w:sz w:val="20"/>
        </w:rPr>
      </w:pPr>
    </w:p>
    <w:p w:rsidR="00F648FF" w:rsidRDefault="00F648FF" w:rsidP="001457BE">
      <w:pPr>
        <w:spacing w:before="100" w:beforeAutospacing="1" w:after="100" w:afterAutospacing="1" w:line="240" w:lineRule="auto"/>
        <w:jc w:val="both"/>
        <w:rPr>
          <w:rFonts w:asciiTheme="minorHAnsi" w:hAnsiTheme="minorHAnsi" w:cstheme="minorHAnsi"/>
          <w:bCs/>
          <w:color w:val="000000"/>
          <w:sz w:val="20"/>
        </w:rPr>
      </w:pPr>
    </w:p>
    <w:p w:rsidR="009E65DA" w:rsidRPr="005F31A4" w:rsidRDefault="00622A2D" w:rsidP="009E65DA">
      <w:pPr>
        <w:jc w:val="both"/>
        <w:rPr>
          <w:rFonts w:asciiTheme="minorHAnsi" w:hAnsiTheme="minorHAnsi" w:cstheme="minorHAnsi"/>
          <w:bCs/>
          <w:color w:val="000000"/>
          <w:sz w:val="20"/>
        </w:rPr>
      </w:pPr>
      <w:r w:rsidRPr="009E65DA">
        <w:rPr>
          <w:rFonts w:asciiTheme="minorHAnsi" w:hAnsiTheme="minorHAnsi" w:cstheme="minorHAnsi"/>
          <w:bCs/>
          <w:noProof/>
          <w:color w:val="000000"/>
          <w:lang w:eastAsia="es-MX"/>
        </w:rPr>
        <w:lastRenderedPageBreak/>
        <w:drawing>
          <wp:anchor distT="0" distB="0" distL="114300" distR="114300" simplePos="0" relativeHeight="251663360" behindDoc="0" locked="0" layoutInCell="1" allowOverlap="1" wp14:anchorId="70BCA052" wp14:editId="0F5F6067">
            <wp:simplePos x="0" y="0"/>
            <wp:positionH relativeFrom="margin">
              <wp:posOffset>152400</wp:posOffset>
            </wp:positionH>
            <wp:positionV relativeFrom="paragraph">
              <wp:posOffset>732155</wp:posOffset>
            </wp:positionV>
            <wp:extent cx="5648325" cy="1770380"/>
            <wp:effectExtent l="0" t="0" r="9525" b="1270"/>
            <wp:wrapSquare wrapText="bothSides"/>
            <wp:docPr id="9187904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90445" name="Imagen 9187904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48325" cy="1770380"/>
                    </a:xfrm>
                    <a:prstGeom prst="rect">
                      <a:avLst/>
                    </a:prstGeom>
                  </pic:spPr>
                </pic:pic>
              </a:graphicData>
            </a:graphic>
            <wp14:sizeRelH relativeFrom="margin">
              <wp14:pctWidth>0</wp14:pctWidth>
            </wp14:sizeRelH>
            <wp14:sizeRelV relativeFrom="margin">
              <wp14:pctHeight>0</wp14:pctHeight>
            </wp14:sizeRelV>
          </wp:anchor>
        </w:drawing>
      </w:r>
      <w:r w:rsidR="009E65DA" w:rsidRPr="005F31A4">
        <w:rPr>
          <w:rFonts w:asciiTheme="minorHAnsi" w:hAnsiTheme="minorHAnsi" w:cstheme="minorHAnsi"/>
          <w:bCs/>
          <w:color w:val="000000"/>
          <w:sz w:val="20"/>
        </w:rPr>
        <w:t>El valor acumulado de los ingresos por remesas en los primeros once meses de 2023 ascendió a 57,796 millones de dólares, cifra mayor a la de 53,157 millones de dólares reportada en el mismo lapso de 2022, lo que implicó un avance anual de 8.7%.</w:t>
      </w:r>
    </w:p>
    <w:p w:rsidR="009E65DA" w:rsidRPr="009E65DA" w:rsidRDefault="009E65DA" w:rsidP="009E65DA">
      <w:pPr>
        <w:jc w:val="both"/>
        <w:rPr>
          <w:rFonts w:asciiTheme="minorHAnsi" w:hAnsiTheme="minorHAnsi" w:cstheme="minorHAnsi"/>
          <w:bCs/>
          <w:color w:val="000000"/>
        </w:rPr>
      </w:pPr>
    </w:p>
    <w:p w:rsidR="009E65DA" w:rsidRPr="005F31A4" w:rsidRDefault="009E65DA" w:rsidP="009E65DA">
      <w:pPr>
        <w:jc w:val="both"/>
        <w:rPr>
          <w:rFonts w:asciiTheme="minorHAnsi" w:hAnsiTheme="minorHAnsi" w:cstheme="minorHAnsi"/>
          <w:bCs/>
          <w:color w:val="000000"/>
          <w:sz w:val="20"/>
        </w:rPr>
      </w:pPr>
      <w:r w:rsidRPr="005F31A4">
        <w:rPr>
          <w:rFonts w:asciiTheme="minorHAnsi" w:hAnsiTheme="minorHAnsi" w:cstheme="minorHAnsi"/>
          <w:bCs/>
          <w:color w:val="000000"/>
          <w:sz w:val="20"/>
        </w:rPr>
        <w:t xml:space="preserve">En el periodo enero – noviembre de 2023, el 99.0% del total de los ingresos por remesas se efectuó a través de transferencias electrónicas, al registrar un nivel de 57,199 millones de dólares. Por su parte, las remesas realizadas en efectivo y especie y las </w:t>
      </w:r>
      <w:proofErr w:type="spellStart"/>
      <w:r w:rsidRPr="005F31A4">
        <w:rPr>
          <w:rFonts w:asciiTheme="minorHAnsi" w:hAnsiTheme="minorHAnsi" w:cstheme="minorHAnsi"/>
          <w:bCs/>
          <w:color w:val="000000"/>
          <w:sz w:val="20"/>
        </w:rPr>
        <w:t>money</w:t>
      </w:r>
      <w:proofErr w:type="spellEnd"/>
      <w:r w:rsidRPr="005F31A4">
        <w:rPr>
          <w:rFonts w:asciiTheme="minorHAnsi" w:hAnsiTheme="minorHAnsi" w:cstheme="minorHAnsi"/>
          <w:bCs/>
          <w:color w:val="000000"/>
          <w:sz w:val="20"/>
        </w:rPr>
        <w:t xml:space="preserve"> </w:t>
      </w:r>
      <w:proofErr w:type="spellStart"/>
      <w:r w:rsidRPr="005F31A4">
        <w:rPr>
          <w:rFonts w:asciiTheme="minorHAnsi" w:hAnsiTheme="minorHAnsi" w:cstheme="minorHAnsi"/>
          <w:bCs/>
          <w:color w:val="000000"/>
          <w:sz w:val="20"/>
        </w:rPr>
        <w:t>orders</w:t>
      </w:r>
      <w:proofErr w:type="spellEnd"/>
      <w:r w:rsidRPr="005F31A4">
        <w:rPr>
          <w:rFonts w:asciiTheme="minorHAnsi" w:hAnsiTheme="minorHAnsi" w:cstheme="minorHAnsi"/>
          <w:bCs/>
          <w:color w:val="000000"/>
          <w:sz w:val="20"/>
        </w:rPr>
        <w:t xml:space="preserve"> representaron el 0.8 y 0.2% del monto total, respectivamente, al sumar 471 y 126 millones de dólares, en el mismo orden.</w:t>
      </w:r>
    </w:p>
    <w:p w:rsidR="009E65DA" w:rsidRPr="009E65DA" w:rsidRDefault="00622A2D" w:rsidP="009E65DA">
      <w:pPr>
        <w:jc w:val="both"/>
        <w:rPr>
          <w:rFonts w:asciiTheme="minorHAnsi" w:hAnsiTheme="minorHAnsi" w:cstheme="minorHAnsi"/>
          <w:bCs/>
          <w:color w:val="000000"/>
        </w:rPr>
      </w:pPr>
      <w:r w:rsidRPr="009E65DA">
        <w:rPr>
          <w:rFonts w:asciiTheme="minorHAnsi" w:hAnsiTheme="minorHAnsi" w:cstheme="minorHAnsi"/>
          <w:bCs/>
          <w:noProof/>
          <w:color w:val="000000"/>
          <w:lang w:eastAsia="es-MX"/>
        </w:rPr>
        <w:drawing>
          <wp:anchor distT="0" distB="0" distL="114300" distR="114300" simplePos="0" relativeHeight="251666432" behindDoc="0" locked="0" layoutInCell="1" allowOverlap="1">
            <wp:simplePos x="0" y="0"/>
            <wp:positionH relativeFrom="column">
              <wp:posOffset>895427</wp:posOffset>
            </wp:positionH>
            <wp:positionV relativeFrom="paragraph">
              <wp:posOffset>109220</wp:posOffset>
            </wp:positionV>
            <wp:extent cx="4152900" cy="1675161"/>
            <wp:effectExtent l="0" t="0" r="0" b="1270"/>
            <wp:wrapSquare wrapText="bothSides"/>
            <wp:docPr id="19484919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91905" name="Imagen 194849190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2900" cy="1675161"/>
                    </a:xfrm>
                    <a:prstGeom prst="rect">
                      <a:avLst/>
                    </a:prstGeom>
                  </pic:spPr>
                </pic:pic>
              </a:graphicData>
            </a:graphic>
          </wp:anchor>
        </w:drawing>
      </w:r>
    </w:p>
    <w:p w:rsidR="009E65DA" w:rsidRPr="009E65DA" w:rsidRDefault="009E65DA" w:rsidP="009E65DA">
      <w:pPr>
        <w:jc w:val="center"/>
        <w:rPr>
          <w:rFonts w:asciiTheme="minorHAnsi" w:hAnsiTheme="minorHAnsi" w:cstheme="minorHAnsi"/>
          <w:bCs/>
          <w:color w:val="000000"/>
        </w:rPr>
      </w:pPr>
    </w:p>
    <w:p w:rsidR="00622A2D" w:rsidRDefault="00622A2D" w:rsidP="009E65DA">
      <w:pPr>
        <w:jc w:val="both"/>
        <w:rPr>
          <w:rFonts w:asciiTheme="minorHAnsi" w:hAnsiTheme="minorHAnsi" w:cstheme="minorHAnsi"/>
          <w:bCs/>
          <w:color w:val="000000"/>
          <w:sz w:val="20"/>
        </w:rPr>
      </w:pPr>
    </w:p>
    <w:p w:rsidR="00622A2D" w:rsidRDefault="00622A2D" w:rsidP="009E65DA">
      <w:pPr>
        <w:jc w:val="both"/>
        <w:rPr>
          <w:rFonts w:asciiTheme="minorHAnsi" w:hAnsiTheme="minorHAnsi" w:cstheme="minorHAnsi"/>
          <w:bCs/>
          <w:color w:val="000000"/>
          <w:sz w:val="20"/>
        </w:rPr>
      </w:pPr>
    </w:p>
    <w:p w:rsidR="00622A2D" w:rsidRDefault="00622A2D" w:rsidP="009E65DA">
      <w:pPr>
        <w:jc w:val="both"/>
        <w:rPr>
          <w:rFonts w:asciiTheme="minorHAnsi" w:hAnsiTheme="minorHAnsi" w:cstheme="minorHAnsi"/>
          <w:bCs/>
          <w:color w:val="000000"/>
          <w:sz w:val="20"/>
        </w:rPr>
      </w:pPr>
    </w:p>
    <w:p w:rsidR="00622A2D" w:rsidRDefault="00622A2D" w:rsidP="009E65DA">
      <w:pPr>
        <w:jc w:val="both"/>
        <w:rPr>
          <w:rFonts w:asciiTheme="minorHAnsi" w:hAnsiTheme="minorHAnsi" w:cstheme="minorHAnsi"/>
          <w:bCs/>
          <w:color w:val="000000"/>
          <w:sz w:val="20"/>
        </w:rPr>
      </w:pPr>
    </w:p>
    <w:p w:rsidR="00622A2D" w:rsidRDefault="00622A2D" w:rsidP="009E65DA">
      <w:pPr>
        <w:jc w:val="both"/>
        <w:rPr>
          <w:rFonts w:asciiTheme="minorHAnsi" w:hAnsiTheme="minorHAnsi" w:cstheme="minorHAnsi"/>
          <w:bCs/>
          <w:color w:val="000000"/>
          <w:sz w:val="20"/>
        </w:rPr>
      </w:pPr>
    </w:p>
    <w:p w:rsidR="009E65DA" w:rsidRPr="005F31A4" w:rsidRDefault="009E65DA" w:rsidP="009E65DA">
      <w:pPr>
        <w:jc w:val="both"/>
        <w:rPr>
          <w:rFonts w:asciiTheme="minorHAnsi" w:hAnsiTheme="minorHAnsi" w:cstheme="minorHAnsi"/>
          <w:bCs/>
          <w:color w:val="000000"/>
          <w:sz w:val="20"/>
        </w:rPr>
      </w:pPr>
      <w:r w:rsidRPr="005F31A4">
        <w:rPr>
          <w:rFonts w:asciiTheme="minorHAnsi" w:hAnsiTheme="minorHAnsi" w:cstheme="minorHAnsi"/>
          <w:bCs/>
          <w:color w:val="000000"/>
          <w:sz w:val="20"/>
        </w:rPr>
        <w:t>En los últimos doce meses (diciembre 2022 – noviembre 2023), el flujo acumulado de los ingresos por remesas se ubicó en 63,149 millones de dólares, superior al flujo acumulado a doce meses de octubre previo de 63,059 millones de dólares (noviembre 2022 – octubre 2023).</w:t>
      </w:r>
    </w:p>
    <w:p w:rsidR="009E65DA" w:rsidRDefault="00935F86" w:rsidP="009E65DA">
      <w:pPr>
        <w:rPr>
          <w:rFonts w:asciiTheme="minorHAnsi" w:hAnsiTheme="minorHAnsi" w:cstheme="minorHAnsi"/>
          <w:bCs/>
          <w:color w:val="000000"/>
        </w:rPr>
      </w:pPr>
      <w:r w:rsidRPr="009E65DA">
        <w:rPr>
          <w:rFonts w:asciiTheme="minorHAnsi" w:hAnsiTheme="minorHAnsi" w:cstheme="minorHAnsi"/>
          <w:bCs/>
          <w:noProof/>
          <w:color w:val="000000"/>
          <w:lang w:eastAsia="es-MX"/>
        </w:rPr>
        <w:lastRenderedPageBreak/>
        <w:drawing>
          <wp:anchor distT="0" distB="0" distL="114300" distR="114300" simplePos="0" relativeHeight="251665408" behindDoc="0" locked="0" layoutInCell="1" allowOverlap="1">
            <wp:simplePos x="0" y="0"/>
            <wp:positionH relativeFrom="column">
              <wp:posOffset>1314450</wp:posOffset>
            </wp:positionH>
            <wp:positionV relativeFrom="paragraph">
              <wp:posOffset>161290</wp:posOffset>
            </wp:positionV>
            <wp:extent cx="3305207" cy="1562100"/>
            <wp:effectExtent l="0" t="0" r="9525" b="0"/>
            <wp:wrapSquare wrapText="bothSides"/>
            <wp:docPr id="4839175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17518" name="Imagen 4839175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5207" cy="1562100"/>
                    </a:xfrm>
                    <a:prstGeom prst="rect">
                      <a:avLst/>
                    </a:prstGeom>
                  </pic:spPr>
                </pic:pic>
              </a:graphicData>
            </a:graphic>
            <wp14:sizeRelH relativeFrom="margin">
              <wp14:pctWidth>0</wp14:pctWidth>
            </wp14:sizeRelH>
            <wp14:sizeRelV relativeFrom="margin">
              <wp14:pctHeight>0</wp14:pctHeight>
            </wp14:sizeRelV>
          </wp:anchor>
        </w:drawing>
      </w:r>
    </w:p>
    <w:p w:rsidR="00E058D1" w:rsidRDefault="00E058D1" w:rsidP="009E65DA">
      <w:pPr>
        <w:rPr>
          <w:rFonts w:asciiTheme="minorHAnsi" w:hAnsiTheme="minorHAnsi" w:cstheme="minorHAnsi"/>
          <w:bCs/>
          <w:color w:val="000000"/>
        </w:rPr>
      </w:pPr>
    </w:p>
    <w:p w:rsidR="00E058D1" w:rsidRPr="009E65DA" w:rsidRDefault="00E058D1" w:rsidP="009E65DA">
      <w:pPr>
        <w:rPr>
          <w:rFonts w:asciiTheme="minorHAnsi" w:hAnsiTheme="minorHAnsi" w:cstheme="minorHAnsi"/>
          <w:bCs/>
          <w:color w:val="000000"/>
        </w:rPr>
      </w:pPr>
    </w:p>
    <w:p w:rsidR="009E65DA" w:rsidRPr="009E65DA" w:rsidRDefault="009E65DA" w:rsidP="009E65DA">
      <w:pPr>
        <w:jc w:val="center"/>
        <w:rPr>
          <w:rFonts w:asciiTheme="minorHAnsi" w:hAnsiTheme="minorHAnsi" w:cstheme="minorHAnsi"/>
          <w:bCs/>
          <w:color w:val="000000"/>
        </w:rPr>
      </w:pPr>
    </w:p>
    <w:p w:rsidR="009E65DA" w:rsidRPr="009E65DA" w:rsidRDefault="009E65DA" w:rsidP="009E65DA">
      <w:pPr>
        <w:jc w:val="center"/>
        <w:rPr>
          <w:rFonts w:asciiTheme="minorHAnsi" w:hAnsiTheme="minorHAnsi" w:cstheme="minorHAnsi"/>
          <w:bCs/>
          <w:color w:val="000000"/>
        </w:rPr>
      </w:pPr>
    </w:p>
    <w:p w:rsidR="00935F86" w:rsidRDefault="00935F86" w:rsidP="00BE2484">
      <w:pPr>
        <w:spacing w:before="100" w:beforeAutospacing="1" w:after="100" w:afterAutospacing="1" w:line="240" w:lineRule="auto"/>
      </w:pPr>
    </w:p>
    <w:p w:rsidR="009E65DA" w:rsidRPr="005F31A4" w:rsidRDefault="00FE223F" w:rsidP="00BE2484">
      <w:pPr>
        <w:spacing w:before="100" w:beforeAutospacing="1" w:after="100" w:afterAutospacing="1" w:line="240" w:lineRule="auto"/>
        <w:rPr>
          <w:rFonts w:asciiTheme="minorHAnsi" w:hAnsiTheme="minorHAnsi" w:cstheme="minorHAnsi"/>
          <w:bCs/>
          <w:color w:val="AB0033"/>
          <w:sz w:val="20"/>
        </w:rPr>
      </w:pPr>
      <w:hyperlink r:id="rId18" w:history="1">
        <w:r w:rsidR="009E65DA" w:rsidRPr="005F31A4">
          <w:rPr>
            <w:rStyle w:val="Hipervnculo"/>
            <w:rFonts w:asciiTheme="minorHAnsi" w:hAnsiTheme="minorHAnsi" w:cstheme="minorHAnsi"/>
            <w:bCs/>
            <w:color w:val="AB0033"/>
            <w:sz w:val="20"/>
          </w:rPr>
          <w:t>https://www.banxico.org.mx/publicaciones-y-prensa/remesas/%7B2F79E6E7-1C28-2807-2515-8DC71542DF08%7D.pdf</w:t>
        </w:r>
      </w:hyperlink>
    </w:p>
    <w:p w:rsidR="009E65DA" w:rsidRPr="005F31A4" w:rsidRDefault="009E65DA" w:rsidP="00BE2484">
      <w:pPr>
        <w:pStyle w:val="NormalWeb"/>
        <w:jc w:val="both"/>
        <w:rPr>
          <w:rFonts w:asciiTheme="minorHAnsi" w:hAnsiTheme="minorHAnsi" w:cstheme="minorHAnsi"/>
          <w:b/>
          <w:color w:val="000000"/>
          <w:sz w:val="22"/>
        </w:rPr>
      </w:pPr>
      <w:r w:rsidRPr="005F31A4">
        <w:rPr>
          <w:rFonts w:asciiTheme="minorHAnsi" w:hAnsiTheme="minorHAnsi" w:cstheme="minorHAnsi"/>
          <w:b/>
          <w:color w:val="000000"/>
          <w:sz w:val="22"/>
        </w:rPr>
        <w:t>1.2.7.- Bolsa Mexicana de Valores.</w:t>
      </w:r>
    </w:p>
    <w:p w:rsidR="009E65DA" w:rsidRPr="005F31A4" w:rsidRDefault="009E65DA" w:rsidP="00BE2484">
      <w:pPr>
        <w:spacing w:before="100" w:beforeAutospacing="1" w:after="100" w:afterAutospacing="1" w:line="240" w:lineRule="auto"/>
        <w:jc w:val="both"/>
        <w:rPr>
          <w:rFonts w:asciiTheme="minorHAnsi" w:hAnsiTheme="minorHAnsi" w:cstheme="minorHAnsi"/>
          <w:bCs/>
          <w:sz w:val="20"/>
        </w:rPr>
      </w:pPr>
      <w:r w:rsidRPr="005F31A4">
        <w:rPr>
          <w:rFonts w:asciiTheme="minorHAnsi" w:hAnsiTheme="minorHAnsi" w:cstheme="minorHAnsi"/>
          <w:bCs/>
          <w:sz w:val="20"/>
        </w:rPr>
        <w:t>La Bolsa Mexicana de Valores (BMV) cerró el ejercicio 2023 con un avance de más del 18.41%, su mayor ganancia desde 2021, cuando subió un 20.89%, gracias al optimismo en el mercado global.</w:t>
      </w:r>
    </w:p>
    <w:p w:rsidR="009E65DA" w:rsidRPr="005F31A4" w:rsidRDefault="009E65DA" w:rsidP="00BE2484">
      <w:pPr>
        <w:spacing w:before="100" w:beforeAutospacing="1" w:after="100" w:afterAutospacing="1" w:line="240" w:lineRule="auto"/>
        <w:jc w:val="both"/>
        <w:rPr>
          <w:rFonts w:asciiTheme="minorHAnsi" w:hAnsiTheme="minorHAnsi" w:cstheme="minorHAnsi"/>
          <w:bCs/>
          <w:sz w:val="20"/>
        </w:rPr>
      </w:pPr>
      <w:r w:rsidRPr="005F31A4">
        <w:rPr>
          <w:rFonts w:asciiTheme="minorHAnsi" w:hAnsiTheme="minorHAnsi" w:cstheme="minorHAnsi"/>
          <w:bCs/>
          <w:sz w:val="20"/>
        </w:rPr>
        <w:t>Tras una baja hasta las 48,197.88 unidades, el 23 de octubre, vino un repunte el 1 y el 3 de noviembre, fechas en las que registró avances de 1.48% y 2.97% respectivamente, es decir, una subida en dos días del 4,45 % que prácticamente lo encaminaron a cerrar en positivo al sumar seis semanas cerrando con avances.</w:t>
      </w:r>
    </w:p>
    <w:p w:rsidR="009E65DA" w:rsidRPr="005F31A4" w:rsidRDefault="009E65DA" w:rsidP="00BE2484">
      <w:pPr>
        <w:spacing w:before="100" w:beforeAutospacing="1" w:after="100" w:afterAutospacing="1" w:line="240" w:lineRule="auto"/>
        <w:jc w:val="both"/>
        <w:rPr>
          <w:rFonts w:asciiTheme="minorHAnsi" w:hAnsiTheme="minorHAnsi" w:cstheme="minorHAnsi"/>
          <w:bCs/>
          <w:sz w:val="20"/>
        </w:rPr>
      </w:pPr>
      <w:r w:rsidRPr="005F31A4">
        <w:rPr>
          <w:rFonts w:asciiTheme="minorHAnsi" w:hAnsiTheme="minorHAnsi" w:cstheme="minorHAnsi"/>
          <w:bCs/>
          <w:sz w:val="20"/>
        </w:rPr>
        <w:t>Mientras que, en las dos últimas semanas del año, el Índice de Precios y Cotizaciones, principal indicador de la BMV, registró sus más recientes máximos históricos, el primero el 18 de diciembre con 57,732,81 unidades y el segundo el 26 de</w:t>
      </w:r>
      <w:r w:rsidR="00BE2484">
        <w:rPr>
          <w:rFonts w:asciiTheme="minorHAnsi" w:hAnsiTheme="minorHAnsi" w:cstheme="minorHAnsi"/>
          <w:bCs/>
          <w:sz w:val="20"/>
        </w:rPr>
        <w:t xml:space="preserve"> </w:t>
      </w:r>
      <w:r w:rsidRPr="005F31A4">
        <w:rPr>
          <w:rFonts w:asciiTheme="minorHAnsi" w:hAnsiTheme="minorHAnsi" w:cstheme="minorHAnsi"/>
          <w:bCs/>
          <w:sz w:val="20"/>
        </w:rPr>
        <w:t>diciembre al registrar 57,745,79 unidades.</w:t>
      </w:r>
    </w:p>
    <w:p w:rsidR="009E65DA" w:rsidRPr="005F31A4" w:rsidRDefault="00FE223F" w:rsidP="00BE2484">
      <w:pPr>
        <w:spacing w:before="100" w:beforeAutospacing="1" w:after="100" w:afterAutospacing="1" w:line="240" w:lineRule="auto"/>
        <w:jc w:val="both"/>
        <w:rPr>
          <w:rFonts w:asciiTheme="minorHAnsi" w:hAnsiTheme="minorHAnsi" w:cstheme="minorHAnsi"/>
          <w:bCs/>
          <w:color w:val="AB0033"/>
          <w:sz w:val="20"/>
        </w:rPr>
      </w:pPr>
      <w:hyperlink r:id="rId19" w:history="1">
        <w:r w:rsidR="009E65DA" w:rsidRPr="005F31A4">
          <w:rPr>
            <w:rStyle w:val="Hipervnculo"/>
            <w:rFonts w:asciiTheme="minorHAnsi" w:hAnsiTheme="minorHAnsi" w:cstheme="minorHAnsi"/>
            <w:bCs/>
            <w:color w:val="AB0033"/>
            <w:sz w:val="20"/>
          </w:rPr>
          <w:t>https://www.indetec.gob.mx/delivery?srv=0&amp;sl=2&amp;cat=8&amp;path=/boletin_financiero/cvm/108/BoletinFNo108_6.pdf</w:t>
        </w:r>
      </w:hyperlink>
    </w:p>
    <w:p w:rsidR="009E65DA" w:rsidRPr="005F31A4" w:rsidRDefault="009E65DA" w:rsidP="00BE2484">
      <w:pPr>
        <w:pStyle w:val="NormalWeb"/>
        <w:jc w:val="both"/>
        <w:rPr>
          <w:rFonts w:asciiTheme="minorHAnsi" w:hAnsiTheme="minorHAnsi" w:cstheme="minorHAnsi"/>
          <w:b/>
          <w:color w:val="000000"/>
          <w:sz w:val="22"/>
        </w:rPr>
      </w:pPr>
      <w:r w:rsidRPr="005F31A4">
        <w:rPr>
          <w:rFonts w:asciiTheme="minorHAnsi" w:hAnsiTheme="minorHAnsi" w:cstheme="minorHAnsi"/>
          <w:b/>
          <w:color w:val="000000"/>
          <w:sz w:val="22"/>
        </w:rPr>
        <w:t xml:space="preserve">1.3.- Escenario Económico Estatal al cierre </w:t>
      </w:r>
      <w:r w:rsidR="00A056EE" w:rsidRPr="005F31A4">
        <w:rPr>
          <w:rFonts w:asciiTheme="minorHAnsi" w:hAnsiTheme="minorHAnsi" w:cstheme="minorHAnsi"/>
          <w:b/>
          <w:color w:val="000000"/>
          <w:sz w:val="22"/>
        </w:rPr>
        <w:t>del Ejercicio de</w:t>
      </w:r>
      <w:r w:rsidRPr="005F31A4">
        <w:rPr>
          <w:rFonts w:asciiTheme="minorHAnsi" w:hAnsiTheme="minorHAnsi" w:cstheme="minorHAnsi"/>
          <w:b/>
          <w:color w:val="000000"/>
          <w:sz w:val="22"/>
        </w:rPr>
        <w:t xml:space="preserve"> 2023. </w:t>
      </w:r>
    </w:p>
    <w:p w:rsidR="009E65DA" w:rsidRPr="005F31A4" w:rsidRDefault="009E65DA" w:rsidP="00BE2484">
      <w:pPr>
        <w:spacing w:before="100" w:beforeAutospacing="1" w:after="100" w:afterAutospacing="1" w:line="240" w:lineRule="auto"/>
        <w:jc w:val="both"/>
        <w:rPr>
          <w:rFonts w:asciiTheme="minorHAnsi" w:hAnsiTheme="minorHAnsi" w:cstheme="minorHAnsi"/>
          <w:b/>
          <w:bCs/>
          <w:color w:val="000000" w:themeColor="text1"/>
          <w:szCs w:val="24"/>
        </w:rPr>
      </w:pPr>
      <w:r w:rsidRPr="005F31A4">
        <w:rPr>
          <w:rFonts w:asciiTheme="minorHAnsi" w:hAnsiTheme="minorHAnsi" w:cstheme="minorHAnsi"/>
          <w:b/>
          <w:bCs/>
          <w:color w:val="000000" w:themeColor="text1"/>
          <w:szCs w:val="24"/>
        </w:rPr>
        <w:t>1.3.1. Panorama Socioeconómico Estatal.</w:t>
      </w:r>
    </w:p>
    <w:p w:rsidR="009E65DA" w:rsidRPr="005F31A4" w:rsidRDefault="009E65DA" w:rsidP="00BE2484">
      <w:pPr>
        <w:spacing w:before="100" w:beforeAutospacing="1" w:after="100" w:afterAutospacing="1" w:line="240" w:lineRule="auto"/>
        <w:jc w:val="both"/>
        <w:rPr>
          <w:rFonts w:asciiTheme="minorHAnsi" w:hAnsiTheme="minorHAnsi" w:cstheme="minorHAnsi"/>
          <w:color w:val="000000" w:themeColor="text1"/>
          <w:sz w:val="20"/>
        </w:rPr>
      </w:pPr>
      <w:r w:rsidRPr="005F31A4">
        <w:rPr>
          <w:rFonts w:asciiTheme="minorHAnsi" w:hAnsiTheme="minorHAnsi" w:cstheme="minorHAnsi"/>
          <w:color w:val="000000" w:themeColor="text1"/>
          <w:sz w:val="20"/>
        </w:rPr>
        <w:t>Tamaulipas es una entidad federativa ubicada en la frontera norte del país, con una extensión territorial de 80,249 kilómetros cuadrados, comparte con los Estados Unidos de América una frontera común de 370 kilómetros con el Estado de Texas, colinda también con los Estados de Nuevo León, Veracruz y San Luis Potosí, además cuenta con un litoral de 433 kilómetros con el Golfo de México, que incluye la operación de los Puertos de Tampico, Altamira y Matamoros.</w:t>
      </w:r>
    </w:p>
    <w:p w:rsidR="009E65DA" w:rsidRPr="005F31A4" w:rsidRDefault="009E65DA" w:rsidP="00BE2484">
      <w:pPr>
        <w:spacing w:before="100" w:beforeAutospacing="1" w:after="100" w:afterAutospacing="1" w:line="240" w:lineRule="auto"/>
        <w:jc w:val="both"/>
        <w:rPr>
          <w:rFonts w:asciiTheme="minorHAnsi" w:hAnsiTheme="minorHAnsi" w:cstheme="minorHAnsi"/>
          <w:color w:val="000000" w:themeColor="text1"/>
          <w:sz w:val="20"/>
        </w:rPr>
      </w:pPr>
      <w:r w:rsidRPr="005F31A4">
        <w:rPr>
          <w:rFonts w:asciiTheme="minorHAnsi" w:hAnsiTheme="minorHAnsi" w:cstheme="minorHAnsi"/>
          <w:color w:val="000000" w:themeColor="text1"/>
          <w:sz w:val="20"/>
        </w:rPr>
        <w:t>En el rubro de servicios de aeronavegación, Tamaulipas cuenta con los Aeropuertos internacionales de Tampico, Ciudad. Victoria, Matamoros, Reynosa y Nuevo Laredo.</w:t>
      </w:r>
    </w:p>
    <w:p w:rsidR="009E65DA" w:rsidRDefault="009E65DA" w:rsidP="00BE2484">
      <w:pPr>
        <w:spacing w:before="100" w:beforeAutospacing="1" w:after="100" w:afterAutospacing="1" w:line="240" w:lineRule="auto"/>
        <w:jc w:val="both"/>
        <w:rPr>
          <w:rFonts w:asciiTheme="minorHAnsi" w:hAnsiTheme="minorHAnsi" w:cstheme="minorHAnsi"/>
          <w:color w:val="000000" w:themeColor="text1"/>
          <w:sz w:val="20"/>
        </w:rPr>
      </w:pPr>
      <w:r w:rsidRPr="005F31A4">
        <w:rPr>
          <w:rFonts w:asciiTheme="minorHAnsi" w:hAnsiTheme="minorHAnsi" w:cstheme="minorHAnsi"/>
          <w:color w:val="000000" w:themeColor="text1"/>
          <w:sz w:val="20"/>
        </w:rPr>
        <w:t>En su importante relación comercial con los Estados Unidos, Tamaulipas comparte con el Estado de Texas un total de 18 cruces internacionales, de los cuales 9 son comerciales, 7 vehiculares y 2 ferroviarios.</w:t>
      </w:r>
    </w:p>
    <w:p w:rsidR="00622A2D" w:rsidRPr="005F31A4" w:rsidRDefault="00622A2D" w:rsidP="00BE2484">
      <w:pPr>
        <w:spacing w:before="100" w:beforeAutospacing="1" w:after="100" w:afterAutospacing="1" w:line="240" w:lineRule="auto"/>
        <w:jc w:val="both"/>
        <w:rPr>
          <w:rFonts w:asciiTheme="minorHAnsi" w:hAnsiTheme="minorHAnsi" w:cstheme="minorHAnsi"/>
          <w:color w:val="000000" w:themeColor="text1"/>
          <w:sz w:val="20"/>
        </w:rPr>
      </w:pPr>
    </w:p>
    <w:p w:rsidR="009E65DA" w:rsidRPr="00BE2484" w:rsidRDefault="009E65DA" w:rsidP="00BE2484">
      <w:pPr>
        <w:spacing w:before="100" w:beforeAutospacing="1" w:after="100" w:afterAutospacing="1" w:line="240" w:lineRule="auto"/>
        <w:jc w:val="both"/>
        <w:rPr>
          <w:rFonts w:asciiTheme="minorHAnsi" w:hAnsiTheme="minorHAnsi" w:cstheme="minorHAnsi"/>
          <w:b/>
          <w:color w:val="000000" w:themeColor="text1"/>
          <w:sz w:val="20"/>
        </w:rPr>
      </w:pPr>
      <w:r w:rsidRPr="00BE2484">
        <w:rPr>
          <w:rFonts w:asciiTheme="minorHAnsi" w:hAnsiTheme="minorHAnsi" w:cstheme="minorHAnsi"/>
          <w:b/>
          <w:color w:val="000000" w:themeColor="text1"/>
          <w:sz w:val="20"/>
        </w:rPr>
        <w:lastRenderedPageBreak/>
        <w:t xml:space="preserve">Pirámide </w:t>
      </w:r>
      <w:r w:rsidR="00BE2484" w:rsidRPr="00BE2484">
        <w:rPr>
          <w:rFonts w:asciiTheme="minorHAnsi" w:hAnsiTheme="minorHAnsi" w:cstheme="minorHAnsi"/>
          <w:b/>
          <w:color w:val="000000" w:themeColor="text1"/>
          <w:sz w:val="20"/>
        </w:rPr>
        <w:t>poblacional. -</w:t>
      </w:r>
    </w:p>
    <w:p w:rsidR="009E65DA" w:rsidRPr="005F31A4" w:rsidRDefault="009E65DA" w:rsidP="00BE2484">
      <w:pPr>
        <w:spacing w:before="100" w:beforeAutospacing="1" w:after="100" w:afterAutospacing="1" w:line="240" w:lineRule="auto"/>
        <w:jc w:val="both"/>
        <w:rPr>
          <w:rFonts w:asciiTheme="minorHAnsi" w:hAnsiTheme="minorHAnsi" w:cstheme="minorHAnsi"/>
          <w:sz w:val="20"/>
        </w:rPr>
      </w:pPr>
      <w:r w:rsidRPr="005F31A4">
        <w:rPr>
          <w:rFonts w:asciiTheme="minorHAnsi" w:hAnsiTheme="minorHAnsi" w:cstheme="minorHAnsi"/>
          <w:color w:val="000000" w:themeColor="text1"/>
          <w:sz w:val="20"/>
        </w:rPr>
        <w:t xml:space="preserve">De acuerdo al último Censo de Población y Vivienda 2020 publicado por el INEGI, Tamaulipas cuenta con una población de 3,527,735 habitantes. De ellos, 1,791,595 son mujeres (50.8%) y 1,736,140 son hombres (49.2%). Tamaulipas ocupa el lugar 14 a nivel nacional por número de habitantes, </w:t>
      </w:r>
      <w:r w:rsidRPr="005F31A4">
        <w:rPr>
          <w:rFonts w:asciiTheme="minorHAnsi" w:hAnsiTheme="minorHAnsi" w:cstheme="minorHAnsi"/>
          <w:sz w:val="20"/>
        </w:rPr>
        <w:t>de los cuales un 61.3% está clasificada como población económicamente activa (PEA), ello considerando a un universo de población de 12 años y más. De este universo, un 40.3% son mujeres, y el restante 59.7% son hombres.</w:t>
      </w:r>
    </w:p>
    <w:p w:rsidR="009E65DA" w:rsidRPr="005F31A4" w:rsidRDefault="009E65DA" w:rsidP="00BE2484">
      <w:pPr>
        <w:spacing w:before="100" w:beforeAutospacing="1" w:after="100" w:afterAutospacing="1" w:line="240" w:lineRule="auto"/>
        <w:jc w:val="both"/>
        <w:rPr>
          <w:rFonts w:asciiTheme="minorHAnsi" w:hAnsiTheme="minorHAnsi" w:cstheme="minorHAnsi"/>
          <w:sz w:val="20"/>
        </w:rPr>
      </w:pPr>
      <w:r w:rsidRPr="005F31A4">
        <w:rPr>
          <w:rFonts w:asciiTheme="minorHAnsi" w:hAnsiTheme="minorHAnsi" w:cstheme="minorHAnsi"/>
          <w:sz w:val="20"/>
        </w:rPr>
        <w:t>Los municipios de Tamaulipas con mayor población fueron Reynosa (704,767 de habitantes), Matamoros (541,979 de habitantes) y Nuevo Laredo (425,058 de habitantes).</w:t>
      </w:r>
    </w:p>
    <w:p w:rsidR="009E65DA" w:rsidRPr="009E65DA" w:rsidRDefault="009E65DA" w:rsidP="009E65DA">
      <w:pPr>
        <w:jc w:val="center"/>
        <w:rPr>
          <w:rFonts w:asciiTheme="minorHAnsi" w:hAnsiTheme="minorHAnsi" w:cstheme="minorHAnsi"/>
        </w:rPr>
      </w:pPr>
      <w:r w:rsidRPr="009E65DA">
        <w:rPr>
          <w:rFonts w:asciiTheme="minorHAnsi" w:hAnsiTheme="minorHAnsi" w:cstheme="minorHAnsi"/>
          <w:noProof/>
          <w:lang w:eastAsia="es-MX"/>
        </w:rPr>
        <w:drawing>
          <wp:inline distT="0" distB="0" distL="0" distR="0" wp14:anchorId="0ACDD217" wp14:editId="1501796D">
            <wp:extent cx="2133600" cy="2622701"/>
            <wp:effectExtent l="0" t="0" r="0" b="6350"/>
            <wp:docPr id="122947950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79508" name="Imagen 1229479508"/>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149392" cy="2642113"/>
                    </a:xfrm>
                    <a:prstGeom prst="rect">
                      <a:avLst/>
                    </a:prstGeom>
                    <a:ln>
                      <a:noFill/>
                    </a:ln>
                    <a:extLst>
                      <a:ext uri="{53640926-AAD7-44D8-BBD7-CCE9431645EC}">
                        <a14:shadowObscured xmlns:a14="http://schemas.microsoft.com/office/drawing/2010/main"/>
                      </a:ext>
                    </a:extLst>
                  </pic:spPr>
                </pic:pic>
              </a:graphicData>
            </a:graphic>
          </wp:inline>
        </w:drawing>
      </w:r>
      <w:r w:rsidRPr="009E65DA">
        <w:rPr>
          <w:rFonts w:asciiTheme="minorHAnsi" w:hAnsiTheme="minorHAnsi" w:cstheme="minorHAnsi"/>
          <w:noProof/>
          <w:lang w:eastAsia="es-MX"/>
        </w:rPr>
        <w:drawing>
          <wp:inline distT="0" distB="0" distL="0" distR="0" wp14:anchorId="749BFF7F" wp14:editId="1FA58E1F">
            <wp:extent cx="2228850" cy="2648746"/>
            <wp:effectExtent l="0" t="0" r="0" b="0"/>
            <wp:docPr id="18553563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56372" name="Imagen 18553563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4965" cy="2703548"/>
                    </a:xfrm>
                    <a:prstGeom prst="rect">
                      <a:avLst/>
                    </a:prstGeom>
                  </pic:spPr>
                </pic:pic>
              </a:graphicData>
            </a:graphic>
          </wp:inline>
        </w:drawing>
      </w:r>
    </w:p>
    <w:p w:rsidR="009E65DA" w:rsidRPr="009E65DA" w:rsidRDefault="009E65DA" w:rsidP="00BE2484">
      <w:pPr>
        <w:rPr>
          <w:rFonts w:asciiTheme="minorHAnsi" w:hAnsiTheme="minorHAnsi" w:cstheme="minorHAnsi"/>
        </w:rPr>
      </w:pPr>
      <w:r w:rsidRPr="009E65DA">
        <w:rPr>
          <w:rFonts w:asciiTheme="minorHAnsi" w:hAnsiTheme="minorHAnsi" w:cstheme="minorHAnsi"/>
          <w:noProof/>
          <w:lang w:eastAsia="es-MX"/>
        </w:rPr>
        <w:drawing>
          <wp:anchor distT="0" distB="0" distL="114300" distR="114300" simplePos="0" relativeHeight="251659264" behindDoc="0" locked="0" layoutInCell="1" allowOverlap="1" wp14:anchorId="2D49ECCA" wp14:editId="080DDDB3">
            <wp:simplePos x="0" y="0"/>
            <wp:positionH relativeFrom="column">
              <wp:posOffset>3723640</wp:posOffset>
            </wp:positionH>
            <wp:positionV relativeFrom="paragraph">
              <wp:posOffset>27940</wp:posOffset>
            </wp:positionV>
            <wp:extent cx="558165" cy="189230"/>
            <wp:effectExtent l="0" t="0" r="635" b="1270"/>
            <wp:wrapThrough wrapText="bothSides">
              <wp:wrapPolygon edited="0">
                <wp:start x="0" y="0"/>
                <wp:lineTo x="0" y="20295"/>
                <wp:lineTo x="21133" y="20295"/>
                <wp:lineTo x="21133" y="0"/>
                <wp:lineTo x="0" y="0"/>
              </wp:wrapPolygon>
            </wp:wrapThrough>
            <wp:docPr id="9023471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47162" name="Imagen 90234716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165" cy="189230"/>
                    </a:xfrm>
                    <a:prstGeom prst="rect">
                      <a:avLst/>
                    </a:prstGeom>
                  </pic:spPr>
                </pic:pic>
              </a:graphicData>
            </a:graphic>
            <wp14:sizeRelH relativeFrom="page">
              <wp14:pctWidth>0</wp14:pctWidth>
            </wp14:sizeRelH>
            <wp14:sizeRelV relativeFrom="page">
              <wp14:pctHeight>0</wp14:pctHeight>
            </wp14:sizeRelV>
          </wp:anchor>
        </w:drawing>
      </w:r>
    </w:p>
    <w:p w:rsidR="009E65DA" w:rsidRPr="005F31A4" w:rsidRDefault="009E65DA" w:rsidP="00BE2484">
      <w:pPr>
        <w:spacing w:before="100" w:beforeAutospacing="1" w:after="100" w:afterAutospacing="1" w:line="240" w:lineRule="auto"/>
        <w:jc w:val="both"/>
        <w:rPr>
          <w:rFonts w:asciiTheme="minorHAnsi" w:hAnsiTheme="minorHAnsi" w:cstheme="minorHAnsi"/>
          <w:sz w:val="20"/>
        </w:rPr>
      </w:pPr>
      <w:r w:rsidRPr="005F31A4">
        <w:rPr>
          <w:rFonts w:asciiTheme="minorHAnsi" w:hAnsiTheme="minorHAnsi" w:cstheme="minorHAnsi"/>
          <w:sz w:val="20"/>
        </w:rPr>
        <w:t>Los rangos de edad que concentraron mayor población fueron 10 a 14 años (305,853 habitantes), 15 a 19 años (294,950 habitantes) y 5 a 9 años (294,344 habitantes). Entre ellos concentraron el 25.4% de la población total.</w:t>
      </w:r>
    </w:p>
    <w:p w:rsidR="009E65DA" w:rsidRPr="00BE2484" w:rsidRDefault="009E65DA" w:rsidP="00BE2484">
      <w:pPr>
        <w:spacing w:before="100" w:beforeAutospacing="1" w:after="100" w:afterAutospacing="1" w:line="240" w:lineRule="auto"/>
        <w:jc w:val="both"/>
        <w:rPr>
          <w:rFonts w:asciiTheme="minorHAnsi" w:hAnsiTheme="minorHAnsi" w:cstheme="minorHAnsi"/>
          <w:b/>
          <w:sz w:val="20"/>
        </w:rPr>
      </w:pPr>
      <w:r w:rsidRPr="00BE2484">
        <w:rPr>
          <w:rFonts w:asciiTheme="minorHAnsi" w:hAnsiTheme="minorHAnsi" w:cstheme="minorHAnsi"/>
          <w:b/>
          <w:sz w:val="20"/>
        </w:rPr>
        <w:t>Población Económicamente Activa (PEA</w:t>
      </w:r>
      <w:proofErr w:type="gramStart"/>
      <w:r w:rsidRPr="00BE2484">
        <w:rPr>
          <w:rFonts w:asciiTheme="minorHAnsi" w:hAnsiTheme="minorHAnsi" w:cstheme="minorHAnsi"/>
          <w:b/>
          <w:sz w:val="20"/>
        </w:rPr>
        <w:t>).-</w:t>
      </w:r>
      <w:proofErr w:type="gramEnd"/>
      <w:r w:rsidRPr="00BE2484">
        <w:rPr>
          <w:rFonts w:asciiTheme="minorHAnsi" w:hAnsiTheme="minorHAnsi" w:cstheme="minorHAnsi"/>
          <w:b/>
          <w:sz w:val="20"/>
        </w:rPr>
        <w:t xml:space="preserve"> </w:t>
      </w:r>
    </w:p>
    <w:p w:rsidR="009E65DA" w:rsidRPr="005F31A4" w:rsidRDefault="009E65DA" w:rsidP="00BE2484">
      <w:pPr>
        <w:spacing w:before="100" w:beforeAutospacing="1" w:after="100" w:afterAutospacing="1" w:line="240" w:lineRule="auto"/>
        <w:jc w:val="both"/>
        <w:rPr>
          <w:rFonts w:asciiTheme="minorHAnsi" w:hAnsiTheme="minorHAnsi" w:cstheme="minorHAnsi"/>
          <w:sz w:val="20"/>
        </w:rPr>
      </w:pPr>
      <w:r w:rsidRPr="005F31A4">
        <w:rPr>
          <w:rFonts w:asciiTheme="minorHAnsi" w:hAnsiTheme="minorHAnsi" w:cstheme="minorHAnsi"/>
          <w:sz w:val="20"/>
        </w:rPr>
        <w:t>En el segundo trimestre de 2023, la tasa de participación laboral en Tamaulipas fue 61.1%, lo que implicó un aumento de 1.44 puntos porcentuales respecto al trimestre anterior (59.7%), de los cuales 40.1% corresponde a mujeres y 59.9 a hombres.</w:t>
      </w:r>
    </w:p>
    <w:p w:rsidR="009E65DA" w:rsidRPr="005F31A4" w:rsidRDefault="009E65DA" w:rsidP="00BE2484">
      <w:pPr>
        <w:spacing w:before="100" w:beforeAutospacing="1" w:after="100" w:afterAutospacing="1" w:line="240" w:lineRule="auto"/>
        <w:jc w:val="both"/>
        <w:rPr>
          <w:rFonts w:asciiTheme="minorHAnsi" w:hAnsiTheme="minorHAnsi" w:cstheme="minorHAnsi"/>
          <w:sz w:val="20"/>
        </w:rPr>
      </w:pPr>
      <w:r w:rsidRPr="005F31A4">
        <w:rPr>
          <w:rFonts w:asciiTheme="minorHAnsi" w:hAnsiTheme="minorHAnsi" w:cstheme="minorHAnsi"/>
          <w:sz w:val="20"/>
        </w:rPr>
        <w:t>El salario promedio mensual en el segundo trimestre de 2023 fue de $7.57 siendo inferior en $108 MX respecto al trimestre anterior ($7.68k MX).</w:t>
      </w:r>
    </w:p>
    <w:p w:rsidR="009E65DA" w:rsidRDefault="009E65DA" w:rsidP="00BE2484">
      <w:pPr>
        <w:spacing w:before="100" w:beforeAutospacing="1" w:after="100" w:afterAutospacing="1" w:line="240" w:lineRule="auto"/>
        <w:jc w:val="both"/>
        <w:rPr>
          <w:rFonts w:asciiTheme="minorHAnsi" w:hAnsiTheme="minorHAnsi" w:cstheme="minorHAnsi"/>
          <w:sz w:val="20"/>
        </w:rPr>
      </w:pPr>
      <w:r w:rsidRPr="005F31A4">
        <w:rPr>
          <w:rFonts w:asciiTheme="minorHAnsi" w:hAnsiTheme="minorHAnsi" w:cstheme="minorHAnsi"/>
          <w:sz w:val="20"/>
        </w:rPr>
        <w:t>En segundo trimestre de 2023, Tamaulipas tuvo 1,648,370 ocupados, de los cuales las ocupaciones que concentran mayor número de trabajadores fueron Empleados de Ventas, Despachadores y Dependientes en Comercios (82.7k), Comerciantes en Establecimientos (71k) y Trabajadores Domésticos (46.8k). Se registraron 53.6k desempleados (tasa de desempleo de 3.15%).</w:t>
      </w:r>
    </w:p>
    <w:p w:rsidR="0033507E" w:rsidRPr="005F31A4" w:rsidRDefault="0033507E" w:rsidP="00BE2484">
      <w:pPr>
        <w:spacing w:before="100" w:beforeAutospacing="1" w:after="100" w:afterAutospacing="1" w:line="240" w:lineRule="auto"/>
        <w:jc w:val="both"/>
        <w:rPr>
          <w:rFonts w:asciiTheme="minorHAnsi" w:hAnsiTheme="minorHAnsi" w:cstheme="minorHAnsi"/>
          <w:sz w:val="20"/>
        </w:rPr>
      </w:pPr>
    </w:p>
    <w:p w:rsidR="009E65DA" w:rsidRPr="005F31A4" w:rsidRDefault="009E65DA" w:rsidP="00BE2484">
      <w:pPr>
        <w:spacing w:before="100" w:beforeAutospacing="1" w:after="100" w:afterAutospacing="1" w:line="240" w:lineRule="auto"/>
        <w:jc w:val="both"/>
        <w:rPr>
          <w:rFonts w:asciiTheme="minorHAnsi" w:hAnsiTheme="minorHAnsi" w:cstheme="minorHAnsi"/>
          <w:b/>
          <w:color w:val="000000" w:themeColor="text1"/>
          <w:szCs w:val="24"/>
        </w:rPr>
      </w:pPr>
      <w:r w:rsidRPr="005F31A4">
        <w:rPr>
          <w:rFonts w:asciiTheme="minorHAnsi" w:hAnsiTheme="minorHAnsi" w:cstheme="minorHAnsi"/>
          <w:b/>
          <w:color w:val="000000" w:themeColor="text1"/>
          <w:szCs w:val="24"/>
        </w:rPr>
        <w:lastRenderedPageBreak/>
        <w:t xml:space="preserve">Inmigración </w:t>
      </w:r>
      <w:r w:rsidR="00BE2484" w:rsidRPr="005F31A4">
        <w:rPr>
          <w:rFonts w:asciiTheme="minorHAnsi" w:hAnsiTheme="minorHAnsi" w:cstheme="minorHAnsi"/>
          <w:b/>
          <w:color w:val="000000" w:themeColor="text1"/>
          <w:szCs w:val="24"/>
        </w:rPr>
        <w:t>Extranjera. -</w:t>
      </w:r>
    </w:p>
    <w:p w:rsidR="009E65DA" w:rsidRPr="005F31A4" w:rsidRDefault="009E65DA" w:rsidP="00BE2484">
      <w:pPr>
        <w:spacing w:before="100" w:beforeAutospacing="1" w:after="100" w:afterAutospacing="1" w:line="240" w:lineRule="auto"/>
        <w:jc w:val="both"/>
        <w:rPr>
          <w:rFonts w:asciiTheme="minorHAnsi" w:hAnsiTheme="minorHAnsi" w:cstheme="minorHAnsi"/>
          <w:color w:val="000000" w:themeColor="text1"/>
          <w:sz w:val="20"/>
        </w:rPr>
      </w:pPr>
      <w:r w:rsidRPr="005F31A4">
        <w:rPr>
          <w:rFonts w:asciiTheme="minorHAnsi" w:hAnsiTheme="minorHAnsi" w:cstheme="minorHAnsi"/>
          <w:color w:val="000000" w:themeColor="text1"/>
          <w:sz w:val="20"/>
        </w:rPr>
        <w:t>La mayor cantidad de migrantes que ingresó a Tamaulipas en los últimos 5 años provino de Estados Unidos (14.4k personas), Cuba (1.41k personas) y Honduras (314 personas).</w:t>
      </w:r>
    </w:p>
    <w:p w:rsidR="009E65DA" w:rsidRPr="005F31A4" w:rsidRDefault="009E65DA" w:rsidP="00BE2484">
      <w:pPr>
        <w:spacing w:before="100" w:beforeAutospacing="1" w:after="100" w:afterAutospacing="1" w:line="240" w:lineRule="auto"/>
        <w:jc w:val="both"/>
        <w:rPr>
          <w:rFonts w:asciiTheme="minorHAnsi" w:hAnsiTheme="minorHAnsi" w:cstheme="minorHAnsi"/>
          <w:color w:val="000000" w:themeColor="text1"/>
          <w:sz w:val="20"/>
        </w:rPr>
      </w:pPr>
      <w:r w:rsidRPr="005F31A4">
        <w:rPr>
          <w:rFonts w:asciiTheme="minorHAnsi" w:hAnsiTheme="minorHAnsi" w:cstheme="minorHAnsi"/>
          <w:color w:val="000000" w:themeColor="text1"/>
          <w:sz w:val="20"/>
        </w:rPr>
        <w:t>Las principales causas de migración a Tamaulipas en los últimos años fueron familiares (7.46k personas), legales (2.3k personas) y laborales (1.66k personas).</w:t>
      </w:r>
    </w:p>
    <w:p w:rsidR="009E65DA" w:rsidRPr="005F31A4" w:rsidRDefault="009E65DA" w:rsidP="00BE2484">
      <w:pPr>
        <w:spacing w:before="100" w:beforeAutospacing="1" w:after="100" w:afterAutospacing="1" w:line="240" w:lineRule="auto"/>
        <w:jc w:val="both"/>
        <w:rPr>
          <w:rFonts w:asciiTheme="minorHAnsi" w:hAnsiTheme="minorHAnsi" w:cstheme="minorHAnsi"/>
          <w:b/>
          <w:color w:val="000000" w:themeColor="text1"/>
          <w:szCs w:val="24"/>
        </w:rPr>
      </w:pPr>
      <w:r w:rsidRPr="005F31A4">
        <w:rPr>
          <w:rFonts w:asciiTheme="minorHAnsi" w:hAnsiTheme="minorHAnsi" w:cstheme="minorHAnsi"/>
          <w:b/>
          <w:color w:val="000000" w:themeColor="text1"/>
          <w:szCs w:val="24"/>
        </w:rPr>
        <w:t xml:space="preserve">Inmigración </w:t>
      </w:r>
      <w:r w:rsidR="00BE2484" w:rsidRPr="005F31A4">
        <w:rPr>
          <w:rFonts w:asciiTheme="minorHAnsi" w:hAnsiTheme="minorHAnsi" w:cstheme="minorHAnsi"/>
          <w:b/>
          <w:color w:val="000000" w:themeColor="text1"/>
          <w:szCs w:val="24"/>
        </w:rPr>
        <w:t>Interna. -</w:t>
      </w:r>
    </w:p>
    <w:p w:rsidR="009E65DA" w:rsidRPr="005F31A4" w:rsidRDefault="009E65DA" w:rsidP="00BE2484">
      <w:pPr>
        <w:spacing w:before="100" w:beforeAutospacing="1" w:after="100" w:afterAutospacing="1" w:line="240" w:lineRule="auto"/>
        <w:rPr>
          <w:rFonts w:asciiTheme="minorHAnsi" w:hAnsiTheme="minorHAnsi" w:cstheme="minorHAnsi"/>
          <w:color w:val="000000" w:themeColor="text1"/>
          <w:sz w:val="20"/>
        </w:rPr>
      </w:pPr>
      <w:r w:rsidRPr="005F31A4">
        <w:rPr>
          <w:rFonts w:asciiTheme="minorHAnsi" w:hAnsiTheme="minorHAnsi" w:cstheme="minorHAnsi"/>
          <w:color w:val="000000" w:themeColor="text1"/>
          <w:sz w:val="20"/>
        </w:rPr>
        <w:t>La mayor cantidad de inmigrantes que llegaron a Tamaulipas provienen de Veracruz de Ignacio de la Llave (48.2k personas, 44.5% del total de migrantes), Nuevo León (11k personas, 10.2% del total de migrantes) y San Luis Potosí (7.06k personas, 6.52% del total de migrantes).</w:t>
      </w:r>
    </w:p>
    <w:p w:rsidR="009E65DA" w:rsidRPr="005F31A4" w:rsidRDefault="00FE223F" w:rsidP="00BE2484">
      <w:pPr>
        <w:spacing w:before="100" w:beforeAutospacing="1" w:after="100" w:afterAutospacing="1" w:line="240" w:lineRule="auto"/>
        <w:rPr>
          <w:rFonts w:asciiTheme="minorHAnsi" w:hAnsiTheme="minorHAnsi" w:cstheme="minorHAnsi"/>
          <w:color w:val="AB0033"/>
          <w:sz w:val="20"/>
        </w:rPr>
      </w:pPr>
      <w:hyperlink r:id="rId23" w:anchor="budget-transparency" w:history="1">
        <w:r w:rsidR="009E65DA" w:rsidRPr="005F31A4">
          <w:rPr>
            <w:rStyle w:val="Hipervnculo"/>
            <w:rFonts w:asciiTheme="minorHAnsi" w:hAnsiTheme="minorHAnsi" w:cstheme="minorHAnsi"/>
            <w:color w:val="AB0033"/>
            <w:sz w:val="20"/>
          </w:rPr>
          <w:t>https://www.economia.gob.mx/datamexico/es/profile/geo/tamaulipas-tm?fdiTimeSelector=Quarter&amp;redirect=true&amp;workforceSelector=workforceOption&amp;yearQuarterRemittances=quarterOption#budget-transparency</w:t>
        </w:r>
      </w:hyperlink>
    </w:p>
    <w:p w:rsidR="009E65DA" w:rsidRPr="005F31A4" w:rsidRDefault="009E65DA" w:rsidP="00BE2484">
      <w:pPr>
        <w:spacing w:before="100" w:beforeAutospacing="1" w:after="100" w:afterAutospacing="1" w:line="240" w:lineRule="auto"/>
        <w:jc w:val="both"/>
        <w:rPr>
          <w:rFonts w:asciiTheme="minorHAnsi" w:hAnsiTheme="minorHAnsi" w:cstheme="minorHAnsi"/>
          <w:b/>
          <w:bCs/>
          <w:color w:val="000000" w:themeColor="text1"/>
          <w:szCs w:val="24"/>
        </w:rPr>
      </w:pPr>
      <w:r w:rsidRPr="005F31A4">
        <w:rPr>
          <w:rFonts w:asciiTheme="minorHAnsi" w:hAnsiTheme="minorHAnsi" w:cstheme="minorHAnsi"/>
          <w:b/>
          <w:bCs/>
          <w:color w:val="000000" w:themeColor="text1"/>
          <w:szCs w:val="24"/>
        </w:rPr>
        <w:t>1.3.2.- Captación de Inversión Extranjera Directa. (IED)</w:t>
      </w:r>
      <w:r w:rsidRPr="005F31A4">
        <w:rPr>
          <w:rFonts w:asciiTheme="minorHAnsi" w:hAnsiTheme="minorHAnsi" w:cstheme="minorHAnsi"/>
          <w:b/>
          <w:bCs/>
          <w:color w:val="C00000"/>
          <w:szCs w:val="24"/>
        </w:rPr>
        <w:t xml:space="preserve"> </w:t>
      </w:r>
    </w:p>
    <w:p w:rsidR="009E65DA" w:rsidRPr="005F31A4" w:rsidRDefault="009E65DA" w:rsidP="00BE2484">
      <w:pPr>
        <w:spacing w:before="100" w:beforeAutospacing="1" w:after="100" w:afterAutospacing="1" w:line="240" w:lineRule="auto"/>
        <w:jc w:val="both"/>
        <w:rPr>
          <w:rFonts w:asciiTheme="minorHAnsi" w:hAnsiTheme="minorHAnsi" w:cstheme="minorHAnsi"/>
          <w:sz w:val="20"/>
        </w:rPr>
      </w:pPr>
      <w:r w:rsidRPr="005F31A4">
        <w:rPr>
          <w:rFonts w:asciiTheme="minorHAnsi" w:hAnsiTheme="minorHAnsi" w:cstheme="minorHAnsi"/>
          <w:sz w:val="20"/>
        </w:rPr>
        <w:t>En el periodo enero a junio de 2023, la IED en Tamaulipas alcanzó los US$324M, distribuidos en reinversión de utilidades (US$186M), cuentas entre compañías (US$120M) y nuevas inversiones (US$17.5M).</w:t>
      </w:r>
    </w:p>
    <w:p w:rsidR="009E65DA" w:rsidRPr="005F31A4" w:rsidRDefault="009E65DA" w:rsidP="00BE2484">
      <w:pPr>
        <w:spacing w:before="100" w:beforeAutospacing="1" w:after="100" w:afterAutospacing="1" w:line="240" w:lineRule="auto"/>
        <w:jc w:val="both"/>
        <w:rPr>
          <w:rFonts w:asciiTheme="minorHAnsi" w:hAnsiTheme="minorHAnsi" w:cstheme="minorHAnsi"/>
          <w:sz w:val="20"/>
        </w:rPr>
      </w:pPr>
      <w:r w:rsidRPr="005F31A4">
        <w:rPr>
          <w:rFonts w:asciiTheme="minorHAnsi" w:hAnsiTheme="minorHAnsi" w:cstheme="minorHAnsi"/>
          <w:sz w:val="20"/>
        </w:rPr>
        <w:t>Desde enero de 1999 a junio de 2023, Tamaulipas acumula un total de US$25,313M en IED, distribuidos en cuentas entre compañías (US$11,790M), nuevas inversiones (US$8,488M) y reinversión de utilidades (US$5,036M).</w:t>
      </w:r>
    </w:p>
    <w:p w:rsidR="009E65DA" w:rsidRPr="005F31A4" w:rsidRDefault="009E65DA" w:rsidP="00BE2484">
      <w:pPr>
        <w:spacing w:before="100" w:beforeAutospacing="1" w:after="100" w:afterAutospacing="1" w:line="240" w:lineRule="auto"/>
        <w:jc w:val="both"/>
        <w:rPr>
          <w:rFonts w:asciiTheme="minorHAnsi" w:hAnsiTheme="minorHAnsi" w:cstheme="minorHAnsi"/>
          <w:sz w:val="20"/>
        </w:rPr>
      </w:pPr>
      <w:r w:rsidRPr="005F31A4">
        <w:rPr>
          <w:rFonts w:asciiTheme="minorHAnsi" w:hAnsiTheme="minorHAnsi" w:cstheme="minorHAnsi"/>
          <w:sz w:val="20"/>
        </w:rPr>
        <w:t>Desde enero a junio de 2023, los principales países de origen de la IED en Tamaulipas fueron Estados Unidos (US$157M), España (US$48.3M) y Japón (US$26.9M).</w:t>
      </w:r>
    </w:p>
    <w:p w:rsidR="009E65DA" w:rsidRPr="005F31A4" w:rsidRDefault="009E65DA" w:rsidP="00BE2484">
      <w:pPr>
        <w:spacing w:before="100" w:beforeAutospacing="1" w:after="100" w:afterAutospacing="1" w:line="240" w:lineRule="auto"/>
        <w:jc w:val="both"/>
        <w:rPr>
          <w:rFonts w:asciiTheme="minorHAnsi" w:hAnsiTheme="minorHAnsi" w:cstheme="minorHAnsi"/>
          <w:sz w:val="20"/>
        </w:rPr>
      </w:pPr>
      <w:r w:rsidRPr="005F31A4">
        <w:rPr>
          <w:rFonts w:asciiTheme="minorHAnsi" w:hAnsiTheme="minorHAnsi" w:cstheme="minorHAnsi"/>
          <w:sz w:val="20"/>
        </w:rPr>
        <w:t>Entre enero de 1999 y junio de 2023, los países que más han aportado a la IED son Estados Unidos (US$13,753M), España (US$2,765M) y Japón (US$1,909M).</w:t>
      </w:r>
    </w:p>
    <w:p w:rsidR="009E65DA" w:rsidRPr="005F31A4" w:rsidRDefault="00FE223F" w:rsidP="00BE2484">
      <w:pPr>
        <w:spacing w:before="100" w:beforeAutospacing="1" w:after="100" w:afterAutospacing="1" w:line="240" w:lineRule="auto"/>
        <w:rPr>
          <w:rFonts w:asciiTheme="minorHAnsi" w:hAnsiTheme="minorHAnsi" w:cstheme="minorHAnsi"/>
          <w:color w:val="AB0033"/>
          <w:sz w:val="20"/>
        </w:rPr>
      </w:pPr>
      <w:hyperlink r:id="rId24" w:anchor="budget-transparency" w:history="1">
        <w:r w:rsidR="009E65DA" w:rsidRPr="005F31A4">
          <w:rPr>
            <w:rStyle w:val="Hipervnculo"/>
            <w:rFonts w:asciiTheme="minorHAnsi" w:hAnsiTheme="minorHAnsi" w:cstheme="minorHAnsi"/>
            <w:color w:val="AB0033"/>
            <w:sz w:val="20"/>
          </w:rPr>
          <w:t>https://www.economia.gob.mx/datamexico/es/profile/geo/tamaulipas-tm?fdiTimeSelector=Quarter&amp;redirect=true&amp;workforceSelector=workforceOption&amp;yearQuarterRemittances=quarterOption#budget-transparency</w:t>
        </w:r>
      </w:hyperlink>
    </w:p>
    <w:p w:rsidR="009E65DA" w:rsidRPr="005F31A4" w:rsidRDefault="00951CC3" w:rsidP="00BE2484">
      <w:pPr>
        <w:spacing w:before="100" w:beforeAutospacing="1" w:after="100" w:afterAutospacing="1" w:line="240" w:lineRule="auto"/>
        <w:jc w:val="both"/>
        <w:rPr>
          <w:rFonts w:asciiTheme="minorHAnsi" w:hAnsiTheme="minorHAnsi" w:cstheme="minorHAnsi"/>
          <w:b/>
          <w:color w:val="FF0000"/>
          <w:szCs w:val="24"/>
        </w:rPr>
      </w:pPr>
      <w:r w:rsidRPr="005F31A4">
        <w:rPr>
          <w:rFonts w:asciiTheme="minorHAnsi" w:hAnsiTheme="minorHAnsi" w:cstheme="minorHAnsi"/>
          <w:b/>
          <w:bCs/>
          <w:color w:val="000000" w:themeColor="text1"/>
          <w:szCs w:val="24"/>
        </w:rPr>
        <w:t>1</w:t>
      </w:r>
      <w:r w:rsidR="009E65DA" w:rsidRPr="005F31A4">
        <w:rPr>
          <w:rFonts w:asciiTheme="minorHAnsi" w:hAnsiTheme="minorHAnsi" w:cstheme="minorHAnsi"/>
          <w:b/>
          <w:bCs/>
          <w:color w:val="000000" w:themeColor="text1"/>
          <w:szCs w:val="24"/>
        </w:rPr>
        <w:t>.3.3.- Producto Interno Bruto Estatal. (PIB Estatal)</w:t>
      </w:r>
    </w:p>
    <w:p w:rsidR="009E65DA" w:rsidRPr="005F31A4" w:rsidRDefault="009E65DA" w:rsidP="00BE2484">
      <w:pPr>
        <w:spacing w:before="100" w:beforeAutospacing="1" w:after="100" w:afterAutospacing="1" w:line="240" w:lineRule="auto"/>
        <w:jc w:val="both"/>
        <w:rPr>
          <w:rFonts w:asciiTheme="minorHAnsi" w:hAnsiTheme="minorHAnsi" w:cstheme="minorHAnsi"/>
          <w:sz w:val="20"/>
        </w:rPr>
      </w:pPr>
      <w:r w:rsidRPr="005F31A4">
        <w:rPr>
          <w:rFonts w:asciiTheme="minorHAnsi" w:hAnsiTheme="minorHAnsi" w:cstheme="minorHAnsi"/>
          <w:sz w:val="20"/>
        </w:rPr>
        <w:t xml:space="preserve">Según el </w:t>
      </w:r>
      <w:r w:rsidR="00BE2484" w:rsidRPr="005F31A4">
        <w:rPr>
          <w:rFonts w:asciiTheme="minorHAnsi" w:hAnsiTheme="minorHAnsi" w:cstheme="minorHAnsi"/>
          <w:sz w:val="20"/>
        </w:rPr>
        <w:t>último</w:t>
      </w:r>
      <w:r w:rsidRPr="005F31A4">
        <w:rPr>
          <w:rFonts w:asciiTheme="minorHAnsi" w:hAnsiTheme="minorHAnsi" w:cstheme="minorHAnsi"/>
          <w:sz w:val="20"/>
        </w:rPr>
        <w:t xml:space="preserve"> informe publicado por el Indicador Trimestral de la Actividad </w:t>
      </w:r>
      <w:r w:rsidR="00BE2484" w:rsidRPr="005F31A4">
        <w:rPr>
          <w:rFonts w:asciiTheme="minorHAnsi" w:hAnsiTheme="minorHAnsi" w:cstheme="minorHAnsi"/>
          <w:sz w:val="20"/>
        </w:rPr>
        <w:t>Económica</w:t>
      </w:r>
      <w:r w:rsidRPr="005F31A4">
        <w:rPr>
          <w:rFonts w:asciiTheme="minorHAnsi" w:hAnsiTheme="minorHAnsi" w:cstheme="minorHAnsi"/>
          <w:sz w:val="20"/>
        </w:rPr>
        <w:t xml:space="preserve"> Estatal (ITAEE), el cual ofrece un panorama sobre la evolución económica de las entidades federativas del país, publicado con fecha 27 de octubre de 2023, durante </w:t>
      </w:r>
      <w:r w:rsidR="008E48E4" w:rsidRPr="005F31A4">
        <w:rPr>
          <w:rFonts w:asciiTheme="minorHAnsi" w:hAnsiTheme="minorHAnsi" w:cstheme="minorHAnsi"/>
          <w:sz w:val="20"/>
        </w:rPr>
        <w:t>EL</w:t>
      </w:r>
      <w:r w:rsidRPr="005F31A4">
        <w:rPr>
          <w:rFonts w:asciiTheme="minorHAnsi" w:hAnsiTheme="minorHAnsi" w:cstheme="minorHAnsi"/>
          <w:sz w:val="20"/>
        </w:rPr>
        <w:t xml:space="preserve"> 2023, la actividad económica de Tamaulipas mostró un movimiento anual de -2.5 por ciento; Este resultó de la reducción de las actividades primarias de 2.9 % y de las secundarias de 9.2 por ciento. Por su parte, las terciarias registraron un crecimiento de 3 por ciento.</w:t>
      </w:r>
    </w:p>
    <w:p w:rsidR="009E65DA" w:rsidRPr="005F31A4" w:rsidRDefault="009E65DA" w:rsidP="00BE2484">
      <w:pPr>
        <w:spacing w:before="100" w:beforeAutospacing="1" w:after="100" w:afterAutospacing="1" w:line="240" w:lineRule="auto"/>
        <w:jc w:val="both"/>
        <w:rPr>
          <w:rFonts w:asciiTheme="minorHAnsi" w:hAnsiTheme="minorHAnsi" w:cstheme="minorHAnsi"/>
          <w:sz w:val="20"/>
        </w:rPr>
      </w:pPr>
      <w:r w:rsidRPr="005F31A4">
        <w:rPr>
          <w:rFonts w:asciiTheme="minorHAnsi" w:hAnsiTheme="minorHAnsi" w:cstheme="minorHAnsi"/>
          <w:sz w:val="20"/>
        </w:rPr>
        <w:t>Durante el periodo enero a junio de 2023, el acumulado de la actividad económica estatal cayó 1.3 %, por el retroceso en las actividades primarias y secundarias de 4.3 y 5.9 %, respectivamente; a su vez, las terciarias avanzaron 2.6 por ciento.</w:t>
      </w:r>
    </w:p>
    <w:p w:rsidR="009E65DA" w:rsidRPr="005F31A4" w:rsidRDefault="009E65DA" w:rsidP="00BE2484">
      <w:pPr>
        <w:spacing w:before="100" w:beforeAutospacing="1" w:after="100" w:afterAutospacing="1" w:line="240" w:lineRule="auto"/>
        <w:jc w:val="both"/>
        <w:rPr>
          <w:rFonts w:asciiTheme="minorHAnsi" w:hAnsiTheme="minorHAnsi" w:cstheme="minorHAnsi"/>
          <w:color w:val="000000" w:themeColor="text1"/>
          <w:sz w:val="20"/>
        </w:rPr>
      </w:pPr>
      <w:r w:rsidRPr="005F31A4">
        <w:rPr>
          <w:rFonts w:asciiTheme="minorHAnsi" w:hAnsiTheme="minorHAnsi" w:cstheme="minorHAnsi"/>
          <w:color w:val="000000" w:themeColor="text1"/>
          <w:sz w:val="20"/>
        </w:rPr>
        <w:lastRenderedPageBreak/>
        <w:t>En el presente trimestre las actividades secundarias contribuyeron -4.1 %, a la variación total del estado. Por su parte, en los primeros seis meses del año, igualmente, las actividades secundarias fueron las de mayor aportación.</w:t>
      </w:r>
    </w:p>
    <w:p w:rsidR="009E65DA" w:rsidRPr="005F31A4" w:rsidRDefault="009E65DA" w:rsidP="00BE2484">
      <w:pPr>
        <w:spacing w:before="100" w:beforeAutospacing="1" w:after="100" w:afterAutospacing="1" w:line="240" w:lineRule="auto"/>
        <w:jc w:val="both"/>
        <w:rPr>
          <w:rFonts w:asciiTheme="minorHAnsi" w:hAnsiTheme="minorHAnsi" w:cstheme="minorHAnsi"/>
          <w:b/>
          <w:bCs/>
          <w:color w:val="000000" w:themeColor="text1"/>
          <w:szCs w:val="24"/>
        </w:rPr>
      </w:pPr>
      <w:r w:rsidRPr="005F31A4">
        <w:rPr>
          <w:rFonts w:asciiTheme="minorHAnsi" w:hAnsiTheme="minorHAnsi" w:cstheme="minorHAnsi"/>
          <w:b/>
          <w:bCs/>
          <w:color w:val="000000" w:themeColor="text1"/>
          <w:szCs w:val="24"/>
        </w:rPr>
        <w:t>Actividades primarias</w:t>
      </w:r>
    </w:p>
    <w:p w:rsidR="009E65DA" w:rsidRPr="005F31A4" w:rsidRDefault="009E65DA" w:rsidP="00BE2484">
      <w:pPr>
        <w:spacing w:before="100" w:beforeAutospacing="1" w:after="100" w:afterAutospacing="1" w:line="240" w:lineRule="auto"/>
        <w:jc w:val="both"/>
        <w:rPr>
          <w:rFonts w:asciiTheme="minorHAnsi" w:hAnsiTheme="minorHAnsi" w:cstheme="minorHAnsi"/>
          <w:color w:val="000000" w:themeColor="text1"/>
          <w:sz w:val="20"/>
        </w:rPr>
      </w:pPr>
      <w:r w:rsidRPr="005F31A4">
        <w:rPr>
          <w:rFonts w:asciiTheme="minorHAnsi" w:hAnsiTheme="minorHAnsi" w:cstheme="minorHAnsi"/>
          <w:color w:val="000000" w:themeColor="text1"/>
          <w:sz w:val="20"/>
        </w:rPr>
        <w:t xml:space="preserve">Las actividades primarias corresponden a los sectores dedicados a la agricultura, </w:t>
      </w:r>
      <w:r w:rsidR="008E48E4" w:rsidRPr="005F31A4">
        <w:rPr>
          <w:rFonts w:asciiTheme="minorHAnsi" w:hAnsiTheme="minorHAnsi" w:cstheme="minorHAnsi"/>
          <w:color w:val="000000" w:themeColor="text1"/>
          <w:sz w:val="20"/>
        </w:rPr>
        <w:t>cría</w:t>
      </w:r>
      <w:r w:rsidRPr="005F31A4">
        <w:rPr>
          <w:rFonts w:asciiTheme="minorHAnsi" w:hAnsiTheme="minorHAnsi" w:cstheme="minorHAnsi"/>
          <w:color w:val="000000" w:themeColor="text1"/>
          <w:sz w:val="20"/>
        </w:rPr>
        <w:t xml:space="preserve"> y </w:t>
      </w:r>
      <w:r w:rsidR="008E48E4" w:rsidRPr="005F31A4">
        <w:rPr>
          <w:rFonts w:asciiTheme="minorHAnsi" w:hAnsiTheme="minorHAnsi" w:cstheme="minorHAnsi"/>
          <w:color w:val="000000" w:themeColor="text1"/>
          <w:sz w:val="20"/>
        </w:rPr>
        <w:t>explotación</w:t>
      </w:r>
      <w:r w:rsidRPr="005F31A4">
        <w:rPr>
          <w:rFonts w:asciiTheme="minorHAnsi" w:hAnsiTheme="minorHAnsi" w:cstheme="minorHAnsi"/>
          <w:color w:val="000000" w:themeColor="text1"/>
          <w:sz w:val="20"/>
        </w:rPr>
        <w:t xml:space="preserve"> de animales, aprovechamiento forestal, pesca y caza, dentro de esta clasificación se obtuvo un decremento anual de 2.9 %, principalmente por el comportamiento de la agricultura.</w:t>
      </w:r>
    </w:p>
    <w:p w:rsidR="009E65DA" w:rsidRPr="005F31A4" w:rsidRDefault="009E65DA" w:rsidP="00BE2484">
      <w:pPr>
        <w:spacing w:before="100" w:beforeAutospacing="1" w:after="100" w:afterAutospacing="1" w:line="240" w:lineRule="auto"/>
        <w:jc w:val="both"/>
        <w:rPr>
          <w:rFonts w:asciiTheme="minorHAnsi" w:hAnsiTheme="minorHAnsi" w:cstheme="minorHAnsi"/>
          <w:b/>
          <w:bCs/>
          <w:color w:val="000000" w:themeColor="text1"/>
          <w:sz w:val="20"/>
        </w:rPr>
      </w:pPr>
      <w:r w:rsidRPr="005F31A4">
        <w:rPr>
          <w:rFonts w:asciiTheme="minorHAnsi" w:hAnsiTheme="minorHAnsi" w:cstheme="minorHAnsi"/>
          <w:b/>
          <w:bCs/>
          <w:color w:val="000000" w:themeColor="text1"/>
          <w:sz w:val="20"/>
        </w:rPr>
        <w:t>Actividades secundarias</w:t>
      </w:r>
    </w:p>
    <w:p w:rsidR="009E65DA" w:rsidRPr="005F31A4" w:rsidRDefault="009E65DA" w:rsidP="00BE2484">
      <w:pPr>
        <w:spacing w:before="100" w:beforeAutospacing="1" w:after="100" w:afterAutospacing="1" w:line="240" w:lineRule="auto"/>
        <w:jc w:val="both"/>
        <w:rPr>
          <w:rFonts w:asciiTheme="minorHAnsi" w:hAnsiTheme="minorHAnsi" w:cstheme="minorHAnsi"/>
          <w:color w:val="000000" w:themeColor="text1"/>
          <w:sz w:val="20"/>
        </w:rPr>
      </w:pPr>
      <w:r w:rsidRPr="005F31A4">
        <w:rPr>
          <w:rFonts w:asciiTheme="minorHAnsi" w:hAnsiTheme="minorHAnsi" w:cstheme="minorHAnsi"/>
          <w:color w:val="000000" w:themeColor="text1"/>
          <w:sz w:val="20"/>
        </w:rPr>
        <w:t xml:space="preserve">Las actividades secundarias corresponden a los sectores dedicados a la industria de la </w:t>
      </w:r>
      <w:r w:rsidR="00BE2484" w:rsidRPr="005F31A4">
        <w:rPr>
          <w:rFonts w:asciiTheme="minorHAnsi" w:hAnsiTheme="minorHAnsi" w:cstheme="minorHAnsi"/>
          <w:color w:val="000000" w:themeColor="text1"/>
          <w:sz w:val="20"/>
        </w:rPr>
        <w:t>minería</w:t>
      </w:r>
      <w:r w:rsidRPr="005F31A4">
        <w:rPr>
          <w:rFonts w:asciiTheme="minorHAnsi" w:hAnsiTheme="minorHAnsi" w:cstheme="minorHAnsi"/>
          <w:color w:val="000000" w:themeColor="text1"/>
          <w:sz w:val="20"/>
        </w:rPr>
        <w:t xml:space="preserve">, manufacturas, </w:t>
      </w:r>
      <w:r w:rsidR="004179D0" w:rsidRPr="005F31A4">
        <w:rPr>
          <w:rFonts w:asciiTheme="minorHAnsi" w:hAnsiTheme="minorHAnsi" w:cstheme="minorHAnsi"/>
          <w:color w:val="000000" w:themeColor="text1"/>
          <w:sz w:val="20"/>
        </w:rPr>
        <w:t>construcción</w:t>
      </w:r>
      <w:r w:rsidRPr="005F31A4">
        <w:rPr>
          <w:rFonts w:asciiTheme="minorHAnsi" w:hAnsiTheme="minorHAnsi" w:cstheme="minorHAnsi"/>
          <w:color w:val="000000" w:themeColor="text1"/>
          <w:sz w:val="20"/>
        </w:rPr>
        <w:t xml:space="preserve"> y electricidad, dentro de esta clasificación se obtuvo un retroceso anual de 9.2 %.</w:t>
      </w:r>
    </w:p>
    <w:p w:rsidR="009E65DA" w:rsidRPr="005F31A4" w:rsidRDefault="009E65DA" w:rsidP="00BE2484">
      <w:pPr>
        <w:spacing w:before="100" w:beforeAutospacing="1" w:after="100" w:afterAutospacing="1" w:line="240" w:lineRule="auto"/>
        <w:jc w:val="both"/>
        <w:rPr>
          <w:rFonts w:asciiTheme="minorHAnsi" w:hAnsiTheme="minorHAnsi" w:cstheme="minorHAnsi"/>
          <w:b/>
          <w:bCs/>
          <w:color w:val="000000" w:themeColor="text1"/>
          <w:szCs w:val="24"/>
        </w:rPr>
      </w:pPr>
      <w:r w:rsidRPr="005F31A4">
        <w:rPr>
          <w:rFonts w:asciiTheme="minorHAnsi" w:hAnsiTheme="minorHAnsi" w:cstheme="minorHAnsi"/>
          <w:b/>
          <w:bCs/>
          <w:color w:val="000000" w:themeColor="text1"/>
          <w:szCs w:val="24"/>
        </w:rPr>
        <w:t>Actividades terciarias</w:t>
      </w:r>
    </w:p>
    <w:p w:rsidR="009E65DA" w:rsidRPr="005F31A4" w:rsidRDefault="009E65DA" w:rsidP="00BE2484">
      <w:pPr>
        <w:spacing w:before="100" w:beforeAutospacing="1" w:after="100" w:afterAutospacing="1" w:line="240" w:lineRule="auto"/>
        <w:jc w:val="both"/>
        <w:rPr>
          <w:rFonts w:asciiTheme="minorHAnsi" w:hAnsiTheme="minorHAnsi" w:cstheme="minorHAnsi"/>
          <w:color w:val="000000" w:themeColor="text1"/>
          <w:sz w:val="20"/>
        </w:rPr>
      </w:pPr>
      <w:r w:rsidRPr="005F31A4">
        <w:rPr>
          <w:rFonts w:asciiTheme="minorHAnsi" w:hAnsiTheme="minorHAnsi" w:cstheme="minorHAnsi"/>
          <w:color w:val="000000" w:themeColor="text1"/>
          <w:sz w:val="20"/>
        </w:rPr>
        <w:t xml:space="preserve">Las actividades terciarias incluyen los sectores dedicados a la </w:t>
      </w:r>
      <w:r w:rsidR="00BE2484" w:rsidRPr="005F31A4">
        <w:rPr>
          <w:rFonts w:asciiTheme="minorHAnsi" w:hAnsiTheme="minorHAnsi" w:cstheme="minorHAnsi"/>
          <w:color w:val="000000" w:themeColor="text1"/>
          <w:sz w:val="20"/>
        </w:rPr>
        <w:t>distribución</w:t>
      </w:r>
      <w:r w:rsidRPr="005F31A4">
        <w:rPr>
          <w:rFonts w:asciiTheme="minorHAnsi" w:hAnsiTheme="minorHAnsi" w:cstheme="minorHAnsi"/>
          <w:color w:val="000000" w:themeColor="text1"/>
          <w:sz w:val="20"/>
        </w:rPr>
        <w:t xml:space="preserve"> de bienes y aquellas actividades relativas a operaciones con </w:t>
      </w:r>
      <w:r w:rsidR="00BE2484" w:rsidRPr="005F31A4">
        <w:rPr>
          <w:rFonts w:asciiTheme="minorHAnsi" w:hAnsiTheme="minorHAnsi" w:cstheme="minorHAnsi"/>
          <w:color w:val="000000" w:themeColor="text1"/>
          <w:sz w:val="20"/>
        </w:rPr>
        <w:t>información</w:t>
      </w:r>
      <w:r w:rsidRPr="005F31A4">
        <w:rPr>
          <w:rFonts w:asciiTheme="minorHAnsi" w:hAnsiTheme="minorHAnsi" w:cstheme="minorHAnsi"/>
          <w:color w:val="000000" w:themeColor="text1"/>
          <w:sz w:val="20"/>
        </w:rPr>
        <w:t xml:space="preserve"> o con activos, </w:t>
      </w:r>
      <w:r w:rsidR="00BE2484" w:rsidRPr="005F31A4">
        <w:rPr>
          <w:rFonts w:asciiTheme="minorHAnsi" w:hAnsiTheme="minorHAnsi" w:cstheme="minorHAnsi"/>
          <w:color w:val="000000" w:themeColor="text1"/>
          <w:sz w:val="20"/>
        </w:rPr>
        <w:t>así</w:t>
      </w:r>
      <w:r w:rsidRPr="005F31A4">
        <w:rPr>
          <w:rFonts w:asciiTheme="minorHAnsi" w:hAnsiTheme="minorHAnsi" w:cstheme="minorHAnsi"/>
          <w:color w:val="000000" w:themeColor="text1"/>
          <w:sz w:val="20"/>
        </w:rPr>
        <w:t xml:space="preserve">́ como a servicios cuyo insumo principal es el conocimiento y la experiencia de personal. Incluyen </w:t>
      </w:r>
      <w:r w:rsidR="00BE2484" w:rsidRPr="005F31A4">
        <w:rPr>
          <w:rFonts w:asciiTheme="minorHAnsi" w:hAnsiTheme="minorHAnsi" w:cstheme="minorHAnsi"/>
          <w:color w:val="000000" w:themeColor="text1"/>
          <w:sz w:val="20"/>
        </w:rPr>
        <w:t>también</w:t>
      </w:r>
      <w:r w:rsidRPr="005F31A4">
        <w:rPr>
          <w:rFonts w:asciiTheme="minorHAnsi" w:hAnsiTheme="minorHAnsi" w:cstheme="minorHAnsi"/>
          <w:color w:val="000000" w:themeColor="text1"/>
          <w:sz w:val="20"/>
        </w:rPr>
        <w:t xml:space="preserve"> todo lo relacionado con la </w:t>
      </w:r>
      <w:r w:rsidR="00BE2484" w:rsidRPr="005F31A4">
        <w:rPr>
          <w:rFonts w:asciiTheme="minorHAnsi" w:hAnsiTheme="minorHAnsi" w:cstheme="minorHAnsi"/>
          <w:color w:val="000000" w:themeColor="text1"/>
          <w:sz w:val="20"/>
        </w:rPr>
        <w:t>recreación</w:t>
      </w:r>
      <w:r w:rsidRPr="005F31A4">
        <w:rPr>
          <w:rFonts w:asciiTheme="minorHAnsi" w:hAnsiTheme="minorHAnsi" w:cstheme="minorHAnsi"/>
          <w:color w:val="000000" w:themeColor="text1"/>
          <w:sz w:val="20"/>
        </w:rPr>
        <w:t xml:space="preserve"> y el gobierno, dentro de esta clasificación se registró una variación anual de 3 % en estas actividades.</w:t>
      </w:r>
    </w:p>
    <w:p w:rsidR="009E65DA" w:rsidRPr="005F31A4" w:rsidRDefault="00FE223F" w:rsidP="00BE2484">
      <w:pPr>
        <w:spacing w:before="100" w:beforeAutospacing="1" w:after="100" w:afterAutospacing="1" w:line="240" w:lineRule="auto"/>
        <w:jc w:val="both"/>
        <w:rPr>
          <w:rFonts w:asciiTheme="minorHAnsi" w:hAnsiTheme="minorHAnsi" w:cstheme="minorHAnsi"/>
          <w:color w:val="AB0033"/>
          <w:sz w:val="20"/>
        </w:rPr>
      </w:pPr>
      <w:hyperlink r:id="rId25" w:history="1">
        <w:r w:rsidR="009E65DA" w:rsidRPr="005F31A4">
          <w:rPr>
            <w:rStyle w:val="Hipervnculo"/>
            <w:rFonts w:asciiTheme="minorHAnsi" w:hAnsiTheme="minorHAnsi" w:cstheme="minorHAnsi"/>
            <w:color w:val="AB0033"/>
            <w:sz w:val="20"/>
          </w:rPr>
          <w:t>https://www.inegi.org.mx/contenidos/saladeprensa/boletines/2023/itaee/itaee2023_10_Tamps.pdf</w:t>
        </w:r>
      </w:hyperlink>
    </w:p>
    <w:p w:rsidR="009E65DA" w:rsidRPr="005F31A4" w:rsidRDefault="00951CC3" w:rsidP="00BE2484">
      <w:pPr>
        <w:spacing w:before="100" w:beforeAutospacing="1" w:after="100" w:afterAutospacing="1" w:line="240" w:lineRule="auto"/>
        <w:jc w:val="both"/>
        <w:rPr>
          <w:rFonts w:asciiTheme="minorHAnsi" w:hAnsiTheme="minorHAnsi" w:cstheme="minorHAnsi"/>
          <w:b/>
          <w:color w:val="000000" w:themeColor="text1"/>
          <w:sz w:val="20"/>
        </w:rPr>
      </w:pPr>
      <w:r w:rsidRPr="005F31A4">
        <w:rPr>
          <w:rFonts w:asciiTheme="minorHAnsi" w:hAnsiTheme="minorHAnsi" w:cstheme="minorHAnsi"/>
          <w:b/>
          <w:bCs/>
          <w:color w:val="000000" w:themeColor="text1"/>
          <w:sz w:val="20"/>
        </w:rPr>
        <w:t>1</w:t>
      </w:r>
      <w:r w:rsidR="009E65DA" w:rsidRPr="005F31A4">
        <w:rPr>
          <w:rFonts w:asciiTheme="minorHAnsi" w:hAnsiTheme="minorHAnsi" w:cstheme="minorHAnsi"/>
          <w:b/>
          <w:bCs/>
          <w:color w:val="000000" w:themeColor="text1"/>
          <w:sz w:val="20"/>
        </w:rPr>
        <w:t>.3.4.- Nivel de Exportaciones</w:t>
      </w:r>
      <w:r w:rsidR="009E65DA" w:rsidRPr="005F31A4">
        <w:rPr>
          <w:rFonts w:asciiTheme="minorHAnsi" w:hAnsiTheme="minorHAnsi" w:cstheme="minorHAnsi"/>
          <w:b/>
          <w:color w:val="000000" w:themeColor="text1"/>
          <w:sz w:val="20"/>
        </w:rPr>
        <w:t>.</w:t>
      </w:r>
    </w:p>
    <w:p w:rsidR="009E65DA" w:rsidRPr="005F31A4" w:rsidRDefault="009E65DA" w:rsidP="00BE2484">
      <w:pPr>
        <w:spacing w:before="100" w:beforeAutospacing="1" w:after="100" w:afterAutospacing="1" w:line="240" w:lineRule="auto"/>
        <w:jc w:val="both"/>
        <w:rPr>
          <w:rFonts w:asciiTheme="minorHAnsi" w:hAnsiTheme="minorHAnsi" w:cstheme="minorHAnsi"/>
          <w:sz w:val="20"/>
        </w:rPr>
      </w:pPr>
      <w:r w:rsidRPr="005F31A4">
        <w:rPr>
          <w:rFonts w:asciiTheme="minorHAnsi" w:hAnsiTheme="minorHAnsi" w:cstheme="minorHAnsi"/>
          <w:sz w:val="20"/>
        </w:rPr>
        <w:t xml:space="preserve">Durante </w:t>
      </w:r>
      <w:r w:rsidR="008E48E4" w:rsidRPr="005F31A4">
        <w:rPr>
          <w:rFonts w:asciiTheme="minorHAnsi" w:hAnsiTheme="minorHAnsi" w:cstheme="minorHAnsi"/>
          <w:sz w:val="20"/>
        </w:rPr>
        <w:t xml:space="preserve">el ejercicio </w:t>
      </w:r>
      <w:r w:rsidRPr="005F31A4">
        <w:rPr>
          <w:rFonts w:asciiTheme="minorHAnsi" w:hAnsiTheme="minorHAnsi" w:cstheme="minorHAnsi"/>
          <w:sz w:val="20"/>
        </w:rPr>
        <w:t xml:space="preserve">de 2023, el estado de Tamaulipas se posiciono en el quinto lugar a nivel nacional conforme al total de las exportaciones, representando en </w:t>
      </w:r>
      <w:r w:rsidR="00951CC3" w:rsidRPr="005F31A4">
        <w:rPr>
          <w:rFonts w:asciiTheme="minorHAnsi" w:hAnsiTheme="minorHAnsi" w:cstheme="minorHAnsi"/>
          <w:sz w:val="20"/>
        </w:rPr>
        <w:t>términos</w:t>
      </w:r>
      <w:r w:rsidRPr="005F31A4">
        <w:rPr>
          <w:rFonts w:asciiTheme="minorHAnsi" w:hAnsiTheme="minorHAnsi" w:cstheme="minorHAnsi"/>
          <w:sz w:val="20"/>
        </w:rPr>
        <w:t xml:space="preserve"> monetarios un total de 8,300.6 millones de </w:t>
      </w:r>
      <w:r w:rsidR="00951CC3" w:rsidRPr="005F31A4">
        <w:rPr>
          <w:rFonts w:asciiTheme="minorHAnsi" w:hAnsiTheme="minorHAnsi" w:cstheme="minorHAnsi"/>
          <w:sz w:val="20"/>
        </w:rPr>
        <w:t>dólares</w:t>
      </w:r>
      <w:r w:rsidRPr="005F31A4">
        <w:rPr>
          <w:rFonts w:asciiTheme="minorHAnsi" w:hAnsiTheme="minorHAnsi" w:cstheme="minorHAnsi"/>
          <w:sz w:val="20"/>
        </w:rPr>
        <w:t xml:space="preserve"> y una participación porcentual del 6.2%.</w:t>
      </w:r>
    </w:p>
    <w:p w:rsidR="009E65DA" w:rsidRPr="005F31A4" w:rsidRDefault="009E65DA" w:rsidP="00BE2484">
      <w:pPr>
        <w:spacing w:before="100" w:beforeAutospacing="1" w:after="100" w:afterAutospacing="1" w:line="240" w:lineRule="auto"/>
        <w:jc w:val="both"/>
        <w:rPr>
          <w:rFonts w:asciiTheme="minorHAnsi" w:hAnsiTheme="minorHAnsi" w:cstheme="minorHAnsi"/>
          <w:sz w:val="20"/>
        </w:rPr>
      </w:pPr>
      <w:r w:rsidRPr="005F31A4">
        <w:rPr>
          <w:rFonts w:asciiTheme="minorHAnsi" w:hAnsiTheme="minorHAnsi" w:cstheme="minorHAnsi"/>
          <w:sz w:val="20"/>
        </w:rPr>
        <w:t xml:space="preserve">En la comparativa anual la entidad </w:t>
      </w:r>
      <w:r w:rsidR="00951CC3" w:rsidRPr="005F31A4">
        <w:rPr>
          <w:rFonts w:asciiTheme="minorHAnsi" w:hAnsiTheme="minorHAnsi" w:cstheme="minorHAnsi"/>
          <w:sz w:val="20"/>
        </w:rPr>
        <w:t>sobresalió</w:t>
      </w:r>
      <w:r w:rsidRPr="005F31A4">
        <w:rPr>
          <w:rFonts w:asciiTheme="minorHAnsi" w:hAnsiTheme="minorHAnsi" w:cstheme="minorHAnsi"/>
          <w:sz w:val="20"/>
        </w:rPr>
        <w:t xml:space="preserve"> en los siguientes grupos de exportaciones: </w:t>
      </w:r>
    </w:p>
    <w:p w:rsidR="009E65DA" w:rsidRPr="005F31A4" w:rsidRDefault="009E65DA" w:rsidP="00BE2484">
      <w:pPr>
        <w:pStyle w:val="Prrafodelista"/>
        <w:numPr>
          <w:ilvl w:val="0"/>
          <w:numId w:val="22"/>
        </w:numPr>
        <w:spacing w:before="100" w:beforeAutospacing="1" w:after="100" w:afterAutospacing="1" w:line="240" w:lineRule="auto"/>
        <w:contextualSpacing w:val="0"/>
        <w:jc w:val="both"/>
        <w:rPr>
          <w:rFonts w:asciiTheme="minorHAnsi" w:hAnsiTheme="minorHAnsi" w:cstheme="minorHAnsi"/>
          <w:sz w:val="20"/>
        </w:rPr>
      </w:pPr>
      <w:r w:rsidRPr="005F31A4">
        <w:rPr>
          <w:rFonts w:asciiTheme="minorHAnsi" w:hAnsiTheme="minorHAnsi" w:cstheme="minorHAnsi"/>
          <w:sz w:val="20"/>
        </w:rPr>
        <w:t>Equipo de computación, comunicación, medición y de otros equipos, con un 8.5%.</w:t>
      </w:r>
    </w:p>
    <w:p w:rsidR="009E65DA" w:rsidRPr="005F31A4" w:rsidRDefault="009E65DA" w:rsidP="00BE2484">
      <w:pPr>
        <w:pStyle w:val="Prrafodelista"/>
        <w:numPr>
          <w:ilvl w:val="0"/>
          <w:numId w:val="22"/>
        </w:numPr>
        <w:spacing w:before="100" w:beforeAutospacing="1" w:after="100" w:afterAutospacing="1" w:line="240" w:lineRule="auto"/>
        <w:contextualSpacing w:val="0"/>
        <w:jc w:val="both"/>
        <w:rPr>
          <w:rFonts w:asciiTheme="minorHAnsi" w:hAnsiTheme="minorHAnsi" w:cstheme="minorHAnsi"/>
          <w:sz w:val="20"/>
        </w:rPr>
      </w:pPr>
      <w:r w:rsidRPr="005F31A4">
        <w:rPr>
          <w:rFonts w:asciiTheme="minorHAnsi" w:hAnsiTheme="minorHAnsi" w:cstheme="minorHAnsi"/>
          <w:sz w:val="20"/>
        </w:rPr>
        <w:t>Accesorios, aparatos eléctricos y equipo de generación de energía eléctrica, con un 11.2%.</w:t>
      </w:r>
    </w:p>
    <w:p w:rsidR="009E65DA" w:rsidRPr="005F31A4" w:rsidRDefault="009E65DA" w:rsidP="00BE2484">
      <w:pPr>
        <w:pStyle w:val="Prrafodelista"/>
        <w:numPr>
          <w:ilvl w:val="0"/>
          <w:numId w:val="22"/>
        </w:numPr>
        <w:spacing w:before="100" w:beforeAutospacing="1" w:after="100" w:afterAutospacing="1" w:line="240" w:lineRule="auto"/>
        <w:contextualSpacing w:val="0"/>
        <w:jc w:val="both"/>
        <w:rPr>
          <w:rFonts w:asciiTheme="minorHAnsi" w:hAnsiTheme="minorHAnsi" w:cstheme="minorHAnsi"/>
          <w:sz w:val="20"/>
        </w:rPr>
      </w:pPr>
      <w:r w:rsidRPr="005F31A4">
        <w:rPr>
          <w:rFonts w:asciiTheme="minorHAnsi" w:hAnsiTheme="minorHAnsi" w:cstheme="minorHAnsi"/>
          <w:sz w:val="20"/>
        </w:rPr>
        <w:t>Subsector de extracción de petróleo, con un 0.6%.</w:t>
      </w:r>
    </w:p>
    <w:p w:rsidR="009E65DA" w:rsidRPr="005F31A4" w:rsidRDefault="009E65DA" w:rsidP="00BE2484">
      <w:pPr>
        <w:spacing w:before="100" w:beforeAutospacing="1" w:after="100" w:afterAutospacing="1" w:line="240" w:lineRule="auto"/>
        <w:jc w:val="both"/>
        <w:rPr>
          <w:rFonts w:asciiTheme="minorHAnsi" w:hAnsiTheme="minorHAnsi" w:cstheme="minorHAnsi"/>
          <w:sz w:val="20"/>
        </w:rPr>
      </w:pPr>
      <w:r w:rsidRPr="005F31A4">
        <w:rPr>
          <w:rFonts w:asciiTheme="minorHAnsi" w:hAnsiTheme="minorHAnsi" w:cstheme="minorHAnsi"/>
          <w:sz w:val="20"/>
        </w:rPr>
        <w:t xml:space="preserve">Tamaulipas se </w:t>
      </w:r>
      <w:r w:rsidR="00951CC3" w:rsidRPr="005F31A4">
        <w:rPr>
          <w:rFonts w:asciiTheme="minorHAnsi" w:hAnsiTheme="minorHAnsi" w:cstheme="minorHAnsi"/>
          <w:sz w:val="20"/>
        </w:rPr>
        <w:t>encuentra</w:t>
      </w:r>
      <w:r w:rsidRPr="005F31A4">
        <w:rPr>
          <w:rFonts w:asciiTheme="minorHAnsi" w:hAnsiTheme="minorHAnsi" w:cstheme="minorHAnsi"/>
          <w:sz w:val="20"/>
        </w:rPr>
        <w:t xml:space="preserve"> durante el </w:t>
      </w:r>
      <w:r w:rsidR="008E48E4" w:rsidRPr="005F31A4">
        <w:rPr>
          <w:rFonts w:asciiTheme="minorHAnsi" w:hAnsiTheme="minorHAnsi" w:cstheme="minorHAnsi"/>
          <w:sz w:val="20"/>
        </w:rPr>
        <w:t xml:space="preserve">ejercicio </w:t>
      </w:r>
      <w:r w:rsidRPr="005F31A4">
        <w:rPr>
          <w:rFonts w:asciiTheme="minorHAnsi" w:hAnsiTheme="minorHAnsi" w:cstheme="minorHAnsi"/>
          <w:sz w:val="20"/>
        </w:rPr>
        <w:t xml:space="preserve">2023 entre las entidades que registraron mayor </w:t>
      </w:r>
      <w:r w:rsidR="00951CC3" w:rsidRPr="005F31A4">
        <w:rPr>
          <w:rFonts w:asciiTheme="minorHAnsi" w:hAnsiTheme="minorHAnsi" w:cstheme="minorHAnsi"/>
          <w:sz w:val="20"/>
        </w:rPr>
        <w:t>contribución</w:t>
      </w:r>
      <w:r w:rsidRPr="005F31A4">
        <w:rPr>
          <w:rFonts w:asciiTheme="minorHAnsi" w:hAnsiTheme="minorHAnsi" w:cstheme="minorHAnsi"/>
          <w:sz w:val="20"/>
        </w:rPr>
        <w:t xml:space="preserve"> en el valor de las exportaciones del subsector </w:t>
      </w:r>
      <w:r w:rsidR="00951CC3" w:rsidRPr="005F31A4">
        <w:rPr>
          <w:rFonts w:asciiTheme="minorHAnsi" w:hAnsiTheme="minorHAnsi" w:cstheme="minorHAnsi"/>
          <w:sz w:val="20"/>
        </w:rPr>
        <w:t>Fabricación</w:t>
      </w:r>
      <w:r w:rsidRPr="005F31A4">
        <w:rPr>
          <w:rFonts w:asciiTheme="minorHAnsi" w:hAnsiTheme="minorHAnsi" w:cstheme="minorHAnsi"/>
          <w:sz w:val="20"/>
        </w:rPr>
        <w:t xml:space="preserve"> de equipo de </w:t>
      </w:r>
      <w:r w:rsidR="00951CC3" w:rsidRPr="005F31A4">
        <w:rPr>
          <w:rFonts w:asciiTheme="minorHAnsi" w:hAnsiTheme="minorHAnsi" w:cstheme="minorHAnsi"/>
          <w:sz w:val="20"/>
        </w:rPr>
        <w:t>computación</w:t>
      </w:r>
      <w:r w:rsidRPr="005F31A4">
        <w:rPr>
          <w:rFonts w:asciiTheme="minorHAnsi" w:hAnsiTheme="minorHAnsi" w:cstheme="minorHAnsi"/>
          <w:sz w:val="20"/>
        </w:rPr>
        <w:t xml:space="preserve">, </w:t>
      </w:r>
      <w:r w:rsidR="00951CC3" w:rsidRPr="005F31A4">
        <w:rPr>
          <w:rFonts w:asciiTheme="minorHAnsi" w:hAnsiTheme="minorHAnsi" w:cstheme="minorHAnsi"/>
          <w:sz w:val="20"/>
        </w:rPr>
        <w:t>comunicación</w:t>
      </w:r>
      <w:r w:rsidRPr="005F31A4">
        <w:rPr>
          <w:rFonts w:asciiTheme="minorHAnsi" w:hAnsiTheme="minorHAnsi" w:cstheme="minorHAnsi"/>
          <w:sz w:val="20"/>
        </w:rPr>
        <w:t xml:space="preserve">, </w:t>
      </w:r>
      <w:r w:rsidR="00951CC3" w:rsidRPr="005F31A4">
        <w:rPr>
          <w:rFonts w:asciiTheme="minorHAnsi" w:hAnsiTheme="minorHAnsi" w:cstheme="minorHAnsi"/>
          <w:sz w:val="20"/>
        </w:rPr>
        <w:t>medición</w:t>
      </w:r>
      <w:r w:rsidRPr="005F31A4">
        <w:rPr>
          <w:rFonts w:asciiTheme="minorHAnsi" w:hAnsiTheme="minorHAnsi" w:cstheme="minorHAnsi"/>
          <w:sz w:val="20"/>
        </w:rPr>
        <w:t xml:space="preserve"> y de otros equipos, componentes y accesorios </w:t>
      </w:r>
      <w:r w:rsidR="00951CC3" w:rsidRPr="005F31A4">
        <w:rPr>
          <w:rFonts w:asciiTheme="minorHAnsi" w:hAnsiTheme="minorHAnsi" w:cstheme="minorHAnsi"/>
          <w:sz w:val="20"/>
        </w:rPr>
        <w:t>electrónicos</w:t>
      </w:r>
      <w:r w:rsidRPr="005F31A4">
        <w:rPr>
          <w:rFonts w:asciiTheme="minorHAnsi" w:hAnsiTheme="minorHAnsi" w:cstheme="minorHAnsi"/>
          <w:sz w:val="20"/>
        </w:rPr>
        <w:t xml:space="preserve">, con una </w:t>
      </w:r>
      <w:r w:rsidR="00951CC3" w:rsidRPr="005F31A4">
        <w:rPr>
          <w:rFonts w:asciiTheme="minorHAnsi" w:hAnsiTheme="minorHAnsi" w:cstheme="minorHAnsi"/>
          <w:sz w:val="20"/>
        </w:rPr>
        <w:t>participación</w:t>
      </w:r>
      <w:r w:rsidRPr="005F31A4">
        <w:rPr>
          <w:rFonts w:asciiTheme="minorHAnsi" w:hAnsiTheme="minorHAnsi" w:cstheme="minorHAnsi"/>
          <w:sz w:val="20"/>
        </w:rPr>
        <w:t xml:space="preserve"> en 1,675.3 millones de </w:t>
      </w:r>
      <w:r w:rsidR="00951CC3" w:rsidRPr="005F31A4">
        <w:rPr>
          <w:rFonts w:asciiTheme="minorHAnsi" w:hAnsiTheme="minorHAnsi" w:cstheme="minorHAnsi"/>
          <w:sz w:val="20"/>
        </w:rPr>
        <w:t>dólares</w:t>
      </w:r>
      <w:r w:rsidRPr="005F31A4">
        <w:rPr>
          <w:rFonts w:asciiTheme="minorHAnsi" w:hAnsiTheme="minorHAnsi" w:cstheme="minorHAnsi"/>
          <w:sz w:val="20"/>
        </w:rPr>
        <w:t>, representando una participación porcentual de 8.5.</w:t>
      </w:r>
    </w:p>
    <w:p w:rsidR="009E65DA" w:rsidRPr="005F31A4" w:rsidRDefault="009E65DA" w:rsidP="00BE2484">
      <w:pPr>
        <w:spacing w:before="100" w:beforeAutospacing="1" w:after="100" w:afterAutospacing="1" w:line="240" w:lineRule="auto"/>
        <w:jc w:val="both"/>
        <w:rPr>
          <w:rFonts w:asciiTheme="minorHAnsi" w:hAnsiTheme="minorHAnsi" w:cstheme="minorHAnsi"/>
          <w:sz w:val="20"/>
        </w:rPr>
      </w:pPr>
      <w:r w:rsidRPr="005F31A4">
        <w:rPr>
          <w:rFonts w:asciiTheme="minorHAnsi" w:hAnsiTheme="minorHAnsi" w:cstheme="minorHAnsi"/>
          <w:sz w:val="20"/>
        </w:rPr>
        <w:t xml:space="preserve">Sobresaliendo </w:t>
      </w:r>
      <w:r w:rsidR="00951CC3" w:rsidRPr="005F31A4">
        <w:rPr>
          <w:rFonts w:asciiTheme="minorHAnsi" w:hAnsiTheme="minorHAnsi" w:cstheme="minorHAnsi"/>
          <w:sz w:val="20"/>
        </w:rPr>
        <w:t>también</w:t>
      </w:r>
      <w:r w:rsidRPr="005F31A4">
        <w:rPr>
          <w:rFonts w:asciiTheme="minorHAnsi" w:hAnsiTheme="minorHAnsi" w:cstheme="minorHAnsi"/>
          <w:sz w:val="20"/>
        </w:rPr>
        <w:t xml:space="preserve"> entre las entidades con mayor </w:t>
      </w:r>
      <w:r w:rsidR="00951CC3" w:rsidRPr="005F31A4">
        <w:rPr>
          <w:rFonts w:asciiTheme="minorHAnsi" w:hAnsiTheme="minorHAnsi" w:cstheme="minorHAnsi"/>
          <w:sz w:val="20"/>
        </w:rPr>
        <w:t>aportación</w:t>
      </w:r>
      <w:r w:rsidRPr="005F31A4">
        <w:rPr>
          <w:rFonts w:asciiTheme="minorHAnsi" w:hAnsiTheme="minorHAnsi" w:cstheme="minorHAnsi"/>
          <w:sz w:val="20"/>
        </w:rPr>
        <w:t xml:space="preserve"> en las exportaciones del subsector </w:t>
      </w:r>
      <w:r w:rsidR="00951CC3" w:rsidRPr="005F31A4">
        <w:rPr>
          <w:rFonts w:asciiTheme="minorHAnsi" w:hAnsiTheme="minorHAnsi" w:cstheme="minorHAnsi"/>
          <w:sz w:val="20"/>
        </w:rPr>
        <w:t>Fabricación</w:t>
      </w:r>
      <w:r w:rsidRPr="005F31A4">
        <w:rPr>
          <w:rFonts w:asciiTheme="minorHAnsi" w:hAnsiTheme="minorHAnsi" w:cstheme="minorHAnsi"/>
          <w:sz w:val="20"/>
        </w:rPr>
        <w:t xml:space="preserve"> de accesorios, aparatos </w:t>
      </w:r>
      <w:r w:rsidR="00951CC3" w:rsidRPr="005F31A4">
        <w:rPr>
          <w:rFonts w:asciiTheme="minorHAnsi" w:hAnsiTheme="minorHAnsi" w:cstheme="minorHAnsi"/>
          <w:sz w:val="20"/>
        </w:rPr>
        <w:t>eléctricos</w:t>
      </w:r>
      <w:r w:rsidRPr="005F31A4">
        <w:rPr>
          <w:rFonts w:asciiTheme="minorHAnsi" w:hAnsiTheme="minorHAnsi" w:cstheme="minorHAnsi"/>
          <w:sz w:val="20"/>
        </w:rPr>
        <w:t xml:space="preserve"> y equipo de </w:t>
      </w:r>
      <w:r w:rsidR="00951CC3" w:rsidRPr="005F31A4">
        <w:rPr>
          <w:rFonts w:asciiTheme="minorHAnsi" w:hAnsiTheme="minorHAnsi" w:cstheme="minorHAnsi"/>
          <w:sz w:val="20"/>
        </w:rPr>
        <w:t>generación</w:t>
      </w:r>
      <w:r w:rsidRPr="005F31A4">
        <w:rPr>
          <w:rFonts w:asciiTheme="minorHAnsi" w:hAnsiTheme="minorHAnsi" w:cstheme="minorHAnsi"/>
          <w:sz w:val="20"/>
        </w:rPr>
        <w:t xml:space="preserve"> de </w:t>
      </w:r>
      <w:r w:rsidR="00951CC3" w:rsidRPr="005F31A4">
        <w:rPr>
          <w:rFonts w:asciiTheme="minorHAnsi" w:hAnsiTheme="minorHAnsi" w:cstheme="minorHAnsi"/>
          <w:sz w:val="20"/>
        </w:rPr>
        <w:t>energía</w:t>
      </w:r>
      <w:r w:rsidRPr="005F31A4">
        <w:rPr>
          <w:rFonts w:asciiTheme="minorHAnsi" w:hAnsiTheme="minorHAnsi" w:cstheme="minorHAnsi"/>
          <w:sz w:val="20"/>
        </w:rPr>
        <w:t xml:space="preserve"> </w:t>
      </w:r>
      <w:r w:rsidR="00951CC3" w:rsidRPr="005F31A4">
        <w:rPr>
          <w:rFonts w:asciiTheme="minorHAnsi" w:hAnsiTheme="minorHAnsi" w:cstheme="minorHAnsi"/>
          <w:sz w:val="20"/>
        </w:rPr>
        <w:t>eléctrica</w:t>
      </w:r>
      <w:r w:rsidRPr="005F31A4">
        <w:rPr>
          <w:rFonts w:asciiTheme="minorHAnsi" w:hAnsiTheme="minorHAnsi" w:cstheme="minorHAnsi"/>
          <w:sz w:val="20"/>
        </w:rPr>
        <w:t xml:space="preserve">, con una </w:t>
      </w:r>
      <w:r w:rsidR="00951CC3" w:rsidRPr="005F31A4">
        <w:rPr>
          <w:rFonts w:asciiTheme="minorHAnsi" w:hAnsiTheme="minorHAnsi" w:cstheme="minorHAnsi"/>
          <w:sz w:val="20"/>
        </w:rPr>
        <w:t>participación</w:t>
      </w:r>
      <w:r w:rsidRPr="005F31A4">
        <w:rPr>
          <w:rFonts w:asciiTheme="minorHAnsi" w:hAnsiTheme="minorHAnsi" w:cstheme="minorHAnsi"/>
          <w:sz w:val="20"/>
        </w:rPr>
        <w:t xml:space="preserve"> en 991.3 millones de </w:t>
      </w:r>
      <w:r w:rsidR="00951CC3" w:rsidRPr="005F31A4">
        <w:rPr>
          <w:rFonts w:asciiTheme="minorHAnsi" w:hAnsiTheme="minorHAnsi" w:cstheme="minorHAnsi"/>
          <w:sz w:val="20"/>
        </w:rPr>
        <w:t>dólares</w:t>
      </w:r>
      <w:r w:rsidRPr="005F31A4">
        <w:rPr>
          <w:rFonts w:asciiTheme="minorHAnsi" w:hAnsiTheme="minorHAnsi" w:cstheme="minorHAnsi"/>
          <w:sz w:val="20"/>
        </w:rPr>
        <w:t>, representando una participación porcentual de 11.2.</w:t>
      </w:r>
    </w:p>
    <w:p w:rsidR="009E65DA" w:rsidRPr="009E65DA" w:rsidRDefault="00FE223F" w:rsidP="00BE2484">
      <w:pPr>
        <w:spacing w:before="100" w:beforeAutospacing="1" w:after="100" w:afterAutospacing="1" w:line="240" w:lineRule="auto"/>
        <w:jc w:val="both"/>
        <w:rPr>
          <w:rFonts w:asciiTheme="minorHAnsi" w:hAnsiTheme="minorHAnsi" w:cstheme="minorHAnsi"/>
          <w:color w:val="000000" w:themeColor="text1"/>
        </w:rPr>
      </w:pPr>
      <w:hyperlink r:id="rId26" w:history="1">
        <w:r w:rsidR="009E65DA" w:rsidRPr="005F31A4">
          <w:rPr>
            <w:rStyle w:val="Hipervnculo"/>
            <w:rFonts w:asciiTheme="minorHAnsi" w:hAnsiTheme="minorHAnsi" w:cstheme="minorHAnsi"/>
            <w:color w:val="AB0033"/>
            <w:sz w:val="20"/>
          </w:rPr>
          <w:t>https://www.inegi.org.mx/contenidos/saladeprensa/boletines/2023/etef/etef2023_12.pdf</w:t>
        </w:r>
      </w:hyperlink>
      <w:bookmarkStart w:id="0" w:name="_GoBack"/>
      <w:bookmarkEnd w:id="0"/>
    </w:p>
    <w:p w:rsidR="009E65DA" w:rsidRPr="009E65DA" w:rsidRDefault="009E65DA" w:rsidP="00BE2484">
      <w:pPr>
        <w:spacing w:before="100" w:beforeAutospacing="1" w:after="100" w:afterAutospacing="1" w:line="240" w:lineRule="auto"/>
        <w:jc w:val="both"/>
        <w:rPr>
          <w:rFonts w:asciiTheme="minorHAnsi" w:hAnsiTheme="minorHAnsi" w:cstheme="minorHAnsi"/>
        </w:rPr>
      </w:pPr>
    </w:p>
    <w:sectPr w:rsidR="009E65DA" w:rsidRPr="009E65DA" w:rsidSect="00841F43">
      <w:headerReference w:type="even" r:id="rId27"/>
      <w:headerReference w:type="default" r:id="rId28"/>
      <w:footerReference w:type="even" r:id="rId29"/>
      <w:footerReference w:type="default" r:id="rId30"/>
      <w:pgSz w:w="12240" w:h="15840"/>
      <w:pgMar w:top="1814" w:right="1440" w:bottom="1134" w:left="1440" w:header="567" w:footer="5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23F" w:rsidRDefault="00FE223F" w:rsidP="00EA5418">
      <w:pPr>
        <w:spacing w:after="0" w:line="240" w:lineRule="auto"/>
      </w:pPr>
      <w:r>
        <w:separator/>
      </w:r>
    </w:p>
  </w:endnote>
  <w:endnote w:type="continuationSeparator" w:id="0">
    <w:p w:rsidR="00FE223F" w:rsidRDefault="00FE223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Encode Sans">
    <w:panose1 w:val="02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DIN Pro Regular">
    <w:panose1 w:val="020B0504020101020102"/>
    <w:charset w:val="00"/>
    <w:family w:val="swiss"/>
    <w:pitch w:val="variable"/>
    <w:sig w:usb0="A00002BF" w:usb1="4000207B" w:usb2="00000008" w:usb3="00000000" w:csb0="0000009F" w:csb1="00000000"/>
  </w:font>
  <w:font w:name="Encode Sans Expanded SemiBold">
    <w:panose1 w:val="00000000000000000000"/>
    <w:charset w:val="00"/>
    <w:family w:val="auto"/>
    <w:pitch w:val="variable"/>
    <w:sig w:usb0="A00000FF" w:usb1="4000207B" w:usb2="00000000" w:usb3="00000000" w:csb0="00000193" w:csb1="00000000"/>
  </w:font>
  <w:font w:name="DIN Pro Bold">
    <w:panose1 w:val="020B0804020101020102"/>
    <w:charset w:val="00"/>
    <w:family w:val="swiss"/>
    <w:pitch w:val="variable"/>
    <w:sig w:usb0="A00002BF" w:usb1="4000207B" w:usb2="00000008" w:usb3="00000000" w:csb0="0000009F" w:csb1="00000000"/>
  </w:font>
  <w:font w:name="HelveticaNeueLT Std Lt">
    <w:panose1 w:val="020B0403020202020204"/>
    <w:charset w:val="00"/>
    <w:family w:val="swiss"/>
    <w:notTrueType/>
    <w:pitch w:val="variable"/>
    <w:sig w:usb0="00000003" w:usb1="00000000" w:usb2="00000000" w:usb3="00000000" w:csb0="00000001" w:csb1="00000000"/>
  </w:font>
  <w:font w:name="Encode Sans Medium">
    <w:panose1 w:val="00000000000000000000"/>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23F" w:rsidRPr="00DF3D6D" w:rsidRDefault="00FE223F" w:rsidP="0013011C">
    <w:pPr>
      <w:pStyle w:val="Piedepgina"/>
      <w:jc w:val="center"/>
      <w:rPr>
        <w:rFonts w:ascii="DIN Pro Regular" w:hAnsi="DIN Pro Regular" w:cs="DIN Pro Regular"/>
      </w:rPr>
    </w:pPr>
    <w:r w:rsidRPr="00DF3D6D">
      <w:rPr>
        <w:rFonts w:ascii="DIN Pro Regular" w:hAnsi="DIN Pro Regular" w:cs="DIN Pro Regular"/>
        <w:noProof/>
        <w:lang w:eastAsia="es-MX"/>
      </w:rPr>
      <mc:AlternateContent>
        <mc:Choice Requires="wps">
          <w:drawing>
            <wp:anchor distT="0" distB="0" distL="114300" distR="114300" simplePos="0" relativeHeight="251659776" behindDoc="0" locked="0" layoutInCell="1" allowOverlap="1" wp14:anchorId="0A021699" wp14:editId="0D29982B">
              <wp:simplePos x="0" y="0"/>
              <wp:positionH relativeFrom="column">
                <wp:posOffset>-2416810</wp:posOffset>
              </wp:positionH>
              <wp:positionV relativeFrom="paragraph">
                <wp:posOffset>-16510</wp:posOffset>
              </wp:positionV>
              <wp:extent cx="10083800" cy="16510"/>
              <wp:effectExtent l="0" t="0" r="1270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62BA2D9" id="12 Conector recto"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3pt" to="60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" strokecolor="#4a7ebb" strokeweight="1.5pt">
              <o:lock v:ext="edit" shapetype="f"/>
            </v:line>
          </w:pict>
        </mc:Fallback>
      </mc:AlternateContent>
    </w:r>
    <w:r w:rsidRPr="00DF3D6D">
      <w:rPr>
        <w:rFonts w:ascii="DIN Pro Regular" w:hAnsi="DIN Pro Regular" w:cs="DIN Pro Regular"/>
      </w:rPr>
      <w:t xml:space="preserve">Contable / </w:t>
    </w:r>
    <w:r w:rsidRPr="00DF3D6D">
      <w:rPr>
        <w:rFonts w:ascii="DIN Pro Regular" w:hAnsi="DIN Pro Regular" w:cs="DIN Pro Regular"/>
      </w:rPr>
      <w:fldChar w:fldCharType="begin"/>
    </w:r>
    <w:r w:rsidRPr="00DF3D6D">
      <w:rPr>
        <w:rFonts w:ascii="DIN Pro Regular" w:hAnsi="DIN Pro Regular" w:cs="DIN Pro Regular"/>
      </w:rPr>
      <w:instrText>PAGE   \* MERGEFORMAT</w:instrText>
    </w:r>
    <w:r w:rsidRPr="00DF3D6D">
      <w:rPr>
        <w:rFonts w:ascii="DIN Pro Regular" w:hAnsi="DIN Pro Regular" w:cs="DIN Pro Regular"/>
      </w:rPr>
      <w:fldChar w:fldCharType="separate"/>
    </w:r>
    <w:r w:rsidRPr="002B152B">
      <w:rPr>
        <w:rFonts w:ascii="DIN Pro Regular" w:hAnsi="DIN Pro Regular" w:cs="DIN Pro Regular"/>
        <w:noProof/>
        <w:lang w:val="es-ES"/>
      </w:rPr>
      <w:t>2</w:t>
    </w:r>
    <w:r w:rsidRPr="00DF3D6D">
      <w:rPr>
        <w:rFonts w:ascii="DIN Pro Regular" w:hAnsi="DIN Pro Regular" w:cs="DIN Pro Regular"/>
      </w:rPr>
      <w:fldChar w:fldCharType="end"/>
    </w:r>
  </w:p>
  <w:p w:rsidR="00FE223F" w:rsidRDefault="00FE223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23F" w:rsidRPr="007D5DA7" w:rsidRDefault="00FE223F" w:rsidP="008C2FDE">
    <w:pPr>
      <w:pStyle w:val="Piedepgina"/>
      <w:tabs>
        <w:tab w:val="left" w:pos="4010"/>
        <w:tab w:val="center" w:pos="4680"/>
      </w:tabs>
      <w:jc w:val="center"/>
      <w:rPr>
        <w:rFonts w:asciiTheme="minorHAnsi" w:hAnsiTheme="minorHAnsi" w:cstheme="minorHAnsi"/>
      </w:rPr>
    </w:pPr>
    <w:r w:rsidRPr="007D5DA7">
      <w:rPr>
        <w:rFonts w:asciiTheme="minorHAnsi" w:hAnsiTheme="minorHAnsi" w:cstheme="minorHAnsi"/>
      </w:rPr>
      <w:fldChar w:fldCharType="begin"/>
    </w:r>
    <w:r w:rsidRPr="007D5DA7">
      <w:rPr>
        <w:rFonts w:asciiTheme="minorHAnsi" w:hAnsiTheme="minorHAnsi" w:cstheme="minorHAnsi"/>
      </w:rPr>
      <w:instrText>PAGE   \* MERGEFORMAT</w:instrText>
    </w:r>
    <w:r w:rsidRPr="007D5DA7">
      <w:rPr>
        <w:rFonts w:asciiTheme="minorHAnsi" w:hAnsiTheme="minorHAnsi" w:cstheme="minorHAnsi"/>
      </w:rPr>
      <w:fldChar w:fldCharType="separate"/>
    </w:r>
    <w:r w:rsidR="0033507E" w:rsidRPr="0033507E">
      <w:rPr>
        <w:rFonts w:asciiTheme="minorHAnsi" w:hAnsiTheme="minorHAnsi" w:cstheme="minorHAnsi"/>
        <w:noProof/>
        <w:lang w:val="es-ES"/>
      </w:rPr>
      <w:t>14</w:t>
    </w:r>
    <w:r w:rsidRPr="007D5DA7">
      <w:rPr>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23F" w:rsidRDefault="00FE223F" w:rsidP="00EA5418">
      <w:pPr>
        <w:spacing w:after="0" w:line="240" w:lineRule="auto"/>
      </w:pPr>
      <w:r>
        <w:separator/>
      </w:r>
    </w:p>
  </w:footnote>
  <w:footnote w:type="continuationSeparator" w:id="0">
    <w:p w:rsidR="00FE223F" w:rsidRDefault="00FE223F"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23F" w:rsidRDefault="00FE223F">
    <w:pPr>
      <w:pStyle w:val="Encabezado"/>
    </w:pPr>
    <w:r>
      <w:rPr>
        <w:noProof/>
        <w:lang w:eastAsia="es-MX"/>
      </w:rPr>
      <mc:AlternateContent>
        <mc:Choice Requires="wpg">
          <w:drawing>
            <wp:anchor distT="0" distB="0" distL="114300" distR="114300" simplePos="0" relativeHeight="251627520" behindDoc="0" locked="0" layoutInCell="1" allowOverlap="1" wp14:anchorId="2C9A5420" wp14:editId="379A0CD8">
              <wp:simplePos x="0" y="0"/>
              <wp:positionH relativeFrom="column">
                <wp:posOffset>3308350</wp:posOffset>
              </wp:positionH>
              <wp:positionV relativeFrom="paragraph">
                <wp:posOffset>-8890</wp:posOffset>
              </wp:positionV>
              <wp:extent cx="3172460" cy="504825"/>
              <wp:effectExtent l="0" t="0" r="0" b="9525"/>
              <wp:wrapNone/>
              <wp:docPr id="8"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504825"/>
                        <a:chOff x="0" y="21946"/>
                        <a:chExt cx="3172383" cy="475890"/>
                      </a:xfrm>
                    </wpg:grpSpPr>
                    <wps:wsp>
                      <wps:cNvPr id="9" name="Cuadro de texto 5"/>
                      <wps:cNvSpPr txBox="1">
                        <a:spLocks noChangeArrowheads="1"/>
                      </wps:cNvSpPr>
                      <wps:spPr bwMode="auto">
                        <a:xfrm>
                          <a:off x="0" y="58164"/>
                          <a:ext cx="2289175" cy="43967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223F" w:rsidRPr="00A05CB1" w:rsidRDefault="00FE223F" w:rsidP="00A05CB1">
                            <w:pPr>
                              <w:spacing w:after="0"/>
                              <w:jc w:val="right"/>
                              <w:rPr>
                                <w:rFonts w:ascii="DIN Pro Regular" w:hAnsi="DIN Pro Regular" w:cs="DIN Pro Regular"/>
                                <w:color w:val="808080"/>
                                <w:sz w:val="18"/>
                                <w:szCs w:val="42"/>
                              </w:rPr>
                            </w:pPr>
                            <w:r w:rsidRPr="00A05CB1">
                              <w:rPr>
                                <w:rFonts w:ascii="DIN Pro Regular" w:hAnsi="DIN Pro Regular" w:cs="DIN Pro Regular"/>
                                <w:color w:val="808080"/>
                                <w:sz w:val="18"/>
                                <w:szCs w:val="42"/>
                              </w:rPr>
                              <w:t>CUENTA PÚBLICA</w:t>
                            </w:r>
                          </w:p>
                          <w:p w:rsidR="00FE223F" w:rsidRPr="00A05CB1" w:rsidRDefault="00FE223F" w:rsidP="00A05CB1">
                            <w:pPr>
                              <w:spacing w:after="0"/>
                              <w:jc w:val="right"/>
                              <w:rPr>
                                <w:rFonts w:ascii="DIN Pro Regular" w:hAnsi="DIN Pro Regular" w:cs="DIN Pro Regular"/>
                                <w:color w:val="808080"/>
                                <w:sz w:val="18"/>
                                <w:szCs w:val="42"/>
                              </w:rPr>
                            </w:pPr>
                            <w:r>
                              <w:rPr>
                                <w:rFonts w:ascii="DIN Pro Regular" w:hAnsi="DIN Pro Regular" w:cs="DIN Pro Regular"/>
                                <w:color w:val="808080"/>
                                <w:sz w:val="18"/>
                                <w:szCs w:val="42"/>
                              </w:rPr>
                              <w:t>CONSOLIDADA</w:t>
                            </w:r>
                          </w:p>
                          <w:p w:rsidR="00FE223F" w:rsidRPr="00A05CB1" w:rsidRDefault="00FE223F" w:rsidP="00040466">
                            <w:pPr>
                              <w:jc w:val="right"/>
                              <w:rPr>
                                <w:rFonts w:ascii="Arial" w:hAnsi="Arial" w:cs="Arial"/>
                                <w:sz w:val="20"/>
                                <w:szCs w:val="20"/>
                              </w:rPr>
                            </w:pPr>
                          </w:p>
                        </w:txbxContent>
                      </wps:txbx>
                      <wps:bodyPr rot="0" vert="horz" wrap="square" lIns="91440" tIns="45720" rIns="91440" bIns="45720" anchor="t" anchorCtr="0" upright="1">
                        <a:noAutofit/>
                      </wps:bodyPr>
                    </wps:wsp>
                    <wps:wsp>
                      <wps:cNvPr id="13" name="Cuadro de texto 5"/>
                      <wps:cNvSpPr txBox="1">
                        <a:spLocks noChangeArrowheads="1"/>
                      </wps:cNvSpPr>
                      <wps:spPr bwMode="auto">
                        <a:xfrm>
                          <a:off x="2333548" y="21946"/>
                          <a:ext cx="838835" cy="402590"/>
                        </a:xfrm>
                        <a:prstGeom prst="rect">
                          <a:avLst/>
                        </a:prstGeom>
                        <a:noFill/>
                        <a:ln w="9525">
                          <a:noFill/>
                          <a:miter lim="800000"/>
                          <a:headEnd/>
                          <a:tailEnd/>
                        </a:ln>
                        <a:extLst/>
                      </wps:spPr>
                      <wps:txbx>
                        <w:txbxContent>
                          <w:p w:rsidR="00FE223F" w:rsidRPr="003A64F1" w:rsidRDefault="00FE223F" w:rsidP="00040466">
                            <w:pPr>
                              <w:jc w:val="both"/>
                              <w:rPr>
                                <w:rFonts w:ascii="DIN Pro Regular" w:hAnsi="DIN Pro Regular" w:cs="DIN Pro Regular"/>
                                <w:color w:val="808080"/>
                                <w:sz w:val="42"/>
                                <w:szCs w:val="42"/>
                              </w:rPr>
                            </w:pPr>
                            <w:r>
                              <w:rPr>
                                <w:rFonts w:ascii="DIN Pro Regular" w:hAnsi="DIN Pro Regular" w:cs="DIN Pro Regular"/>
                                <w:color w:val="808080"/>
                                <w:sz w:val="42"/>
                                <w:szCs w:val="42"/>
                              </w:rPr>
                              <w:t>2022</w:t>
                            </w:r>
                          </w:p>
                          <w:p w:rsidR="00FE223F" w:rsidRDefault="00FE223F" w:rsidP="00040466">
                            <w:pPr>
                              <w:jc w:val="both"/>
                              <w:rPr>
                                <w:rFonts w:ascii="Helvetica" w:hAnsi="Helvetica" w:cs="Arial"/>
                                <w:color w:val="808080"/>
                                <w:sz w:val="42"/>
                                <w:szCs w:val="42"/>
                              </w:rPr>
                            </w:pPr>
                          </w:p>
                          <w:p w:rsidR="00FE223F" w:rsidRPr="00F45C83" w:rsidRDefault="00FE223F" w:rsidP="00040466">
                            <w:pPr>
                              <w:jc w:val="both"/>
                              <w:rPr>
                                <w:rFonts w:ascii="Helvetica" w:hAnsi="Helvetica" w:cs="Arial"/>
                                <w:color w:val="808080"/>
                                <w:sz w:val="42"/>
                                <w:szCs w:val="42"/>
                              </w:rPr>
                            </w:pPr>
                          </w:p>
                          <w:p w:rsidR="00FE223F" w:rsidRPr="00DC53C5" w:rsidRDefault="00FE223F" w:rsidP="00040466">
                            <w:pPr>
                              <w:jc w:val="both"/>
                              <w:rPr>
                                <w:rFonts w:ascii="Arial" w:hAnsi="Arial" w:cs="Arial"/>
                                <w:color w:val="808080"/>
                                <w:sz w:val="42"/>
                                <w:szCs w:val="42"/>
                              </w:rPr>
                            </w:pPr>
                            <w:r w:rsidRPr="00DC53C5">
                              <w:rPr>
                                <w:rFonts w:ascii="Arial" w:hAnsi="Arial" w:cs="Arial"/>
                                <w:color w:val="808080"/>
                                <w:sz w:val="42"/>
                                <w:szCs w:val="42"/>
                              </w:rPr>
                              <w:t>2014</w:t>
                            </w:r>
                          </w:p>
                          <w:p w:rsidR="00FE223F" w:rsidRPr="00DC53C5" w:rsidRDefault="00FE223F" w:rsidP="00040466">
                            <w:pPr>
                              <w:jc w:val="both"/>
                              <w:rPr>
                                <w:rFonts w:ascii="Arial" w:hAnsi="Arial" w:cs="Arial"/>
                                <w:color w:val="8080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A5420" id="6 Grupo" o:spid="_x0000_s1026" style="position:absolute;margin-left:260.5pt;margin-top:-.7pt;width:249.8pt;height:39.75pt;z-index:251627520" coordorigin=",219" coordsize="31723,4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">
              <v:shapetype id="_x0000_t202" coordsize="21600,21600" o:spt="202" path="m,l,21600r21600,l21600,xe">
                <v:stroke joinstyle="miter"/>
                <v:path gradientshapeok="t" o:connecttype="rect"/>
              </v:shapetype>
              <v:shape id="Cuadro de texto 5" o:spid="_x0000_s1027" type="#_x0000_t202" style="position:absolute;top:581;width:22891;height: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5F31A4" w:rsidRPr="00A05CB1" w:rsidRDefault="005F31A4" w:rsidP="00A05CB1">
                      <w:pPr>
                        <w:spacing w:after="0"/>
                        <w:jc w:val="right"/>
                        <w:rPr>
                          <w:rFonts w:ascii="DIN Pro Regular" w:hAnsi="DIN Pro Regular" w:cs="DIN Pro Regular"/>
                          <w:color w:val="808080"/>
                          <w:sz w:val="18"/>
                          <w:szCs w:val="42"/>
                        </w:rPr>
                      </w:pPr>
                      <w:r w:rsidRPr="00A05CB1">
                        <w:rPr>
                          <w:rFonts w:ascii="DIN Pro Regular" w:hAnsi="DIN Pro Regular" w:cs="DIN Pro Regular"/>
                          <w:color w:val="808080"/>
                          <w:sz w:val="18"/>
                          <w:szCs w:val="42"/>
                        </w:rPr>
                        <w:t>CUENTA PÚBLICA</w:t>
                      </w:r>
                    </w:p>
                    <w:p w:rsidR="005F31A4" w:rsidRPr="00A05CB1" w:rsidRDefault="005F31A4" w:rsidP="00A05CB1">
                      <w:pPr>
                        <w:spacing w:after="0"/>
                        <w:jc w:val="right"/>
                        <w:rPr>
                          <w:rFonts w:ascii="DIN Pro Regular" w:hAnsi="DIN Pro Regular" w:cs="DIN Pro Regular"/>
                          <w:color w:val="808080"/>
                          <w:sz w:val="18"/>
                          <w:szCs w:val="42"/>
                        </w:rPr>
                      </w:pPr>
                      <w:r>
                        <w:rPr>
                          <w:rFonts w:ascii="DIN Pro Regular" w:hAnsi="DIN Pro Regular" w:cs="DIN Pro Regular"/>
                          <w:color w:val="808080"/>
                          <w:sz w:val="18"/>
                          <w:szCs w:val="42"/>
                        </w:rPr>
                        <w:t>CONSOLIDADA</w:t>
                      </w:r>
                    </w:p>
                    <w:p w:rsidR="005F31A4" w:rsidRPr="00A05CB1" w:rsidRDefault="005F31A4" w:rsidP="00040466">
                      <w:pPr>
                        <w:jc w:val="right"/>
                        <w:rPr>
                          <w:rFonts w:ascii="Arial" w:hAnsi="Arial" w:cs="Arial"/>
                          <w:sz w:val="20"/>
                          <w:szCs w:val="20"/>
                        </w:rPr>
                      </w:pPr>
                    </w:p>
                  </w:txbxContent>
                </v:textbox>
              </v:shape>
              <v:shape id="Cuadro de texto 5" o:spid="_x0000_s1028" type="#_x0000_t202" style="position:absolute;left:23335;top:219;width:8388;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5F31A4" w:rsidRPr="003A64F1" w:rsidRDefault="005F31A4" w:rsidP="00040466">
                      <w:pPr>
                        <w:jc w:val="both"/>
                        <w:rPr>
                          <w:rFonts w:ascii="DIN Pro Regular" w:hAnsi="DIN Pro Regular" w:cs="DIN Pro Regular"/>
                          <w:color w:val="808080"/>
                          <w:sz w:val="42"/>
                          <w:szCs w:val="42"/>
                        </w:rPr>
                      </w:pPr>
                      <w:r>
                        <w:rPr>
                          <w:rFonts w:ascii="DIN Pro Regular" w:hAnsi="DIN Pro Regular" w:cs="DIN Pro Regular"/>
                          <w:color w:val="808080"/>
                          <w:sz w:val="42"/>
                          <w:szCs w:val="42"/>
                        </w:rPr>
                        <w:t>2022</w:t>
                      </w:r>
                    </w:p>
                    <w:p w:rsidR="005F31A4" w:rsidRDefault="005F31A4" w:rsidP="00040466">
                      <w:pPr>
                        <w:jc w:val="both"/>
                        <w:rPr>
                          <w:rFonts w:ascii="Helvetica" w:hAnsi="Helvetica" w:cs="Arial"/>
                          <w:color w:val="808080"/>
                          <w:sz w:val="42"/>
                          <w:szCs w:val="42"/>
                        </w:rPr>
                      </w:pPr>
                    </w:p>
                    <w:p w:rsidR="005F31A4" w:rsidRPr="00F45C83" w:rsidRDefault="005F31A4" w:rsidP="00040466">
                      <w:pPr>
                        <w:jc w:val="both"/>
                        <w:rPr>
                          <w:rFonts w:ascii="Helvetica" w:hAnsi="Helvetica" w:cs="Arial"/>
                          <w:color w:val="808080"/>
                          <w:sz w:val="42"/>
                          <w:szCs w:val="42"/>
                        </w:rPr>
                      </w:pPr>
                    </w:p>
                    <w:p w:rsidR="005F31A4" w:rsidRPr="00DC53C5" w:rsidRDefault="005F31A4" w:rsidP="00040466">
                      <w:pPr>
                        <w:jc w:val="both"/>
                        <w:rPr>
                          <w:rFonts w:ascii="Arial" w:hAnsi="Arial" w:cs="Arial"/>
                          <w:color w:val="808080"/>
                          <w:sz w:val="42"/>
                          <w:szCs w:val="42"/>
                        </w:rPr>
                      </w:pPr>
                      <w:r w:rsidRPr="00DC53C5">
                        <w:rPr>
                          <w:rFonts w:ascii="Arial" w:hAnsi="Arial" w:cs="Arial"/>
                          <w:color w:val="808080"/>
                          <w:sz w:val="42"/>
                          <w:szCs w:val="42"/>
                        </w:rPr>
                        <w:t>2014</w:t>
                      </w:r>
                    </w:p>
                    <w:p w:rsidR="005F31A4" w:rsidRPr="00DC53C5" w:rsidRDefault="005F31A4" w:rsidP="00040466">
                      <w:pPr>
                        <w:jc w:val="both"/>
                        <w:rPr>
                          <w:rFonts w:ascii="Arial" w:hAnsi="Arial" w:cs="Arial"/>
                          <w:color w:val="8080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25472" behindDoc="0" locked="0" layoutInCell="1" allowOverlap="1" wp14:anchorId="2BEB7D4E" wp14:editId="0432F414">
              <wp:simplePos x="0" y="0"/>
              <wp:positionH relativeFrom="page">
                <wp:align>left</wp:align>
              </wp:positionH>
              <wp:positionV relativeFrom="paragraph">
                <wp:posOffset>472440</wp:posOffset>
              </wp:positionV>
              <wp:extent cx="10083800" cy="16510"/>
              <wp:effectExtent l="0" t="0" r="31750" b="21590"/>
              <wp:wrapNone/>
              <wp:docPr id="7"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8494592" id="4 Conector recto" o:spid="_x0000_s1026" style="position:absolute;flip:y;z-index:251625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 from="0,37.2pt" to="79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" strokecolor="#4a7ebb" strokeweight="1.5pt">
              <o:lock v:ext="edit" shapetype="f"/>
              <w10:wrap anchorx="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23F" w:rsidRDefault="00FE223F" w:rsidP="002B152B">
    <w:pPr>
      <w:pStyle w:val="Encabezado"/>
      <w:tabs>
        <w:tab w:val="left" w:pos="270"/>
        <w:tab w:val="center" w:pos="4680"/>
      </w:tabs>
      <w:jc w:val="center"/>
      <w:rPr>
        <w:rFonts w:ascii="Encode Sans" w:hAnsi="Encode Sans" w:cs="DIN Pro Regular"/>
        <w:b/>
        <w:sz w:val="20"/>
      </w:rPr>
    </w:pPr>
    <w:r w:rsidRPr="002B152B">
      <w:rPr>
        <w:rFonts w:ascii="Encode Sans" w:hAnsi="Encode Sans" w:cs="DIN Pro Regular"/>
        <w:b/>
        <w:noProof/>
        <w:sz w:val="20"/>
        <w:lang w:eastAsia="es-MX"/>
      </w:rPr>
      <mc:AlternateContent>
        <mc:Choice Requires="wps">
          <w:drawing>
            <wp:anchor distT="45720" distB="45720" distL="114300" distR="114300" simplePos="0" relativeHeight="251769344" behindDoc="0" locked="0" layoutInCell="1" allowOverlap="1" wp14:anchorId="6A847F5E" wp14:editId="7817251E">
              <wp:simplePos x="0" y="0"/>
              <wp:positionH relativeFrom="margin">
                <wp:posOffset>4467225</wp:posOffset>
              </wp:positionH>
              <wp:positionV relativeFrom="margin">
                <wp:posOffset>-833755</wp:posOffset>
              </wp:positionV>
              <wp:extent cx="1181100" cy="5905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90550"/>
                      </a:xfrm>
                      <a:prstGeom prst="rect">
                        <a:avLst/>
                      </a:prstGeom>
                      <a:noFill/>
                      <a:ln w="9525">
                        <a:noFill/>
                        <a:miter lim="800000"/>
                        <a:headEnd/>
                        <a:tailEnd/>
                      </a:ln>
                    </wps:spPr>
                    <wps:txbx>
                      <w:txbxContent>
                        <w:p w:rsidR="00FE223F" w:rsidRPr="00E87B7E" w:rsidRDefault="00FE223F">
                          <w:pPr>
                            <w:rPr>
                              <w:rFonts w:ascii="Encode Sans Expanded SemiBold" w:hAnsi="Encode Sans Expanded SemiBold" w:cs="DIN Pro Bold"/>
                              <w:b/>
                              <w:sz w:val="18"/>
                              <w:szCs w:val="24"/>
                            </w:rPr>
                          </w:pPr>
                          <w:r w:rsidRPr="00E87B7E">
                            <w:rPr>
                              <w:rFonts w:ascii="Encode Sans Expanded SemiBold" w:hAnsi="Encode Sans Expanded SemiBold" w:cs="DIN Pro Bold"/>
                              <w:b/>
                              <w:sz w:val="18"/>
                              <w:szCs w:val="24"/>
                            </w:rPr>
                            <w:t xml:space="preserve">CUENTA PÚBLICA CONSOLIDADA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847F5E" id="_x0000_t202" coordsize="21600,21600" o:spt="202" path="m,l,21600r21600,l21600,xe">
              <v:stroke joinstyle="miter"/>
              <v:path gradientshapeok="t" o:connecttype="rect"/>
            </v:shapetype>
            <v:shape id="Cuadro de texto 2" o:spid="_x0000_s1029" type="#_x0000_t202" style="position:absolute;left:0;text-align:left;margin-left:351.75pt;margin-top:-65.65pt;width:93pt;height:46.5pt;z-index:25176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" filled="f" stroked="f">
              <v:textbox>
                <w:txbxContent>
                  <w:p w:rsidR="005F31A4" w:rsidRPr="00E87B7E" w:rsidRDefault="005F31A4">
                    <w:pPr>
                      <w:rPr>
                        <w:rFonts w:ascii="Encode Sans Expanded SemiBold" w:hAnsi="Encode Sans Expanded SemiBold" w:cs="DIN Pro Bold"/>
                        <w:b/>
                        <w:sz w:val="18"/>
                        <w:szCs w:val="24"/>
                      </w:rPr>
                    </w:pPr>
                    <w:r w:rsidRPr="00E87B7E">
                      <w:rPr>
                        <w:rFonts w:ascii="Encode Sans Expanded SemiBold" w:hAnsi="Encode Sans Expanded SemiBold" w:cs="DIN Pro Bold"/>
                        <w:b/>
                        <w:sz w:val="18"/>
                        <w:szCs w:val="24"/>
                      </w:rPr>
                      <w:t xml:space="preserve">CUENTA PÚBLICA CONSOLIDADA     </w:t>
                    </w:r>
                  </w:p>
                </w:txbxContent>
              </v:textbox>
              <w10:wrap type="square" anchorx="margin" anchory="margin"/>
            </v:shape>
          </w:pict>
        </mc:Fallback>
      </mc:AlternateContent>
    </w:r>
    <w:r w:rsidRPr="002B152B">
      <w:rPr>
        <w:rFonts w:ascii="HelveticaNeueLT Std Lt" w:hAnsi="HelveticaNeueLT Std Lt" w:cs="Arial"/>
        <w:b/>
        <w:noProof/>
        <w:sz w:val="30"/>
        <w:lang w:eastAsia="es-MX"/>
      </w:rPr>
      <w:drawing>
        <wp:anchor distT="0" distB="0" distL="114300" distR="114300" simplePos="0" relativeHeight="251728384" behindDoc="0" locked="0" layoutInCell="1" allowOverlap="1" wp14:anchorId="124BAB98" wp14:editId="7C0290A0">
          <wp:simplePos x="0" y="0"/>
          <wp:positionH relativeFrom="margin">
            <wp:posOffset>-323850</wp:posOffset>
          </wp:positionH>
          <wp:positionV relativeFrom="paragraph">
            <wp:posOffset>33655</wp:posOffset>
          </wp:positionV>
          <wp:extent cx="1583055" cy="603250"/>
          <wp:effectExtent l="0" t="0" r="0" b="635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
                    <a:extLst>
                      <a:ext uri="{28A0092B-C50C-407E-A947-70E740481C1C}">
                        <a14:useLocalDpi xmlns:a14="http://schemas.microsoft.com/office/drawing/2010/main" val="0"/>
                      </a:ext>
                    </a:extLst>
                  </a:blip>
                  <a:stretch>
                    <a:fillRect/>
                  </a:stretch>
                </pic:blipFill>
                <pic:spPr>
                  <a:xfrm>
                    <a:off x="0" y="0"/>
                    <a:ext cx="1583055" cy="603250"/>
                  </a:xfrm>
                  <a:prstGeom prst="rect">
                    <a:avLst/>
                  </a:prstGeom>
                </pic:spPr>
              </pic:pic>
            </a:graphicData>
          </a:graphic>
          <wp14:sizeRelH relativeFrom="margin">
            <wp14:pctWidth>0</wp14:pctWidth>
          </wp14:sizeRelH>
          <wp14:sizeRelV relativeFrom="margin">
            <wp14:pctHeight>0</wp14:pctHeight>
          </wp14:sizeRelV>
        </wp:anchor>
      </w:drawing>
    </w:r>
    <w:r>
      <w:rPr>
        <w:rFonts w:ascii="Encode Sans" w:hAnsi="Encode Sans" w:cs="DIN Pro Regular"/>
        <w:b/>
        <w:sz w:val="20"/>
      </w:rPr>
      <w:t xml:space="preserve">                                  </w:t>
    </w:r>
  </w:p>
  <w:p w:rsidR="00FE223F" w:rsidRDefault="00FE223F" w:rsidP="002B152B">
    <w:pPr>
      <w:pStyle w:val="Encabezado"/>
      <w:tabs>
        <w:tab w:val="left" w:pos="270"/>
        <w:tab w:val="center" w:pos="4680"/>
      </w:tabs>
      <w:jc w:val="center"/>
      <w:rPr>
        <w:rFonts w:ascii="Encode Sans" w:hAnsi="Encode Sans" w:cs="DIN Pro Regular"/>
        <w:b/>
        <w:sz w:val="20"/>
      </w:rPr>
    </w:pPr>
    <w:r w:rsidRPr="002B152B">
      <w:rPr>
        <w:rFonts w:ascii="Encode Sans" w:hAnsi="Encode Sans" w:cs="DIN Pro Regular"/>
        <w:b/>
        <w:noProof/>
        <w:sz w:val="20"/>
        <w:lang w:eastAsia="es-MX"/>
      </w:rPr>
      <mc:AlternateContent>
        <mc:Choice Requires="wps">
          <w:drawing>
            <wp:anchor distT="45720" distB="45720" distL="114300" distR="114300" simplePos="0" relativeHeight="251788800" behindDoc="0" locked="0" layoutInCell="1" allowOverlap="1" wp14:anchorId="2AF7E649" wp14:editId="034A5810">
              <wp:simplePos x="0" y="0"/>
              <wp:positionH relativeFrom="margin">
                <wp:posOffset>5591175</wp:posOffset>
              </wp:positionH>
              <wp:positionV relativeFrom="margin">
                <wp:posOffset>-734060</wp:posOffset>
              </wp:positionV>
              <wp:extent cx="819150" cy="374650"/>
              <wp:effectExtent l="0" t="0" r="0" b="635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4650"/>
                      </a:xfrm>
                      <a:prstGeom prst="rect">
                        <a:avLst/>
                      </a:prstGeom>
                      <a:noFill/>
                      <a:ln w="9525">
                        <a:noFill/>
                        <a:miter lim="800000"/>
                        <a:headEnd/>
                        <a:tailEnd/>
                      </a:ln>
                    </wps:spPr>
                    <wps:txbx>
                      <w:txbxContent>
                        <w:p w:rsidR="00FE223F" w:rsidRPr="00E87B7E" w:rsidRDefault="00FE223F" w:rsidP="002B152B">
                          <w:pPr>
                            <w:rPr>
                              <w:sz w:val="28"/>
                              <w:szCs w:val="36"/>
                            </w:rPr>
                          </w:pPr>
                          <w:r w:rsidRPr="00E87B7E">
                            <w:rPr>
                              <w:rFonts w:ascii="Encode Sans" w:hAnsi="Encode Sans" w:cs="DIN Pro Regular"/>
                              <w:b/>
                              <w:sz w:val="28"/>
                              <w:szCs w:val="36"/>
                            </w:rPr>
                            <w:t>2023</w:t>
                          </w:r>
                          <w:r w:rsidRPr="00E87B7E">
                            <w:rPr>
                              <w:rFonts w:ascii="Encode Sans Medium" w:hAnsi="Encode Sans Medium" w:cs="DIN Pro Bold"/>
                              <w:b/>
                              <w:sz w:val="28"/>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7E649" id="_x0000_s1030" type="#_x0000_t202" style="position:absolute;left:0;text-align:left;margin-left:440.25pt;margin-top:-57.8pt;width:64.5pt;height:29.5pt;z-index:25178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" filled="f" stroked="f">
              <v:textbox>
                <w:txbxContent>
                  <w:p w:rsidR="005F31A4" w:rsidRPr="00E87B7E" w:rsidRDefault="005F31A4" w:rsidP="002B152B">
                    <w:pPr>
                      <w:rPr>
                        <w:sz w:val="28"/>
                        <w:szCs w:val="36"/>
                      </w:rPr>
                    </w:pPr>
                    <w:r w:rsidRPr="00E87B7E">
                      <w:rPr>
                        <w:rFonts w:ascii="Encode Sans" w:hAnsi="Encode Sans" w:cs="DIN Pro Regular"/>
                        <w:b/>
                        <w:sz w:val="28"/>
                        <w:szCs w:val="36"/>
                      </w:rPr>
                      <w:t>2023</w:t>
                    </w:r>
                    <w:r w:rsidRPr="00E87B7E">
                      <w:rPr>
                        <w:rFonts w:ascii="Encode Sans Medium" w:hAnsi="Encode Sans Medium" w:cs="DIN Pro Bold"/>
                        <w:b/>
                        <w:sz w:val="28"/>
                        <w:szCs w:val="36"/>
                      </w:rPr>
                      <w:t xml:space="preserve">  </w:t>
                    </w:r>
                  </w:p>
                </w:txbxContent>
              </v:textbox>
              <w10:wrap type="square" anchorx="margin" anchory="margin"/>
            </v:shape>
          </w:pict>
        </mc:Fallback>
      </mc:AlternateContent>
    </w:r>
    <w:r w:rsidRPr="002B152B">
      <w:rPr>
        <w:rFonts w:ascii="Encode Sans" w:hAnsi="Encode Sans" w:cs="DIN Pro Bold"/>
        <w:noProof/>
        <w:sz w:val="28"/>
        <w:szCs w:val="24"/>
        <w:lang w:eastAsia="es-MX"/>
      </w:rPr>
      <mc:AlternateContent>
        <mc:Choice Requires="wps">
          <w:drawing>
            <wp:anchor distT="0" distB="0" distL="114300" distR="114300" simplePos="0" relativeHeight="251613696" behindDoc="0" locked="0" layoutInCell="1" allowOverlap="1" wp14:anchorId="5621139C" wp14:editId="4DFA318C">
              <wp:simplePos x="0" y="0"/>
              <wp:positionH relativeFrom="column">
                <wp:posOffset>5619750</wp:posOffset>
              </wp:positionH>
              <wp:positionV relativeFrom="paragraph">
                <wp:posOffset>13970</wp:posOffset>
              </wp:positionV>
              <wp:extent cx="0" cy="36195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0" cy="361950"/>
                      </a:xfrm>
                      <a:prstGeom prst="line">
                        <a:avLst/>
                      </a:prstGeom>
                      <a:ln w="15875">
                        <a:solidFill>
                          <a:srgbClr val="BC95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6E09F" id="Conector recto 5" o:spid="_x0000_s1026" style="position:absolute;z-index:251613696;visibility:visible;mso-wrap-style:square;mso-wrap-distance-left:9pt;mso-wrap-distance-top:0;mso-wrap-distance-right:9pt;mso-wrap-distance-bottom:0;mso-position-horizontal:absolute;mso-position-horizontal-relative:text;mso-position-vertical:absolute;mso-position-vertical-relative:text" from="442.5pt,1.1pt" to="44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" strokecolor="#bc955c" strokeweight="1.25pt"/>
          </w:pict>
        </mc:Fallback>
      </mc:AlternateContent>
    </w:r>
  </w:p>
  <w:p w:rsidR="00FE223F" w:rsidRPr="002B152B" w:rsidRDefault="00FE223F" w:rsidP="002B152B">
    <w:pPr>
      <w:pStyle w:val="Encabezado"/>
      <w:tabs>
        <w:tab w:val="left" w:pos="270"/>
        <w:tab w:val="center" w:pos="4680"/>
      </w:tabs>
      <w:jc w:val="center"/>
      <w:rPr>
        <w:rFonts w:ascii="Encode Sans Medium" w:hAnsi="Encode Sans Medium" w:cs="DIN Pro Bold"/>
        <w:b/>
        <w:sz w:val="20"/>
        <w:szCs w:val="24"/>
      </w:rPr>
    </w:pPr>
    <w:r>
      <w:rPr>
        <w:rFonts w:ascii="Encode Sans" w:hAnsi="Encode Sans" w:cs="DIN Pro Regular"/>
        <w:b/>
        <w:sz w:val="20"/>
      </w:rPr>
      <w:t xml:space="preserve">    </w:t>
    </w:r>
    <w:r w:rsidRPr="00E87B7E">
      <w:rPr>
        <w:rFonts w:ascii="Encode Sans" w:hAnsi="Encode Sans" w:cs="DIN Pro Regular"/>
        <w:b/>
        <w:sz w:val="20"/>
      </w:rPr>
      <w:t>TOMO I    RESULTADOS GENERALES</w:t>
    </w:r>
  </w:p>
  <w:p w:rsidR="00FE223F" w:rsidRDefault="00FE223F" w:rsidP="002B152B">
    <w:pPr>
      <w:pStyle w:val="Encabezado"/>
      <w:tabs>
        <w:tab w:val="left" w:pos="270"/>
        <w:tab w:val="center" w:pos="4680"/>
      </w:tabs>
      <w:jc w:val="center"/>
      <w:rPr>
        <w:rFonts w:ascii="Encode Sans Medium" w:hAnsi="Encode Sans Medium" w:cs="DIN Pro Bold"/>
        <w:b/>
        <w:sz w:val="18"/>
        <w:szCs w:val="24"/>
      </w:rPr>
    </w:pPr>
  </w:p>
  <w:p w:rsidR="00FE223F" w:rsidRDefault="00FE223F" w:rsidP="00841F43">
    <w:pPr>
      <w:pStyle w:val="Encabezado"/>
      <w:tabs>
        <w:tab w:val="left" w:pos="270"/>
        <w:tab w:val="center" w:pos="4680"/>
      </w:tabs>
      <w:jc w:val="right"/>
      <w:rPr>
        <w:rFonts w:ascii="Arial" w:hAnsi="Arial" w:cs="Arial"/>
      </w:rPr>
    </w:pPr>
  </w:p>
  <w:p w:rsidR="00FE223F" w:rsidRPr="002B152B" w:rsidRDefault="00FE223F" w:rsidP="00841F43">
    <w:pPr>
      <w:pStyle w:val="Encabezado"/>
      <w:tabs>
        <w:tab w:val="left" w:pos="270"/>
        <w:tab w:val="center" w:pos="4680"/>
      </w:tabs>
      <w:jc w:val="right"/>
      <w:rPr>
        <w:rFonts w:ascii="Arial" w:hAnsi="Arial" w:cs="Arial"/>
      </w:rPr>
    </w:pPr>
    <w:r>
      <w:rPr>
        <w:rFonts w:ascii="HelveticaNeueLT Std Lt" w:hAnsi="HelveticaNeueLT Std Lt" w:cs="Arial"/>
        <w:b/>
        <w:noProof/>
        <w:lang w:eastAsia="es-MX"/>
      </w:rPr>
      <mc:AlternateContent>
        <mc:Choice Requires="wps">
          <w:drawing>
            <wp:anchor distT="0" distB="0" distL="114300" distR="114300" simplePos="0" relativeHeight="251680256" behindDoc="0" locked="0" layoutInCell="1" allowOverlap="1" wp14:anchorId="097342FD" wp14:editId="25DD96F0">
              <wp:simplePos x="0" y="0"/>
              <wp:positionH relativeFrom="column">
                <wp:posOffset>-114300</wp:posOffset>
              </wp:positionH>
              <wp:positionV relativeFrom="paragraph">
                <wp:posOffset>113030</wp:posOffset>
              </wp:positionV>
              <wp:extent cx="6192000" cy="0"/>
              <wp:effectExtent l="0" t="0" r="37465" b="19050"/>
              <wp:wrapNone/>
              <wp:docPr id="1" name="Conector recto 1"/>
              <wp:cNvGraphicFramePr/>
              <a:graphic xmlns:a="http://schemas.openxmlformats.org/drawingml/2006/main">
                <a:graphicData uri="http://schemas.microsoft.com/office/word/2010/wordprocessingShape">
                  <wps:wsp>
                    <wps:cNvCnPr/>
                    <wps:spPr>
                      <a:xfrm>
                        <a:off x="0" y="0"/>
                        <a:ext cx="6192000" cy="0"/>
                      </a:xfrm>
                      <a:prstGeom prst="line">
                        <a:avLst/>
                      </a:prstGeom>
                      <a:ln w="22225"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4C839" id="Conector recto 1"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8.9pt" to="478.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" strokecolor="#bc955c" strokeweight="1.7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4AA0CED"/>
    <w:multiLevelType w:val="hybridMultilevel"/>
    <w:tmpl w:val="5D143B1C"/>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059C7139"/>
    <w:multiLevelType w:val="hybridMultilevel"/>
    <w:tmpl w:val="DA1A9790"/>
    <w:lvl w:ilvl="0" w:tplc="8B70BAB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B94660D"/>
    <w:multiLevelType w:val="hybridMultilevel"/>
    <w:tmpl w:val="02166370"/>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15:restartNumberingAfterBreak="0">
    <w:nsid w:val="11ED65F5"/>
    <w:multiLevelType w:val="hybridMultilevel"/>
    <w:tmpl w:val="5026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F466719"/>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EE3786"/>
    <w:multiLevelType w:val="hybridMultilevel"/>
    <w:tmpl w:val="4A60B07C"/>
    <w:lvl w:ilvl="0" w:tplc="21FAD8A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3527F4E"/>
    <w:multiLevelType w:val="hybridMultilevel"/>
    <w:tmpl w:val="94061C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137079"/>
    <w:multiLevelType w:val="hybridMultilevel"/>
    <w:tmpl w:val="A1F6ED50"/>
    <w:lvl w:ilvl="0" w:tplc="9D066E30">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66744F3"/>
    <w:multiLevelType w:val="hybridMultilevel"/>
    <w:tmpl w:val="6570F648"/>
    <w:lvl w:ilvl="0" w:tplc="EF24D1A0">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2"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38EF74D4"/>
    <w:multiLevelType w:val="hybridMultilevel"/>
    <w:tmpl w:val="F0F81904"/>
    <w:lvl w:ilvl="0" w:tplc="FAAC4E2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A702CC0"/>
    <w:multiLevelType w:val="hybridMultilevel"/>
    <w:tmpl w:val="0A0CB554"/>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0C2159D"/>
    <w:multiLevelType w:val="hybridMultilevel"/>
    <w:tmpl w:val="BF2EFE12"/>
    <w:lvl w:ilvl="0" w:tplc="0C209F24">
      <w:numFmt w:val="bullet"/>
      <w:lvlText w:val="-"/>
      <w:lvlJc w:val="left"/>
      <w:pPr>
        <w:ind w:left="720" w:hanging="360"/>
      </w:pPr>
      <w:rPr>
        <w:rFonts w:ascii="Helvetica" w:eastAsia="Times New Roman" w:hAnsi="Helvetica" w:cs="Helvetic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E54AB5"/>
    <w:multiLevelType w:val="hybridMultilevel"/>
    <w:tmpl w:val="79ECF2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48EB211D"/>
    <w:multiLevelType w:val="hybridMultilevel"/>
    <w:tmpl w:val="AF42FE08"/>
    <w:lvl w:ilvl="0" w:tplc="080A000F">
      <w:start w:val="1"/>
      <w:numFmt w:val="decimal"/>
      <w:lvlText w:val="%1."/>
      <w:lvlJc w:val="left"/>
      <w:pPr>
        <w:ind w:left="1728" w:hanging="360"/>
      </w:pPr>
    </w:lvl>
    <w:lvl w:ilvl="1" w:tplc="080A0019" w:tentative="1">
      <w:start w:val="1"/>
      <w:numFmt w:val="lowerLetter"/>
      <w:lvlText w:val="%2."/>
      <w:lvlJc w:val="left"/>
      <w:pPr>
        <w:ind w:left="2448" w:hanging="360"/>
      </w:pPr>
    </w:lvl>
    <w:lvl w:ilvl="2" w:tplc="080A001B" w:tentative="1">
      <w:start w:val="1"/>
      <w:numFmt w:val="lowerRoman"/>
      <w:lvlText w:val="%3."/>
      <w:lvlJc w:val="right"/>
      <w:pPr>
        <w:ind w:left="3168" w:hanging="180"/>
      </w:pPr>
    </w:lvl>
    <w:lvl w:ilvl="3" w:tplc="080A000F" w:tentative="1">
      <w:start w:val="1"/>
      <w:numFmt w:val="decimal"/>
      <w:lvlText w:val="%4."/>
      <w:lvlJc w:val="left"/>
      <w:pPr>
        <w:ind w:left="3888" w:hanging="360"/>
      </w:pPr>
    </w:lvl>
    <w:lvl w:ilvl="4" w:tplc="080A0019" w:tentative="1">
      <w:start w:val="1"/>
      <w:numFmt w:val="lowerLetter"/>
      <w:lvlText w:val="%5."/>
      <w:lvlJc w:val="left"/>
      <w:pPr>
        <w:ind w:left="4608" w:hanging="360"/>
      </w:pPr>
    </w:lvl>
    <w:lvl w:ilvl="5" w:tplc="080A001B" w:tentative="1">
      <w:start w:val="1"/>
      <w:numFmt w:val="lowerRoman"/>
      <w:lvlText w:val="%6."/>
      <w:lvlJc w:val="right"/>
      <w:pPr>
        <w:ind w:left="5328" w:hanging="180"/>
      </w:pPr>
    </w:lvl>
    <w:lvl w:ilvl="6" w:tplc="080A000F" w:tentative="1">
      <w:start w:val="1"/>
      <w:numFmt w:val="decimal"/>
      <w:lvlText w:val="%7."/>
      <w:lvlJc w:val="left"/>
      <w:pPr>
        <w:ind w:left="6048" w:hanging="360"/>
      </w:pPr>
    </w:lvl>
    <w:lvl w:ilvl="7" w:tplc="080A0019" w:tentative="1">
      <w:start w:val="1"/>
      <w:numFmt w:val="lowerLetter"/>
      <w:lvlText w:val="%8."/>
      <w:lvlJc w:val="left"/>
      <w:pPr>
        <w:ind w:left="6768" w:hanging="360"/>
      </w:pPr>
    </w:lvl>
    <w:lvl w:ilvl="8" w:tplc="080A001B" w:tentative="1">
      <w:start w:val="1"/>
      <w:numFmt w:val="lowerRoman"/>
      <w:lvlText w:val="%9."/>
      <w:lvlJc w:val="right"/>
      <w:pPr>
        <w:ind w:left="7488" w:hanging="180"/>
      </w:pPr>
    </w:lvl>
  </w:abstractNum>
  <w:abstractNum w:abstractNumId="18" w15:restartNumberingAfterBreak="0">
    <w:nsid w:val="626751B4"/>
    <w:multiLevelType w:val="hybridMultilevel"/>
    <w:tmpl w:val="27A08A64"/>
    <w:lvl w:ilvl="0" w:tplc="7E66B528">
      <w:start w:val="1"/>
      <w:numFmt w:val="lowerLetter"/>
      <w:lvlText w:val="%1)"/>
      <w:lvlJc w:val="left"/>
      <w:pPr>
        <w:ind w:left="4330" w:hanging="360"/>
      </w:pPr>
      <w:rPr>
        <w:rFonts w:ascii="Encode Sans" w:hAnsi="Encode Sans" w:hint="default"/>
        <w:sz w:val="20"/>
        <w:szCs w:val="20"/>
      </w:rPr>
    </w:lvl>
    <w:lvl w:ilvl="1" w:tplc="080A0019" w:tentative="1">
      <w:start w:val="1"/>
      <w:numFmt w:val="lowerLetter"/>
      <w:lvlText w:val="%2."/>
      <w:lvlJc w:val="left"/>
      <w:pPr>
        <w:ind w:left="5050" w:hanging="360"/>
      </w:pPr>
    </w:lvl>
    <w:lvl w:ilvl="2" w:tplc="080A001B" w:tentative="1">
      <w:start w:val="1"/>
      <w:numFmt w:val="lowerRoman"/>
      <w:lvlText w:val="%3."/>
      <w:lvlJc w:val="right"/>
      <w:pPr>
        <w:ind w:left="5770" w:hanging="180"/>
      </w:pPr>
    </w:lvl>
    <w:lvl w:ilvl="3" w:tplc="080A000F" w:tentative="1">
      <w:start w:val="1"/>
      <w:numFmt w:val="decimal"/>
      <w:lvlText w:val="%4."/>
      <w:lvlJc w:val="left"/>
      <w:pPr>
        <w:ind w:left="6490" w:hanging="360"/>
      </w:pPr>
    </w:lvl>
    <w:lvl w:ilvl="4" w:tplc="080A0019" w:tentative="1">
      <w:start w:val="1"/>
      <w:numFmt w:val="lowerLetter"/>
      <w:lvlText w:val="%5."/>
      <w:lvlJc w:val="left"/>
      <w:pPr>
        <w:ind w:left="7210" w:hanging="360"/>
      </w:pPr>
    </w:lvl>
    <w:lvl w:ilvl="5" w:tplc="080A001B" w:tentative="1">
      <w:start w:val="1"/>
      <w:numFmt w:val="lowerRoman"/>
      <w:lvlText w:val="%6."/>
      <w:lvlJc w:val="right"/>
      <w:pPr>
        <w:ind w:left="7930" w:hanging="180"/>
      </w:pPr>
    </w:lvl>
    <w:lvl w:ilvl="6" w:tplc="080A000F" w:tentative="1">
      <w:start w:val="1"/>
      <w:numFmt w:val="decimal"/>
      <w:lvlText w:val="%7."/>
      <w:lvlJc w:val="left"/>
      <w:pPr>
        <w:ind w:left="8650" w:hanging="360"/>
      </w:pPr>
    </w:lvl>
    <w:lvl w:ilvl="7" w:tplc="080A0019" w:tentative="1">
      <w:start w:val="1"/>
      <w:numFmt w:val="lowerLetter"/>
      <w:lvlText w:val="%8."/>
      <w:lvlJc w:val="left"/>
      <w:pPr>
        <w:ind w:left="9370" w:hanging="360"/>
      </w:pPr>
    </w:lvl>
    <w:lvl w:ilvl="8" w:tplc="080A001B" w:tentative="1">
      <w:start w:val="1"/>
      <w:numFmt w:val="lowerRoman"/>
      <w:lvlText w:val="%9."/>
      <w:lvlJc w:val="right"/>
      <w:pPr>
        <w:ind w:left="10090" w:hanging="180"/>
      </w:pPr>
    </w:lvl>
  </w:abstractNum>
  <w:abstractNum w:abstractNumId="19" w15:restartNumberingAfterBreak="0">
    <w:nsid w:val="6A9E0434"/>
    <w:multiLevelType w:val="hybridMultilevel"/>
    <w:tmpl w:val="1B5E3E24"/>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0" w15:restartNumberingAfterBreak="0">
    <w:nsid w:val="6FA4246C"/>
    <w:multiLevelType w:val="hybridMultilevel"/>
    <w:tmpl w:val="FD8EF3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3750DD"/>
    <w:multiLevelType w:val="hybridMultilevel"/>
    <w:tmpl w:val="3EA4777E"/>
    <w:lvl w:ilvl="0" w:tplc="7F8A51BE">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5"/>
  </w:num>
  <w:num w:numId="3">
    <w:abstractNumId w:val="12"/>
  </w:num>
  <w:num w:numId="4">
    <w:abstractNumId w:val="7"/>
  </w:num>
  <w:num w:numId="5">
    <w:abstractNumId w:val="2"/>
  </w:num>
  <w:num w:numId="6">
    <w:abstractNumId w:val="6"/>
  </w:num>
  <w:num w:numId="7">
    <w:abstractNumId w:val="13"/>
  </w:num>
  <w:num w:numId="8">
    <w:abstractNumId w:val="11"/>
  </w:num>
  <w:num w:numId="9">
    <w:abstractNumId w:val="8"/>
  </w:num>
  <w:num w:numId="10">
    <w:abstractNumId w:val="10"/>
  </w:num>
  <w:num w:numId="11">
    <w:abstractNumId w:val="1"/>
  </w:num>
  <w:num w:numId="12">
    <w:abstractNumId w:val="14"/>
  </w:num>
  <w:num w:numId="13">
    <w:abstractNumId w:val="21"/>
  </w:num>
  <w:num w:numId="14">
    <w:abstractNumId w:val="15"/>
  </w:num>
  <w:num w:numId="15">
    <w:abstractNumId w:val="19"/>
  </w:num>
  <w:num w:numId="16">
    <w:abstractNumId w:val="3"/>
  </w:num>
  <w:num w:numId="17">
    <w:abstractNumId w:val="17"/>
  </w:num>
  <w:num w:numId="18">
    <w:abstractNumId w:val="16"/>
  </w:num>
  <w:num w:numId="19">
    <w:abstractNumId w:val="18"/>
  </w:num>
  <w:num w:numId="20">
    <w:abstractNumId w:val="20"/>
  </w:num>
  <w:num w:numId="21">
    <w:abstractNumId w:val="9"/>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61441">
      <o:colormru v:ext="edit" colors="#40b4e5,#005cb9,#95d600,#0064a7,#97c9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52AF"/>
    <w:rsid w:val="00006500"/>
    <w:rsid w:val="0001248E"/>
    <w:rsid w:val="0003192B"/>
    <w:rsid w:val="00040466"/>
    <w:rsid w:val="00041A33"/>
    <w:rsid w:val="00042692"/>
    <w:rsid w:val="0004649B"/>
    <w:rsid w:val="00053DAD"/>
    <w:rsid w:val="00060D88"/>
    <w:rsid w:val="00060DB0"/>
    <w:rsid w:val="00066E4C"/>
    <w:rsid w:val="00072067"/>
    <w:rsid w:val="00075867"/>
    <w:rsid w:val="000803D2"/>
    <w:rsid w:val="00085C63"/>
    <w:rsid w:val="00090102"/>
    <w:rsid w:val="00091C67"/>
    <w:rsid w:val="000A1339"/>
    <w:rsid w:val="000A6616"/>
    <w:rsid w:val="000C0A06"/>
    <w:rsid w:val="000D06AB"/>
    <w:rsid w:val="000D3182"/>
    <w:rsid w:val="000D5EFE"/>
    <w:rsid w:val="000E06FF"/>
    <w:rsid w:val="000E3A68"/>
    <w:rsid w:val="000E6439"/>
    <w:rsid w:val="000F0A75"/>
    <w:rsid w:val="000F2712"/>
    <w:rsid w:val="000F55CA"/>
    <w:rsid w:val="0010281B"/>
    <w:rsid w:val="001057F6"/>
    <w:rsid w:val="0011357D"/>
    <w:rsid w:val="00126E87"/>
    <w:rsid w:val="0013011C"/>
    <w:rsid w:val="00135754"/>
    <w:rsid w:val="00144731"/>
    <w:rsid w:val="001457BE"/>
    <w:rsid w:val="0014762A"/>
    <w:rsid w:val="00163D6C"/>
    <w:rsid w:val="0017292C"/>
    <w:rsid w:val="00174108"/>
    <w:rsid w:val="0017768C"/>
    <w:rsid w:val="00177B09"/>
    <w:rsid w:val="001819BD"/>
    <w:rsid w:val="00185224"/>
    <w:rsid w:val="00186C07"/>
    <w:rsid w:val="00195DEE"/>
    <w:rsid w:val="001A6923"/>
    <w:rsid w:val="001B1B72"/>
    <w:rsid w:val="001C1C55"/>
    <w:rsid w:val="001C2F26"/>
    <w:rsid w:val="001C5431"/>
    <w:rsid w:val="001C6FD8"/>
    <w:rsid w:val="001C760F"/>
    <w:rsid w:val="001D30D8"/>
    <w:rsid w:val="001D3162"/>
    <w:rsid w:val="001D51E2"/>
    <w:rsid w:val="001D6D6E"/>
    <w:rsid w:val="001E2701"/>
    <w:rsid w:val="001E518B"/>
    <w:rsid w:val="001E6A64"/>
    <w:rsid w:val="0021068D"/>
    <w:rsid w:val="00210747"/>
    <w:rsid w:val="002138D2"/>
    <w:rsid w:val="002211C5"/>
    <w:rsid w:val="00222382"/>
    <w:rsid w:val="00230699"/>
    <w:rsid w:val="0023093F"/>
    <w:rsid w:val="00236391"/>
    <w:rsid w:val="00241D8F"/>
    <w:rsid w:val="0024446D"/>
    <w:rsid w:val="0025226E"/>
    <w:rsid w:val="00260918"/>
    <w:rsid w:val="00261E04"/>
    <w:rsid w:val="00263D36"/>
    <w:rsid w:val="002644B4"/>
    <w:rsid w:val="00264F1F"/>
    <w:rsid w:val="00271B8D"/>
    <w:rsid w:val="00284716"/>
    <w:rsid w:val="00290E6D"/>
    <w:rsid w:val="0029470F"/>
    <w:rsid w:val="00294BDA"/>
    <w:rsid w:val="002A08CF"/>
    <w:rsid w:val="002A70B3"/>
    <w:rsid w:val="002B152B"/>
    <w:rsid w:val="002C1413"/>
    <w:rsid w:val="002C1B2A"/>
    <w:rsid w:val="002C2455"/>
    <w:rsid w:val="002C34C6"/>
    <w:rsid w:val="002C3BA7"/>
    <w:rsid w:val="002C4D9F"/>
    <w:rsid w:val="002C576A"/>
    <w:rsid w:val="002D015C"/>
    <w:rsid w:val="002D42BF"/>
    <w:rsid w:val="002D7A6B"/>
    <w:rsid w:val="002F20BF"/>
    <w:rsid w:val="002F33C5"/>
    <w:rsid w:val="002F46E2"/>
    <w:rsid w:val="002F581F"/>
    <w:rsid w:val="003010F3"/>
    <w:rsid w:val="003102A2"/>
    <w:rsid w:val="0031093A"/>
    <w:rsid w:val="00313A28"/>
    <w:rsid w:val="00324E4C"/>
    <w:rsid w:val="0033507E"/>
    <w:rsid w:val="00336209"/>
    <w:rsid w:val="00344F1C"/>
    <w:rsid w:val="00345472"/>
    <w:rsid w:val="00353C71"/>
    <w:rsid w:val="00372F40"/>
    <w:rsid w:val="00373734"/>
    <w:rsid w:val="0037538E"/>
    <w:rsid w:val="00375BBC"/>
    <w:rsid w:val="003858E0"/>
    <w:rsid w:val="0039289D"/>
    <w:rsid w:val="003A0303"/>
    <w:rsid w:val="003A64F1"/>
    <w:rsid w:val="003B3723"/>
    <w:rsid w:val="003B7DF9"/>
    <w:rsid w:val="003C0E92"/>
    <w:rsid w:val="003C1806"/>
    <w:rsid w:val="003C52A2"/>
    <w:rsid w:val="003D0DE7"/>
    <w:rsid w:val="003D1BA0"/>
    <w:rsid w:val="003D3BF5"/>
    <w:rsid w:val="003D5DBF"/>
    <w:rsid w:val="003D6886"/>
    <w:rsid w:val="003D7B22"/>
    <w:rsid w:val="003E46AF"/>
    <w:rsid w:val="003E73C6"/>
    <w:rsid w:val="003E7FD0"/>
    <w:rsid w:val="003F39C5"/>
    <w:rsid w:val="003F7245"/>
    <w:rsid w:val="003F7CD7"/>
    <w:rsid w:val="00400CFA"/>
    <w:rsid w:val="00403049"/>
    <w:rsid w:val="004060D8"/>
    <w:rsid w:val="00406CFF"/>
    <w:rsid w:val="004152B3"/>
    <w:rsid w:val="00416466"/>
    <w:rsid w:val="004179D0"/>
    <w:rsid w:val="00424C40"/>
    <w:rsid w:val="00426B09"/>
    <w:rsid w:val="004270EF"/>
    <w:rsid w:val="0044253C"/>
    <w:rsid w:val="004467A1"/>
    <w:rsid w:val="00446A17"/>
    <w:rsid w:val="00450F7D"/>
    <w:rsid w:val="00451480"/>
    <w:rsid w:val="00451D35"/>
    <w:rsid w:val="00452258"/>
    <w:rsid w:val="00452358"/>
    <w:rsid w:val="00460462"/>
    <w:rsid w:val="00462119"/>
    <w:rsid w:val="004638C6"/>
    <w:rsid w:val="00464E75"/>
    <w:rsid w:val="0048003C"/>
    <w:rsid w:val="00484C0D"/>
    <w:rsid w:val="00490D16"/>
    <w:rsid w:val="00493508"/>
    <w:rsid w:val="00497D8B"/>
    <w:rsid w:val="004B16B8"/>
    <w:rsid w:val="004C2B04"/>
    <w:rsid w:val="004D41B8"/>
    <w:rsid w:val="004F07E7"/>
    <w:rsid w:val="004F0A80"/>
    <w:rsid w:val="004F0E7F"/>
    <w:rsid w:val="004F0F5E"/>
    <w:rsid w:val="004F3590"/>
    <w:rsid w:val="004F3C91"/>
    <w:rsid w:val="004F534D"/>
    <w:rsid w:val="004F69FE"/>
    <w:rsid w:val="00502352"/>
    <w:rsid w:val="0050292B"/>
    <w:rsid w:val="00503D8D"/>
    <w:rsid w:val="0051129F"/>
    <w:rsid w:val="00522632"/>
    <w:rsid w:val="005241FE"/>
    <w:rsid w:val="0052590B"/>
    <w:rsid w:val="005350A1"/>
    <w:rsid w:val="00540418"/>
    <w:rsid w:val="00542DD2"/>
    <w:rsid w:val="00544D60"/>
    <w:rsid w:val="005502A5"/>
    <w:rsid w:val="005531B8"/>
    <w:rsid w:val="00553900"/>
    <w:rsid w:val="005655B2"/>
    <w:rsid w:val="00566709"/>
    <w:rsid w:val="005675A0"/>
    <w:rsid w:val="005754C0"/>
    <w:rsid w:val="005774F0"/>
    <w:rsid w:val="00582949"/>
    <w:rsid w:val="0058659D"/>
    <w:rsid w:val="00587AB4"/>
    <w:rsid w:val="005A137F"/>
    <w:rsid w:val="005A4BE3"/>
    <w:rsid w:val="005B24BE"/>
    <w:rsid w:val="005B5860"/>
    <w:rsid w:val="005D04DD"/>
    <w:rsid w:val="005D1553"/>
    <w:rsid w:val="005D4295"/>
    <w:rsid w:val="005D42E1"/>
    <w:rsid w:val="005E24A6"/>
    <w:rsid w:val="005F31A4"/>
    <w:rsid w:val="005F4FD5"/>
    <w:rsid w:val="005F55F9"/>
    <w:rsid w:val="0060613C"/>
    <w:rsid w:val="006101D2"/>
    <w:rsid w:val="00620CE1"/>
    <w:rsid w:val="00622A2D"/>
    <w:rsid w:val="00626B18"/>
    <w:rsid w:val="00627F1A"/>
    <w:rsid w:val="00643949"/>
    <w:rsid w:val="00644C6C"/>
    <w:rsid w:val="00650FBE"/>
    <w:rsid w:val="0066506B"/>
    <w:rsid w:val="00672A7A"/>
    <w:rsid w:val="00672C34"/>
    <w:rsid w:val="0067353B"/>
    <w:rsid w:val="00673F89"/>
    <w:rsid w:val="00675478"/>
    <w:rsid w:val="00677336"/>
    <w:rsid w:val="006A1D1F"/>
    <w:rsid w:val="006A30B4"/>
    <w:rsid w:val="006A77BA"/>
    <w:rsid w:val="006A7DF0"/>
    <w:rsid w:val="006B1D44"/>
    <w:rsid w:val="006C4E44"/>
    <w:rsid w:val="006D56E7"/>
    <w:rsid w:val="006E77DD"/>
    <w:rsid w:val="006E7ACC"/>
    <w:rsid w:val="0070015E"/>
    <w:rsid w:val="0070137D"/>
    <w:rsid w:val="00701739"/>
    <w:rsid w:val="0070709C"/>
    <w:rsid w:val="00710161"/>
    <w:rsid w:val="00722D7C"/>
    <w:rsid w:val="00725F56"/>
    <w:rsid w:val="00745746"/>
    <w:rsid w:val="007516D3"/>
    <w:rsid w:val="0075466F"/>
    <w:rsid w:val="00761E87"/>
    <w:rsid w:val="00763B74"/>
    <w:rsid w:val="007658CB"/>
    <w:rsid w:val="00765FFF"/>
    <w:rsid w:val="007818C6"/>
    <w:rsid w:val="0078579A"/>
    <w:rsid w:val="00790BD8"/>
    <w:rsid w:val="0079410C"/>
    <w:rsid w:val="00794F55"/>
    <w:rsid w:val="0079582C"/>
    <w:rsid w:val="007A5117"/>
    <w:rsid w:val="007A5B39"/>
    <w:rsid w:val="007B4614"/>
    <w:rsid w:val="007C4879"/>
    <w:rsid w:val="007C6DBB"/>
    <w:rsid w:val="007C746D"/>
    <w:rsid w:val="007D0B5B"/>
    <w:rsid w:val="007D1CC1"/>
    <w:rsid w:val="007D381B"/>
    <w:rsid w:val="007D5DA7"/>
    <w:rsid w:val="007D6E9A"/>
    <w:rsid w:val="007E4A53"/>
    <w:rsid w:val="007F08FA"/>
    <w:rsid w:val="007F3E7F"/>
    <w:rsid w:val="007F5EA4"/>
    <w:rsid w:val="008000D8"/>
    <w:rsid w:val="008027D9"/>
    <w:rsid w:val="00811DAC"/>
    <w:rsid w:val="00820190"/>
    <w:rsid w:val="00830D75"/>
    <w:rsid w:val="00831EAF"/>
    <w:rsid w:val="00834ECD"/>
    <w:rsid w:val="00837922"/>
    <w:rsid w:val="00841F43"/>
    <w:rsid w:val="00843B98"/>
    <w:rsid w:val="0084449D"/>
    <w:rsid w:val="00847907"/>
    <w:rsid w:val="00847B0D"/>
    <w:rsid w:val="00853269"/>
    <w:rsid w:val="0085677D"/>
    <w:rsid w:val="00861BF5"/>
    <w:rsid w:val="00862A0D"/>
    <w:rsid w:val="00863E0A"/>
    <w:rsid w:val="0087269A"/>
    <w:rsid w:val="008764B6"/>
    <w:rsid w:val="00876FA6"/>
    <w:rsid w:val="00884833"/>
    <w:rsid w:val="00886842"/>
    <w:rsid w:val="00890055"/>
    <w:rsid w:val="0089719D"/>
    <w:rsid w:val="008A120B"/>
    <w:rsid w:val="008A5C08"/>
    <w:rsid w:val="008A6E4D"/>
    <w:rsid w:val="008B0017"/>
    <w:rsid w:val="008B0D51"/>
    <w:rsid w:val="008B3251"/>
    <w:rsid w:val="008B365C"/>
    <w:rsid w:val="008B41CF"/>
    <w:rsid w:val="008C0955"/>
    <w:rsid w:val="008C2FDE"/>
    <w:rsid w:val="008C6E8E"/>
    <w:rsid w:val="008D0180"/>
    <w:rsid w:val="008E3652"/>
    <w:rsid w:val="008E48E4"/>
    <w:rsid w:val="008F1A59"/>
    <w:rsid w:val="008F3D0E"/>
    <w:rsid w:val="008F3D9E"/>
    <w:rsid w:val="008F41BC"/>
    <w:rsid w:val="008F4DD2"/>
    <w:rsid w:val="008F6D58"/>
    <w:rsid w:val="009026D1"/>
    <w:rsid w:val="00910AF6"/>
    <w:rsid w:val="009143F5"/>
    <w:rsid w:val="009153D7"/>
    <w:rsid w:val="00916252"/>
    <w:rsid w:val="00921C64"/>
    <w:rsid w:val="00921C7A"/>
    <w:rsid w:val="009237EF"/>
    <w:rsid w:val="009275ED"/>
    <w:rsid w:val="00935F86"/>
    <w:rsid w:val="00936743"/>
    <w:rsid w:val="00951975"/>
    <w:rsid w:val="00951CA5"/>
    <w:rsid w:val="00951CC3"/>
    <w:rsid w:val="00954884"/>
    <w:rsid w:val="00955BAD"/>
    <w:rsid w:val="00967AF9"/>
    <w:rsid w:val="009748FA"/>
    <w:rsid w:val="00985A2E"/>
    <w:rsid w:val="009865A6"/>
    <w:rsid w:val="0099032D"/>
    <w:rsid w:val="0099102F"/>
    <w:rsid w:val="00992D09"/>
    <w:rsid w:val="00994738"/>
    <w:rsid w:val="00994B2E"/>
    <w:rsid w:val="00994CF0"/>
    <w:rsid w:val="009A6D76"/>
    <w:rsid w:val="009B48B1"/>
    <w:rsid w:val="009B6196"/>
    <w:rsid w:val="009B672A"/>
    <w:rsid w:val="009B6B02"/>
    <w:rsid w:val="009B6C1D"/>
    <w:rsid w:val="009C2B68"/>
    <w:rsid w:val="009C7A3A"/>
    <w:rsid w:val="009D1E0B"/>
    <w:rsid w:val="009D4C0F"/>
    <w:rsid w:val="009E1F45"/>
    <w:rsid w:val="009E52E8"/>
    <w:rsid w:val="009E65DA"/>
    <w:rsid w:val="009E6948"/>
    <w:rsid w:val="00A056EE"/>
    <w:rsid w:val="00A05C70"/>
    <w:rsid w:val="00A05CB1"/>
    <w:rsid w:val="00A0677A"/>
    <w:rsid w:val="00A07254"/>
    <w:rsid w:val="00A12542"/>
    <w:rsid w:val="00A17844"/>
    <w:rsid w:val="00A22757"/>
    <w:rsid w:val="00A23270"/>
    <w:rsid w:val="00A258F9"/>
    <w:rsid w:val="00A35095"/>
    <w:rsid w:val="00A35F4C"/>
    <w:rsid w:val="00A44D76"/>
    <w:rsid w:val="00A46109"/>
    <w:rsid w:val="00A523D5"/>
    <w:rsid w:val="00A540AF"/>
    <w:rsid w:val="00A73361"/>
    <w:rsid w:val="00A74F12"/>
    <w:rsid w:val="00A92B03"/>
    <w:rsid w:val="00A97010"/>
    <w:rsid w:val="00AA300D"/>
    <w:rsid w:val="00AA7EBA"/>
    <w:rsid w:val="00AD4BB3"/>
    <w:rsid w:val="00AD6B30"/>
    <w:rsid w:val="00AE3EFE"/>
    <w:rsid w:val="00AE608D"/>
    <w:rsid w:val="00AE75B2"/>
    <w:rsid w:val="00AF05C3"/>
    <w:rsid w:val="00AF1C0C"/>
    <w:rsid w:val="00AF2F48"/>
    <w:rsid w:val="00AF348B"/>
    <w:rsid w:val="00AF7996"/>
    <w:rsid w:val="00B01960"/>
    <w:rsid w:val="00B03469"/>
    <w:rsid w:val="00B10695"/>
    <w:rsid w:val="00B10D45"/>
    <w:rsid w:val="00B14CB8"/>
    <w:rsid w:val="00B16711"/>
    <w:rsid w:val="00B260CB"/>
    <w:rsid w:val="00B26248"/>
    <w:rsid w:val="00B32695"/>
    <w:rsid w:val="00B32877"/>
    <w:rsid w:val="00B368BA"/>
    <w:rsid w:val="00B40480"/>
    <w:rsid w:val="00B4395C"/>
    <w:rsid w:val="00B6431B"/>
    <w:rsid w:val="00B732B1"/>
    <w:rsid w:val="00B739EF"/>
    <w:rsid w:val="00B73D95"/>
    <w:rsid w:val="00B73DF3"/>
    <w:rsid w:val="00B75838"/>
    <w:rsid w:val="00B849EE"/>
    <w:rsid w:val="00B854D5"/>
    <w:rsid w:val="00B86415"/>
    <w:rsid w:val="00BA2940"/>
    <w:rsid w:val="00BB189C"/>
    <w:rsid w:val="00BC702B"/>
    <w:rsid w:val="00BD6292"/>
    <w:rsid w:val="00BD77C4"/>
    <w:rsid w:val="00BE2484"/>
    <w:rsid w:val="00BE6581"/>
    <w:rsid w:val="00BF0017"/>
    <w:rsid w:val="00C07D59"/>
    <w:rsid w:val="00C10D9F"/>
    <w:rsid w:val="00C11164"/>
    <w:rsid w:val="00C15238"/>
    <w:rsid w:val="00C2567A"/>
    <w:rsid w:val="00C264F4"/>
    <w:rsid w:val="00C325A7"/>
    <w:rsid w:val="00C46CDB"/>
    <w:rsid w:val="00C51131"/>
    <w:rsid w:val="00C57315"/>
    <w:rsid w:val="00C71856"/>
    <w:rsid w:val="00C74960"/>
    <w:rsid w:val="00C758C0"/>
    <w:rsid w:val="00C7736C"/>
    <w:rsid w:val="00C80663"/>
    <w:rsid w:val="00C847FC"/>
    <w:rsid w:val="00C93D96"/>
    <w:rsid w:val="00CB06AF"/>
    <w:rsid w:val="00CB1DE4"/>
    <w:rsid w:val="00CC1F77"/>
    <w:rsid w:val="00CC2371"/>
    <w:rsid w:val="00CC5443"/>
    <w:rsid w:val="00CC6694"/>
    <w:rsid w:val="00CD0037"/>
    <w:rsid w:val="00CD1A91"/>
    <w:rsid w:val="00CD4B70"/>
    <w:rsid w:val="00CD6C61"/>
    <w:rsid w:val="00CE6475"/>
    <w:rsid w:val="00CF0B53"/>
    <w:rsid w:val="00CF18E4"/>
    <w:rsid w:val="00D0206A"/>
    <w:rsid w:val="00D055EC"/>
    <w:rsid w:val="00D05AC1"/>
    <w:rsid w:val="00D10273"/>
    <w:rsid w:val="00D137E1"/>
    <w:rsid w:val="00D150F7"/>
    <w:rsid w:val="00D23A2B"/>
    <w:rsid w:val="00D40EB2"/>
    <w:rsid w:val="00D43EEC"/>
    <w:rsid w:val="00D502DB"/>
    <w:rsid w:val="00D53591"/>
    <w:rsid w:val="00D6136C"/>
    <w:rsid w:val="00D62DF3"/>
    <w:rsid w:val="00D67555"/>
    <w:rsid w:val="00D74DD6"/>
    <w:rsid w:val="00D8089A"/>
    <w:rsid w:val="00D85F71"/>
    <w:rsid w:val="00D9138F"/>
    <w:rsid w:val="00DA0F15"/>
    <w:rsid w:val="00DC01A2"/>
    <w:rsid w:val="00DC53C5"/>
    <w:rsid w:val="00DC736A"/>
    <w:rsid w:val="00DD035D"/>
    <w:rsid w:val="00DD0CF4"/>
    <w:rsid w:val="00DD3BDC"/>
    <w:rsid w:val="00DD451E"/>
    <w:rsid w:val="00DD4EDA"/>
    <w:rsid w:val="00DE4AC2"/>
    <w:rsid w:val="00DF04EC"/>
    <w:rsid w:val="00DF166B"/>
    <w:rsid w:val="00DF3D6D"/>
    <w:rsid w:val="00DF5220"/>
    <w:rsid w:val="00DF6437"/>
    <w:rsid w:val="00E058D1"/>
    <w:rsid w:val="00E07C35"/>
    <w:rsid w:val="00E1118B"/>
    <w:rsid w:val="00E2498C"/>
    <w:rsid w:val="00E30A7D"/>
    <w:rsid w:val="00E30F32"/>
    <w:rsid w:val="00E32708"/>
    <w:rsid w:val="00E36BAF"/>
    <w:rsid w:val="00E459F4"/>
    <w:rsid w:val="00E45E06"/>
    <w:rsid w:val="00E47097"/>
    <w:rsid w:val="00E50807"/>
    <w:rsid w:val="00E529DB"/>
    <w:rsid w:val="00E66C7C"/>
    <w:rsid w:val="00E67274"/>
    <w:rsid w:val="00E71540"/>
    <w:rsid w:val="00E75E3C"/>
    <w:rsid w:val="00E878F0"/>
    <w:rsid w:val="00E87B7E"/>
    <w:rsid w:val="00E97E17"/>
    <w:rsid w:val="00EA346B"/>
    <w:rsid w:val="00EA5418"/>
    <w:rsid w:val="00EA5EA0"/>
    <w:rsid w:val="00EB1ADE"/>
    <w:rsid w:val="00EB26B0"/>
    <w:rsid w:val="00EB37D6"/>
    <w:rsid w:val="00EB4758"/>
    <w:rsid w:val="00EB5EAA"/>
    <w:rsid w:val="00EB7BC1"/>
    <w:rsid w:val="00EC6157"/>
    <w:rsid w:val="00ED118F"/>
    <w:rsid w:val="00ED70CA"/>
    <w:rsid w:val="00ED7D2E"/>
    <w:rsid w:val="00EE6570"/>
    <w:rsid w:val="00EF33FD"/>
    <w:rsid w:val="00EF4650"/>
    <w:rsid w:val="00F05310"/>
    <w:rsid w:val="00F12593"/>
    <w:rsid w:val="00F138BE"/>
    <w:rsid w:val="00F16013"/>
    <w:rsid w:val="00F20634"/>
    <w:rsid w:val="00F30354"/>
    <w:rsid w:val="00F30C06"/>
    <w:rsid w:val="00F360AC"/>
    <w:rsid w:val="00F43A17"/>
    <w:rsid w:val="00F44E0B"/>
    <w:rsid w:val="00F45C83"/>
    <w:rsid w:val="00F45CAA"/>
    <w:rsid w:val="00F470A7"/>
    <w:rsid w:val="00F504F9"/>
    <w:rsid w:val="00F60192"/>
    <w:rsid w:val="00F648FF"/>
    <w:rsid w:val="00F7071B"/>
    <w:rsid w:val="00F73A6E"/>
    <w:rsid w:val="00F746DB"/>
    <w:rsid w:val="00F76815"/>
    <w:rsid w:val="00F94B6E"/>
    <w:rsid w:val="00F97452"/>
    <w:rsid w:val="00FA19C1"/>
    <w:rsid w:val="00FB0FD3"/>
    <w:rsid w:val="00FB1010"/>
    <w:rsid w:val="00FB1255"/>
    <w:rsid w:val="00FB702A"/>
    <w:rsid w:val="00FC0C83"/>
    <w:rsid w:val="00FD3303"/>
    <w:rsid w:val="00FE0BFD"/>
    <w:rsid w:val="00FE223F"/>
    <w:rsid w:val="00FE35B7"/>
    <w:rsid w:val="00FE3C54"/>
    <w:rsid w:val="00FE498D"/>
    <w:rsid w:val="00FE4A87"/>
    <w:rsid w:val="00FE4B15"/>
    <w:rsid w:val="00FF042D"/>
    <w:rsid w:val="00FF61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41">
      <o:colormru v:ext="edit" colors="#40b4e5,#005cb9,#95d600,#0064a7,#97c93d"/>
    </o:shapedefaults>
    <o:shapelayout v:ext="edit">
      <o:idmap v:ext="edit" data="1"/>
    </o:shapelayout>
  </w:shapeDefaults>
  <w:decimalSymbol w:val="."/>
  <w:listSeparator w:val=","/>
  <w14:docId w14:val="0DEBC589"/>
  <w15:docId w15:val="{DEF56C1C-5425-435A-98B9-AD24798E6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92C"/>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A92B0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A92B03"/>
    <w:rPr>
      <w:rFonts w:asciiTheme="majorHAnsi" w:eastAsiaTheme="majorEastAsia" w:hAnsiTheme="majorHAnsi" w:cstheme="majorBidi"/>
      <w:color w:val="365F91" w:themeColor="accent1" w:themeShade="BF"/>
      <w:sz w:val="26"/>
      <w:szCs w:val="26"/>
      <w:lang w:eastAsia="en-US"/>
    </w:rPr>
  </w:style>
  <w:style w:type="paragraph" w:styleId="Textonotapie">
    <w:name w:val="footnote text"/>
    <w:basedOn w:val="Normal"/>
    <w:link w:val="TextonotapieCar"/>
    <w:uiPriority w:val="99"/>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table" w:styleId="Tablaconcuadrcula">
    <w:name w:val="Table Grid"/>
    <w:basedOn w:val="Tablanormal"/>
    <w:uiPriority w:val="5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768C"/>
    <w:pPr>
      <w:autoSpaceDE w:val="0"/>
      <w:autoSpaceDN w:val="0"/>
      <w:adjustRightInd w:val="0"/>
    </w:pPr>
    <w:rPr>
      <w:rFonts w:cs="Calibri"/>
      <w:color w:val="000000"/>
      <w:sz w:val="24"/>
      <w:szCs w:val="24"/>
    </w:rPr>
  </w:style>
  <w:style w:type="paragraph" w:styleId="NormalWeb">
    <w:name w:val="Normal (Web)"/>
    <w:basedOn w:val="Normal"/>
    <w:uiPriority w:val="99"/>
    <w:unhideWhenUsed/>
    <w:rsid w:val="00A92B03"/>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basedOn w:val="Fuentedeprrafopredeter"/>
    <w:uiPriority w:val="99"/>
    <w:unhideWhenUsed/>
    <w:rsid w:val="00A92B03"/>
    <w:rPr>
      <w:color w:val="0000FF" w:themeColor="hyperlink"/>
      <w:u w:val="single"/>
    </w:rPr>
  </w:style>
  <w:style w:type="paragraph" w:customStyle="1" w:styleId="Standard">
    <w:name w:val="Standard"/>
    <w:rsid w:val="00566709"/>
    <w:pPr>
      <w:suppressAutoHyphens/>
      <w:autoSpaceDN w:val="0"/>
      <w:textAlignment w:val="baseline"/>
    </w:pPr>
    <w:rPr>
      <w:rFonts w:ascii="Times New Roman" w:eastAsia="Times New Roman" w:hAnsi="Times New Roman"/>
      <w:sz w:val="24"/>
      <w:szCs w:val="24"/>
      <w:lang w:val="es-ES" w:eastAsia="es-ES"/>
    </w:rPr>
  </w:style>
  <w:style w:type="paragraph" w:styleId="Textoindependiente2">
    <w:name w:val="Body Text 2"/>
    <w:basedOn w:val="Normal"/>
    <w:link w:val="Textoindependiente2Car"/>
    <w:rsid w:val="00566709"/>
    <w:pPr>
      <w:spacing w:after="0" w:line="240" w:lineRule="auto"/>
      <w:jc w:val="both"/>
    </w:pPr>
    <w:rPr>
      <w:rFonts w:ascii="Arial" w:eastAsia="Times New Roman" w:hAnsi="Arial" w:cs="Arial"/>
      <w:b/>
      <w:bCs/>
      <w:sz w:val="14"/>
      <w:szCs w:val="24"/>
      <w:lang w:val="es-ES" w:eastAsia="es-ES"/>
    </w:rPr>
  </w:style>
  <w:style w:type="character" w:customStyle="1" w:styleId="Textoindependiente2Car">
    <w:name w:val="Texto independiente 2 Car"/>
    <w:basedOn w:val="Fuentedeprrafopredeter"/>
    <w:link w:val="Textoindependiente2"/>
    <w:rsid w:val="00566709"/>
    <w:rPr>
      <w:rFonts w:ascii="Arial" w:eastAsia="Times New Roman" w:hAnsi="Arial" w:cs="Arial"/>
      <w:b/>
      <w:bCs/>
      <w:sz w:val="14"/>
      <w:szCs w:val="24"/>
      <w:lang w:val="es-ES" w:eastAsia="es-ES"/>
    </w:rPr>
  </w:style>
  <w:style w:type="character" w:styleId="nfasis">
    <w:name w:val="Emphasis"/>
    <w:basedOn w:val="Fuentedeprrafopredeter"/>
    <w:uiPriority w:val="20"/>
    <w:qFormat/>
    <w:rsid w:val="009E65DA"/>
    <w:rPr>
      <w:i/>
      <w:iCs/>
    </w:rPr>
  </w:style>
  <w:style w:type="character" w:customStyle="1" w:styleId="apple-converted-space">
    <w:name w:val="apple-converted-space"/>
    <w:basedOn w:val="Fuentedeprrafopredeter"/>
    <w:rsid w:val="009E65DA"/>
  </w:style>
  <w:style w:type="paragraph" w:customStyle="1" w:styleId="n01">
    <w:name w:val="n01"/>
    <w:basedOn w:val="Normal"/>
    <w:rsid w:val="009E65DA"/>
    <w:pPr>
      <w:keepLines/>
      <w:spacing w:before="240" w:after="0" w:line="240" w:lineRule="auto"/>
      <w:ind w:left="720" w:hanging="720"/>
      <w:jc w:val="both"/>
    </w:pPr>
    <w:rPr>
      <w:rFonts w:ascii="Univers (W1)" w:eastAsia="Times New Roman" w:hAnsi="Univers (W1)" w:cs="Arial"/>
      <w:color w:val="800080"/>
      <w:sz w:val="24"/>
      <w:szCs w:val="24"/>
      <w:lang w:val="es-ES_tradnl" w:eastAsia="es-ES"/>
    </w:rPr>
  </w:style>
  <w:style w:type="paragraph" w:styleId="Sinespaciado">
    <w:name w:val="No Spacing"/>
    <w:uiPriority w:val="1"/>
    <w:qFormat/>
    <w:rsid w:val="0095197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6553">
      <w:bodyDiv w:val="1"/>
      <w:marLeft w:val="0"/>
      <w:marRight w:val="0"/>
      <w:marTop w:val="0"/>
      <w:marBottom w:val="0"/>
      <w:divBdr>
        <w:top w:val="none" w:sz="0" w:space="0" w:color="auto"/>
        <w:left w:val="none" w:sz="0" w:space="0" w:color="auto"/>
        <w:bottom w:val="none" w:sz="0" w:space="0" w:color="auto"/>
        <w:right w:val="none" w:sz="0" w:space="0" w:color="auto"/>
      </w:divBdr>
    </w:div>
    <w:div w:id="13045460">
      <w:bodyDiv w:val="1"/>
      <w:marLeft w:val="0"/>
      <w:marRight w:val="0"/>
      <w:marTop w:val="0"/>
      <w:marBottom w:val="0"/>
      <w:divBdr>
        <w:top w:val="none" w:sz="0" w:space="0" w:color="auto"/>
        <w:left w:val="none" w:sz="0" w:space="0" w:color="auto"/>
        <w:bottom w:val="none" w:sz="0" w:space="0" w:color="auto"/>
        <w:right w:val="none" w:sz="0" w:space="0" w:color="auto"/>
      </w:divBdr>
    </w:div>
    <w:div w:id="13072483">
      <w:bodyDiv w:val="1"/>
      <w:marLeft w:val="0"/>
      <w:marRight w:val="0"/>
      <w:marTop w:val="0"/>
      <w:marBottom w:val="0"/>
      <w:divBdr>
        <w:top w:val="none" w:sz="0" w:space="0" w:color="auto"/>
        <w:left w:val="none" w:sz="0" w:space="0" w:color="auto"/>
        <w:bottom w:val="none" w:sz="0" w:space="0" w:color="auto"/>
        <w:right w:val="none" w:sz="0" w:space="0" w:color="auto"/>
      </w:divBdr>
    </w:div>
    <w:div w:id="13270605">
      <w:bodyDiv w:val="1"/>
      <w:marLeft w:val="0"/>
      <w:marRight w:val="0"/>
      <w:marTop w:val="0"/>
      <w:marBottom w:val="0"/>
      <w:divBdr>
        <w:top w:val="none" w:sz="0" w:space="0" w:color="auto"/>
        <w:left w:val="none" w:sz="0" w:space="0" w:color="auto"/>
        <w:bottom w:val="none" w:sz="0" w:space="0" w:color="auto"/>
        <w:right w:val="none" w:sz="0" w:space="0" w:color="auto"/>
      </w:divBdr>
    </w:div>
    <w:div w:id="13965580">
      <w:bodyDiv w:val="1"/>
      <w:marLeft w:val="0"/>
      <w:marRight w:val="0"/>
      <w:marTop w:val="0"/>
      <w:marBottom w:val="0"/>
      <w:divBdr>
        <w:top w:val="none" w:sz="0" w:space="0" w:color="auto"/>
        <w:left w:val="none" w:sz="0" w:space="0" w:color="auto"/>
        <w:bottom w:val="none" w:sz="0" w:space="0" w:color="auto"/>
        <w:right w:val="none" w:sz="0" w:space="0" w:color="auto"/>
      </w:divBdr>
    </w:div>
    <w:div w:id="27267181">
      <w:bodyDiv w:val="1"/>
      <w:marLeft w:val="0"/>
      <w:marRight w:val="0"/>
      <w:marTop w:val="0"/>
      <w:marBottom w:val="0"/>
      <w:divBdr>
        <w:top w:val="none" w:sz="0" w:space="0" w:color="auto"/>
        <w:left w:val="none" w:sz="0" w:space="0" w:color="auto"/>
        <w:bottom w:val="none" w:sz="0" w:space="0" w:color="auto"/>
        <w:right w:val="none" w:sz="0" w:space="0" w:color="auto"/>
      </w:divBdr>
    </w:div>
    <w:div w:id="35741724">
      <w:bodyDiv w:val="1"/>
      <w:marLeft w:val="0"/>
      <w:marRight w:val="0"/>
      <w:marTop w:val="0"/>
      <w:marBottom w:val="0"/>
      <w:divBdr>
        <w:top w:val="none" w:sz="0" w:space="0" w:color="auto"/>
        <w:left w:val="none" w:sz="0" w:space="0" w:color="auto"/>
        <w:bottom w:val="none" w:sz="0" w:space="0" w:color="auto"/>
        <w:right w:val="none" w:sz="0" w:space="0" w:color="auto"/>
      </w:divBdr>
    </w:div>
    <w:div w:id="65422353">
      <w:bodyDiv w:val="1"/>
      <w:marLeft w:val="0"/>
      <w:marRight w:val="0"/>
      <w:marTop w:val="0"/>
      <w:marBottom w:val="0"/>
      <w:divBdr>
        <w:top w:val="none" w:sz="0" w:space="0" w:color="auto"/>
        <w:left w:val="none" w:sz="0" w:space="0" w:color="auto"/>
        <w:bottom w:val="none" w:sz="0" w:space="0" w:color="auto"/>
        <w:right w:val="none" w:sz="0" w:space="0" w:color="auto"/>
      </w:divBdr>
    </w:div>
    <w:div w:id="70079084">
      <w:bodyDiv w:val="1"/>
      <w:marLeft w:val="0"/>
      <w:marRight w:val="0"/>
      <w:marTop w:val="0"/>
      <w:marBottom w:val="0"/>
      <w:divBdr>
        <w:top w:val="none" w:sz="0" w:space="0" w:color="auto"/>
        <w:left w:val="none" w:sz="0" w:space="0" w:color="auto"/>
        <w:bottom w:val="none" w:sz="0" w:space="0" w:color="auto"/>
        <w:right w:val="none" w:sz="0" w:space="0" w:color="auto"/>
      </w:divBdr>
    </w:div>
    <w:div w:id="72627192">
      <w:bodyDiv w:val="1"/>
      <w:marLeft w:val="0"/>
      <w:marRight w:val="0"/>
      <w:marTop w:val="0"/>
      <w:marBottom w:val="0"/>
      <w:divBdr>
        <w:top w:val="none" w:sz="0" w:space="0" w:color="auto"/>
        <w:left w:val="none" w:sz="0" w:space="0" w:color="auto"/>
        <w:bottom w:val="none" w:sz="0" w:space="0" w:color="auto"/>
        <w:right w:val="none" w:sz="0" w:space="0" w:color="auto"/>
      </w:divBdr>
    </w:div>
    <w:div w:id="76288098">
      <w:bodyDiv w:val="1"/>
      <w:marLeft w:val="0"/>
      <w:marRight w:val="0"/>
      <w:marTop w:val="0"/>
      <w:marBottom w:val="0"/>
      <w:divBdr>
        <w:top w:val="none" w:sz="0" w:space="0" w:color="auto"/>
        <w:left w:val="none" w:sz="0" w:space="0" w:color="auto"/>
        <w:bottom w:val="none" w:sz="0" w:space="0" w:color="auto"/>
        <w:right w:val="none" w:sz="0" w:space="0" w:color="auto"/>
      </w:divBdr>
    </w:div>
    <w:div w:id="80032595">
      <w:bodyDiv w:val="1"/>
      <w:marLeft w:val="0"/>
      <w:marRight w:val="0"/>
      <w:marTop w:val="0"/>
      <w:marBottom w:val="0"/>
      <w:divBdr>
        <w:top w:val="none" w:sz="0" w:space="0" w:color="auto"/>
        <w:left w:val="none" w:sz="0" w:space="0" w:color="auto"/>
        <w:bottom w:val="none" w:sz="0" w:space="0" w:color="auto"/>
        <w:right w:val="none" w:sz="0" w:space="0" w:color="auto"/>
      </w:divBdr>
    </w:div>
    <w:div w:id="80638392">
      <w:bodyDiv w:val="1"/>
      <w:marLeft w:val="0"/>
      <w:marRight w:val="0"/>
      <w:marTop w:val="0"/>
      <w:marBottom w:val="0"/>
      <w:divBdr>
        <w:top w:val="none" w:sz="0" w:space="0" w:color="auto"/>
        <w:left w:val="none" w:sz="0" w:space="0" w:color="auto"/>
        <w:bottom w:val="none" w:sz="0" w:space="0" w:color="auto"/>
        <w:right w:val="none" w:sz="0" w:space="0" w:color="auto"/>
      </w:divBdr>
    </w:div>
    <w:div w:id="84812349">
      <w:bodyDiv w:val="1"/>
      <w:marLeft w:val="0"/>
      <w:marRight w:val="0"/>
      <w:marTop w:val="0"/>
      <w:marBottom w:val="0"/>
      <w:divBdr>
        <w:top w:val="none" w:sz="0" w:space="0" w:color="auto"/>
        <w:left w:val="none" w:sz="0" w:space="0" w:color="auto"/>
        <w:bottom w:val="none" w:sz="0" w:space="0" w:color="auto"/>
        <w:right w:val="none" w:sz="0" w:space="0" w:color="auto"/>
      </w:divBdr>
    </w:div>
    <w:div w:id="89666846">
      <w:bodyDiv w:val="1"/>
      <w:marLeft w:val="0"/>
      <w:marRight w:val="0"/>
      <w:marTop w:val="0"/>
      <w:marBottom w:val="0"/>
      <w:divBdr>
        <w:top w:val="none" w:sz="0" w:space="0" w:color="auto"/>
        <w:left w:val="none" w:sz="0" w:space="0" w:color="auto"/>
        <w:bottom w:val="none" w:sz="0" w:space="0" w:color="auto"/>
        <w:right w:val="none" w:sz="0" w:space="0" w:color="auto"/>
      </w:divBdr>
    </w:div>
    <w:div w:id="108669564">
      <w:bodyDiv w:val="1"/>
      <w:marLeft w:val="0"/>
      <w:marRight w:val="0"/>
      <w:marTop w:val="0"/>
      <w:marBottom w:val="0"/>
      <w:divBdr>
        <w:top w:val="none" w:sz="0" w:space="0" w:color="auto"/>
        <w:left w:val="none" w:sz="0" w:space="0" w:color="auto"/>
        <w:bottom w:val="none" w:sz="0" w:space="0" w:color="auto"/>
        <w:right w:val="none" w:sz="0" w:space="0" w:color="auto"/>
      </w:divBdr>
    </w:div>
    <w:div w:id="108670088">
      <w:bodyDiv w:val="1"/>
      <w:marLeft w:val="0"/>
      <w:marRight w:val="0"/>
      <w:marTop w:val="0"/>
      <w:marBottom w:val="0"/>
      <w:divBdr>
        <w:top w:val="none" w:sz="0" w:space="0" w:color="auto"/>
        <w:left w:val="none" w:sz="0" w:space="0" w:color="auto"/>
        <w:bottom w:val="none" w:sz="0" w:space="0" w:color="auto"/>
        <w:right w:val="none" w:sz="0" w:space="0" w:color="auto"/>
      </w:divBdr>
    </w:div>
    <w:div w:id="114719560">
      <w:bodyDiv w:val="1"/>
      <w:marLeft w:val="0"/>
      <w:marRight w:val="0"/>
      <w:marTop w:val="0"/>
      <w:marBottom w:val="0"/>
      <w:divBdr>
        <w:top w:val="none" w:sz="0" w:space="0" w:color="auto"/>
        <w:left w:val="none" w:sz="0" w:space="0" w:color="auto"/>
        <w:bottom w:val="none" w:sz="0" w:space="0" w:color="auto"/>
        <w:right w:val="none" w:sz="0" w:space="0" w:color="auto"/>
      </w:divBdr>
    </w:div>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19497633">
      <w:bodyDiv w:val="1"/>
      <w:marLeft w:val="0"/>
      <w:marRight w:val="0"/>
      <w:marTop w:val="0"/>
      <w:marBottom w:val="0"/>
      <w:divBdr>
        <w:top w:val="none" w:sz="0" w:space="0" w:color="auto"/>
        <w:left w:val="none" w:sz="0" w:space="0" w:color="auto"/>
        <w:bottom w:val="none" w:sz="0" w:space="0" w:color="auto"/>
        <w:right w:val="none" w:sz="0" w:space="0" w:color="auto"/>
      </w:divBdr>
    </w:div>
    <w:div w:id="119961894">
      <w:bodyDiv w:val="1"/>
      <w:marLeft w:val="0"/>
      <w:marRight w:val="0"/>
      <w:marTop w:val="0"/>
      <w:marBottom w:val="0"/>
      <w:divBdr>
        <w:top w:val="none" w:sz="0" w:space="0" w:color="auto"/>
        <w:left w:val="none" w:sz="0" w:space="0" w:color="auto"/>
        <w:bottom w:val="none" w:sz="0" w:space="0" w:color="auto"/>
        <w:right w:val="none" w:sz="0" w:space="0" w:color="auto"/>
      </w:divBdr>
    </w:div>
    <w:div w:id="129060755">
      <w:bodyDiv w:val="1"/>
      <w:marLeft w:val="0"/>
      <w:marRight w:val="0"/>
      <w:marTop w:val="0"/>
      <w:marBottom w:val="0"/>
      <w:divBdr>
        <w:top w:val="none" w:sz="0" w:space="0" w:color="auto"/>
        <w:left w:val="none" w:sz="0" w:space="0" w:color="auto"/>
        <w:bottom w:val="none" w:sz="0" w:space="0" w:color="auto"/>
        <w:right w:val="none" w:sz="0" w:space="0" w:color="auto"/>
      </w:divBdr>
    </w:div>
    <w:div w:id="134567981">
      <w:bodyDiv w:val="1"/>
      <w:marLeft w:val="0"/>
      <w:marRight w:val="0"/>
      <w:marTop w:val="0"/>
      <w:marBottom w:val="0"/>
      <w:divBdr>
        <w:top w:val="none" w:sz="0" w:space="0" w:color="auto"/>
        <w:left w:val="none" w:sz="0" w:space="0" w:color="auto"/>
        <w:bottom w:val="none" w:sz="0" w:space="0" w:color="auto"/>
        <w:right w:val="none" w:sz="0" w:space="0" w:color="auto"/>
      </w:divBdr>
    </w:div>
    <w:div w:id="141123872">
      <w:bodyDiv w:val="1"/>
      <w:marLeft w:val="0"/>
      <w:marRight w:val="0"/>
      <w:marTop w:val="0"/>
      <w:marBottom w:val="0"/>
      <w:divBdr>
        <w:top w:val="none" w:sz="0" w:space="0" w:color="auto"/>
        <w:left w:val="none" w:sz="0" w:space="0" w:color="auto"/>
        <w:bottom w:val="none" w:sz="0" w:space="0" w:color="auto"/>
        <w:right w:val="none" w:sz="0" w:space="0" w:color="auto"/>
      </w:divBdr>
    </w:div>
    <w:div w:id="146896261">
      <w:bodyDiv w:val="1"/>
      <w:marLeft w:val="0"/>
      <w:marRight w:val="0"/>
      <w:marTop w:val="0"/>
      <w:marBottom w:val="0"/>
      <w:divBdr>
        <w:top w:val="none" w:sz="0" w:space="0" w:color="auto"/>
        <w:left w:val="none" w:sz="0" w:space="0" w:color="auto"/>
        <w:bottom w:val="none" w:sz="0" w:space="0" w:color="auto"/>
        <w:right w:val="none" w:sz="0" w:space="0" w:color="auto"/>
      </w:divBdr>
    </w:div>
    <w:div w:id="158347151">
      <w:bodyDiv w:val="1"/>
      <w:marLeft w:val="0"/>
      <w:marRight w:val="0"/>
      <w:marTop w:val="0"/>
      <w:marBottom w:val="0"/>
      <w:divBdr>
        <w:top w:val="none" w:sz="0" w:space="0" w:color="auto"/>
        <w:left w:val="none" w:sz="0" w:space="0" w:color="auto"/>
        <w:bottom w:val="none" w:sz="0" w:space="0" w:color="auto"/>
        <w:right w:val="none" w:sz="0" w:space="0" w:color="auto"/>
      </w:divBdr>
    </w:div>
    <w:div w:id="162163653">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75507472">
      <w:bodyDiv w:val="1"/>
      <w:marLeft w:val="0"/>
      <w:marRight w:val="0"/>
      <w:marTop w:val="0"/>
      <w:marBottom w:val="0"/>
      <w:divBdr>
        <w:top w:val="none" w:sz="0" w:space="0" w:color="auto"/>
        <w:left w:val="none" w:sz="0" w:space="0" w:color="auto"/>
        <w:bottom w:val="none" w:sz="0" w:space="0" w:color="auto"/>
        <w:right w:val="none" w:sz="0" w:space="0" w:color="auto"/>
      </w:divBdr>
    </w:div>
    <w:div w:id="176503333">
      <w:bodyDiv w:val="1"/>
      <w:marLeft w:val="0"/>
      <w:marRight w:val="0"/>
      <w:marTop w:val="0"/>
      <w:marBottom w:val="0"/>
      <w:divBdr>
        <w:top w:val="none" w:sz="0" w:space="0" w:color="auto"/>
        <w:left w:val="none" w:sz="0" w:space="0" w:color="auto"/>
        <w:bottom w:val="none" w:sz="0" w:space="0" w:color="auto"/>
        <w:right w:val="none" w:sz="0" w:space="0" w:color="auto"/>
      </w:divBdr>
    </w:div>
    <w:div w:id="179202094">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182868145">
      <w:bodyDiv w:val="1"/>
      <w:marLeft w:val="0"/>
      <w:marRight w:val="0"/>
      <w:marTop w:val="0"/>
      <w:marBottom w:val="0"/>
      <w:divBdr>
        <w:top w:val="none" w:sz="0" w:space="0" w:color="auto"/>
        <w:left w:val="none" w:sz="0" w:space="0" w:color="auto"/>
        <w:bottom w:val="none" w:sz="0" w:space="0" w:color="auto"/>
        <w:right w:val="none" w:sz="0" w:space="0" w:color="auto"/>
      </w:divBdr>
    </w:div>
    <w:div w:id="187377698">
      <w:bodyDiv w:val="1"/>
      <w:marLeft w:val="0"/>
      <w:marRight w:val="0"/>
      <w:marTop w:val="0"/>
      <w:marBottom w:val="0"/>
      <w:divBdr>
        <w:top w:val="none" w:sz="0" w:space="0" w:color="auto"/>
        <w:left w:val="none" w:sz="0" w:space="0" w:color="auto"/>
        <w:bottom w:val="none" w:sz="0" w:space="0" w:color="auto"/>
        <w:right w:val="none" w:sz="0" w:space="0" w:color="auto"/>
      </w:divBdr>
    </w:div>
    <w:div w:id="187452759">
      <w:bodyDiv w:val="1"/>
      <w:marLeft w:val="0"/>
      <w:marRight w:val="0"/>
      <w:marTop w:val="0"/>
      <w:marBottom w:val="0"/>
      <w:divBdr>
        <w:top w:val="none" w:sz="0" w:space="0" w:color="auto"/>
        <w:left w:val="none" w:sz="0" w:space="0" w:color="auto"/>
        <w:bottom w:val="none" w:sz="0" w:space="0" w:color="auto"/>
        <w:right w:val="none" w:sz="0" w:space="0" w:color="auto"/>
      </w:divBdr>
    </w:div>
    <w:div w:id="190654811">
      <w:bodyDiv w:val="1"/>
      <w:marLeft w:val="0"/>
      <w:marRight w:val="0"/>
      <w:marTop w:val="0"/>
      <w:marBottom w:val="0"/>
      <w:divBdr>
        <w:top w:val="none" w:sz="0" w:space="0" w:color="auto"/>
        <w:left w:val="none" w:sz="0" w:space="0" w:color="auto"/>
        <w:bottom w:val="none" w:sz="0" w:space="0" w:color="auto"/>
        <w:right w:val="none" w:sz="0" w:space="0" w:color="auto"/>
      </w:divBdr>
    </w:div>
    <w:div w:id="195118350">
      <w:bodyDiv w:val="1"/>
      <w:marLeft w:val="0"/>
      <w:marRight w:val="0"/>
      <w:marTop w:val="0"/>
      <w:marBottom w:val="0"/>
      <w:divBdr>
        <w:top w:val="none" w:sz="0" w:space="0" w:color="auto"/>
        <w:left w:val="none" w:sz="0" w:space="0" w:color="auto"/>
        <w:bottom w:val="none" w:sz="0" w:space="0" w:color="auto"/>
        <w:right w:val="none" w:sz="0" w:space="0" w:color="auto"/>
      </w:divBdr>
    </w:div>
    <w:div w:id="200018079">
      <w:bodyDiv w:val="1"/>
      <w:marLeft w:val="0"/>
      <w:marRight w:val="0"/>
      <w:marTop w:val="0"/>
      <w:marBottom w:val="0"/>
      <w:divBdr>
        <w:top w:val="none" w:sz="0" w:space="0" w:color="auto"/>
        <w:left w:val="none" w:sz="0" w:space="0" w:color="auto"/>
        <w:bottom w:val="none" w:sz="0" w:space="0" w:color="auto"/>
        <w:right w:val="none" w:sz="0" w:space="0" w:color="auto"/>
      </w:divBdr>
    </w:div>
    <w:div w:id="209004167">
      <w:bodyDiv w:val="1"/>
      <w:marLeft w:val="0"/>
      <w:marRight w:val="0"/>
      <w:marTop w:val="0"/>
      <w:marBottom w:val="0"/>
      <w:divBdr>
        <w:top w:val="none" w:sz="0" w:space="0" w:color="auto"/>
        <w:left w:val="none" w:sz="0" w:space="0" w:color="auto"/>
        <w:bottom w:val="none" w:sz="0" w:space="0" w:color="auto"/>
        <w:right w:val="none" w:sz="0" w:space="0" w:color="auto"/>
      </w:divBdr>
    </w:div>
    <w:div w:id="214316648">
      <w:bodyDiv w:val="1"/>
      <w:marLeft w:val="0"/>
      <w:marRight w:val="0"/>
      <w:marTop w:val="0"/>
      <w:marBottom w:val="0"/>
      <w:divBdr>
        <w:top w:val="none" w:sz="0" w:space="0" w:color="auto"/>
        <w:left w:val="none" w:sz="0" w:space="0" w:color="auto"/>
        <w:bottom w:val="none" w:sz="0" w:space="0" w:color="auto"/>
        <w:right w:val="none" w:sz="0" w:space="0" w:color="auto"/>
      </w:divBdr>
    </w:div>
    <w:div w:id="215121224">
      <w:bodyDiv w:val="1"/>
      <w:marLeft w:val="0"/>
      <w:marRight w:val="0"/>
      <w:marTop w:val="0"/>
      <w:marBottom w:val="0"/>
      <w:divBdr>
        <w:top w:val="none" w:sz="0" w:space="0" w:color="auto"/>
        <w:left w:val="none" w:sz="0" w:space="0" w:color="auto"/>
        <w:bottom w:val="none" w:sz="0" w:space="0" w:color="auto"/>
        <w:right w:val="none" w:sz="0" w:space="0" w:color="auto"/>
      </w:divBdr>
    </w:div>
    <w:div w:id="217864086">
      <w:bodyDiv w:val="1"/>
      <w:marLeft w:val="0"/>
      <w:marRight w:val="0"/>
      <w:marTop w:val="0"/>
      <w:marBottom w:val="0"/>
      <w:divBdr>
        <w:top w:val="none" w:sz="0" w:space="0" w:color="auto"/>
        <w:left w:val="none" w:sz="0" w:space="0" w:color="auto"/>
        <w:bottom w:val="none" w:sz="0" w:space="0" w:color="auto"/>
        <w:right w:val="none" w:sz="0" w:space="0" w:color="auto"/>
      </w:divBdr>
    </w:div>
    <w:div w:id="231895817">
      <w:bodyDiv w:val="1"/>
      <w:marLeft w:val="0"/>
      <w:marRight w:val="0"/>
      <w:marTop w:val="0"/>
      <w:marBottom w:val="0"/>
      <w:divBdr>
        <w:top w:val="none" w:sz="0" w:space="0" w:color="auto"/>
        <w:left w:val="none" w:sz="0" w:space="0" w:color="auto"/>
        <w:bottom w:val="none" w:sz="0" w:space="0" w:color="auto"/>
        <w:right w:val="none" w:sz="0" w:space="0" w:color="auto"/>
      </w:divBdr>
    </w:div>
    <w:div w:id="231935382">
      <w:bodyDiv w:val="1"/>
      <w:marLeft w:val="0"/>
      <w:marRight w:val="0"/>
      <w:marTop w:val="0"/>
      <w:marBottom w:val="0"/>
      <w:divBdr>
        <w:top w:val="none" w:sz="0" w:space="0" w:color="auto"/>
        <w:left w:val="none" w:sz="0" w:space="0" w:color="auto"/>
        <w:bottom w:val="none" w:sz="0" w:space="0" w:color="auto"/>
        <w:right w:val="none" w:sz="0" w:space="0" w:color="auto"/>
      </w:divBdr>
    </w:div>
    <w:div w:id="232858961">
      <w:bodyDiv w:val="1"/>
      <w:marLeft w:val="0"/>
      <w:marRight w:val="0"/>
      <w:marTop w:val="0"/>
      <w:marBottom w:val="0"/>
      <w:divBdr>
        <w:top w:val="none" w:sz="0" w:space="0" w:color="auto"/>
        <w:left w:val="none" w:sz="0" w:space="0" w:color="auto"/>
        <w:bottom w:val="none" w:sz="0" w:space="0" w:color="auto"/>
        <w:right w:val="none" w:sz="0" w:space="0" w:color="auto"/>
      </w:divBdr>
    </w:div>
    <w:div w:id="236748262">
      <w:bodyDiv w:val="1"/>
      <w:marLeft w:val="0"/>
      <w:marRight w:val="0"/>
      <w:marTop w:val="0"/>
      <w:marBottom w:val="0"/>
      <w:divBdr>
        <w:top w:val="none" w:sz="0" w:space="0" w:color="auto"/>
        <w:left w:val="none" w:sz="0" w:space="0" w:color="auto"/>
        <w:bottom w:val="none" w:sz="0" w:space="0" w:color="auto"/>
        <w:right w:val="none" w:sz="0" w:space="0" w:color="auto"/>
      </w:divBdr>
    </w:div>
    <w:div w:id="252133305">
      <w:bodyDiv w:val="1"/>
      <w:marLeft w:val="0"/>
      <w:marRight w:val="0"/>
      <w:marTop w:val="0"/>
      <w:marBottom w:val="0"/>
      <w:divBdr>
        <w:top w:val="none" w:sz="0" w:space="0" w:color="auto"/>
        <w:left w:val="none" w:sz="0" w:space="0" w:color="auto"/>
        <w:bottom w:val="none" w:sz="0" w:space="0" w:color="auto"/>
        <w:right w:val="none" w:sz="0" w:space="0" w:color="auto"/>
      </w:divBdr>
    </w:div>
    <w:div w:id="263612334">
      <w:bodyDiv w:val="1"/>
      <w:marLeft w:val="0"/>
      <w:marRight w:val="0"/>
      <w:marTop w:val="0"/>
      <w:marBottom w:val="0"/>
      <w:divBdr>
        <w:top w:val="none" w:sz="0" w:space="0" w:color="auto"/>
        <w:left w:val="none" w:sz="0" w:space="0" w:color="auto"/>
        <w:bottom w:val="none" w:sz="0" w:space="0" w:color="auto"/>
        <w:right w:val="none" w:sz="0" w:space="0" w:color="auto"/>
      </w:divBdr>
    </w:div>
    <w:div w:id="264044690">
      <w:bodyDiv w:val="1"/>
      <w:marLeft w:val="0"/>
      <w:marRight w:val="0"/>
      <w:marTop w:val="0"/>
      <w:marBottom w:val="0"/>
      <w:divBdr>
        <w:top w:val="none" w:sz="0" w:space="0" w:color="auto"/>
        <w:left w:val="none" w:sz="0" w:space="0" w:color="auto"/>
        <w:bottom w:val="none" w:sz="0" w:space="0" w:color="auto"/>
        <w:right w:val="none" w:sz="0" w:space="0" w:color="auto"/>
      </w:divBdr>
    </w:div>
    <w:div w:id="273481742">
      <w:bodyDiv w:val="1"/>
      <w:marLeft w:val="0"/>
      <w:marRight w:val="0"/>
      <w:marTop w:val="0"/>
      <w:marBottom w:val="0"/>
      <w:divBdr>
        <w:top w:val="none" w:sz="0" w:space="0" w:color="auto"/>
        <w:left w:val="none" w:sz="0" w:space="0" w:color="auto"/>
        <w:bottom w:val="none" w:sz="0" w:space="0" w:color="auto"/>
        <w:right w:val="none" w:sz="0" w:space="0" w:color="auto"/>
      </w:divBdr>
    </w:div>
    <w:div w:id="276178923">
      <w:bodyDiv w:val="1"/>
      <w:marLeft w:val="0"/>
      <w:marRight w:val="0"/>
      <w:marTop w:val="0"/>
      <w:marBottom w:val="0"/>
      <w:divBdr>
        <w:top w:val="none" w:sz="0" w:space="0" w:color="auto"/>
        <w:left w:val="none" w:sz="0" w:space="0" w:color="auto"/>
        <w:bottom w:val="none" w:sz="0" w:space="0" w:color="auto"/>
        <w:right w:val="none" w:sz="0" w:space="0" w:color="auto"/>
      </w:divBdr>
    </w:div>
    <w:div w:id="281420191">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292713063">
      <w:bodyDiv w:val="1"/>
      <w:marLeft w:val="0"/>
      <w:marRight w:val="0"/>
      <w:marTop w:val="0"/>
      <w:marBottom w:val="0"/>
      <w:divBdr>
        <w:top w:val="none" w:sz="0" w:space="0" w:color="auto"/>
        <w:left w:val="none" w:sz="0" w:space="0" w:color="auto"/>
        <w:bottom w:val="none" w:sz="0" w:space="0" w:color="auto"/>
        <w:right w:val="none" w:sz="0" w:space="0" w:color="auto"/>
      </w:divBdr>
    </w:div>
    <w:div w:id="299070174">
      <w:bodyDiv w:val="1"/>
      <w:marLeft w:val="0"/>
      <w:marRight w:val="0"/>
      <w:marTop w:val="0"/>
      <w:marBottom w:val="0"/>
      <w:divBdr>
        <w:top w:val="none" w:sz="0" w:space="0" w:color="auto"/>
        <w:left w:val="none" w:sz="0" w:space="0" w:color="auto"/>
        <w:bottom w:val="none" w:sz="0" w:space="0" w:color="auto"/>
        <w:right w:val="none" w:sz="0" w:space="0" w:color="auto"/>
      </w:divBdr>
    </w:div>
    <w:div w:id="308049218">
      <w:bodyDiv w:val="1"/>
      <w:marLeft w:val="0"/>
      <w:marRight w:val="0"/>
      <w:marTop w:val="0"/>
      <w:marBottom w:val="0"/>
      <w:divBdr>
        <w:top w:val="none" w:sz="0" w:space="0" w:color="auto"/>
        <w:left w:val="none" w:sz="0" w:space="0" w:color="auto"/>
        <w:bottom w:val="none" w:sz="0" w:space="0" w:color="auto"/>
        <w:right w:val="none" w:sz="0" w:space="0" w:color="auto"/>
      </w:divBdr>
    </w:div>
    <w:div w:id="309209806">
      <w:bodyDiv w:val="1"/>
      <w:marLeft w:val="0"/>
      <w:marRight w:val="0"/>
      <w:marTop w:val="0"/>
      <w:marBottom w:val="0"/>
      <w:divBdr>
        <w:top w:val="none" w:sz="0" w:space="0" w:color="auto"/>
        <w:left w:val="none" w:sz="0" w:space="0" w:color="auto"/>
        <w:bottom w:val="none" w:sz="0" w:space="0" w:color="auto"/>
        <w:right w:val="none" w:sz="0" w:space="0" w:color="auto"/>
      </w:divBdr>
    </w:div>
    <w:div w:id="317999010">
      <w:bodyDiv w:val="1"/>
      <w:marLeft w:val="0"/>
      <w:marRight w:val="0"/>
      <w:marTop w:val="0"/>
      <w:marBottom w:val="0"/>
      <w:divBdr>
        <w:top w:val="none" w:sz="0" w:space="0" w:color="auto"/>
        <w:left w:val="none" w:sz="0" w:space="0" w:color="auto"/>
        <w:bottom w:val="none" w:sz="0" w:space="0" w:color="auto"/>
        <w:right w:val="none" w:sz="0" w:space="0" w:color="auto"/>
      </w:divBdr>
    </w:div>
    <w:div w:id="319384905">
      <w:bodyDiv w:val="1"/>
      <w:marLeft w:val="0"/>
      <w:marRight w:val="0"/>
      <w:marTop w:val="0"/>
      <w:marBottom w:val="0"/>
      <w:divBdr>
        <w:top w:val="none" w:sz="0" w:space="0" w:color="auto"/>
        <w:left w:val="none" w:sz="0" w:space="0" w:color="auto"/>
        <w:bottom w:val="none" w:sz="0" w:space="0" w:color="auto"/>
        <w:right w:val="none" w:sz="0" w:space="0" w:color="auto"/>
      </w:divBdr>
    </w:div>
    <w:div w:id="337192990">
      <w:bodyDiv w:val="1"/>
      <w:marLeft w:val="0"/>
      <w:marRight w:val="0"/>
      <w:marTop w:val="0"/>
      <w:marBottom w:val="0"/>
      <w:divBdr>
        <w:top w:val="none" w:sz="0" w:space="0" w:color="auto"/>
        <w:left w:val="none" w:sz="0" w:space="0" w:color="auto"/>
        <w:bottom w:val="none" w:sz="0" w:space="0" w:color="auto"/>
        <w:right w:val="none" w:sz="0" w:space="0" w:color="auto"/>
      </w:divBdr>
    </w:div>
    <w:div w:id="348026805">
      <w:bodyDiv w:val="1"/>
      <w:marLeft w:val="0"/>
      <w:marRight w:val="0"/>
      <w:marTop w:val="0"/>
      <w:marBottom w:val="0"/>
      <w:divBdr>
        <w:top w:val="none" w:sz="0" w:space="0" w:color="auto"/>
        <w:left w:val="none" w:sz="0" w:space="0" w:color="auto"/>
        <w:bottom w:val="none" w:sz="0" w:space="0" w:color="auto"/>
        <w:right w:val="none" w:sz="0" w:space="0" w:color="auto"/>
      </w:divBdr>
    </w:div>
    <w:div w:id="349264273">
      <w:bodyDiv w:val="1"/>
      <w:marLeft w:val="0"/>
      <w:marRight w:val="0"/>
      <w:marTop w:val="0"/>
      <w:marBottom w:val="0"/>
      <w:divBdr>
        <w:top w:val="none" w:sz="0" w:space="0" w:color="auto"/>
        <w:left w:val="none" w:sz="0" w:space="0" w:color="auto"/>
        <w:bottom w:val="none" w:sz="0" w:space="0" w:color="auto"/>
        <w:right w:val="none" w:sz="0" w:space="0" w:color="auto"/>
      </w:divBdr>
    </w:div>
    <w:div w:id="352268840">
      <w:bodyDiv w:val="1"/>
      <w:marLeft w:val="0"/>
      <w:marRight w:val="0"/>
      <w:marTop w:val="0"/>
      <w:marBottom w:val="0"/>
      <w:divBdr>
        <w:top w:val="none" w:sz="0" w:space="0" w:color="auto"/>
        <w:left w:val="none" w:sz="0" w:space="0" w:color="auto"/>
        <w:bottom w:val="none" w:sz="0" w:space="0" w:color="auto"/>
        <w:right w:val="none" w:sz="0" w:space="0" w:color="auto"/>
      </w:divBdr>
    </w:div>
    <w:div w:id="356854782">
      <w:bodyDiv w:val="1"/>
      <w:marLeft w:val="0"/>
      <w:marRight w:val="0"/>
      <w:marTop w:val="0"/>
      <w:marBottom w:val="0"/>
      <w:divBdr>
        <w:top w:val="none" w:sz="0" w:space="0" w:color="auto"/>
        <w:left w:val="none" w:sz="0" w:space="0" w:color="auto"/>
        <w:bottom w:val="none" w:sz="0" w:space="0" w:color="auto"/>
        <w:right w:val="none" w:sz="0" w:space="0" w:color="auto"/>
      </w:divBdr>
    </w:div>
    <w:div w:id="370888793">
      <w:bodyDiv w:val="1"/>
      <w:marLeft w:val="0"/>
      <w:marRight w:val="0"/>
      <w:marTop w:val="0"/>
      <w:marBottom w:val="0"/>
      <w:divBdr>
        <w:top w:val="none" w:sz="0" w:space="0" w:color="auto"/>
        <w:left w:val="none" w:sz="0" w:space="0" w:color="auto"/>
        <w:bottom w:val="none" w:sz="0" w:space="0" w:color="auto"/>
        <w:right w:val="none" w:sz="0" w:space="0" w:color="auto"/>
      </w:divBdr>
    </w:div>
    <w:div w:id="372191611">
      <w:bodyDiv w:val="1"/>
      <w:marLeft w:val="0"/>
      <w:marRight w:val="0"/>
      <w:marTop w:val="0"/>
      <w:marBottom w:val="0"/>
      <w:divBdr>
        <w:top w:val="none" w:sz="0" w:space="0" w:color="auto"/>
        <w:left w:val="none" w:sz="0" w:space="0" w:color="auto"/>
        <w:bottom w:val="none" w:sz="0" w:space="0" w:color="auto"/>
        <w:right w:val="none" w:sz="0" w:space="0" w:color="auto"/>
      </w:divBdr>
    </w:div>
    <w:div w:id="379592962">
      <w:bodyDiv w:val="1"/>
      <w:marLeft w:val="0"/>
      <w:marRight w:val="0"/>
      <w:marTop w:val="0"/>
      <w:marBottom w:val="0"/>
      <w:divBdr>
        <w:top w:val="none" w:sz="0" w:space="0" w:color="auto"/>
        <w:left w:val="none" w:sz="0" w:space="0" w:color="auto"/>
        <w:bottom w:val="none" w:sz="0" w:space="0" w:color="auto"/>
        <w:right w:val="none" w:sz="0" w:space="0" w:color="auto"/>
      </w:divBdr>
    </w:div>
    <w:div w:id="380712667">
      <w:bodyDiv w:val="1"/>
      <w:marLeft w:val="0"/>
      <w:marRight w:val="0"/>
      <w:marTop w:val="0"/>
      <w:marBottom w:val="0"/>
      <w:divBdr>
        <w:top w:val="none" w:sz="0" w:space="0" w:color="auto"/>
        <w:left w:val="none" w:sz="0" w:space="0" w:color="auto"/>
        <w:bottom w:val="none" w:sz="0" w:space="0" w:color="auto"/>
        <w:right w:val="none" w:sz="0" w:space="0" w:color="auto"/>
      </w:divBdr>
    </w:div>
    <w:div w:id="384447858">
      <w:bodyDiv w:val="1"/>
      <w:marLeft w:val="0"/>
      <w:marRight w:val="0"/>
      <w:marTop w:val="0"/>
      <w:marBottom w:val="0"/>
      <w:divBdr>
        <w:top w:val="none" w:sz="0" w:space="0" w:color="auto"/>
        <w:left w:val="none" w:sz="0" w:space="0" w:color="auto"/>
        <w:bottom w:val="none" w:sz="0" w:space="0" w:color="auto"/>
        <w:right w:val="none" w:sz="0" w:space="0" w:color="auto"/>
      </w:divBdr>
    </w:div>
    <w:div w:id="384645180">
      <w:bodyDiv w:val="1"/>
      <w:marLeft w:val="0"/>
      <w:marRight w:val="0"/>
      <w:marTop w:val="0"/>
      <w:marBottom w:val="0"/>
      <w:divBdr>
        <w:top w:val="none" w:sz="0" w:space="0" w:color="auto"/>
        <w:left w:val="none" w:sz="0" w:space="0" w:color="auto"/>
        <w:bottom w:val="none" w:sz="0" w:space="0" w:color="auto"/>
        <w:right w:val="none" w:sz="0" w:space="0" w:color="auto"/>
      </w:divBdr>
    </w:div>
    <w:div w:id="402795355">
      <w:bodyDiv w:val="1"/>
      <w:marLeft w:val="0"/>
      <w:marRight w:val="0"/>
      <w:marTop w:val="0"/>
      <w:marBottom w:val="0"/>
      <w:divBdr>
        <w:top w:val="none" w:sz="0" w:space="0" w:color="auto"/>
        <w:left w:val="none" w:sz="0" w:space="0" w:color="auto"/>
        <w:bottom w:val="none" w:sz="0" w:space="0" w:color="auto"/>
        <w:right w:val="none" w:sz="0" w:space="0" w:color="auto"/>
      </w:divBdr>
    </w:div>
    <w:div w:id="419719132">
      <w:bodyDiv w:val="1"/>
      <w:marLeft w:val="0"/>
      <w:marRight w:val="0"/>
      <w:marTop w:val="0"/>
      <w:marBottom w:val="0"/>
      <w:divBdr>
        <w:top w:val="none" w:sz="0" w:space="0" w:color="auto"/>
        <w:left w:val="none" w:sz="0" w:space="0" w:color="auto"/>
        <w:bottom w:val="none" w:sz="0" w:space="0" w:color="auto"/>
        <w:right w:val="none" w:sz="0" w:space="0" w:color="auto"/>
      </w:divBdr>
    </w:div>
    <w:div w:id="420488665">
      <w:bodyDiv w:val="1"/>
      <w:marLeft w:val="0"/>
      <w:marRight w:val="0"/>
      <w:marTop w:val="0"/>
      <w:marBottom w:val="0"/>
      <w:divBdr>
        <w:top w:val="none" w:sz="0" w:space="0" w:color="auto"/>
        <w:left w:val="none" w:sz="0" w:space="0" w:color="auto"/>
        <w:bottom w:val="none" w:sz="0" w:space="0" w:color="auto"/>
        <w:right w:val="none" w:sz="0" w:space="0" w:color="auto"/>
      </w:divBdr>
    </w:div>
    <w:div w:id="423913758">
      <w:bodyDiv w:val="1"/>
      <w:marLeft w:val="0"/>
      <w:marRight w:val="0"/>
      <w:marTop w:val="0"/>
      <w:marBottom w:val="0"/>
      <w:divBdr>
        <w:top w:val="none" w:sz="0" w:space="0" w:color="auto"/>
        <w:left w:val="none" w:sz="0" w:space="0" w:color="auto"/>
        <w:bottom w:val="none" w:sz="0" w:space="0" w:color="auto"/>
        <w:right w:val="none" w:sz="0" w:space="0" w:color="auto"/>
      </w:divBdr>
    </w:div>
    <w:div w:id="430780500">
      <w:bodyDiv w:val="1"/>
      <w:marLeft w:val="0"/>
      <w:marRight w:val="0"/>
      <w:marTop w:val="0"/>
      <w:marBottom w:val="0"/>
      <w:divBdr>
        <w:top w:val="none" w:sz="0" w:space="0" w:color="auto"/>
        <w:left w:val="none" w:sz="0" w:space="0" w:color="auto"/>
        <w:bottom w:val="none" w:sz="0" w:space="0" w:color="auto"/>
        <w:right w:val="none" w:sz="0" w:space="0" w:color="auto"/>
      </w:divBdr>
    </w:div>
    <w:div w:id="436298075">
      <w:bodyDiv w:val="1"/>
      <w:marLeft w:val="0"/>
      <w:marRight w:val="0"/>
      <w:marTop w:val="0"/>
      <w:marBottom w:val="0"/>
      <w:divBdr>
        <w:top w:val="none" w:sz="0" w:space="0" w:color="auto"/>
        <w:left w:val="none" w:sz="0" w:space="0" w:color="auto"/>
        <w:bottom w:val="none" w:sz="0" w:space="0" w:color="auto"/>
        <w:right w:val="none" w:sz="0" w:space="0" w:color="auto"/>
      </w:divBdr>
    </w:div>
    <w:div w:id="443234998">
      <w:bodyDiv w:val="1"/>
      <w:marLeft w:val="0"/>
      <w:marRight w:val="0"/>
      <w:marTop w:val="0"/>
      <w:marBottom w:val="0"/>
      <w:divBdr>
        <w:top w:val="none" w:sz="0" w:space="0" w:color="auto"/>
        <w:left w:val="none" w:sz="0" w:space="0" w:color="auto"/>
        <w:bottom w:val="none" w:sz="0" w:space="0" w:color="auto"/>
        <w:right w:val="none" w:sz="0" w:space="0" w:color="auto"/>
      </w:divBdr>
    </w:div>
    <w:div w:id="455828760">
      <w:bodyDiv w:val="1"/>
      <w:marLeft w:val="0"/>
      <w:marRight w:val="0"/>
      <w:marTop w:val="0"/>
      <w:marBottom w:val="0"/>
      <w:divBdr>
        <w:top w:val="none" w:sz="0" w:space="0" w:color="auto"/>
        <w:left w:val="none" w:sz="0" w:space="0" w:color="auto"/>
        <w:bottom w:val="none" w:sz="0" w:space="0" w:color="auto"/>
        <w:right w:val="none" w:sz="0" w:space="0" w:color="auto"/>
      </w:divBdr>
    </w:div>
    <w:div w:id="456263884">
      <w:bodyDiv w:val="1"/>
      <w:marLeft w:val="0"/>
      <w:marRight w:val="0"/>
      <w:marTop w:val="0"/>
      <w:marBottom w:val="0"/>
      <w:divBdr>
        <w:top w:val="none" w:sz="0" w:space="0" w:color="auto"/>
        <w:left w:val="none" w:sz="0" w:space="0" w:color="auto"/>
        <w:bottom w:val="none" w:sz="0" w:space="0" w:color="auto"/>
        <w:right w:val="none" w:sz="0" w:space="0" w:color="auto"/>
      </w:divBdr>
    </w:div>
    <w:div w:id="456337847">
      <w:bodyDiv w:val="1"/>
      <w:marLeft w:val="0"/>
      <w:marRight w:val="0"/>
      <w:marTop w:val="0"/>
      <w:marBottom w:val="0"/>
      <w:divBdr>
        <w:top w:val="none" w:sz="0" w:space="0" w:color="auto"/>
        <w:left w:val="none" w:sz="0" w:space="0" w:color="auto"/>
        <w:bottom w:val="none" w:sz="0" w:space="0" w:color="auto"/>
        <w:right w:val="none" w:sz="0" w:space="0" w:color="auto"/>
      </w:divBdr>
    </w:div>
    <w:div w:id="456996515">
      <w:bodyDiv w:val="1"/>
      <w:marLeft w:val="0"/>
      <w:marRight w:val="0"/>
      <w:marTop w:val="0"/>
      <w:marBottom w:val="0"/>
      <w:divBdr>
        <w:top w:val="none" w:sz="0" w:space="0" w:color="auto"/>
        <w:left w:val="none" w:sz="0" w:space="0" w:color="auto"/>
        <w:bottom w:val="none" w:sz="0" w:space="0" w:color="auto"/>
        <w:right w:val="none" w:sz="0" w:space="0" w:color="auto"/>
      </w:divBdr>
    </w:div>
    <w:div w:id="458456160">
      <w:bodyDiv w:val="1"/>
      <w:marLeft w:val="0"/>
      <w:marRight w:val="0"/>
      <w:marTop w:val="0"/>
      <w:marBottom w:val="0"/>
      <w:divBdr>
        <w:top w:val="none" w:sz="0" w:space="0" w:color="auto"/>
        <w:left w:val="none" w:sz="0" w:space="0" w:color="auto"/>
        <w:bottom w:val="none" w:sz="0" w:space="0" w:color="auto"/>
        <w:right w:val="none" w:sz="0" w:space="0" w:color="auto"/>
      </w:divBdr>
    </w:div>
    <w:div w:id="462847019">
      <w:bodyDiv w:val="1"/>
      <w:marLeft w:val="0"/>
      <w:marRight w:val="0"/>
      <w:marTop w:val="0"/>
      <w:marBottom w:val="0"/>
      <w:divBdr>
        <w:top w:val="none" w:sz="0" w:space="0" w:color="auto"/>
        <w:left w:val="none" w:sz="0" w:space="0" w:color="auto"/>
        <w:bottom w:val="none" w:sz="0" w:space="0" w:color="auto"/>
        <w:right w:val="none" w:sz="0" w:space="0" w:color="auto"/>
      </w:divBdr>
    </w:div>
    <w:div w:id="469635782">
      <w:bodyDiv w:val="1"/>
      <w:marLeft w:val="0"/>
      <w:marRight w:val="0"/>
      <w:marTop w:val="0"/>
      <w:marBottom w:val="0"/>
      <w:divBdr>
        <w:top w:val="none" w:sz="0" w:space="0" w:color="auto"/>
        <w:left w:val="none" w:sz="0" w:space="0" w:color="auto"/>
        <w:bottom w:val="none" w:sz="0" w:space="0" w:color="auto"/>
        <w:right w:val="none" w:sz="0" w:space="0" w:color="auto"/>
      </w:divBdr>
    </w:div>
    <w:div w:id="471946739">
      <w:bodyDiv w:val="1"/>
      <w:marLeft w:val="0"/>
      <w:marRight w:val="0"/>
      <w:marTop w:val="0"/>
      <w:marBottom w:val="0"/>
      <w:divBdr>
        <w:top w:val="none" w:sz="0" w:space="0" w:color="auto"/>
        <w:left w:val="none" w:sz="0" w:space="0" w:color="auto"/>
        <w:bottom w:val="none" w:sz="0" w:space="0" w:color="auto"/>
        <w:right w:val="none" w:sz="0" w:space="0" w:color="auto"/>
      </w:divBdr>
    </w:div>
    <w:div w:id="477652175">
      <w:bodyDiv w:val="1"/>
      <w:marLeft w:val="0"/>
      <w:marRight w:val="0"/>
      <w:marTop w:val="0"/>
      <w:marBottom w:val="0"/>
      <w:divBdr>
        <w:top w:val="none" w:sz="0" w:space="0" w:color="auto"/>
        <w:left w:val="none" w:sz="0" w:space="0" w:color="auto"/>
        <w:bottom w:val="none" w:sz="0" w:space="0" w:color="auto"/>
        <w:right w:val="none" w:sz="0" w:space="0" w:color="auto"/>
      </w:divBdr>
    </w:div>
    <w:div w:id="492066318">
      <w:bodyDiv w:val="1"/>
      <w:marLeft w:val="0"/>
      <w:marRight w:val="0"/>
      <w:marTop w:val="0"/>
      <w:marBottom w:val="0"/>
      <w:divBdr>
        <w:top w:val="none" w:sz="0" w:space="0" w:color="auto"/>
        <w:left w:val="none" w:sz="0" w:space="0" w:color="auto"/>
        <w:bottom w:val="none" w:sz="0" w:space="0" w:color="auto"/>
        <w:right w:val="none" w:sz="0" w:space="0" w:color="auto"/>
      </w:divBdr>
    </w:div>
    <w:div w:id="499738749">
      <w:bodyDiv w:val="1"/>
      <w:marLeft w:val="0"/>
      <w:marRight w:val="0"/>
      <w:marTop w:val="0"/>
      <w:marBottom w:val="0"/>
      <w:divBdr>
        <w:top w:val="none" w:sz="0" w:space="0" w:color="auto"/>
        <w:left w:val="none" w:sz="0" w:space="0" w:color="auto"/>
        <w:bottom w:val="none" w:sz="0" w:space="0" w:color="auto"/>
        <w:right w:val="none" w:sz="0" w:space="0" w:color="auto"/>
      </w:divBdr>
    </w:div>
    <w:div w:id="507134572">
      <w:bodyDiv w:val="1"/>
      <w:marLeft w:val="0"/>
      <w:marRight w:val="0"/>
      <w:marTop w:val="0"/>
      <w:marBottom w:val="0"/>
      <w:divBdr>
        <w:top w:val="none" w:sz="0" w:space="0" w:color="auto"/>
        <w:left w:val="none" w:sz="0" w:space="0" w:color="auto"/>
        <w:bottom w:val="none" w:sz="0" w:space="0" w:color="auto"/>
        <w:right w:val="none" w:sz="0" w:space="0" w:color="auto"/>
      </w:divBdr>
    </w:div>
    <w:div w:id="510531226">
      <w:bodyDiv w:val="1"/>
      <w:marLeft w:val="0"/>
      <w:marRight w:val="0"/>
      <w:marTop w:val="0"/>
      <w:marBottom w:val="0"/>
      <w:divBdr>
        <w:top w:val="none" w:sz="0" w:space="0" w:color="auto"/>
        <w:left w:val="none" w:sz="0" w:space="0" w:color="auto"/>
        <w:bottom w:val="none" w:sz="0" w:space="0" w:color="auto"/>
        <w:right w:val="none" w:sz="0" w:space="0" w:color="auto"/>
      </w:divBdr>
    </w:div>
    <w:div w:id="510604623">
      <w:bodyDiv w:val="1"/>
      <w:marLeft w:val="0"/>
      <w:marRight w:val="0"/>
      <w:marTop w:val="0"/>
      <w:marBottom w:val="0"/>
      <w:divBdr>
        <w:top w:val="none" w:sz="0" w:space="0" w:color="auto"/>
        <w:left w:val="none" w:sz="0" w:space="0" w:color="auto"/>
        <w:bottom w:val="none" w:sz="0" w:space="0" w:color="auto"/>
        <w:right w:val="none" w:sz="0" w:space="0" w:color="auto"/>
      </w:divBdr>
    </w:div>
    <w:div w:id="513962302">
      <w:bodyDiv w:val="1"/>
      <w:marLeft w:val="0"/>
      <w:marRight w:val="0"/>
      <w:marTop w:val="0"/>
      <w:marBottom w:val="0"/>
      <w:divBdr>
        <w:top w:val="none" w:sz="0" w:space="0" w:color="auto"/>
        <w:left w:val="none" w:sz="0" w:space="0" w:color="auto"/>
        <w:bottom w:val="none" w:sz="0" w:space="0" w:color="auto"/>
        <w:right w:val="none" w:sz="0" w:space="0" w:color="auto"/>
      </w:divBdr>
    </w:div>
    <w:div w:id="516775943">
      <w:bodyDiv w:val="1"/>
      <w:marLeft w:val="0"/>
      <w:marRight w:val="0"/>
      <w:marTop w:val="0"/>
      <w:marBottom w:val="0"/>
      <w:divBdr>
        <w:top w:val="none" w:sz="0" w:space="0" w:color="auto"/>
        <w:left w:val="none" w:sz="0" w:space="0" w:color="auto"/>
        <w:bottom w:val="none" w:sz="0" w:space="0" w:color="auto"/>
        <w:right w:val="none" w:sz="0" w:space="0" w:color="auto"/>
      </w:divBdr>
    </w:div>
    <w:div w:id="523637941">
      <w:bodyDiv w:val="1"/>
      <w:marLeft w:val="0"/>
      <w:marRight w:val="0"/>
      <w:marTop w:val="0"/>
      <w:marBottom w:val="0"/>
      <w:divBdr>
        <w:top w:val="none" w:sz="0" w:space="0" w:color="auto"/>
        <w:left w:val="none" w:sz="0" w:space="0" w:color="auto"/>
        <w:bottom w:val="none" w:sz="0" w:space="0" w:color="auto"/>
        <w:right w:val="none" w:sz="0" w:space="0" w:color="auto"/>
      </w:divBdr>
    </w:div>
    <w:div w:id="523835224">
      <w:bodyDiv w:val="1"/>
      <w:marLeft w:val="0"/>
      <w:marRight w:val="0"/>
      <w:marTop w:val="0"/>
      <w:marBottom w:val="0"/>
      <w:divBdr>
        <w:top w:val="none" w:sz="0" w:space="0" w:color="auto"/>
        <w:left w:val="none" w:sz="0" w:space="0" w:color="auto"/>
        <w:bottom w:val="none" w:sz="0" w:space="0" w:color="auto"/>
        <w:right w:val="none" w:sz="0" w:space="0" w:color="auto"/>
      </w:divBdr>
    </w:div>
    <w:div w:id="523982321">
      <w:bodyDiv w:val="1"/>
      <w:marLeft w:val="0"/>
      <w:marRight w:val="0"/>
      <w:marTop w:val="0"/>
      <w:marBottom w:val="0"/>
      <w:divBdr>
        <w:top w:val="none" w:sz="0" w:space="0" w:color="auto"/>
        <w:left w:val="none" w:sz="0" w:space="0" w:color="auto"/>
        <w:bottom w:val="none" w:sz="0" w:space="0" w:color="auto"/>
        <w:right w:val="none" w:sz="0" w:space="0" w:color="auto"/>
      </w:divBdr>
    </w:div>
    <w:div w:id="526406469">
      <w:bodyDiv w:val="1"/>
      <w:marLeft w:val="0"/>
      <w:marRight w:val="0"/>
      <w:marTop w:val="0"/>
      <w:marBottom w:val="0"/>
      <w:divBdr>
        <w:top w:val="none" w:sz="0" w:space="0" w:color="auto"/>
        <w:left w:val="none" w:sz="0" w:space="0" w:color="auto"/>
        <w:bottom w:val="none" w:sz="0" w:space="0" w:color="auto"/>
        <w:right w:val="none" w:sz="0" w:space="0" w:color="auto"/>
      </w:divBdr>
    </w:div>
    <w:div w:id="526989788">
      <w:bodyDiv w:val="1"/>
      <w:marLeft w:val="0"/>
      <w:marRight w:val="0"/>
      <w:marTop w:val="0"/>
      <w:marBottom w:val="0"/>
      <w:divBdr>
        <w:top w:val="none" w:sz="0" w:space="0" w:color="auto"/>
        <w:left w:val="none" w:sz="0" w:space="0" w:color="auto"/>
        <w:bottom w:val="none" w:sz="0" w:space="0" w:color="auto"/>
        <w:right w:val="none" w:sz="0" w:space="0" w:color="auto"/>
      </w:divBdr>
    </w:div>
    <w:div w:id="527643580">
      <w:bodyDiv w:val="1"/>
      <w:marLeft w:val="0"/>
      <w:marRight w:val="0"/>
      <w:marTop w:val="0"/>
      <w:marBottom w:val="0"/>
      <w:divBdr>
        <w:top w:val="none" w:sz="0" w:space="0" w:color="auto"/>
        <w:left w:val="none" w:sz="0" w:space="0" w:color="auto"/>
        <w:bottom w:val="none" w:sz="0" w:space="0" w:color="auto"/>
        <w:right w:val="none" w:sz="0" w:space="0" w:color="auto"/>
      </w:divBdr>
    </w:div>
    <w:div w:id="552354161">
      <w:bodyDiv w:val="1"/>
      <w:marLeft w:val="0"/>
      <w:marRight w:val="0"/>
      <w:marTop w:val="0"/>
      <w:marBottom w:val="0"/>
      <w:divBdr>
        <w:top w:val="none" w:sz="0" w:space="0" w:color="auto"/>
        <w:left w:val="none" w:sz="0" w:space="0" w:color="auto"/>
        <w:bottom w:val="none" w:sz="0" w:space="0" w:color="auto"/>
        <w:right w:val="none" w:sz="0" w:space="0" w:color="auto"/>
      </w:divBdr>
    </w:div>
    <w:div w:id="559169222">
      <w:bodyDiv w:val="1"/>
      <w:marLeft w:val="0"/>
      <w:marRight w:val="0"/>
      <w:marTop w:val="0"/>
      <w:marBottom w:val="0"/>
      <w:divBdr>
        <w:top w:val="none" w:sz="0" w:space="0" w:color="auto"/>
        <w:left w:val="none" w:sz="0" w:space="0" w:color="auto"/>
        <w:bottom w:val="none" w:sz="0" w:space="0" w:color="auto"/>
        <w:right w:val="none" w:sz="0" w:space="0" w:color="auto"/>
      </w:divBdr>
    </w:div>
    <w:div w:id="580216836">
      <w:bodyDiv w:val="1"/>
      <w:marLeft w:val="0"/>
      <w:marRight w:val="0"/>
      <w:marTop w:val="0"/>
      <w:marBottom w:val="0"/>
      <w:divBdr>
        <w:top w:val="none" w:sz="0" w:space="0" w:color="auto"/>
        <w:left w:val="none" w:sz="0" w:space="0" w:color="auto"/>
        <w:bottom w:val="none" w:sz="0" w:space="0" w:color="auto"/>
        <w:right w:val="none" w:sz="0" w:space="0" w:color="auto"/>
      </w:divBdr>
    </w:div>
    <w:div w:id="586185246">
      <w:bodyDiv w:val="1"/>
      <w:marLeft w:val="0"/>
      <w:marRight w:val="0"/>
      <w:marTop w:val="0"/>
      <w:marBottom w:val="0"/>
      <w:divBdr>
        <w:top w:val="none" w:sz="0" w:space="0" w:color="auto"/>
        <w:left w:val="none" w:sz="0" w:space="0" w:color="auto"/>
        <w:bottom w:val="none" w:sz="0" w:space="0" w:color="auto"/>
        <w:right w:val="none" w:sz="0" w:space="0" w:color="auto"/>
      </w:divBdr>
    </w:div>
    <w:div w:id="596136654">
      <w:bodyDiv w:val="1"/>
      <w:marLeft w:val="0"/>
      <w:marRight w:val="0"/>
      <w:marTop w:val="0"/>
      <w:marBottom w:val="0"/>
      <w:divBdr>
        <w:top w:val="none" w:sz="0" w:space="0" w:color="auto"/>
        <w:left w:val="none" w:sz="0" w:space="0" w:color="auto"/>
        <w:bottom w:val="none" w:sz="0" w:space="0" w:color="auto"/>
        <w:right w:val="none" w:sz="0" w:space="0" w:color="auto"/>
      </w:divBdr>
    </w:div>
    <w:div w:id="600188206">
      <w:bodyDiv w:val="1"/>
      <w:marLeft w:val="0"/>
      <w:marRight w:val="0"/>
      <w:marTop w:val="0"/>
      <w:marBottom w:val="0"/>
      <w:divBdr>
        <w:top w:val="none" w:sz="0" w:space="0" w:color="auto"/>
        <w:left w:val="none" w:sz="0" w:space="0" w:color="auto"/>
        <w:bottom w:val="none" w:sz="0" w:space="0" w:color="auto"/>
        <w:right w:val="none" w:sz="0" w:space="0" w:color="auto"/>
      </w:divBdr>
    </w:div>
    <w:div w:id="627122321">
      <w:bodyDiv w:val="1"/>
      <w:marLeft w:val="0"/>
      <w:marRight w:val="0"/>
      <w:marTop w:val="0"/>
      <w:marBottom w:val="0"/>
      <w:divBdr>
        <w:top w:val="none" w:sz="0" w:space="0" w:color="auto"/>
        <w:left w:val="none" w:sz="0" w:space="0" w:color="auto"/>
        <w:bottom w:val="none" w:sz="0" w:space="0" w:color="auto"/>
        <w:right w:val="none" w:sz="0" w:space="0" w:color="auto"/>
      </w:divBdr>
    </w:div>
    <w:div w:id="636036966">
      <w:bodyDiv w:val="1"/>
      <w:marLeft w:val="0"/>
      <w:marRight w:val="0"/>
      <w:marTop w:val="0"/>
      <w:marBottom w:val="0"/>
      <w:divBdr>
        <w:top w:val="none" w:sz="0" w:space="0" w:color="auto"/>
        <w:left w:val="none" w:sz="0" w:space="0" w:color="auto"/>
        <w:bottom w:val="none" w:sz="0" w:space="0" w:color="auto"/>
        <w:right w:val="none" w:sz="0" w:space="0" w:color="auto"/>
      </w:divBdr>
    </w:div>
    <w:div w:id="641663503">
      <w:bodyDiv w:val="1"/>
      <w:marLeft w:val="0"/>
      <w:marRight w:val="0"/>
      <w:marTop w:val="0"/>
      <w:marBottom w:val="0"/>
      <w:divBdr>
        <w:top w:val="none" w:sz="0" w:space="0" w:color="auto"/>
        <w:left w:val="none" w:sz="0" w:space="0" w:color="auto"/>
        <w:bottom w:val="none" w:sz="0" w:space="0" w:color="auto"/>
        <w:right w:val="none" w:sz="0" w:space="0" w:color="auto"/>
      </w:divBdr>
    </w:div>
    <w:div w:id="646781091">
      <w:bodyDiv w:val="1"/>
      <w:marLeft w:val="0"/>
      <w:marRight w:val="0"/>
      <w:marTop w:val="0"/>
      <w:marBottom w:val="0"/>
      <w:divBdr>
        <w:top w:val="none" w:sz="0" w:space="0" w:color="auto"/>
        <w:left w:val="none" w:sz="0" w:space="0" w:color="auto"/>
        <w:bottom w:val="none" w:sz="0" w:space="0" w:color="auto"/>
        <w:right w:val="none" w:sz="0" w:space="0" w:color="auto"/>
      </w:divBdr>
    </w:div>
    <w:div w:id="647365550">
      <w:bodyDiv w:val="1"/>
      <w:marLeft w:val="0"/>
      <w:marRight w:val="0"/>
      <w:marTop w:val="0"/>
      <w:marBottom w:val="0"/>
      <w:divBdr>
        <w:top w:val="none" w:sz="0" w:space="0" w:color="auto"/>
        <w:left w:val="none" w:sz="0" w:space="0" w:color="auto"/>
        <w:bottom w:val="none" w:sz="0" w:space="0" w:color="auto"/>
        <w:right w:val="none" w:sz="0" w:space="0" w:color="auto"/>
      </w:divBdr>
    </w:div>
    <w:div w:id="647979027">
      <w:bodyDiv w:val="1"/>
      <w:marLeft w:val="0"/>
      <w:marRight w:val="0"/>
      <w:marTop w:val="0"/>
      <w:marBottom w:val="0"/>
      <w:divBdr>
        <w:top w:val="none" w:sz="0" w:space="0" w:color="auto"/>
        <w:left w:val="none" w:sz="0" w:space="0" w:color="auto"/>
        <w:bottom w:val="none" w:sz="0" w:space="0" w:color="auto"/>
        <w:right w:val="none" w:sz="0" w:space="0" w:color="auto"/>
      </w:divBdr>
    </w:div>
    <w:div w:id="652954399">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666057246">
      <w:bodyDiv w:val="1"/>
      <w:marLeft w:val="0"/>
      <w:marRight w:val="0"/>
      <w:marTop w:val="0"/>
      <w:marBottom w:val="0"/>
      <w:divBdr>
        <w:top w:val="none" w:sz="0" w:space="0" w:color="auto"/>
        <w:left w:val="none" w:sz="0" w:space="0" w:color="auto"/>
        <w:bottom w:val="none" w:sz="0" w:space="0" w:color="auto"/>
        <w:right w:val="none" w:sz="0" w:space="0" w:color="auto"/>
      </w:divBdr>
    </w:div>
    <w:div w:id="677926553">
      <w:bodyDiv w:val="1"/>
      <w:marLeft w:val="0"/>
      <w:marRight w:val="0"/>
      <w:marTop w:val="0"/>
      <w:marBottom w:val="0"/>
      <w:divBdr>
        <w:top w:val="none" w:sz="0" w:space="0" w:color="auto"/>
        <w:left w:val="none" w:sz="0" w:space="0" w:color="auto"/>
        <w:bottom w:val="none" w:sz="0" w:space="0" w:color="auto"/>
        <w:right w:val="none" w:sz="0" w:space="0" w:color="auto"/>
      </w:divBdr>
    </w:div>
    <w:div w:id="696859131">
      <w:bodyDiv w:val="1"/>
      <w:marLeft w:val="0"/>
      <w:marRight w:val="0"/>
      <w:marTop w:val="0"/>
      <w:marBottom w:val="0"/>
      <w:divBdr>
        <w:top w:val="none" w:sz="0" w:space="0" w:color="auto"/>
        <w:left w:val="none" w:sz="0" w:space="0" w:color="auto"/>
        <w:bottom w:val="none" w:sz="0" w:space="0" w:color="auto"/>
        <w:right w:val="none" w:sz="0" w:space="0" w:color="auto"/>
      </w:divBdr>
    </w:div>
    <w:div w:id="715399647">
      <w:bodyDiv w:val="1"/>
      <w:marLeft w:val="0"/>
      <w:marRight w:val="0"/>
      <w:marTop w:val="0"/>
      <w:marBottom w:val="0"/>
      <w:divBdr>
        <w:top w:val="none" w:sz="0" w:space="0" w:color="auto"/>
        <w:left w:val="none" w:sz="0" w:space="0" w:color="auto"/>
        <w:bottom w:val="none" w:sz="0" w:space="0" w:color="auto"/>
        <w:right w:val="none" w:sz="0" w:space="0" w:color="auto"/>
      </w:divBdr>
    </w:div>
    <w:div w:id="745150437">
      <w:bodyDiv w:val="1"/>
      <w:marLeft w:val="0"/>
      <w:marRight w:val="0"/>
      <w:marTop w:val="0"/>
      <w:marBottom w:val="0"/>
      <w:divBdr>
        <w:top w:val="none" w:sz="0" w:space="0" w:color="auto"/>
        <w:left w:val="none" w:sz="0" w:space="0" w:color="auto"/>
        <w:bottom w:val="none" w:sz="0" w:space="0" w:color="auto"/>
        <w:right w:val="none" w:sz="0" w:space="0" w:color="auto"/>
      </w:divBdr>
    </w:div>
    <w:div w:id="755132887">
      <w:bodyDiv w:val="1"/>
      <w:marLeft w:val="0"/>
      <w:marRight w:val="0"/>
      <w:marTop w:val="0"/>
      <w:marBottom w:val="0"/>
      <w:divBdr>
        <w:top w:val="none" w:sz="0" w:space="0" w:color="auto"/>
        <w:left w:val="none" w:sz="0" w:space="0" w:color="auto"/>
        <w:bottom w:val="none" w:sz="0" w:space="0" w:color="auto"/>
        <w:right w:val="none" w:sz="0" w:space="0" w:color="auto"/>
      </w:divBdr>
    </w:div>
    <w:div w:id="757601374">
      <w:bodyDiv w:val="1"/>
      <w:marLeft w:val="0"/>
      <w:marRight w:val="0"/>
      <w:marTop w:val="0"/>
      <w:marBottom w:val="0"/>
      <w:divBdr>
        <w:top w:val="none" w:sz="0" w:space="0" w:color="auto"/>
        <w:left w:val="none" w:sz="0" w:space="0" w:color="auto"/>
        <w:bottom w:val="none" w:sz="0" w:space="0" w:color="auto"/>
        <w:right w:val="none" w:sz="0" w:space="0" w:color="auto"/>
      </w:divBdr>
    </w:div>
    <w:div w:id="763036855">
      <w:bodyDiv w:val="1"/>
      <w:marLeft w:val="0"/>
      <w:marRight w:val="0"/>
      <w:marTop w:val="0"/>
      <w:marBottom w:val="0"/>
      <w:divBdr>
        <w:top w:val="none" w:sz="0" w:space="0" w:color="auto"/>
        <w:left w:val="none" w:sz="0" w:space="0" w:color="auto"/>
        <w:bottom w:val="none" w:sz="0" w:space="0" w:color="auto"/>
        <w:right w:val="none" w:sz="0" w:space="0" w:color="auto"/>
      </w:divBdr>
    </w:div>
    <w:div w:id="765928333">
      <w:bodyDiv w:val="1"/>
      <w:marLeft w:val="0"/>
      <w:marRight w:val="0"/>
      <w:marTop w:val="0"/>
      <w:marBottom w:val="0"/>
      <w:divBdr>
        <w:top w:val="none" w:sz="0" w:space="0" w:color="auto"/>
        <w:left w:val="none" w:sz="0" w:space="0" w:color="auto"/>
        <w:bottom w:val="none" w:sz="0" w:space="0" w:color="auto"/>
        <w:right w:val="none" w:sz="0" w:space="0" w:color="auto"/>
      </w:divBdr>
    </w:div>
    <w:div w:id="771164153">
      <w:bodyDiv w:val="1"/>
      <w:marLeft w:val="0"/>
      <w:marRight w:val="0"/>
      <w:marTop w:val="0"/>
      <w:marBottom w:val="0"/>
      <w:divBdr>
        <w:top w:val="none" w:sz="0" w:space="0" w:color="auto"/>
        <w:left w:val="none" w:sz="0" w:space="0" w:color="auto"/>
        <w:bottom w:val="none" w:sz="0" w:space="0" w:color="auto"/>
        <w:right w:val="none" w:sz="0" w:space="0" w:color="auto"/>
      </w:divBdr>
    </w:div>
    <w:div w:id="771752003">
      <w:bodyDiv w:val="1"/>
      <w:marLeft w:val="0"/>
      <w:marRight w:val="0"/>
      <w:marTop w:val="0"/>
      <w:marBottom w:val="0"/>
      <w:divBdr>
        <w:top w:val="none" w:sz="0" w:space="0" w:color="auto"/>
        <w:left w:val="none" w:sz="0" w:space="0" w:color="auto"/>
        <w:bottom w:val="none" w:sz="0" w:space="0" w:color="auto"/>
        <w:right w:val="none" w:sz="0" w:space="0" w:color="auto"/>
      </w:divBdr>
    </w:div>
    <w:div w:id="775684740">
      <w:bodyDiv w:val="1"/>
      <w:marLeft w:val="0"/>
      <w:marRight w:val="0"/>
      <w:marTop w:val="0"/>
      <w:marBottom w:val="0"/>
      <w:divBdr>
        <w:top w:val="none" w:sz="0" w:space="0" w:color="auto"/>
        <w:left w:val="none" w:sz="0" w:space="0" w:color="auto"/>
        <w:bottom w:val="none" w:sz="0" w:space="0" w:color="auto"/>
        <w:right w:val="none" w:sz="0" w:space="0" w:color="auto"/>
      </w:divBdr>
    </w:div>
    <w:div w:id="776871758">
      <w:bodyDiv w:val="1"/>
      <w:marLeft w:val="0"/>
      <w:marRight w:val="0"/>
      <w:marTop w:val="0"/>
      <w:marBottom w:val="0"/>
      <w:divBdr>
        <w:top w:val="none" w:sz="0" w:space="0" w:color="auto"/>
        <w:left w:val="none" w:sz="0" w:space="0" w:color="auto"/>
        <w:bottom w:val="none" w:sz="0" w:space="0" w:color="auto"/>
        <w:right w:val="none" w:sz="0" w:space="0" w:color="auto"/>
      </w:divBdr>
    </w:div>
    <w:div w:id="796948325">
      <w:bodyDiv w:val="1"/>
      <w:marLeft w:val="0"/>
      <w:marRight w:val="0"/>
      <w:marTop w:val="0"/>
      <w:marBottom w:val="0"/>
      <w:divBdr>
        <w:top w:val="none" w:sz="0" w:space="0" w:color="auto"/>
        <w:left w:val="none" w:sz="0" w:space="0" w:color="auto"/>
        <w:bottom w:val="none" w:sz="0" w:space="0" w:color="auto"/>
        <w:right w:val="none" w:sz="0" w:space="0" w:color="auto"/>
      </w:divBdr>
    </w:div>
    <w:div w:id="798835675">
      <w:bodyDiv w:val="1"/>
      <w:marLeft w:val="0"/>
      <w:marRight w:val="0"/>
      <w:marTop w:val="0"/>
      <w:marBottom w:val="0"/>
      <w:divBdr>
        <w:top w:val="none" w:sz="0" w:space="0" w:color="auto"/>
        <w:left w:val="none" w:sz="0" w:space="0" w:color="auto"/>
        <w:bottom w:val="none" w:sz="0" w:space="0" w:color="auto"/>
        <w:right w:val="none" w:sz="0" w:space="0" w:color="auto"/>
      </w:divBdr>
    </w:div>
    <w:div w:id="804201073">
      <w:bodyDiv w:val="1"/>
      <w:marLeft w:val="0"/>
      <w:marRight w:val="0"/>
      <w:marTop w:val="0"/>
      <w:marBottom w:val="0"/>
      <w:divBdr>
        <w:top w:val="none" w:sz="0" w:space="0" w:color="auto"/>
        <w:left w:val="none" w:sz="0" w:space="0" w:color="auto"/>
        <w:bottom w:val="none" w:sz="0" w:space="0" w:color="auto"/>
        <w:right w:val="none" w:sz="0" w:space="0" w:color="auto"/>
      </w:divBdr>
    </w:div>
    <w:div w:id="810907023">
      <w:bodyDiv w:val="1"/>
      <w:marLeft w:val="0"/>
      <w:marRight w:val="0"/>
      <w:marTop w:val="0"/>
      <w:marBottom w:val="0"/>
      <w:divBdr>
        <w:top w:val="none" w:sz="0" w:space="0" w:color="auto"/>
        <w:left w:val="none" w:sz="0" w:space="0" w:color="auto"/>
        <w:bottom w:val="none" w:sz="0" w:space="0" w:color="auto"/>
        <w:right w:val="none" w:sz="0" w:space="0" w:color="auto"/>
      </w:divBdr>
    </w:div>
    <w:div w:id="831678050">
      <w:bodyDiv w:val="1"/>
      <w:marLeft w:val="0"/>
      <w:marRight w:val="0"/>
      <w:marTop w:val="0"/>
      <w:marBottom w:val="0"/>
      <w:divBdr>
        <w:top w:val="none" w:sz="0" w:space="0" w:color="auto"/>
        <w:left w:val="none" w:sz="0" w:space="0" w:color="auto"/>
        <w:bottom w:val="none" w:sz="0" w:space="0" w:color="auto"/>
        <w:right w:val="none" w:sz="0" w:space="0" w:color="auto"/>
      </w:divBdr>
    </w:div>
    <w:div w:id="832526827">
      <w:bodyDiv w:val="1"/>
      <w:marLeft w:val="0"/>
      <w:marRight w:val="0"/>
      <w:marTop w:val="0"/>
      <w:marBottom w:val="0"/>
      <w:divBdr>
        <w:top w:val="none" w:sz="0" w:space="0" w:color="auto"/>
        <w:left w:val="none" w:sz="0" w:space="0" w:color="auto"/>
        <w:bottom w:val="none" w:sz="0" w:space="0" w:color="auto"/>
        <w:right w:val="none" w:sz="0" w:space="0" w:color="auto"/>
      </w:divBdr>
    </w:div>
    <w:div w:id="838354719">
      <w:bodyDiv w:val="1"/>
      <w:marLeft w:val="0"/>
      <w:marRight w:val="0"/>
      <w:marTop w:val="0"/>
      <w:marBottom w:val="0"/>
      <w:divBdr>
        <w:top w:val="none" w:sz="0" w:space="0" w:color="auto"/>
        <w:left w:val="none" w:sz="0" w:space="0" w:color="auto"/>
        <w:bottom w:val="none" w:sz="0" w:space="0" w:color="auto"/>
        <w:right w:val="none" w:sz="0" w:space="0" w:color="auto"/>
      </w:divBdr>
    </w:div>
    <w:div w:id="842667790">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849298421">
      <w:bodyDiv w:val="1"/>
      <w:marLeft w:val="0"/>
      <w:marRight w:val="0"/>
      <w:marTop w:val="0"/>
      <w:marBottom w:val="0"/>
      <w:divBdr>
        <w:top w:val="none" w:sz="0" w:space="0" w:color="auto"/>
        <w:left w:val="none" w:sz="0" w:space="0" w:color="auto"/>
        <w:bottom w:val="none" w:sz="0" w:space="0" w:color="auto"/>
        <w:right w:val="none" w:sz="0" w:space="0" w:color="auto"/>
      </w:divBdr>
    </w:div>
    <w:div w:id="850264066">
      <w:bodyDiv w:val="1"/>
      <w:marLeft w:val="0"/>
      <w:marRight w:val="0"/>
      <w:marTop w:val="0"/>
      <w:marBottom w:val="0"/>
      <w:divBdr>
        <w:top w:val="none" w:sz="0" w:space="0" w:color="auto"/>
        <w:left w:val="none" w:sz="0" w:space="0" w:color="auto"/>
        <w:bottom w:val="none" w:sz="0" w:space="0" w:color="auto"/>
        <w:right w:val="none" w:sz="0" w:space="0" w:color="auto"/>
      </w:divBdr>
    </w:div>
    <w:div w:id="856237936">
      <w:bodyDiv w:val="1"/>
      <w:marLeft w:val="0"/>
      <w:marRight w:val="0"/>
      <w:marTop w:val="0"/>
      <w:marBottom w:val="0"/>
      <w:divBdr>
        <w:top w:val="none" w:sz="0" w:space="0" w:color="auto"/>
        <w:left w:val="none" w:sz="0" w:space="0" w:color="auto"/>
        <w:bottom w:val="none" w:sz="0" w:space="0" w:color="auto"/>
        <w:right w:val="none" w:sz="0" w:space="0" w:color="auto"/>
      </w:divBdr>
    </w:div>
    <w:div w:id="865875949">
      <w:bodyDiv w:val="1"/>
      <w:marLeft w:val="0"/>
      <w:marRight w:val="0"/>
      <w:marTop w:val="0"/>
      <w:marBottom w:val="0"/>
      <w:divBdr>
        <w:top w:val="none" w:sz="0" w:space="0" w:color="auto"/>
        <w:left w:val="none" w:sz="0" w:space="0" w:color="auto"/>
        <w:bottom w:val="none" w:sz="0" w:space="0" w:color="auto"/>
        <w:right w:val="none" w:sz="0" w:space="0" w:color="auto"/>
      </w:divBdr>
    </w:div>
    <w:div w:id="867991044">
      <w:bodyDiv w:val="1"/>
      <w:marLeft w:val="0"/>
      <w:marRight w:val="0"/>
      <w:marTop w:val="0"/>
      <w:marBottom w:val="0"/>
      <w:divBdr>
        <w:top w:val="none" w:sz="0" w:space="0" w:color="auto"/>
        <w:left w:val="none" w:sz="0" w:space="0" w:color="auto"/>
        <w:bottom w:val="none" w:sz="0" w:space="0" w:color="auto"/>
        <w:right w:val="none" w:sz="0" w:space="0" w:color="auto"/>
      </w:divBdr>
    </w:div>
    <w:div w:id="874655091">
      <w:bodyDiv w:val="1"/>
      <w:marLeft w:val="0"/>
      <w:marRight w:val="0"/>
      <w:marTop w:val="0"/>
      <w:marBottom w:val="0"/>
      <w:divBdr>
        <w:top w:val="none" w:sz="0" w:space="0" w:color="auto"/>
        <w:left w:val="none" w:sz="0" w:space="0" w:color="auto"/>
        <w:bottom w:val="none" w:sz="0" w:space="0" w:color="auto"/>
        <w:right w:val="none" w:sz="0" w:space="0" w:color="auto"/>
      </w:divBdr>
    </w:div>
    <w:div w:id="880164420">
      <w:bodyDiv w:val="1"/>
      <w:marLeft w:val="0"/>
      <w:marRight w:val="0"/>
      <w:marTop w:val="0"/>
      <w:marBottom w:val="0"/>
      <w:divBdr>
        <w:top w:val="none" w:sz="0" w:space="0" w:color="auto"/>
        <w:left w:val="none" w:sz="0" w:space="0" w:color="auto"/>
        <w:bottom w:val="none" w:sz="0" w:space="0" w:color="auto"/>
        <w:right w:val="none" w:sz="0" w:space="0" w:color="auto"/>
      </w:divBdr>
    </w:div>
    <w:div w:id="889923206">
      <w:bodyDiv w:val="1"/>
      <w:marLeft w:val="0"/>
      <w:marRight w:val="0"/>
      <w:marTop w:val="0"/>
      <w:marBottom w:val="0"/>
      <w:divBdr>
        <w:top w:val="none" w:sz="0" w:space="0" w:color="auto"/>
        <w:left w:val="none" w:sz="0" w:space="0" w:color="auto"/>
        <w:bottom w:val="none" w:sz="0" w:space="0" w:color="auto"/>
        <w:right w:val="none" w:sz="0" w:space="0" w:color="auto"/>
      </w:divBdr>
    </w:div>
    <w:div w:id="895898135">
      <w:bodyDiv w:val="1"/>
      <w:marLeft w:val="0"/>
      <w:marRight w:val="0"/>
      <w:marTop w:val="0"/>
      <w:marBottom w:val="0"/>
      <w:divBdr>
        <w:top w:val="none" w:sz="0" w:space="0" w:color="auto"/>
        <w:left w:val="none" w:sz="0" w:space="0" w:color="auto"/>
        <w:bottom w:val="none" w:sz="0" w:space="0" w:color="auto"/>
        <w:right w:val="none" w:sz="0" w:space="0" w:color="auto"/>
      </w:divBdr>
    </w:div>
    <w:div w:id="897127637">
      <w:bodyDiv w:val="1"/>
      <w:marLeft w:val="0"/>
      <w:marRight w:val="0"/>
      <w:marTop w:val="0"/>
      <w:marBottom w:val="0"/>
      <w:divBdr>
        <w:top w:val="none" w:sz="0" w:space="0" w:color="auto"/>
        <w:left w:val="none" w:sz="0" w:space="0" w:color="auto"/>
        <w:bottom w:val="none" w:sz="0" w:space="0" w:color="auto"/>
        <w:right w:val="none" w:sz="0" w:space="0" w:color="auto"/>
      </w:divBdr>
    </w:div>
    <w:div w:id="902058513">
      <w:bodyDiv w:val="1"/>
      <w:marLeft w:val="0"/>
      <w:marRight w:val="0"/>
      <w:marTop w:val="0"/>
      <w:marBottom w:val="0"/>
      <w:divBdr>
        <w:top w:val="none" w:sz="0" w:space="0" w:color="auto"/>
        <w:left w:val="none" w:sz="0" w:space="0" w:color="auto"/>
        <w:bottom w:val="none" w:sz="0" w:space="0" w:color="auto"/>
        <w:right w:val="none" w:sz="0" w:space="0" w:color="auto"/>
      </w:divBdr>
    </w:div>
    <w:div w:id="904991930">
      <w:bodyDiv w:val="1"/>
      <w:marLeft w:val="0"/>
      <w:marRight w:val="0"/>
      <w:marTop w:val="0"/>
      <w:marBottom w:val="0"/>
      <w:divBdr>
        <w:top w:val="none" w:sz="0" w:space="0" w:color="auto"/>
        <w:left w:val="none" w:sz="0" w:space="0" w:color="auto"/>
        <w:bottom w:val="none" w:sz="0" w:space="0" w:color="auto"/>
        <w:right w:val="none" w:sz="0" w:space="0" w:color="auto"/>
      </w:divBdr>
    </w:div>
    <w:div w:id="910232060">
      <w:bodyDiv w:val="1"/>
      <w:marLeft w:val="0"/>
      <w:marRight w:val="0"/>
      <w:marTop w:val="0"/>
      <w:marBottom w:val="0"/>
      <w:divBdr>
        <w:top w:val="none" w:sz="0" w:space="0" w:color="auto"/>
        <w:left w:val="none" w:sz="0" w:space="0" w:color="auto"/>
        <w:bottom w:val="none" w:sz="0" w:space="0" w:color="auto"/>
        <w:right w:val="none" w:sz="0" w:space="0" w:color="auto"/>
      </w:divBdr>
    </w:div>
    <w:div w:id="915242146">
      <w:bodyDiv w:val="1"/>
      <w:marLeft w:val="0"/>
      <w:marRight w:val="0"/>
      <w:marTop w:val="0"/>
      <w:marBottom w:val="0"/>
      <w:divBdr>
        <w:top w:val="none" w:sz="0" w:space="0" w:color="auto"/>
        <w:left w:val="none" w:sz="0" w:space="0" w:color="auto"/>
        <w:bottom w:val="none" w:sz="0" w:space="0" w:color="auto"/>
        <w:right w:val="none" w:sz="0" w:space="0" w:color="auto"/>
      </w:divBdr>
    </w:div>
    <w:div w:id="923295770">
      <w:bodyDiv w:val="1"/>
      <w:marLeft w:val="0"/>
      <w:marRight w:val="0"/>
      <w:marTop w:val="0"/>
      <w:marBottom w:val="0"/>
      <w:divBdr>
        <w:top w:val="none" w:sz="0" w:space="0" w:color="auto"/>
        <w:left w:val="none" w:sz="0" w:space="0" w:color="auto"/>
        <w:bottom w:val="none" w:sz="0" w:space="0" w:color="auto"/>
        <w:right w:val="none" w:sz="0" w:space="0" w:color="auto"/>
      </w:divBdr>
    </w:div>
    <w:div w:id="923799285">
      <w:bodyDiv w:val="1"/>
      <w:marLeft w:val="0"/>
      <w:marRight w:val="0"/>
      <w:marTop w:val="0"/>
      <w:marBottom w:val="0"/>
      <w:divBdr>
        <w:top w:val="none" w:sz="0" w:space="0" w:color="auto"/>
        <w:left w:val="none" w:sz="0" w:space="0" w:color="auto"/>
        <w:bottom w:val="none" w:sz="0" w:space="0" w:color="auto"/>
        <w:right w:val="none" w:sz="0" w:space="0" w:color="auto"/>
      </w:divBdr>
    </w:div>
    <w:div w:id="925698271">
      <w:bodyDiv w:val="1"/>
      <w:marLeft w:val="0"/>
      <w:marRight w:val="0"/>
      <w:marTop w:val="0"/>
      <w:marBottom w:val="0"/>
      <w:divBdr>
        <w:top w:val="none" w:sz="0" w:space="0" w:color="auto"/>
        <w:left w:val="none" w:sz="0" w:space="0" w:color="auto"/>
        <w:bottom w:val="none" w:sz="0" w:space="0" w:color="auto"/>
        <w:right w:val="none" w:sz="0" w:space="0" w:color="auto"/>
      </w:divBdr>
    </w:div>
    <w:div w:id="929696224">
      <w:bodyDiv w:val="1"/>
      <w:marLeft w:val="0"/>
      <w:marRight w:val="0"/>
      <w:marTop w:val="0"/>
      <w:marBottom w:val="0"/>
      <w:divBdr>
        <w:top w:val="none" w:sz="0" w:space="0" w:color="auto"/>
        <w:left w:val="none" w:sz="0" w:space="0" w:color="auto"/>
        <w:bottom w:val="none" w:sz="0" w:space="0" w:color="auto"/>
        <w:right w:val="none" w:sz="0" w:space="0" w:color="auto"/>
      </w:divBdr>
    </w:div>
    <w:div w:id="931084697">
      <w:bodyDiv w:val="1"/>
      <w:marLeft w:val="0"/>
      <w:marRight w:val="0"/>
      <w:marTop w:val="0"/>
      <w:marBottom w:val="0"/>
      <w:divBdr>
        <w:top w:val="none" w:sz="0" w:space="0" w:color="auto"/>
        <w:left w:val="none" w:sz="0" w:space="0" w:color="auto"/>
        <w:bottom w:val="none" w:sz="0" w:space="0" w:color="auto"/>
        <w:right w:val="none" w:sz="0" w:space="0" w:color="auto"/>
      </w:divBdr>
    </w:div>
    <w:div w:id="932978516">
      <w:bodyDiv w:val="1"/>
      <w:marLeft w:val="0"/>
      <w:marRight w:val="0"/>
      <w:marTop w:val="0"/>
      <w:marBottom w:val="0"/>
      <w:divBdr>
        <w:top w:val="none" w:sz="0" w:space="0" w:color="auto"/>
        <w:left w:val="none" w:sz="0" w:space="0" w:color="auto"/>
        <w:bottom w:val="none" w:sz="0" w:space="0" w:color="auto"/>
        <w:right w:val="none" w:sz="0" w:space="0" w:color="auto"/>
      </w:divBdr>
    </w:div>
    <w:div w:id="935210638">
      <w:bodyDiv w:val="1"/>
      <w:marLeft w:val="0"/>
      <w:marRight w:val="0"/>
      <w:marTop w:val="0"/>
      <w:marBottom w:val="0"/>
      <w:divBdr>
        <w:top w:val="none" w:sz="0" w:space="0" w:color="auto"/>
        <w:left w:val="none" w:sz="0" w:space="0" w:color="auto"/>
        <w:bottom w:val="none" w:sz="0" w:space="0" w:color="auto"/>
        <w:right w:val="none" w:sz="0" w:space="0" w:color="auto"/>
      </w:divBdr>
    </w:div>
    <w:div w:id="936445264">
      <w:bodyDiv w:val="1"/>
      <w:marLeft w:val="0"/>
      <w:marRight w:val="0"/>
      <w:marTop w:val="0"/>
      <w:marBottom w:val="0"/>
      <w:divBdr>
        <w:top w:val="none" w:sz="0" w:space="0" w:color="auto"/>
        <w:left w:val="none" w:sz="0" w:space="0" w:color="auto"/>
        <w:bottom w:val="none" w:sz="0" w:space="0" w:color="auto"/>
        <w:right w:val="none" w:sz="0" w:space="0" w:color="auto"/>
      </w:divBdr>
    </w:div>
    <w:div w:id="952831100">
      <w:bodyDiv w:val="1"/>
      <w:marLeft w:val="0"/>
      <w:marRight w:val="0"/>
      <w:marTop w:val="0"/>
      <w:marBottom w:val="0"/>
      <w:divBdr>
        <w:top w:val="none" w:sz="0" w:space="0" w:color="auto"/>
        <w:left w:val="none" w:sz="0" w:space="0" w:color="auto"/>
        <w:bottom w:val="none" w:sz="0" w:space="0" w:color="auto"/>
        <w:right w:val="none" w:sz="0" w:space="0" w:color="auto"/>
      </w:divBdr>
    </w:div>
    <w:div w:id="961303929">
      <w:bodyDiv w:val="1"/>
      <w:marLeft w:val="0"/>
      <w:marRight w:val="0"/>
      <w:marTop w:val="0"/>
      <w:marBottom w:val="0"/>
      <w:divBdr>
        <w:top w:val="none" w:sz="0" w:space="0" w:color="auto"/>
        <w:left w:val="none" w:sz="0" w:space="0" w:color="auto"/>
        <w:bottom w:val="none" w:sz="0" w:space="0" w:color="auto"/>
        <w:right w:val="none" w:sz="0" w:space="0" w:color="auto"/>
      </w:divBdr>
    </w:div>
    <w:div w:id="964770272">
      <w:bodyDiv w:val="1"/>
      <w:marLeft w:val="0"/>
      <w:marRight w:val="0"/>
      <w:marTop w:val="0"/>
      <w:marBottom w:val="0"/>
      <w:divBdr>
        <w:top w:val="none" w:sz="0" w:space="0" w:color="auto"/>
        <w:left w:val="none" w:sz="0" w:space="0" w:color="auto"/>
        <w:bottom w:val="none" w:sz="0" w:space="0" w:color="auto"/>
        <w:right w:val="none" w:sz="0" w:space="0" w:color="auto"/>
      </w:divBdr>
    </w:div>
    <w:div w:id="995956343">
      <w:bodyDiv w:val="1"/>
      <w:marLeft w:val="0"/>
      <w:marRight w:val="0"/>
      <w:marTop w:val="0"/>
      <w:marBottom w:val="0"/>
      <w:divBdr>
        <w:top w:val="none" w:sz="0" w:space="0" w:color="auto"/>
        <w:left w:val="none" w:sz="0" w:space="0" w:color="auto"/>
        <w:bottom w:val="none" w:sz="0" w:space="0" w:color="auto"/>
        <w:right w:val="none" w:sz="0" w:space="0" w:color="auto"/>
      </w:divBdr>
    </w:div>
    <w:div w:id="999894112">
      <w:bodyDiv w:val="1"/>
      <w:marLeft w:val="0"/>
      <w:marRight w:val="0"/>
      <w:marTop w:val="0"/>
      <w:marBottom w:val="0"/>
      <w:divBdr>
        <w:top w:val="none" w:sz="0" w:space="0" w:color="auto"/>
        <w:left w:val="none" w:sz="0" w:space="0" w:color="auto"/>
        <w:bottom w:val="none" w:sz="0" w:space="0" w:color="auto"/>
        <w:right w:val="none" w:sz="0" w:space="0" w:color="auto"/>
      </w:divBdr>
    </w:div>
    <w:div w:id="1004091978">
      <w:bodyDiv w:val="1"/>
      <w:marLeft w:val="0"/>
      <w:marRight w:val="0"/>
      <w:marTop w:val="0"/>
      <w:marBottom w:val="0"/>
      <w:divBdr>
        <w:top w:val="none" w:sz="0" w:space="0" w:color="auto"/>
        <w:left w:val="none" w:sz="0" w:space="0" w:color="auto"/>
        <w:bottom w:val="none" w:sz="0" w:space="0" w:color="auto"/>
        <w:right w:val="none" w:sz="0" w:space="0" w:color="auto"/>
      </w:divBdr>
    </w:div>
    <w:div w:id="1019428160">
      <w:bodyDiv w:val="1"/>
      <w:marLeft w:val="0"/>
      <w:marRight w:val="0"/>
      <w:marTop w:val="0"/>
      <w:marBottom w:val="0"/>
      <w:divBdr>
        <w:top w:val="none" w:sz="0" w:space="0" w:color="auto"/>
        <w:left w:val="none" w:sz="0" w:space="0" w:color="auto"/>
        <w:bottom w:val="none" w:sz="0" w:space="0" w:color="auto"/>
        <w:right w:val="none" w:sz="0" w:space="0" w:color="auto"/>
      </w:divBdr>
    </w:div>
    <w:div w:id="1025131893">
      <w:bodyDiv w:val="1"/>
      <w:marLeft w:val="0"/>
      <w:marRight w:val="0"/>
      <w:marTop w:val="0"/>
      <w:marBottom w:val="0"/>
      <w:divBdr>
        <w:top w:val="none" w:sz="0" w:space="0" w:color="auto"/>
        <w:left w:val="none" w:sz="0" w:space="0" w:color="auto"/>
        <w:bottom w:val="none" w:sz="0" w:space="0" w:color="auto"/>
        <w:right w:val="none" w:sz="0" w:space="0" w:color="auto"/>
      </w:divBdr>
    </w:div>
    <w:div w:id="1025447343">
      <w:bodyDiv w:val="1"/>
      <w:marLeft w:val="0"/>
      <w:marRight w:val="0"/>
      <w:marTop w:val="0"/>
      <w:marBottom w:val="0"/>
      <w:divBdr>
        <w:top w:val="none" w:sz="0" w:space="0" w:color="auto"/>
        <w:left w:val="none" w:sz="0" w:space="0" w:color="auto"/>
        <w:bottom w:val="none" w:sz="0" w:space="0" w:color="auto"/>
        <w:right w:val="none" w:sz="0" w:space="0" w:color="auto"/>
      </w:divBdr>
    </w:div>
    <w:div w:id="1026365818">
      <w:bodyDiv w:val="1"/>
      <w:marLeft w:val="0"/>
      <w:marRight w:val="0"/>
      <w:marTop w:val="0"/>
      <w:marBottom w:val="0"/>
      <w:divBdr>
        <w:top w:val="none" w:sz="0" w:space="0" w:color="auto"/>
        <w:left w:val="none" w:sz="0" w:space="0" w:color="auto"/>
        <w:bottom w:val="none" w:sz="0" w:space="0" w:color="auto"/>
        <w:right w:val="none" w:sz="0" w:space="0" w:color="auto"/>
      </w:divBdr>
    </w:div>
    <w:div w:id="1027024421">
      <w:bodyDiv w:val="1"/>
      <w:marLeft w:val="0"/>
      <w:marRight w:val="0"/>
      <w:marTop w:val="0"/>
      <w:marBottom w:val="0"/>
      <w:divBdr>
        <w:top w:val="none" w:sz="0" w:space="0" w:color="auto"/>
        <w:left w:val="none" w:sz="0" w:space="0" w:color="auto"/>
        <w:bottom w:val="none" w:sz="0" w:space="0" w:color="auto"/>
        <w:right w:val="none" w:sz="0" w:space="0" w:color="auto"/>
      </w:divBdr>
    </w:div>
    <w:div w:id="1031490896">
      <w:bodyDiv w:val="1"/>
      <w:marLeft w:val="0"/>
      <w:marRight w:val="0"/>
      <w:marTop w:val="0"/>
      <w:marBottom w:val="0"/>
      <w:divBdr>
        <w:top w:val="none" w:sz="0" w:space="0" w:color="auto"/>
        <w:left w:val="none" w:sz="0" w:space="0" w:color="auto"/>
        <w:bottom w:val="none" w:sz="0" w:space="0" w:color="auto"/>
        <w:right w:val="none" w:sz="0" w:space="0" w:color="auto"/>
      </w:divBdr>
    </w:div>
    <w:div w:id="1036124975">
      <w:bodyDiv w:val="1"/>
      <w:marLeft w:val="0"/>
      <w:marRight w:val="0"/>
      <w:marTop w:val="0"/>
      <w:marBottom w:val="0"/>
      <w:divBdr>
        <w:top w:val="none" w:sz="0" w:space="0" w:color="auto"/>
        <w:left w:val="none" w:sz="0" w:space="0" w:color="auto"/>
        <w:bottom w:val="none" w:sz="0" w:space="0" w:color="auto"/>
        <w:right w:val="none" w:sz="0" w:space="0" w:color="auto"/>
      </w:divBdr>
    </w:div>
    <w:div w:id="1042636010">
      <w:bodyDiv w:val="1"/>
      <w:marLeft w:val="0"/>
      <w:marRight w:val="0"/>
      <w:marTop w:val="0"/>
      <w:marBottom w:val="0"/>
      <w:divBdr>
        <w:top w:val="none" w:sz="0" w:space="0" w:color="auto"/>
        <w:left w:val="none" w:sz="0" w:space="0" w:color="auto"/>
        <w:bottom w:val="none" w:sz="0" w:space="0" w:color="auto"/>
        <w:right w:val="none" w:sz="0" w:space="0" w:color="auto"/>
      </w:divBdr>
    </w:div>
    <w:div w:id="1043021405">
      <w:bodyDiv w:val="1"/>
      <w:marLeft w:val="0"/>
      <w:marRight w:val="0"/>
      <w:marTop w:val="0"/>
      <w:marBottom w:val="0"/>
      <w:divBdr>
        <w:top w:val="none" w:sz="0" w:space="0" w:color="auto"/>
        <w:left w:val="none" w:sz="0" w:space="0" w:color="auto"/>
        <w:bottom w:val="none" w:sz="0" w:space="0" w:color="auto"/>
        <w:right w:val="none" w:sz="0" w:space="0" w:color="auto"/>
      </w:divBdr>
    </w:div>
    <w:div w:id="1048607244">
      <w:bodyDiv w:val="1"/>
      <w:marLeft w:val="0"/>
      <w:marRight w:val="0"/>
      <w:marTop w:val="0"/>
      <w:marBottom w:val="0"/>
      <w:divBdr>
        <w:top w:val="none" w:sz="0" w:space="0" w:color="auto"/>
        <w:left w:val="none" w:sz="0" w:space="0" w:color="auto"/>
        <w:bottom w:val="none" w:sz="0" w:space="0" w:color="auto"/>
        <w:right w:val="none" w:sz="0" w:space="0" w:color="auto"/>
      </w:divBdr>
    </w:div>
    <w:div w:id="1051658179">
      <w:bodyDiv w:val="1"/>
      <w:marLeft w:val="0"/>
      <w:marRight w:val="0"/>
      <w:marTop w:val="0"/>
      <w:marBottom w:val="0"/>
      <w:divBdr>
        <w:top w:val="none" w:sz="0" w:space="0" w:color="auto"/>
        <w:left w:val="none" w:sz="0" w:space="0" w:color="auto"/>
        <w:bottom w:val="none" w:sz="0" w:space="0" w:color="auto"/>
        <w:right w:val="none" w:sz="0" w:space="0" w:color="auto"/>
      </w:divBdr>
    </w:div>
    <w:div w:id="1054892655">
      <w:bodyDiv w:val="1"/>
      <w:marLeft w:val="0"/>
      <w:marRight w:val="0"/>
      <w:marTop w:val="0"/>
      <w:marBottom w:val="0"/>
      <w:divBdr>
        <w:top w:val="none" w:sz="0" w:space="0" w:color="auto"/>
        <w:left w:val="none" w:sz="0" w:space="0" w:color="auto"/>
        <w:bottom w:val="none" w:sz="0" w:space="0" w:color="auto"/>
        <w:right w:val="none" w:sz="0" w:space="0" w:color="auto"/>
      </w:divBdr>
    </w:div>
    <w:div w:id="1057708960">
      <w:bodyDiv w:val="1"/>
      <w:marLeft w:val="0"/>
      <w:marRight w:val="0"/>
      <w:marTop w:val="0"/>
      <w:marBottom w:val="0"/>
      <w:divBdr>
        <w:top w:val="none" w:sz="0" w:space="0" w:color="auto"/>
        <w:left w:val="none" w:sz="0" w:space="0" w:color="auto"/>
        <w:bottom w:val="none" w:sz="0" w:space="0" w:color="auto"/>
        <w:right w:val="none" w:sz="0" w:space="0" w:color="auto"/>
      </w:divBdr>
    </w:div>
    <w:div w:id="1062142589">
      <w:bodyDiv w:val="1"/>
      <w:marLeft w:val="0"/>
      <w:marRight w:val="0"/>
      <w:marTop w:val="0"/>
      <w:marBottom w:val="0"/>
      <w:divBdr>
        <w:top w:val="none" w:sz="0" w:space="0" w:color="auto"/>
        <w:left w:val="none" w:sz="0" w:space="0" w:color="auto"/>
        <w:bottom w:val="none" w:sz="0" w:space="0" w:color="auto"/>
        <w:right w:val="none" w:sz="0" w:space="0" w:color="auto"/>
      </w:divBdr>
    </w:div>
    <w:div w:id="1063874612">
      <w:bodyDiv w:val="1"/>
      <w:marLeft w:val="0"/>
      <w:marRight w:val="0"/>
      <w:marTop w:val="0"/>
      <w:marBottom w:val="0"/>
      <w:divBdr>
        <w:top w:val="none" w:sz="0" w:space="0" w:color="auto"/>
        <w:left w:val="none" w:sz="0" w:space="0" w:color="auto"/>
        <w:bottom w:val="none" w:sz="0" w:space="0" w:color="auto"/>
        <w:right w:val="none" w:sz="0" w:space="0" w:color="auto"/>
      </w:divBdr>
    </w:div>
    <w:div w:id="1068378826">
      <w:bodyDiv w:val="1"/>
      <w:marLeft w:val="0"/>
      <w:marRight w:val="0"/>
      <w:marTop w:val="0"/>
      <w:marBottom w:val="0"/>
      <w:divBdr>
        <w:top w:val="none" w:sz="0" w:space="0" w:color="auto"/>
        <w:left w:val="none" w:sz="0" w:space="0" w:color="auto"/>
        <w:bottom w:val="none" w:sz="0" w:space="0" w:color="auto"/>
        <w:right w:val="none" w:sz="0" w:space="0" w:color="auto"/>
      </w:divBdr>
    </w:div>
    <w:div w:id="1071808200">
      <w:bodyDiv w:val="1"/>
      <w:marLeft w:val="0"/>
      <w:marRight w:val="0"/>
      <w:marTop w:val="0"/>
      <w:marBottom w:val="0"/>
      <w:divBdr>
        <w:top w:val="none" w:sz="0" w:space="0" w:color="auto"/>
        <w:left w:val="none" w:sz="0" w:space="0" w:color="auto"/>
        <w:bottom w:val="none" w:sz="0" w:space="0" w:color="auto"/>
        <w:right w:val="none" w:sz="0" w:space="0" w:color="auto"/>
      </w:divBdr>
    </w:div>
    <w:div w:id="1072234768">
      <w:bodyDiv w:val="1"/>
      <w:marLeft w:val="0"/>
      <w:marRight w:val="0"/>
      <w:marTop w:val="0"/>
      <w:marBottom w:val="0"/>
      <w:divBdr>
        <w:top w:val="none" w:sz="0" w:space="0" w:color="auto"/>
        <w:left w:val="none" w:sz="0" w:space="0" w:color="auto"/>
        <w:bottom w:val="none" w:sz="0" w:space="0" w:color="auto"/>
        <w:right w:val="none" w:sz="0" w:space="0" w:color="auto"/>
      </w:divBdr>
    </w:div>
    <w:div w:id="1078594736">
      <w:bodyDiv w:val="1"/>
      <w:marLeft w:val="0"/>
      <w:marRight w:val="0"/>
      <w:marTop w:val="0"/>
      <w:marBottom w:val="0"/>
      <w:divBdr>
        <w:top w:val="none" w:sz="0" w:space="0" w:color="auto"/>
        <w:left w:val="none" w:sz="0" w:space="0" w:color="auto"/>
        <w:bottom w:val="none" w:sz="0" w:space="0" w:color="auto"/>
        <w:right w:val="none" w:sz="0" w:space="0" w:color="auto"/>
      </w:divBdr>
    </w:div>
    <w:div w:id="1081290549">
      <w:bodyDiv w:val="1"/>
      <w:marLeft w:val="0"/>
      <w:marRight w:val="0"/>
      <w:marTop w:val="0"/>
      <w:marBottom w:val="0"/>
      <w:divBdr>
        <w:top w:val="none" w:sz="0" w:space="0" w:color="auto"/>
        <w:left w:val="none" w:sz="0" w:space="0" w:color="auto"/>
        <w:bottom w:val="none" w:sz="0" w:space="0" w:color="auto"/>
        <w:right w:val="none" w:sz="0" w:space="0" w:color="auto"/>
      </w:divBdr>
    </w:div>
    <w:div w:id="1089546334">
      <w:bodyDiv w:val="1"/>
      <w:marLeft w:val="0"/>
      <w:marRight w:val="0"/>
      <w:marTop w:val="0"/>
      <w:marBottom w:val="0"/>
      <w:divBdr>
        <w:top w:val="none" w:sz="0" w:space="0" w:color="auto"/>
        <w:left w:val="none" w:sz="0" w:space="0" w:color="auto"/>
        <w:bottom w:val="none" w:sz="0" w:space="0" w:color="auto"/>
        <w:right w:val="none" w:sz="0" w:space="0" w:color="auto"/>
      </w:divBdr>
    </w:div>
    <w:div w:id="1092968280">
      <w:bodyDiv w:val="1"/>
      <w:marLeft w:val="0"/>
      <w:marRight w:val="0"/>
      <w:marTop w:val="0"/>
      <w:marBottom w:val="0"/>
      <w:divBdr>
        <w:top w:val="none" w:sz="0" w:space="0" w:color="auto"/>
        <w:left w:val="none" w:sz="0" w:space="0" w:color="auto"/>
        <w:bottom w:val="none" w:sz="0" w:space="0" w:color="auto"/>
        <w:right w:val="none" w:sz="0" w:space="0" w:color="auto"/>
      </w:divBdr>
    </w:div>
    <w:div w:id="1101297825">
      <w:bodyDiv w:val="1"/>
      <w:marLeft w:val="0"/>
      <w:marRight w:val="0"/>
      <w:marTop w:val="0"/>
      <w:marBottom w:val="0"/>
      <w:divBdr>
        <w:top w:val="none" w:sz="0" w:space="0" w:color="auto"/>
        <w:left w:val="none" w:sz="0" w:space="0" w:color="auto"/>
        <w:bottom w:val="none" w:sz="0" w:space="0" w:color="auto"/>
        <w:right w:val="none" w:sz="0" w:space="0" w:color="auto"/>
      </w:divBdr>
    </w:div>
    <w:div w:id="1107195587">
      <w:bodyDiv w:val="1"/>
      <w:marLeft w:val="0"/>
      <w:marRight w:val="0"/>
      <w:marTop w:val="0"/>
      <w:marBottom w:val="0"/>
      <w:divBdr>
        <w:top w:val="none" w:sz="0" w:space="0" w:color="auto"/>
        <w:left w:val="none" w:sz="0" w:space="0" w:color="auto"/>
        <w:bottom w:val="none" w:sz="0" w:space="0" w:color="auto"/>
        <w:right w:val="none" w:sz="0" w:space="0" w:color="auto"/>
      </w:divBdr>
    </w:div>
    <w:div w:id="1108086612">
      <w:bodyDiv w:val="1"/>
      <w:marLeft w:val="0"/>
      <w:marRight w:val="0"/>
      <w:marTop w:val="0"/>
      <w:marBottom w:val="0"/>
      <w:divBdr>
        <w:top w:val="none" w:sz="0" w:space="0" w:color="auto"/>
        <w:left w:val="none" w:sz="0" w:space="0" w:color="auto"/>
        <w:bottom w:val="none" w:sz="0" w:space="0" w:color="auto"/>
        <w:right w:val="none" w:sz="0" w:space="0" w:color="auto"/>
      </w:divBdr>
    </w:div>
    <w:div w:id="1120106378">
      <w:bodyDiv w:val="1"/>
      <w:marLeft w:val="0"/>
      <w:marRight w:val="0"/>
      <w:marTop w:val="0"/>
      <w:marBottom w:val="0"/>
      <w:divBdr>
        <w:top w:val="none" w:sz="0" w:space="0" w:color="auto"/>
        <w:left w:val="none" w:sz="0" w:space="0" w:color="auto"/>
        <w:bottom w:val="none" w:sz="0" w:space="0" w:color="auto"/>
        <w:right w:val="none" w:sz="0" w:space="0" w:color="auto"/>
      </w:divBdr>
    </w:div>
    <w:div w:id="1129667117">
      <w:bodyDiv w:val="1"/>
      <w:marLeft w:val="0"/>
      <w:marRight w:val="0"/>
      <w:marTop w:val="0"/>
      <w:marBottom w:val="0"/>
      <w:divBdr>
        <w:top w:val="none" w:sz="0" w:space="0" w:color="auto"/>
        <w:left w:val="none" w:sz="0" w:space="0" w:color="auto"/>
        <w:bottom w:val="none" w:sz="0" w:space="0" w:color="auto"/>
        <w:right w:val="none" w:sz="0" w:space="0" w:color="auto"/>
      </w:divBdr>
    </w:div>
    <w:div w:id="1133526197">
      <w:bodyDiv w:val="1"/>
      <w:marLeft w:val="0"/>
      <w:marRight w:val="0"/>
      <w:marTop w:val="0"/>
      <w:marBottom w:val="0"/>
      <w:divBdr>
        <w:top w:val="none" w:sz="0" w:space="0" w:color="auto"/>
        <w:left w:val="none" w:sz="0" w:space="0" w:color="auto"/>
        <w:bottom w:val="none" w:sz="0" w:space="0" w:color="auto"/>
        <w:right w:val="none" w:sz="0" w:space="0" w:color="auto"/>
      </w:divBdr>
    </w:div>
    <w:div w:id="1146781046">
      <w:bodyDiv w:val="1"/>
      <w:marLeft w:val="0"/>
      <w:marRight w:val="0"/>
      <w:marTop w:val="0"/>
      <w:marBottom w:val="0"/>
      <w:divBdr>
        <w:top w:val="none" w:sz="0" w:space="0" w:color="auto"/>
        <w:left w:val="none" w:sz="0" w:space="0" w:color="auto"/>
        <w:bottom w:val="none" w:sz="0" w:space="0" w:color="auto"/>
        <w:right w:val="none" w:sz="0" w:space="0" w:color="auto"/>
      </w:divBdr>
    </w:div>
    <w:div w:id="1149781465">
      <w:bodyDiv w:val="1"/>
      <w:marLeft w:val="0"/>
      <w:marRight w:val="0"/>
      <w:marTop w:val="0"/>
      <w:marBottom w:val="0"/>
      <w:divBdr>
        <w:top w:val="none" w:sz="0" w:space="0" w:color="auto"/>
        <w:left w:val="none" w:sz="0" w:space="0" w:color="auto"/>
        <w:bottom w:val="none" w:sz="0" w:space="0" w:color="auto"/>
        <w:right w:val="none" w:sz="0" w:space="0" w:color="auto"/>
      </w:divBdr>
    </w:div>
    <w:div w:id="1156800180">
      <w:bodyDiv w:val="1"/>
      <w:marLeft w:val="0"/>
      <w:marRight w:val="0"/>
      <w:marTop w:val="0"/>
      <w:marBottom w:val="0"/>
      <w:divBdr>
        <w:top w:val="none" w:sz="0" w:space="0" w:color="auto"/>
        <w:left w:val="none" w:sz="0" w:space="0" w:color="auto"/>
        <w:bottom w:val="none" w:sz="0" w:space="0" w:color="auto"/>
        <w:right w:val="none" w:sz="0" w:space="0" w:color="auto"/>
      </w:divBdr>
    </w:div>
    <w:div w:id="1162234673">
      <w:bodyDiv w:val="1"/>
      <w:marLeft w:val="0"/>
      <w:marRight w:val="0"/>
      <w:marTop w:val="0"/>
      <w:marBottom w:val="0"/>
      <w:divBdr>
        <w:top w:val="none" w:sz="0" w:space="0" w:color="auto"/>
        <w:left w:val="none" w:sz="0" w:space="0" w:color="auto"/>
        <w:bottom w:val="none" w:sz="0" w:space="0" w:color="auto"/>
        <w:right w:val="none" w:sz="0" w:space="0" w:color="auto"/>
      </w:divBdr>
    </w:div>
    <w:div w:id="1162812093">
      <w:bodyDiv w:val="1"/>
      <w:marLeft w:val="0"/>
      <w:marRight w:val="0"/>
      <w:marTop w:val="0"/>
      <w:marBottom w:val="0"/>
      <w:divBdr>
        <w:top w:val="none" w:sz="0" w:space="0" w:color="auto"/>
        <w:left w:val="none" w:sz="0" w:space="0" w:color="auto"/>
        <w:bottom w:val="none" w:sz="0" w:space="0" w:color="auto"/>
        <w:right w:val="none" w:sz="0" w:space="0" w:color="auto"/>
      </w:divBdr>
    </w:div>
    <w:div w:id="1166213695">
      <w:bodyDiv w:val="1"/>
      <w:marLeft w:val="0"/>
      <w:marRight w:val="0"/>
      <w:marTop w:val="0"/>
      <w:marBottom w:val="0"/>
      <w:divBdr>
        <w:top w:val="none" w:sz="0" w:space="0" w:color="auto"/>
        <w:left w:val="none" w:sz="0" w:space="0" w:color="auto"/>
        <w:bottom w:val="none" w:sz="0" w:space="0" w:color="auto"/>
        <w:right w:val="none" w:sz="0" w:space="0" w:color="auto"/>
      </w:divBdr>
    </w:div>
    <w:div w:id="1176533072">
      <w:bodyDiv w:val="1"/>
      <w:marLeft w:val="0"/>
      <w:marRight w:val="0"/>
      <w:marTop w:val="0"/>
      <w:marBottom w:val="0"/>
      <w:divBdr>
        <w:top w:val="none" w:sz="0" w:space="0" w:color="auto"/>
        <w:left w:val="none" w:sz="0" w:space="0" w:color="auto"/>
        <w:bottom w:val="none" w:sz="0" w:space="0" w:color="auto"/>
        <w:right w:val="none" w:sz="0" w:space="0" w:color="auto"/>
      </w:divBdr>
    </w:div>
    <w:div w:id="1188836822">
      <w:bodyDiv w:val="1"/>
      <w:marLeft w:val="0"/>
      <w:marRight w:val="0"/>
      <w:marTop w:val="0"/>
      <w:marBottom w:val="0"/>
      <w:divBdr>
        <w:top w:val="none" w:sz="0" w:space="0" w:color="auto"/>
        <w:left w:val="none" w:sz="0" w:space="0" w:color="auto"/>
        <w:bottom w:val="none" w:sz="0" w:space="0" w:color="auto"/>
        <w:right w:val="none" w:sz="0" w:space="0" w:color="auto"/>
      </w:divBdr>
    </w:div>
    <w:div w:id="1193154484">
      <w:bodyDiv w:val="1"/>
      <w:marLeft w:val="0"/>
      <w:marRight w:val="0"/>
      <w:marTop w:val="0"/>
      <w:marBottom w:val="0"/>
      <w:divBdr>
        <w:top w:val="none" w:sz="0" w:space="0" w:color="auto"/>
        <w:left w:val="none" w:sz="0" w:space="0" w:color="auto"/>
        <w:bottom w:val="none" w:sz="0" w:space="0" w:color="auto"/>
        <w:right w:val="none" w:sz="0" w:space="0" w:color="auto"/>
      </w:divBdr>
    </w:div>
    <w:div w:id="1194461317">
      <w:bodyDiv w:val="1"/>
      <w:marLeft w:val="0"/>
      <w:marRight w:val="0"/>
      <w:marTop w:val="0"/>
      <w:marBottom w:val="0"/>
      <w:divBdr>
        <w:top w:val="none" w:sz="0" w:space="0" w:color="auto"/>
        <w:left w:val="none" w:sz="0" w:space="0" w:color="auto"/>
        <w:bottom w:val="none" w:sz="0" w:space="0" w:color="auto"/>
        <w:right w:val="none" w:sz="0" w:space="0" w:color="auto"/>
      </w:divBdr>
    </w:div>
    <w:div w:id="1200312522">
      <w:bodyDiv w:val="1"/>
      <w:marLeft w:val="0"/>
      <w:marRight w:val="0"/>
      <w:marTop w:val="0"/>
      <w:marBottom w:val="0"/>
      <w:divBdr>
        <w:top w:val="none" w:sz="0" w:space="0" w:color="auto"/>
        <w:left w:val="none" w:sz="0" w:space="0" w:color="auto"/>
        <w:bottom w:val="none" w:sz="0" w:space="0" w:color="auto"/>
        <w:right w:val="none" w:sz="0" w:space="0" w:color="auto"/>
      </w:divBdr>
    </w:div>
    <w:div w:id="1205949893">
      <w:bodyDiv w:val="1"/>
      <w:marLeft w:val="0"/>
      <w:marRight w:val="0"/>
      <w:marTop w:val="0"/>
      <w:marBottom w:val="0"/>
      <w:divBdr>
        <w:top w:val="none" w:sz="0" w:space="0" w:color="auto"/>
        <w:left w:val="none" w:sz="0" w:space="0" w:color="auto"/>
        <w:bottom w:val="none" w:sz="0" w:space="0" w:color="auto"/>
        <w:right w:val="none" w:sz="0" w:space="0" w:color="auto"/>
      </w:divBdr>
    </w:div>
    <w:div w:id="1210847720">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218273553">
      <w:bodyDiv w:val="1"/>
      <w:marLeft w:val="0"/>
      <w:marRight w:val="0"/>
      <w:marTop w:val="0"/>
      <w:marBottom w:val="0"/>
      <w:divBdr>
        <w:top w:val="none" w:sz="0" w:space="0" w:color="auto"/>
        <w:left w:val="none" w:sz="0" w:space="0" w:color="auto"/>
        <w:bottom w:val="none" w:sz="0" w:space="0" w:color="auto"/>
        <w:right w:val="none" w:sz="0" w:space="0" w:color="auto"/>
      </w:divBdr>
    </w:div>
    <w:div w:id="1222672130">
      <w:bodyDiv w:val="1"/>
      <w:marLeft w:val="0"/>
      <w:marRight w:val="0"/>
      <w:marTop w:val="0"/>
      <w:marBottom w:val="0"/>
      <w:divBdr>
        <w:top w:val="none" w:sz="0" w:space="0" w:color="auto"/>
        <w:left w:val="none" w:sz="0" w:space="0" w:color="auto"/>
        <w:bottom w:val="none" w:sz="0" w:space="0" w:color="auto"/>
        <w:right w:val="none" w:sz="0" w:space="0" w:color="auto"/>
      </w:divBdr>
    </w:div>
    <w:div w:id="1228569341">
      <w:bodyDiv w:val="1"/>
      <w:marLeft w:val="0"/>
      <w:marRight w:val="0"/>
      <w:marTop w:val="0"/>
      <w:marBottom w:val="0"/>
      <w:divBdr>
        <w:top w:val="none" w:sz="0" w:space="0" w:color="auto"/>
        <w:left w:val="none" w:sz="0" w:space="0" w:color="auto"/>
        <w:bottom w:val="none" w:sz="0" w:space="0" w:color="auto"/>
        <w:right w:val="none" w:sz="0" w:space="0" w:color="auto"/>
      </w:divBdr>
    </w:div>
    <w:div w:id="1229611227">
      <w:bodyDiv w:val="1"/>
      <w:marLeft w:val="0"/>
      <w:marRight w:val="0"/>
      <w:marTop w:val="0"/>
      <w:marBottom w:val="0"/>
      <w:divBdr>
        <w:top w:val="none" w:sz="0" w:space="0" w:color="auto"/>
        <w:left w:val="none" w:sz="0" w:space="0" w:color="auto"/>
        <w:bottom w:val="none" w:sz="0" w:space="0" w:color="auto"/>
        <w:right w:val="none" w:sz="0" w:space="0" w:color="auto"/>
      </w:divBdr>
    </w:div>
    <w:div w:id="1241015681">
      <w:bodyDiv w:val="1"/>
      <w:marLeft w:val="0"/>
      <w:marRight w:val="0"/>
      <w:marTop w:val="0"/>
      <w:marBottom w:val="0"/>
      <w:divBdr>
        <w:top w:val="none" w:sz="0" w:space="0" w:color="auto"/>
        <w:left w:val="none" w:sz="0" w:space="0" w:color="auto"/>
        <w:bottom w:val="none" w:sz="0" w:space="0" w:color="auto"/>
        <w:right w:val="none" w:sz="0" w:space="0" w:color="auto"/>
      </w:divBdr>
    </w:div>
    <w:div w:id="1244726397">
      <w:bodyDiv w:val="1"/>
      <w:marLeft w:val="0"/>
      <w:marRight w:val="0"/>
      <w:marTop w:val="0"/>
      <w:marBottom w:val="0"/>
      <w:divBdr>
        <w:top w:val="none" w:sz="0" w:space="0" w:color="auto"/>
        <w:left w:val="none" w:sz="0" w:space="0" w:color="auto"/>
        <w:bottom w:val="none" w:sz="0" w:space="0" w:color="auto"/>
        <w:right w:val="none" w:sz="0" w:space="0" w:color="auto"/>
      </w:divBdr>
    </w:div>
    <w:div w:id="1266578149">
      <w:bodyDiv w:val="1"/>
      <w:marLeft w:val="0"/>
      <w:marRight w:val="0"/>
      <w:marTop w:val="0"/>
      <w:marBottom w:val="0"/>
      <w:divBdr>
        <w:top w:val="none" w:sz="0" w:space="0" w:color="auto"/>
        <w:left w:val="none" w:sz="0" w:space="0" w:color="auto"/>
        <w:bottom w:val="none" w:sz="0" w:space="0" w:color="auto"/>
        <w:right w:val="none" w:sz="0" w:space="0" w:color="auto"/>
      </w:divBdr>
    </w:div>
    <w:div w:id="1271283896">
      <w:bodyDiv w:val="1"/>
      <w:marLeft w:val="0"/>
      <w:marRight w:val="0"/>
      <w:marTop w:val="0"/>
      <w:marBottom w:val="0"/>
      <w:divBdr>
        <w:top w:val="none" w:sz="0" w:space="0" w:color="auto"/>
        <w:left w:val="none" w:sz="0" w:space="0" w:color="auto"/>
        <w:bottom w:val="none" w:sz="0" w:space="0" w:color="auto"/>
        <w:right w:val="none" w:sz="0" w:space="0" w:color="auto"/>
      </w:divBdr>
    </w:div>
    <w:div w:id="1274821542">
      <w:bodyDiv w:val="1"/>
      <w:marLeft w:val="0"/>
      <w:marRight w:val="0"/>
      <w:marTop w:val="0"/>
      <w:marBottom w:val="0"/>
      <w:divBdr>
        <w:top w:val="none" w:sz="0" w:space="0" w:color="auto"/>
        <w:left w:val="none" w:sz="0" w:space="0" w:color="auto"/>
        <w:bottom w:val="none" w:sz="0" w:space="0" w:color="auto"/>
        <w:right w:val="none" w:sz="0" w:space="0" w:color="auto"/>
      </w:divBdr>
    </w:div>
    <w:div w:id="1285842769">
      <w:bodyDiv w:val="1"/>
      <w:marLeft w:val="0"/>
      <w:marRight w:val="0"/>
      <w:marTop w:val="0"/>
      <w:marBottom w:val="0"/>
      <w:divBdr>
        <w:top w:val="none" w:sz="0" w:space="0" w:color="auto"/>
        <w:left w:val="none" w:sz="0" w:space="0" w:color="auto"/>
        <w:bottom w:val="none" w:sz="0" w:space="0" w:color="auto"/>
        <w:right w:val="none" w:sz="0" w:space="0" w:color="auto"/>
      </w:divBdr>
    </w:div>
    <w:div w:id="1290282859">
      <w:bodyDiv w:val="1"/>
      <w:marLeft w:val="0"/>
      <w:marRight w:val="0"/>
      <w:marTop w:val="0"/>
      <w:marBottom w:val="0"/>
      <w:divBdr>
        <w:top w:val="none" w:sz="0" w:space="0" w:color="auto"/>
        <w:left w:val="none" w:sz="0" w:space="0" w:color="auto"/>
        <w:bottom w:val="none" w:sz="0" w:space="0" w:color="auto"/>
        <w:right w:val="none" w:sz="0" w:space="0" w:color="auto"/>
      </w:divBdr>
    </w:div>
    <w:div w:id="1294022758">
      <w:bodyDiv w:val="1"/>
      <w:marLeft w:val="0"/>
      <w:marRight w:val="0"/>
      <w:marTop w:val="0"/>
      <w:marBottom w:val="0"/>
      <w:divBdr>
        <w:top w:val="none" w:sz="0" w:space="0" w:color="auto"/>
        <w:left w:val="none" w:sz="0" w:space="0" w:color="auto"/>
        <w:bottom w:val="none" w:sz="0" w:space="0" w:color="auto"/>
        <w:right w:val="none" w:sz="0" w:space="0" w:color="auto"/>
      </w:divBdr>
    </w:div>
    <w:div w:id="1307707396">
      <w:bodyDiv w:val="1"/>
      <w:marLeft w:val="0"/>
      <w:marRight w:val="0"/>
      <w:marTop w:val="0"/>
      <w:marBottom w:val="0"/>
      <w:divBdr>
        <w:top w:val="none" w:sz="0" w:space="0" w:color="auto"/>
        <w:left w:val="none" w:sz="0" w:space="0" w:color="auto"/>
        <w:bottom w:val="none" w:sz="0" w:space="0" w:color="auto"/>
        <w:right w:val="none" w:sz="0" w:space="0" w:color="auto"/>
      </w:divBdr>
    </w:div>
    <w:div w:id="1314406056">
      <w:bodyDiv w:val="1"/>
      <w:marLeft w:val="0"/>
      <w:marRight w:val="0"/>
      <w:marTop w:val="0"/>
      <w:marBottom w:val="0"/>
      <w:divBdr>
        <w:top w:val="none" w:sz="0" w:space="0" w:color="auto"/>
        <w:left w:val="none" w:sz="0" w:space="0" w:color="auto"/>
        <w:bottom w:val="none" w:sz="0" w:space="0" w:color="auto"/>
        <w:right w:val="none" w:sz="0" w:space="0" w:color="auto"/>
      </w:divBdr>
    </w:div>
    <w:div w:id="1320036900">
      <w:bodyDiv w:val="1"/>
      <w:marLeft w:val="0"/>
      <w:marRight w:val="0"/>
      <w:marTop w:val="0"/>
      <w:marBottom w:val="0"/>
      <w:divBdr>
        <w:top w:val="none" w:sz="0" w:space="0" w:color="auto"/>
        <w:left w:val="none" w:sz="0" w:space="0" w:color="auto"/>
        <w:bottom w:val="none" w:sz="0" w:space="0" w:color="auto"/>
        <w:right w:val="none" w:sz="0" w:space="0" w:color="auto"/>
      </w:divBdr>
    </w:div>
    <w:div w:id="1330864151">
      <w:bodyDiv w:val="1"/>
      <w:marLeft w:val="0"/>
      <w:marRight w:val="0"/>
      <w:marTop w:val="0"/>
      <w:marBottom w:val="0"/>
      <w:divBdr>
        <w:top w:val="none" w:sz="0" w:space="0" w:color="auto"/>
        <w:left w:val="none" w:sz="0" w:space="0" w:color="auto"/>
        <w:bottom w:val="none" w:sz="0" w:space="0" w:color="auto"/>
        <w:right w:val="none" w:sz="0" w:space="0" w:color="auto"/>
      </w:divBdr>
    </w:div>
    <w:div w:id="1331517609">
      <w:bodyDiv w:val="1"/>
      <w:marLeft w:val="0"/>
      <w:marRight w:val="0"/>
      <w:marTop w:val="0"/>
      <w:marBottom w:val="0"/>
      <w:divBdr>
        <w:top w:val="none" w:sz="0" w:space="0" w:color="auto"/>
        <w:left w:val="none" w:sz="0" w:space="0" w:color="auto"/>
        <w:bottom w:val="none" w:sz="0" w:space="0" w:color="auto"/>
        <w:right w:val="none" w:sz="0" w:space="0" w:color="auto"/>
      </w:divBdr>
    </w:div>
    <w:div w:id="1332173855">
      <w:bodyDiv w:val="1"/>
      <w:marLeft w:val="0"/>
      <w:marRight w:val="0"/>
      <w:marTop w:val="0"/>
      <w:marBottom w:val="0"/>
      <w:divBdr>
        <w:top w:val="none" w:sz="0" w:space="0" w:color="auto"/>
        <w:left w:val="none" w:sz="0" w:space="0" w:color="auto"/>
        <w:bottom w:val="none" w:sz="0" w:space="0" w:color="auto"/>
        <w:right w:val="none" w:sz="0" w:space="0" w:color="auto"/>
      </w:divBdr>
    </w:div>
    <w:div w:id="1355231216">
      <w:bodyDiv w:val="1"/>
      <w:marLeft w:val="0"/>
      <w:marRight w:val="0"/>
      <w:marTop w:val="0"/>
      <w:marBottom w:val="0"/>
      <w:divBdr>
        <w:top w:val="none" w:sz="0" w:space="0" w:color="auto"/>
        <w:left w:val="none" w:sz="0" w:space="0" w:color="auto"/>
        <w:bottom w:val="none" w:sz="0" w:space="0" w:color="auto"/>
        <w:right w:val="none" w:sz="0" w:space="0" w:color="auto"/>
      </w:divBdr>
    </w:div>
    <w:div w:id="1356075911">
      <w:bodyDiv w:val="1"/>
      <w:marLeft w:val="0"/>
      <w:marRight w:val="0"/>
      <w:marTop w:val="0"/>
      <w:marBottom w:val="0"/>
      <w:divBdr>
        <w:top w:val="none" w:sz="0" w:space="0" w:color="auto"/>
        <w:left w:val="none" w:sz="0" w:space="0" w:color="auto"/>
        <w:bottom w:val="none" w:sz="0" w:space="0" w:color="auto"/>
        <w:right w:val="none" w:sz="0" w:space="0" w:color="auto"/>
      </w:divBdr>
    </w:div>
    <w:div w:id="1359546864">
      <w:bodyDiv w:val="1"/>
      <w:marLeft w:val="0"/>
      <w:marRight w:val="0"/>
      <w:marTop w:val="0"/>
      <w:marBottom w:val="0"/>
      <w:divBdr>
        <w:top w:val="none" w:sz="0" w:space="0" w:color="auto"/>
        <w:left w:val="none" w:sz="0" w:space="0" w:color="auto"/>
        <w:bottom w:val="none" w:sz="0" w:space="0" w:color="auto"/>
        <w:right w:val="none" w:sz="0" w:space="0" w:color="auto"/>
      </w:divBdr>
    </w:div>
    <w:div w:id="1364553948">
      <w:bodyDiv w:val="1"/>
      <w:marLeft w:val="0"/>
      <w:marRight w:val="0"/>
      <w:marTop w:val="0"/>
      <w:marBottom w:val="0"/>
      <w:divBdr>
        <w:top w:val="none" w:sz="0" w:space="0" w:color="auto"/>
        <w:left w:val="none" w:sz="0" w:space="0" w:color="auto"/>
        <w:bottom w:val="none" w:sz="0" w:space="0" w:color="auto"/>
        <w:right w:val="none" w:sz="0" w:space="0" w:color="auto"/>
      </w:divBdr>
    </w:div>
    <w:div w:id="1377197137">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384018603">
      <w:bodyDiv w:val="1"/>
      <w:marLeft w:val="0"/>
      <w:marRight w:val="0"/>
      <w:marTop w:val="0"/>
      <w:marBottom w:val="0"/>
      <w:divBdr>
        <w:top w:val="none" w:sz="0" w:space="0" w:color="auto"/>
        <w:left w:val="none" w:sz="0" w:space="0" w:color="auto"/>
        <w:bottom w:val="none" w:sz="0" w:space="0" w:color="auto"/>
        <w:right w:val="none" w:sz="0" w:space="0" w:color="auto"/>
      </w:divBdr>
    </w:div>
    <w:div w:id="1406218130">
      <w:bodyDiv w:val="1"/>
      <w:marLeft w:val="0"/>
      <w:marRight w:val="0"/>
      <w:marTop w:val="0"/>
      <w:marBottom w:val="0"/>
      <w:divBdr>
        <w:top w:val="none" w:sz="0" w:space="0" w:color="auto"/>
        <w:left w:val="none" w:sz="0" w:space="0" w:color="auto"/>
        <w:bottom w:val="none" w:sz="0" w:space="0" w:color="auto"/>
        <w:right w:val="none" w:sz="0" w:space="0" w:color="auto"/>
      </w:divBdr>
    </w:div>
    <w:div w:id="1407074425">
      <w:bodyDiv w:val="1"/>
      <w:marLeft w:val="0"/>
      <w:marRight w:val="0"/>
      <w:marTop w:val="0"/>
      <w:marBottom w:val="0"/>
      <w:divBdr>
        <w:top w:val="none" w:sz="0" w:space="0" w:color="auto"/>
        <w:left w:val="none" w:sz="0" w:space="0" w:color="auto"/>
        <w:bottom w:val="none" w:sz="0" w:space="0" w:color="auto"/>
        <w:right w:val="none" w:sz="0" w:space="0" w:color="auto"/>
      </w:divBdr>
    </w:div>
    <w:div w:id="1416514550">
      <w:bodyDiv w:val="1"/>
      <w:marLeft w:val="0"/>
      <w:marRight w:val="0"/>
      <w:marTop w:val="0"/>
      <w:marBottom w:val="0"/>
      <w:divBdr>
        <w:top w:val="none" w:sz="0" w:space="0" w:color="auto"/>
        <w:left w:val="none" w:sz="0" w:space="0" w:color="auto"/>
        <w:bottom w:val="none" w:sz="0" w:space="0" w:color="auto"/>
        <w:right w:val="none" w:sz="0" w:space="0" w:color="auto"/>
      </w:divBdr>
    </w:div>
    <w:div w:id="1428380929">
      <w:bodyDiv w:val="1"/>
      <w:marLeft w:val="0"/>
      <w:marRight w:val="0"/>
      <w:marTop w:val="0"/>
      <w:marBottom w:val="0"/>
      <w:divBdr>
        <w:top w:val="none" w:sz="0" w:space="0" w:color="auto"/>
        <w:left w:val="none" w:sz="0" w:space="0" w:color="auto"/>
        <w:bottom w:val="none" w:sz="0" w:space="0" w:color="auto"/>
        <w:right w:val="none" w:sz="0" w:space="0" w:color="auto"/>
      </w:divBdr>
    </w:div>
    <w:div w:id="1431319439">
      <w:bodyDiv w:val="1"/>
      <w:marLeft w:val="0"/>
      <w:marRight w:val="0"/>
      <w:marTop w:val="0"/>
      <w:marBottom w:val="0"/>
      <w:divBdr>
        <w:top w:val="none" w:sz="0" w:space="0" w:color="auto"/>
        <w:left w:val="none" w:sz="0" w:space="0" w:color="auto"/>
        <w:bottom w:val="none" w:sz="0" w:space="0" w:color="auto"/>
        <w:right w:val="none" w:sz="0" w:space="0" w:color="auto"/>
      </w:divBdr>
    </w:div>
    <w:div w:id="1431900056">
      <w:bodyDiv w:val="1"/>
      <w:marLeft w:val="0"/>
      <w:marRight w:val="0"/>
      <w:marTop w:val="0"/>
      <w:marBottom w:val="0"/>
      <w:divBdr>
        <w:top w:val="none" w:sz="0" w:space="0" w:color="auto"/>
        <w:left w:val="none" w:sz="0" w:space="0" w:color="auto"/>
        <w:bottom w:val="none" w:sz="0" w:space="0" w:color="auto"/>
        <w:right w:val="none" w:sz="0" w:space="0" w:color="auto"/>
      </w:divBdr>
    </w:div>
    <w:div w:id="1442140347">
      <w:bodyDiv w:val="1"/>
      <w:marLeft w:val="0"/>
      <w:marRight w:val="0"/>
      <w:marTop w:val="0"/>
      <w:marBottom w:val="0"/>
      <w:divBdr>
        <w:top w:val="none" w:sz="0" w:space="0" w:color="auto"/>
        <w:left w:val="none" w:sz="0" w:space="0" w:color="auto"/>
        <w:bottom w:val="none" w:sz="0" w:space="0" w:color="auto"/>
        <w:right w:val="none" w:sz="0" w:space="0" w:color="auto"/>
      </w:divBdr>
    </w:div>
    <w:div w:id="1444349904">
      <w:bodyDiv w:val="1"/>
      <w:marLeft w:val="0"/>
      <w:marRight w:val="0"/>
      <w:marTop w:val="0"/>
      <w:marBottom w:val="0"/>
      <w:divBdr>
        <w:top w:val="none" w:sz="0" w:space="0" w:color="auto"/>
        <w:left w:val="none" w:sz="0" w:space="0" w:color="auto"/>
        <w:bottom w:val="none" w:sz="0" w:space="0" w:color="auto"/>
        <w:right w:val="none" w:sz="0" w:space="0" w:color="auto"/>
      </w:divBdr>
    </w:div>
    <w:div w:id="1447655859">
      <w:bodyDiv w:val="1"/>
      <w:marLeft w:val="0"/>
      <w:marRight w:val="0"/>
      <w:marTop w:val="0"/>
      <w:marBottom w:val="0"/>
      <w:divBdr>
        <w:top w:val="none" w:sz="0" w:space="0" w:color="auto"/>
        <w:left w:val="none" w:sz="0" w:space="0" w:color="auto"/>
        <w:bottom w:val="none" w:sz="0" w:space="0" w:color="auto"/>
        <w:right w:val="none" w:sz="0" w:space="0" w:color="auto"/>
      </w:divBdr>
    </w:div>
    <w:div w:id="1462504595">
      <w:bodyDiv w:val="1"/>
      <w:marLeft w:val="0"/>
      <w:marRight w:val="0"/>
      <w:marTop w:val="0"/>
      <w:marBottom w:val="0"/>
      <w:divBdr>
        <w:top w:val="none" w:sz="0" w:space="0" w:color="auto"/>
        <w:left w:val="none" w:sz="0" w:space="0" w:color="auto"/>
        <w:bottom w:val="none" w:sz="0" w:space="0" w:color="auto"/>
        <w:right w:val="none" w:sz="0" w:space="0" w:color="auto"/>
      </w:divBdr>
    </w:div>
    <w:div w:id="1462572901">
      <w:bodyDiv w:val="1"/>
      <w:marLeft w:val="0"/>
      <w:marRight w:val="0"/>
      <w:marTop w:val="0"/>
      <w:marBottom w:val="0"/>
      <w:divBdr>
        <w:top w:val="none" w:sz="0" w:space="0" w:color="auto"/>
        <w:left w:val="none" w:sz="0" w:space="0" w:color="auto"/>
        <w:bottom w:val="none" w:sz="0" w:space="0" w:color="auto"/>
        <w:right w:val="none" w:sz="0" w:space="0" w:color="auto"/>
      </w:divBdr>
    </w:div>
    <w:div w:id="1463427101">
      <w:bodyDiv w:val="1"/>
      <w:marLeft w:val="0"/>
      <w:marRight w:val="0"/>
      <w:marTop w:val="0"/>
      <w:marBottom w:val="0"/>
      <w:divBdr>
        <w:top w:val="none" w:sz="0" w:space="0" w:color="auto"/>
        <w:left w:val="none" w:sz="0" w:space="0" w:color="auto"/>
        <w:bottom w:val="none" w:sz="0" w:space="0" w:color="auto"/>
        <w:right w:val="none" w:sz="0" w:space="0" w:color="auto"/>
      </w:divBdr>
    </w:div>
    <w:div w:id="1466509373">
      <w:bodyDiv w:val="1"/>
      <w:marLeft w:val="0"/>
      <w:marRight w:val="0"/>
      <w:marTop w:val="0"/>
      <w:marBottom w:val="0"/>
      <w:divBdr>
        <w:top w:val="none" w:sz="0" w:space="0" w:color="auto"/>
        <w:left w:val="none" w:sz="0" w:space="0" w:color="auto"/>
        <w:bottom w:val="none" w:sz="0" w:space="0" w:color="auto"/>
        <w:right w:val="none" w:sz="0" w:space="0" w:color="auto"/>
      </w:divBdr>
    </w:div>
    <w:div w:id="1472019082">
      <w:bodyDiv w:val="1"/>
      <w:marLeft w:val="0"/>
      <w:marRight w:val="0"/>
      <w:marTop w:val="0"/>
      <w:marBottom w:val="0"/>
      <w:divBdr>
        <w:top w:val="none" w:sz="0" w:space="0" w:color="auto"/>
        <w:left w:val="none" w:sz="0" w:space="0" w:color="auto"/>
        <w:bottom w:val="none" w:sz="0" w:space="0" w:color="auto"/>
        <w:right w:val="none" w:sz="0" w:space="0" w:color="auto"/>
      </w:divBdr>
    </w:div>
    <w:div w:id="1479765226">
      <w:bodyDiv w:val="1"/>
      <w:marLeft w:val="0"/>
      <w:marRight w:val="0"/>
      <w:marTop w:val="0"/>
      <w:marBottom w:val="0"/>
      <w:divBdr>
        <w:top w:val="none" w:sz="0" w:space="0" w:color="auto"/>
        <w:left w:val="none" w:sz="0" w:space="0" w:color="auto"/>
        <w:bottom w:val="none" w:sz="0" w:space="0" w:color="auto"/>
        <w:right w:val="none" w:sz="0" w:space="0" w:color="auto"/>
      </w:divBdr>
    </w:div>
    <w:div w:id="1485316466">
      <w:bodyDiv w:val="1"/>
      <w:marLeft w:val="0"/>
      <w:marRight w:val="0"/>
      <w:marTop w:val="0"/>
      <w:marBottom w:val="0"/>
      <w:divBdr>
        <w:top w:val="none" w:sz="0" w:space="0" w:color="auto"/>
        <w:left w:val="none" w:sz="0" w:space="0" w:color="auto"/>
        <w:bottom w:val="none" w:sz="0" w:space="0" w:color="auto"/>
        <w:right w:val="none" w:sz="0" w:space="0" w:color="auto"/>
      </w:divBdr>
    </w:div>
    <w:div w:id="1488941860">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500803080">
      <w:bodyDiv w:val="1"/>
      <w:marLeft w:val="0"/>
      <w:marRight w:val="0"/>
      <w:marTop w:val="0"/>
      <w:marBottom w:val="0"/>
      <w:divBdr>
        <w:top w:val="none" w:sz="0" w:space="0" w:color="auto"/>
        <w:left w:val="none" w:sz="0" w:space="0" w:color="auto"/>
        <w:bottom w:val="none" w:sz="0" w:space="0" w:color="auto"/>
        <w:right w:val="none" w:sz="0" w:space="0" w:color="auto"/>
      </w:divBdr>
    </w:div>
    <w:div w:id="1502887871">
      <w:bodyDiv w:val="1"/>
      <w:marLeft w:val="0"/>
      <w:marRight w:val="0"/>
      <w:marTop w:val="0"/>
      <w:marBottom w:val="0"/>
      <w:divBdr>
        <w:top w:val="none" w:sz="0" w:space="0" w:color="auto"/>
        <w:left w:val="none" w:sz="0" w:space="0" w:color="auto"/>
        <w:bottom w:val="none" w:sz="0" w:space="0" w:color="auto"/>
        <w:right w:val="none" w:sz="0" w:space="0" w:color="auto"/>
      </w:divBdr>
    </w:div>
    <w:div w:id="1507598949">
      <w:bodyDiv w:val="1"/>
      <w:marLeft w:val="0"/>
      <w:marRight w:val="0"/>
      <w:marTop w:val="0"/>
      <w:marBottom w:val="0"/>
      <w:divBdr>
        <w:top w:val="none" w:sz="0" w:space="0" w:color="auto"/>
        <w:left w:val="none" w:sz="0" w:space="0" w:color="auto"/>
        <w:bottom w:val="none" w:sz="0" w:space="0" w:color="auto"/>
        <w:right w:val="none" w:sz="0" w:space="0" w:color="auto"/>
      </w:divBdr>
    </w:div>
    <w:div w:id="1516724727">
      <w:bodyDiv w:val="1"/>
      <w:marLeft w:val="0"/>
      <w:marRight w:val="0"/>
      <w:marTop w:val="0"/>
      <w:marBottom w:val="0"/>
      <w:divBdr>
        <w:top w:val="none" w:sz="0" w:space="0" w:color="auto"/>
        <w:left w:val="none" w:sz="0" w:space="0" w:color="auto"/>
        <w:bottom w:val="none" w:sz="0" w:space="0" w:color="auto"/>
        <w:right w:val="none" w:sz="0" w:space="0" w:color="auto"/>
      </w:divBdr>
    </w:div>
    <w:div w:id="1520461848">
      <w:bodyDiv w:val="1"/>
      <w:marLeft w:val="0"/>
      <w:marRight w:val="0"/>
      <w:marTop w:val="0"/>
      <w:marBottom w:val="0"/>
      <w:divBdr>
        <w:top w:val="none" w:sz="0" w:space="0" w:color="auto"/>
        <w:left w:val="none" w:sz="0" w:space="0" w:color="auto"/>
        <w:bottom w:val="none" w:sz="0" w:space="0" w:color="auto"/>
        <w:right w:val="none" w:sz="0" w:space="0" w:color="auto"/>
      </w:divBdr>
    </w:div>
    <w:div w:id="1521814628">
      <w:bodyDiv w:val="1"/>
      <w:marLeft w:val="0"/>
      <w:marRight w:val="0"/>
      <w:marTop w:val="0"/>
      <w:marBottom w:val="0"/>
      <w:divBdr>
        <w:top w:val="none" w:sz="0" w:space="0" w:color="auto"/>
        <w:left w:val="none" w:sz="0" w:space="0" w:color="auto"/>
        <w:bottom w:val="none" w:sz="0" w:space="0" w:color="auto"/>
        <w:right w:val="none" w:sz="0" w:space="0" w:color="auto"/>
      </w:divBdr>
    </w:div>
    <w:div w:id="1525553598">
      <w:bodyDiv w:val="1"/>
      <w:marLeft w:val="0"/>
      <w:marRight w:val="0"/>
      <w:marTop w:val="0"/>
      <w:marBottom w:val="0"/>
      <w:divBdr>
        <w:top w:val="none" w:sz="0" w:space="0" w:color="auto"/>
        <w:left w:val="none" w:sz="0" w:space="0" w:color="auto"/>
        <w:bottom w:val="none" w:sz="0" w:space="0" w:color="auto"/>
        <w:right w:val="none" w:sz="0" w:space="0" w:color="auto"/>
      </w:divBdr>
    </w:div>
    <w:div w:id="1549295857">
      <w:bodyDiv w:val="1"/>
      <w:marLeft w:val="0"/>
      <w:marRight w:val="0"/>
      <w:marTop w:val="0"/>
      <w:marBottom w:val="0"/>
      <w:divBdr>
        <w:top w:val="none" w:sz="0" w:space="0" w:color="auto"/>
        <w:left w:val="none" w:sz="0" w:space="0" w:color="auto"/>
        <w:bottom w:val="none" w:sz="0" w:space="0" w:color="auto"/>
        <w:right w:val="none" w:sz="0" w:space="0" w:color="auto"/>
      </w:divBdr>
    </w:div>
    <w:div w:id="1550844849">
      <w:bodyDiv w:val="1"/>
      <w:marLeft w:val="0"/>
      <w:marRight w:val="0"/>
      <w:marTop w:val="0"/>
      <w:marBottom w:val="0"/>
      <w:divBdr>
        <w:top w:val="none" w:sz="0" w:space="0" w:color="auto"/>
        <w:left w:val="none" w:sz="0" w:space="0" w:color="auto"/>
        <w:bottom w:val="none" w:sz="0" w:space="0" w:color="auto"/>
        <w:right w:val="none" w:sz="0" w:space="0" w:color="auto"/>
      </w:divBdr>
    </w:div>
    <w:div w:id="1551651896">
      <w:bodyDiv w:val="1"/>
      <w:marLeft w:val="0"/>
      <w:marRight w:val="0"/>
      <w:marTop w:val="0"/>
      <w:marBottom w:val="0"/>
      <w:divBdr>
        <w:top w:val="none" w:sz="0" w:space="0" w:color="auto"/>
        <w:left w:val="none" w:sz="0" w:space="0" w:color="auto"/>
        <w:bottom w:val="none" w:sz="0" w:space="0" w:color="auto"/>
        <w:right w:val="none" w:sz="0" w:space="0" w:color="auto"/>
      </w:divBdr>
    </w:div>
    <w:div w:id="1560021326">
      <w:bodyDiv w:val="1"/>
      <w:marLeft w:val="0"/>
      <w:marRight w:val="0"/>
      <w:marTop w:val="0"/>
      <w:marBottom w:val="0"/>
      <w:divBdr>
        <w:top w:val="none" w:sz="0" w:space="0" w:color="auto"/>
        <w:left w:val="none" w:sz="0" w:space="0" w:color="auto"/>
        <w:bottom w:val="none" w:sz="0" w:space="0" w:color="auto"/>
        <w:right w:val="none" w:sz="0" w:space="0" w:color="auto"/>
      </w:divBdr>
    </w:div>
    <w:div w:id="1570995878">
      <w:bodyDiv w:val="1"/>
      <w:marLeft w:val="0"/>
      <w:marRight w:val="0"/>
      <w:marTop w:val="0"/>
      <w:marBottom w:val="0"/>
      <w:divBdr>
        <w:top w:val="none" w:sz="0" w:space="0" w:color="auto"/>
        <w:left w:val="none" w:sz="0" w:space="0" w:color="auto"/>
        <w:bottom w:val="none" w:sz="0" w:space="0" w:color="auto"/>
        <w:right w:val="none" w:sz="0" w:space="0" w:color="auto"/>
      </w:divBdr>
    </w:div>
    <w:div w:id="1585067379">
      <w:bodyDiv w:val="1"/>
      <w:marLeft w:val="0"/>
      <w:marRight w:val="0"/>
      <w:marTop w:val="0"/>
      <w:marBottom w:val="0"/>
      <w:divBdr>
        <w:top w:val="none" w:sz="0" w:space="0" w:color="auto"/>
        <w:left w:val="none" w:sz="0" w:space="0" w:color="auto"/>
        <w:bottom w:val="none" w:sz="0" w:space="0" w:color="auto"/>
        <w:right w:val="none" w:sz="0" w:space="0" w:color="auto"/>
      </w:divBdr>
    </w:div>
    <w:div w:id="1589004055">
      <w:bodyDiv w:val="1"/>
      <w:marLeft w:val="0"/>
      <w:marRight w:val="0"/>
      <w:marTop w:val="0"/>
      <w:marBottom w:val="0"/>
      <w:divBdr>
        <w:top w:val="none" w:sz="0" w:space="0" w:color="auto"/>
        <w:left w:val="none" w:sz="0" w:space="0" w:color="auto"/>
        <w:bottom w:val="none" w:sz="0" w:space="0" w:color="auto"/>
        <w:right w:val="none" w:sz="0" w:space="0" w:color="auto"/>
      </w:divBdr>
    </w:div>
    <w:div w:id="1607689338">
      <w:bodyDiv w:val="1"/>
      <w:marLeft w:val="0"/>
      <w:marRight w:val="0"/>
      <w:marTop w:val="0"/>
      <w:marBottom w:val="0"/>
      <w:divBdr>
        <w:top w:val="none" w:sz="0" w:space="0" w:color="auto"/>
        <w:left w:val="none" w:sz="0" w:space="0" w:color="auto"/>
        <w:bottom w:val="none" w:sz="0" w:space="0" w:color="auto"/>
        <w:right w:val="none" w:sz="0" w:space="0" w:color="auto"/>
      </w:divBdr>
    </w:div>
    <w:div w:id="1614944314">
      <w:bodyDiv w:val="1"/>
      <w:marLeft w:val="0"/>
      <w:marRight w:val="0"/>
      <w:marTop w:val="0"/>
      <w:marBottom w:val="0"/>
      <w:divBdr>
        <w:top w:val="none" w:sz="0" w:space="0" w:color="auto"/>
        <w:left w:val="none" w:sz="0" w:space="0" w:color="auto"/>
        <w:bottom w:val="none" w:sz="0" w:space="0" w:color="auto"/>
        <w:right w:val="none" w:sz="0" w:space="0" w:color="auto"/>
      </w:divBdr>
    </w:div>
    <w:div w:id="1620448148">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 w:id="1645817260">
      <w:bodyDiv w:val="1"/>
      <w:marLeft w:val="0"/>
      <w:marRight w:val="0"/>
      <w:marTop w:val="0"/>
      <w:marBottom w:val="0"/>
      <w:divBdr>
        <w:top w:val="none" w:sz="0" w:space="0" w:color="auto"/>
        <w:left w:val="none" w:sz="0" w:space="0" w:color="auto"/>
        <w:bottom w:val="none" w:sz="0" w:space="0" w:color="auto"/>
        <w:right w:val="none" w:sz="0" w:space="0" w:color="auto"/>
      </w:divBdr>
    </w:div>
    <w:div w:id="1651398964">
      <w:bodyDiv w:val="1"/>
      <w:marLeft w:val="0"/>
      <w:marRight w:val="0"/>
      <w:marTop w:val="0"/>
      <w:marBottom w:val="0"/>
      <w:divBdr>
        <w:top w:val="none" w:sz="0" w:space="0" w:color="auto"/>
        <w:left w:val="none" w:sz="0" w:space="0" w:color="auto"/>
        <w:bottom w:val="none" w:sz="0" w:space="0" w:color="auto"/>
        <w:right w:val="none" w:sz="0" w:space="0" w:color="auto"/>
      </w:divBdr>
    </w:div>
    <w:div w:id="1667399387">
      <w:bodyDiv w:val="1"/>
      <w:marLeft w:val="0"/>
      <w:marRight w:val="0"/>
      <w:marTop w:val="0"/>
      <w:marBottom w:val="0"/>
      <w:divBdr>
        <w:top w:val="none" w:sz="0" w:space="0" w:color="auto"/>
        <w:left w:val="none" w:sz="0" w:space="0" w:color="auto"/>
        <w:bottom w:val="none" w:sz="0" w:space="0" w:color="auto"/>
        <w:right w:val="none" w:sz="0" w:space="0" w:color="auto"/>
      </w:divBdr>
    </w:div>
    <w:div w:id="1677422942">
      <w:bodyDiv w:val="1"/>
      <w:marLeft w:val="0"/>
      <w:marRight w:val="0"/>
      <w:marTop w:val="0"/>
      <w:marBottom w:val="0"/>
      <w:divBdr>
        <w:top w:val="none" w:sz="0" w:space="0" w:color="auto"/>
        <w:left w:val="none" w:sz="0" w:space="0" w:color="auto"/>
        <w:bottom w:val="none" w:sz="0" w:space="0" w:color="auto"/>
        <w:right w:val="none" w:sz="0" w:space="0" w:color="auto"/>
      </w:divBdr>
    </w:div>
    <w:div w:id="1691371803">
      <w:bodyDiv w:val="1"/>
      <w:marLeft w:val="0"/>
      <w:marRight w:val="0"/>
      <w:marTop w:val="0"/>
      <w:marBottom w:val="0"/>
      <w:divBdr>
        <w:top w:val="none" w:sz="0" w:space="0" w:color="auto"/>
        <w:left w:val="none" w:sz="0" w:space="0" w:color="auto"/>
        <w:bottom w:val="none" w:sz="0" w:space="0" w:color="auto"/>
        <w:right w:val="none" w:sz="0" w:space="0" w:color="auto"/>
      </w:divBdr>
    </w:div>
    <w:div w:id="1698389058">
      <w:bodyDiv w:val="1"/>
      <w:marLeft w:val="0"/>
      <w:marRight w:val="0"/>
      <w:marTop w:val="0"/>
      <w:marBottom w:val="0"/>
      <w:divBdr>
        <w:top w:val="none" w:sz="0" w:space="0" w:color="auto"/>
        <w:left w:val="none" w:sz="0" w:space="0" w:color="auto"/>
        <w:bottom w:val="none" w:sz="0" w:space="0" w:color="auto"/>
        <w:right w:val="none" w:sz="0" w:space="0" w:color="auto"/>
      </w:divBdr>
    </w:div>
    <w:div w:id="1699430965">
      <w:bodyDiv w:val="1"/>
      <w:marLeft w:val="0"/>
      <w:marRight w:val="0"/>
      <w:marTop w:val="0"/>
      <w:marBottom w:val="0"/>
      <w:divBdr>
        <w:top w:val="none" w:sz="0" w:space="0" w:color="auto"/>
        <w:left w:val="none" w:sz="0" w:space="0" w:color="auto"/>
        <w:bottom w:val="none" w:sz="0" w:space="0" w:color="auto"/>
        <w:right w:val="none" w:sz="0" w:space="0" w:color="auto"/>
      </w:divBdr>
    </w:div>
    <w:div w:id="1704204861">
      <w:bodyDiv w:val="1"/>
      <w:marLeft w:val="0"/>
      <w:marRight w:val="0"/>
      <w:marTop w:val="0"/>
      <w:marBottom w:val="0"/>
      <w:divBdr>
        <w:top w:val="none" w:sz="0" w:space="0" w:color="auto"/>
        <w:left w:val="none" w:sz="0" w:space="0" w:color="auto"/>
        <w:bottom w:val="none" w:sz="0" w:space="0" w:color="auto"/>
        <w:right w:val="none" w:sz="0" w:space="0" w:color="auto"/>
      </w:divBdr>
    </w:div>
    <w:div w:id="1722317581">
      <w:bodyDiv w:val="1"/>
      <w:marLeft w:val="0"/>
      <w:marRight w:val="0"/>
      <w:marTop w:val="0"/>
      <w:marBottom w:val="0"/>
      <w:divBdr>
        <w:top w:val="none" w:sz="0" w:space="0" w:color="auto"/>
        <w:left w:val="none" w:sz="0" w:space="0" w:color="auto"/>
        <w:bottom w:val="none" w:sz="0" w:space="0" w:color="auto"/>
        <w:right w:val="none" w:sz="0" w:space="0" w:color="auto"/>
      </w:divBdr>
    </w:div>
    <w:div w:id="1724449175">
      <w:bodyDiv w:val="1"/>
      <w:marLeft w:val="0"/>
      <w:marRight w:val="0"/>
      <w:marTop w:val="0"/>
      <w:marBottom w:val="0"/>
      <w:divBdr>
        <w:top w:val="none" w:sz="0" w:space="0" w:color="auto"/>
        <w:left w:val="none" w:sz="0" w:space="0" w:color="auto"/>
        <w:bottom w:val="none" w:sz="0" w:space="0" w:color="auto"/>
        <w:right w:val="none" w:sz="0" w:space="0" w:color="auto"/>
      </w:divBdr>
    </w:div>
    <w:div w:id="1737168328">
      <w:bodyDiv w:val="1"/>
      <w:marLeft w:val="0"/>
      <w:marRight w:val="0"/>
      <w:marTop w:val="0"/>
      <w:marBottom w:val="0"/>
      <w:divBdr>
        <w:top w:val="none" w:sz="0" w:space="0" w:color="auto"/>
        <w:left w:val="none" w:sz="0" w:space="0" w:color="auto"/>
        <w:bottom w:val="none" w:sz="0" w:space="0" w:color="auto"/>
        <w:right w:val="none" w:sz="0" w:space="0" w:color="auto"/>
      </w:divBdr>
    </w:div>
    <w:div w:id="1739018117">
      <w:bodyDiv w:val="1"/>
      <w:marLeft w:val="0"/>
      <w:marRight w:val="0"/>
      <w:marTop w:val="0"/>
      <w:marBottom w:val="0"/>
      <w:divBdr>
        <w:top w:val="none" w:sz="0" w:space="0" w:color="auto"/>
        <w:left w:val="none" w:sz="0" w:space="0" w:color="auto"/>
        <w:bottom w:val="none" w:sz="0" w:space="0" w:color="auto"/>
        <w:right w:val="none" w:sz="0" w:space="0" w:color="auto"/>
      </w:divBdr>
    </w:div>
    <w:div w:id="1744987441">
      <w:bodyDiv w:val="1"/>
      <w:marLeft w:val="0"/>
      <w:marRight w:val="0"/>
      <w:marTop w:val="0"/>
      <w:marBottom w:val="0"/>
      <w:divBdr>
        <w:top w:val="none" w:sz="0" w:space="0" w:color="auto"/>
        <w:left w:val="none" w:sz="0" w:space="0" w:color="auto"/>
        <w:bottom w:val="none" w:sz="0" w:space="0" w:color="auto"/>
        <w:right w:val="none" w:sz="0" w:space="0" w:color="auto"/>
      </w:divBdr>
    </w:div>
    <w:div w:id="1750232120">
      <w:bodyDiv w:val="1"/>
      <w:marLeft w:val="0"/>
      <w:marRight w:val="0"/>
      <w:marTop w:val="0"/>
      <w:marBottom w:val="0"/>
      <w:divBdr>
        <w:top w:val="none" w:sz="0" w:space="0" w:color="auto"/>
        <w:left w:val="none" w:sz="0" w:space="0" w:color="auto"/>
        <w:bottom w:val="none" w:sz="0" w:space="0" w:color="auto"/>
        <w:right w:val="none" w:sz="0" w:space="0" w:color="auto"/>
      </w:divBdr>
    </w:div>
    <w:div w:id="1750734233">
      <w:bodyDiv w:val="1"/>
      <w:marLeft w:val="0"/>
      <w:marRight w:val="0"/>
      <w:marTop w:val="0"/>
      <w:marBottom w:val="0"/>
      <w:divBdr>
        <w:top w:val="none" w:sz="0" w:space="0" w:color="auto"/>
        <w:left w:val="none" w:sz="0" w:space="0" w:color="auto"/>
        <w:bottom w:val="none" w:sz="0" w:space="0" w:color="auto"/>
        <w:right w:val="none" w:sz="0" w:space="0" w:color="auto"/>
      </w:divBdr>
    </w:div>
    <w:div w:id="1752042683">
      <w:bodyDiv w:val="1"/>
      <w:marLeft w:val="0"/>
      <w:marRight w:val="0"/>
      <w:marTop w:val="0"/>
      <w:marBottom w:val="0"/>
      <w:divBdr>
        <w:top w:val="none" w:sz="0" w:space="0" w:color="auto"/>
        <w:left w:val="none" w:sz="0" w:space="0" w:color="auto"/>
        <w:bottom w:val="none" w:sz="0" w:space="0" w:color="auto"/>
        <w:right w:val="none" w:sz="0" w:space="0" w:color="auto"/>
      </w:divBdr>
    </w:div>
    <w:div w:id="1787191251">
      <w:bodyDiv w:val="1"/>
      <w:marLeft w:val="0"/>
      <w:marRight w:val="0"/>
      <w:marTop w:val="0"/>
      <w:marBottom w:val="0"/>
      <w:divBdr>
        <w:top w:val="none" w:sz="0" w:space="0" w:color="auto"/>
        <w:left w:val="none" w:sz="0" w:space="0" w:color="auto"/>
        <w:bottom w:val="none" w:sz="0" w:space="0" w:color="auto"/>
        <w:right w:val="none" w:sz="0" w:space="0" w:color="auto"/>
      </w:divBdr>
    </w:div>
    <w:div w:id="1793398503">
      <w:bodyDiv w:val="1"/>
      <w:marLeft w:val="0"/>
      <w:marRight w:val="0"/>
      <w:marTop w:val="0"/>
      <w:marBottom w:val="0"/>
      <w:divBdr>
        <w:top w:val="none" w:sz="0" w:space="0" w:color="auto"/>
        <w:left w:val="none" w:sz="0" w:space="0" w:color="auto"/>
        <w:bottom w:val="none" w:sz="0" w:space="0" w:color="auto"/>
        <w:right w:val="none" w:sz="0" w:space="0" w:color="auto"/>
      </w:divBdr>
    </w:div>
    <w:div w:id="1795564064">
      <w:bodyDiv w:val="1"/>
      <w:marLeft w:val="0"/>
      <w:marRight w:val="0"/>
      <w:marTop w:val="0"/>
      <w:marBottom w:val="0"/>
      <w:divBdr>
        <w:top w:val="none" w:sz="0" w:space="0" w:color="auto"/>
        <w:left w:val="none" w:sz="0" w:space="0" w:color="auto"/>
        <w:bottom w:val="none" w:sz="0" w:space="0" w:color="auto"/>
        <w:right w:val="none" w:sz="0" w:space="0" w:color="auto"/>
      </w:divBdr>
    </w:div>
    <w:div w:id="1803573592">
      <w:bodyDiv w:val="1"/>
      <w:marLeft w:val="0"/>
      <w:marRight w:val="0"/>
      <w:marTop w:val="0"/>
      <w:marBottom w:val="0"/>
      <w:divBdr>
        <w:top w:val="none" w:sz="0" w:space="0" w:color="auto"/>
        <w:left w:val="none" w:sz="0" w:space="0" w:color="auto"/>
        <w:bottom w:val="none" w:sz="0" w:space="0" w:color="auto"/>
        <w:right w:val="none" w:sz="0" w:space="0" w:color="auto"/>
      </w:divBdr>
    </w:div>
    <w:div w:id="1804302453">
      <w:bodyDiv w:val="1"/>
      <w:marLeft w:val="0"/>
      <w:marRight w:val="0"/>
      <w:marTop w:val="0"/>
      <w:marBottom w:val="0"/>
      <w:divBdr>
        <w:top w:val="none" w:sz="0" w:space="0" w:color="auto"/>
        <w:left w:val="none" w:sz="0" w:space="0" w:color="auto"/>
        <w:bottom w:val="none" w:sz="0" w:space="0" w:color="auto"/>
        <w:right w:val="none" w:sz="0" w:space="0" w:color="auto"/>
      </w:divBdr>
    </w:div>
    <w:div w:id="1809545344">
      <w:bodyDiv w:val="1"/>
      <w:marLeft w:val="0"/>
      <w:marRight w:val="0"/>
      <w:marTop w:val="0"/>
      <w:marBottom w:val="0"/>
      <w:divBdr>
        <w:top w:val="none" w:sz="0" w:space="0" w:color="auto"/>
        <w:left w:val="none" w:sz="0" w:space="0" w:color="auto"/>
        <w:bottom w:val="none" w:sz="0" w:space="0" w:color="auto"/>
        <w:right w:val="none" w:sz="0" w:space="0" w:color="auto"/>
      </w:divBdr>
    </w:div>
    <w:div w:id="1813713621">
      <w:bodyDiv w:val="1"/>
      <w:marLeft w:val="0"/>
      <w:marRight w:val="0"/>
      <w:marTop w:val="0"/>
      <w:marBottom w:val="0"/>
      <w:divBdr>
        <w:top w:val="none" w:sz="0" w:space="0" w:color="auto"/>
        <w:left w:val="none" w:sz="0" w:space="0" w:color="auto"/>
        <w:bottom w:val="none" w:sz="0" w:space="0" w:color="auto"/>
        <w:right w:val="none" w:sz="0" w:space="0" w:color="auto"/>
      </w:divBdr>
    </w:div>
    <w:div w:id="1833636864">
      <w:bodyDiv w:val="1"/>
      <w:marLeft w:val="0"/>
      <w:marRight w:val="0"/>
      <w:marTop w:val="0"/>
      <w:marBottom w:val="0"/>
      <w:divBdr>
        <w:top w:val="none" w:sz="0" w:space="0" w:color="auto"/>
        <w:left w:val="none" w:sz="0" w:space="0" w:color="auto"/>
        <w:bottom w:val="none" w:sz="0" w:space="0" w:color="auto"/>
        <w:right w:val="none" w:sz="0" w:space="0" w:color="auto"/>
      </w:divBdr>
    </w:div>
    <w:div w:id="1834953642">
      <w:bodyDiv w:val="1"/>
      <w:marLeft w:val="0"/>
      <w:marRight w:val="0"/>
      <w:marTop w:val="0"/>
      <w:marBottom w:val="0"/>
      <w:divBdr>
        <w:top w:val="none" w:sz="0" w:space="0" w:color="auto"/>
        <w:left w:val="none" w:sz="0" w:space="0" w:color="auto"/>
        <w:bottom w:val="none" w:sz="0" w:space="0" w:color="auto"/>
        <w:right w:val="none" w:sz="0" w:space="0" w:color="auto"/>
      </w:divBdr>
    </w:div>
    <w:div w:id="1835532490">
      <w:bodyDiv w:val="1"/>
      <w:marLeft w:val="0"/>
      <w:marRight w:val="0"/>
      <w:marTop w:val="0"/>
      <w:marBottom w:val="0"/>
      <w:divBdr>
        <w:top w:val="none" w:sz="0" w:space="0" w:color="auto"/>
        <w:left w:val="none" w:sz="0" w:space="0" w:color="auto"/>
        <w:bottom w:val="none" w:sz="0" w:space="0" w:color="auto"/>
        <w:right w:val="none" w:sz="0" w:space="0" w:color="auto"/>
      </w:divBdr>
    </w:div>
    <w:div w:id="1841651740">
      <w:bodyDiv w:val="1"/>
      <w:marLeft w:val="0"/>
      <w:marRight w:val="0"/>
      <w:marTop w:val="0"/>
      <w:marBottom w:val="0"/>
      <w:divBdr>
        <w:top w:val="none" w:sz="0" w:space="0" w:color="auto"/>
        <w:left w:val="none" w:sz="0" w:space="0" w:color="auto"/>
        <w:bottom w:val="none" w:sz="0" w:space="0" w:color="auto"/>
        <w:right w:val="none" w:sz="0" w:space="0" w:color="auto"/>
      </w:divBdr>
    </w:div>
    <w:div w:id="1842357154">
      <w:bodyDiv w:val="1"/>
      <w:marLeft w:val="0"/>
      <w:marRight w:val="0"/>
      <w:marTop w:val="0"/>
      <w:marBottom w:val="0"/>
      <w:divBdr>
        <w:top w:val="none" w:sz="0" w:space="0" w:color="auto"/>
        <w:left w:val="none" w:sz="0" w:space="0" w:color="auto"/>
        <w:bottom w:val="none" w:sz="0" w:space="0" w:color="auto"/>
        <w:right w:val="none" w:sz="0" w:space="0" w:color="auto"/>
      </w:divBdr>
    </w:div>
    <w:div w:id="1846556785">
      <w:bodyDiv w:val="1"/>
      <w:marLeft w:val="0"/>
      <w:marRight w:val="0"/>
      <w:marTop w:val="0"/>
      <w:marBottom w:val="0"/>
      <w:divBdr>
        <w:top w:val="none" w:sz="0" w:space="0" w:color="auto"/>
        <w:left w:val="none" w:sz="0" w:space="0" w:color="auto"/>
        <w:bottom w:val="none" w:sz="0" w:space="0" w:color="auto"/>
        <w:right w:val="none" w:sz="0" w:space="0" w:color="auto"/>
      </w:divBdr>
    </w:div>
    <w:div w:id="1853182556">
      <w:bodyDiv w:val="1"/>
      <w:marLeft w:val="0"/>
      <w:marRight w:val="0"/>
      <w:marTop w:val="0"/>
      <w:marBottom w:val="0"/>
      <w:divBdr>
        <w:top w:val="none" w:sz="0" w:space="0" w:color="auto"/>
        <w:left w:val="none" w:sz="0" w:space="0" w:color="auto"/>
        <w:bottom w:val="none" w:sz="0" w:space="0" w:color="auto"/>
        <w:right w:val="none" w:sz="0" w:space="0" w:color="auto"/>
      </w:divBdr>
    </w:div>
    <w:div w:id="1854682319">
      <w:bodyDiv w:val="1"/>
      <w:marLeft w:val="0"/>
      <w:marRight w:val="0"/>
      <w:marTop w:val="0"/>
      <w:marBottom w:val="0"/>
      <w:divBdr>
        <w:top w:val="none" w:sz="0" w:space="0" w:color="auto"/>
        <w:left w:val="none" w:sz="0" w:space="0" w:color="auto"/>
        <w:bottom w:val="none" w:sz="0" w:space="0" w:color="auto"/>
        <w:right w:val="none" w:sz="0" w:space="0" w:color="auto"/>
      </w:divBdr>
    </w:div>
    <w:div w:id="1859272523">
      <w:bodyDiv w:val="1"/>
      <w:marLeft w:val="0"/>
      <w:marRight w:val="0"/>
      <w:marTop w:val="0"/>
      <w:marBottom w:val="0"/>
      <w:divBdr>
        <w:top w:val="none" w:sz="0" w:space="0" w:color="auto"/>
        <w:left w:val="none" w:sz="0" w:space="0" w:color="auto"/>
        <w:bottom w:val="none" w:sz="0" w:space="0" w:color="auto"/>
        <w:right w:val="none" w:sz="0" w:space="0" w:color="auto"/>
      </w:divBdr>
    </w:div>
    <w:div w:id="1871603858">
      <w:bodyDiv w:val="1"/>
      <w:marLeft w:val="0"/>
      <w:marRight w:val="0"/>
      <w:marTop w:val="0"/>
      <w:marBottom w:val="0"/>
      <w:divBdr>
        <w:top w:val="none" w:sz="0" w:space="0" w:color="auto"/>
        <w:left w:val="none" w:sz="0" w:space="0" w:color="auto"/>
        <w:bottom w:val="none" w:sz="0" w:space="0" w:color="auto"/>
        <w:right w:val="none" w:sz="0" w:space="0" w:color="auto"/>
      </w:divBdr>
    </w:div>
    <w:div w:id="1873228856">
      <w:bodyDiv w:val="1"/>
      <w:marLeft w:val="0"/>
      <w:marRight w:val="0"/>
      <w:marTop w:val="0"/>
      <w:marBottom w:val="0"/>
      <w:divBdr>
        <w:top w:val="none" w:sz="0" w:space="0" w:color="auto"/>
        <w:left w:val="none" w:sz="0" w:space="0" w:color="auto"/>
        <w:bottom w:val="none" w:sz="0" w:space="0" w:color="auto"/>
        <w:right w:val="none" w:sz="0" w:space="0" w:color="auto"/>
      </w:divBdr>
    </w:div>
    <w:div w:id="1873763483">
      <w:bodyDiv w:val="1"/>
      <w:marLeft w:val="0"/>
      <w:marRight w:val="0"/>
      <w:marTop w:val="0"/>
      <w:marBottom w:val="0"/>
      <w:divBdr>
        <w:top w:val="none" w:sz="0" w:space="0" w:color="auto"/>
        <w:left w:val="none" w:sz="0" w:space="0" w:color="auto"/>
        <w:bottom w:val="none" w:sz="0" w:space="0" w:color="auto"/>
        <w:right w:val="none" w:sz="0" w:space="0" w:color="auto"/>
      </w:divBdr>
    </w:div>
    <w:div w:id="1885214123">
      <w:bodyDiv w:val="1"/>
      <w:marLeft w:val="0"/>
      <w:marRight w:val="0"/>
      <w:marTop w:val="0"/>
      <w:marBottom w:val="0"/>
      <w:divBdr>
        <w:top w:val="none" w:sz="0" w:space="0" w:color="auto"/>
        <w:left w:val="none" w:sz="0" w:space="0" w:color="auto"/>
        <w:bottom w:val="none" w:sz="0" w:space="0" w:color="auto"/>
        <w:right w:val="none" w:sz="0" w:space="0" w:color="auto"/>
      </w:divBdr>
    </w:div>
    <w:div w:id="1887329301">
      <w:bodyDiv w:val="1"/>
      <w:marLeft w:val="0"/>
      <w:marRight w:val="0"/>
      <w:marTop w:val="0"/>
      <w:marBottom w:val="0"/>
      <w:divBdr>
        <w:top w:val="none" w:sz="0" w:space="0" w:color="auto"/>
        <w:left w:val="none" w:sz="0" w:space="0" w:color="auto"/>
        <w:bottom w:val="none" w:sz="0" w:space="0" w:color="auto"/>
        <w:right w:val="none" w:sz="0" w:space="0" w:color="auto"/>
      </w:divBdr>
    </w:div>
    <w:div w:id="1887989373">
      <w:bodyDiv w:val="1"/>
      <w:marLeft w:val="0"/>
      <w:marRight w:val="0"/>
      <w:marTop w:val="0"/>
      <w:marBottom w:val="0"/>
      <w:divBdr>
        <w:top w:val="none" w:sz="0" w:space="0" w:color="auto"/>
        <w:left w:val="none" w:sz="0" w:space="0" w:color="auto"/>
        <w:bottom w:val="none" w:sz="0" w:space="0" w:color="auto"/>
        <w:right w:val="none" w:sz="0" w:space="0" w:color="auto"/>
      </w:divBdr>
    </w:div>
    <w:div w:id="1890797688">
      <w:bodyDiv w:val="1"/>
      <w:marLeft w:val="0"/>
      <w:marRight w:val="0"/>
      <w:marTop w:val="0"/>
      <w:marBottom w:val="0"/>
      <w:divBdr>
        <w:top w:val="none" w:sz="0" w:space="0" w:color="auto"/>
        <w:left w:val="none" w:sz="0" w:space="0" w:color="auto"/>
        <w:bottom w:val="none" w:sz="0" w:space="0" w:color="auto"/>
        <w:right w:val="none" w:sz="0" w:space="0" w:color="auto"/>
      </w:divBdr>
    </w:div>
    <w:div w:id="1902982511">
      <w:bodyDiv w:val="1"/>
      <w:marLeft w:val="0"/>
      <w:marRight w:val="0"/>
      <w:marTop w:val="0"/>
      <w:marBottom w:val="0"/>
      <w:divBdr>
        <w:top w:val="none" w:sz="0" w:space="0" w:color="auto"/>
        <w:left w:val="none" w:sz="0" w:space="0" w:color="auto"/>
        <w:bottom w:val="none" w:sz="0" w:space="0" w:color="auto"/>
        <w:right w:val="none" w:sz="0" w:space="0" w:color="auto"/>
      </w:divBdr>
    </w:div>
    <w:div w:id="1904631908">
      <w:bodyDiv w:val="1"/>
      <w:marLeft w:val="0"/>
      <w:marRight w:val="0"/>
      <w:marTop w:val="0"/>
      <w:marBottom w:val="0"/>
      <w:divBdr>
        <w:top w:val="none" w:sz="0" w:space="0" w:color="auto"/>
        <w:left w:val="none" w:sz="0" w:space="0" w:color="auto"/>
        <w:bottom w:val="none" w:sz="0" w:space="0" w:color="auto"/>
        <w:right w:val="none" w:sz="0" w:space="0" w:color="auto"/>
      </w:divBdr>
    </w:div>
    <w:div w:id="1905601862">
      <w:bodyDiv w:val="1"/>
      <w:marLeft w:val="0"/>
      <w:marRight w:val="0"/>
      <w:marTop w:val="0"/>
      <w:marBottom w:val="0"/>
      <w:divBdr>
        <w:top w:val="none" w:sz="0" w:space="0" w:color="auto"/>
        <w:left w:val="none" w:sz="0" w:space="0" w:color="auto"/>
        <w:bottom w:val="none" w:sz="0" w:space="0" w:color="auto"/>
        <w:right w:val="none" w:sz="0" w:space="0" w:color="auto"/>
      </w:divBdr>
    </w:div>
    <w:div w:id="1918781593">
      <w:bodyDiv w:val="1"/>
      <w:marLeft w:val="0"/>
      <w:marRight w:val="0"/>
      <w:marTop w:val="0"/>
      <w:marBottom w:val="0"/>
      <w:divBdr>
        <w:top w:val="none" w:sz="0" w:space="0" w:color="auto"/>
        <w:left w:val="none" w:sz="0" w:space="0" w:color="auto"/>
        <w:bottom w:val="none" w:sz="0" w:space="0" w:color="auto"/>
        <w:right w:val="none" w:sz="0" w:space="0" w:color="auto"/>
      </w:divBdr>
    </w:div>
    <w:div w:id="1918860904">
      <w:bodyDiv w:val="1"/>
      <w:marLeft w:val="0"/>
      <w:marRight w:val="0"/>
      <w:marTop w:val="0"/>
      <w:marBottom w:val="0"/>
      <w:divBdr>
        <w:top w:val="none" w:sz="0" w:space="0" w:color="auto"/>
        <w:left w:val="none" w:sz="0" w:space="0" w:color="auto"/>
        <w:bottom w:val="none" w:sz="0" w:space="0" w:color="auto"/>
        <w:right w:val="none" w:sz="0" w:space="0" w:color="auto"/>
      </w:divBdr>
    </w:div>
    <w:div w:id="1919097715">
      <w:bodyDiv w:val="1"/>
      <w:marLeft w:val="0"/>
      <w:marRight w:val="0"/>
      <w:marTop w:val="0"/>
      <w:marBottom w:val="0"/>
      <w:divBdr>
        <w:top w:val="none" w:sz="0" w:space="0" w:color="auto"/>
        <w:left w:val="none" w:sz="0" w:space="0" w:color="auto"/>
        <w:bottom w:val="none" w:sz="0" w:space="0" w:color="auto"/>
        <w:right w:val="none" w:sz="0" w:space="0" w:color="auto"/>
      </w:divBdr>
    </w:div>
    <w:div w:id="1921597092">
      <w:bodyDiv w:val="1"/>
      <w:marLeft w:val="0"/>
      <w:marRight w:val="0"/>
      <w:marTop w:val="0"/>
      <w:marBottom w:val="0"/>
      <w:divBdr>
        <w:top w:val="none" w:sz="0" w:space="0" w:color="auto"/>
        <w:left w:val="none" w:sz="0" w:space="0" w:color="auto"/>
        <w:bottom w:val="none" w:sz="0" w:space="0" w:color="auto"/>
        <w:right w:val="none" w:sz="0" w:space="0" w:color="auto"/>
      </w:divBdr>
    </w:div>
    <w:div w:id="1933052814">
      <w:bodyDiv w:val="1"/>
      <w:marLeft w:val="0"/>
      <w:marRight w:val="0"/>
      <w:marTop w:val="0"/>
      <w:marBottom w:val="0"/>
      <w:divBdr>
        <w:top w:val="none" w:sz="0" w:space="0" w:color="auto"/>
        <w:left w:val="none" w:sz="0" w:space="0" w:color="auto"/>
        <w:bottom w:val="none" w:sz="0" w:space="0" w:color="auto"/>
        <w:right w:val="none" w:sz="0" w:space="0" w:color="auto"/>
      </w:divBdr>
    </w:div>
    <w:div w:id="1934195929">
      <w:bodyDiv w:val="1"/>
      <w:marLeft w:val="0"/>
      <w:marRight w:val="0"/>
      <w:marTop w:val="0"/>
      <w:marBottom w:val="0"/>
      <w:divBdr>
        <w:top w:val="none" w:sz="0" w:space="0" w:color="auto"/>
        <w:left w:val="none" w:sz="0" w:space="0" w:color="auto"/>
        <w:bottom w:val="none" w:sz="0" w:space="0" w:color="auto"/>
        <w:right w:val="none" w:sz="0" w:space="0" w:color="auto"/>
      </w:divBdr>
    </w:div>
    <w:div w:id="1961910036">
      <w:bodyDiv w:val="1"/>
      <w:marLeft w:val="0"/>
      <w:marRight w:val="0"/>
      <w:marTop w:val="0"/>
      <w:marBottom w:val="0"/>
      <w:divBdr>
        <w:top w:val="none" w:sz="0" w:space="0" w:color="auto"/>
        <w:left w:val="none" w:sz="0" w:space="0" w:color="auto"/>
        <w:bottom w:val="none" w:sz="0" w:space="0" w:color="auto"/>
        <w:right w:val="none" w:sz="0" w:space="0" w:color="auto"/>
      </w:divBdr>
    </w:div>
    <w:div w:id="1979384293">
      <w:bodyDiv w:val="1"/>
      <w:marLeft w:val="0"/>
      <w:marRight w:val="0"/>
      <w:marTop w:val="0"/>
      <w:marBottom w:val="0"/>
      <w:divBdr>
        <w:top w:val="none" w:sz="0" w:space="0" w:color="auto"/>
        <w:left w:val="none" w:sz="0" w:space="0" w:color="auto"/>
        <w:bottom w:val="none" w:sz="0" w:space="0" w:color="auto"/>
        <w:right w:val="none" w:sz="0" w:space="0" w:color="auto"/>
      </w:divBdr>
    </w:div>
    <w:div w:id="1988588750">
      <w:bodyDiv w:val="1"/>
      <w:marLeft w:val="0"/>
      <w:marRight w:val="0"/>
      <w:marTop w:val="0"/>
      <w:marBottom w:val="0"/>
      <w:divBdr>
        <w:top w:val="none" w:sz="0" w:space="0" w:color="auto"/>
        <w:left w:val="none" w:sz="0" w:space="0" w:color="auto"/>
        <w:bottom w:val="none" w:sz="0" w:space="0" w:color="auto"/>
        <w:right w:val="none" w:sz="0" w:space="0" w:color="auto"/>
      </w:divBdr>
    </w:div>
    <w:div w:id="1991862925">
      <w:bodyDiv w:val="1"/>
      <w:marLeft w:val="0"/>
      <w:marRight w:val="0"/>
      <w:marTop w:val="0"/>
      <w:marBottom w:val="0"/>
      <w:divBdr>
        <w:top w:val="none" w:sz="0" w:space="0" w:color="auto"/>
        <w:left w:val="none" w:sz="0" w:space="0" w:color="auto"/>
        <w:bottom w:val="none" w:sz="0" w:space="0" w:color="auto"/>
        <w:right w:val="none" w:sz="0" w:space="0" w:color="auto"/>
      </w:divBdr>
    </w:div>
    <w:div w:id="1992831869">
      <w:bodyDiv w:val="1"/>
      <w:marLeft w:val="0"/>
      <w:marRight w:val="0"/>
      <w:marTop w:val="0"/>
      <w:marBottom w:val="0"/>
      <w:divBdr>
        <w:top w:val="none" w:sz="0" w:space="0" w:color="auto"/>
        <w:left w:val="none" w:sz="0" w:space="0" w:color="auto"/>
        <w:bottom w:val="none" w:sz="0" w:space="0" w:color="auto"/>
        <w:right w:val="none" w:sz="0" w:space="0" w:color="auto"/>
      </w:divBdr>
    </w:div>
    <w:div w:id="1997220733">
      <w:bodyDiv w:val="1"/>
      <w:marLeft w:val="0"/>
      <w:marRight w:val="0"/>
      <w:marTop w:val="0"/>
      <w:marBottom w:val="0"/>
      <w:divBdr>
        <w:top w:val="none" w:sz="0" w:space="0" w:color="auto"/>
        <w:left w:val="none" w:sz="0" w:space="0" w:color="auto"/>
        <w:bottom w:val="none" w:sz="0" w:space="0" w:color="auto"/>
        <w:right w:val="none" w:sz="0" w:space="0" w:color="auto"/>
      </w:divBdr>
    </w:div>
    <w:div w:id="2000230579">
      <w:bodyDiv w:val="1"/>
      <w:marLeft w:val="0"/>
      <w:marRight w:val="0"/>
      <w:marTop w:val="0"/>
      <w:marBottom w:val="0"/>
      <w:divBdr>
        <w:top w:val="none" w:sz="0" w:space="0" w:color="auto"/>
        <w:left w:val="none" w:sz="0" w:space="0" w:color="auto"/>
        <w:bottom w:val="none" w:sz="0" w:space="0" w:color="auto"/>
        <w:right w:val="none" w:sz="0" w:space="0" w:color="auto"/>
      </w:divBdr>
    </w:div>
    <w:div w:id="2023437657">
      <w:bodyDiv w:val="1"/>
      <w:marLeft w:val="0"/>
      <w:marRight w:val="0"/>
      <w:marTop w:val="0"/>
      <w:marBottom w:val="0"/>
      <w:divBdr>
        <w:top w:val="none" w:sz="0" w:space="0" w:color="auto"/>
        <w:left w:val="none" w:sz="0" w:space="0" w:color="auto"/>
        <w:bottom w:val="none" w:sz="0" w:space="0" w:color="auto"/>
        <w:right w:val="none" w:sz="0" w:space="0" w:color="auto"/>
      </w:divBdr>
    </w:div>
    <w:div w:id="2026900842">
      <w:bodyDiv w:val="1"/>
      <w:marLeft w:val="0"/>
      <w:marRight w:val="0"/>
      <w:marTop w:val="0"/>
      <w:marBottom w:val="0"/>
      <w:divBdr>
        <w:top w:val="none" w:sz="0" w:space="0" w:color="auto"/>
        <w:left w:val="none" w:sz="0" w:space="0" w:color="auto"/>
        <w:bottom w:val="none" w:sz="0" w:space="0" w:color="auto"/>
        <w:right w:val="none" w:sz="0" w:space="0" w:color="auto"/>
      </w:divBdr>
    </w:div>
    <w:div w:id="2047635121">
      <w:bodyDiv w:val="1"/>
      <w:marLeft w:val="0"/>
      <w:marRight w:val="0"/>
      <w:marTop w:val="0"/>
      <w:marBottom w:val="0"/>
      <w:divBdr>
        <w:top w:val="none" w:sz="0" w:space="0" w:color="auto"/>
        <w:left w:val="none" w:sz="0" w:space="0" w:color="auto"/>
        <w:bottom w:val="none" w:sz="0" w:space="0" w:color="auto"/>
        <w:right w:val="none" w:sz="0" w:space="0" w:color="auto"/>
      </w:divBdr>
    </w:div>
    <w:div w:id="2052608523">
      <w:bodyDiv w:val="1"/>
      <w:marLeft w:val="0"/>
      <w:marRight w:val="0"/>
      <w:marTop w:val="0"/>
      <w:marBottom w:val="0"/>
      <w:divBdr>
        <w:top w:val="none" w:sz="0" w:space="0" w:color="auto"/>
        <w:left w:val="none" w:sz="0" w:space="0" w:color="auto"/>
        <w:bottom w:val="none" w:sz="0" w:space="0" w:color="auto"/>
        <w:right w:val="none" w:sz="0" w:space="0" w:color="auto"/>
      </w:divBdr>
    </w:div>
    <w:div w:id="2063824212">
      <w:bodyDiv w:val="1"/>
      <w:marLeft w:val="0"/>
      <w:marRight w:val="0"/>
      <w:marTop w:val="0"/>
      <w:marBottom w:val="0"/>
      <w:divBdr>
        <w:top w:val="none" w:sz="0" w:space="0" w:color="auto"/>
        <w:left w:val="none" w:sz="0" w:space="0" w:color="auto"/>
        <w:bottom w:val="none" w:sz="0" w:space="0" w:color="auto"/>
        <w:right w:val="none" w:sz="0" w:space="0" w:color="auto"/>
      </w:divBdr>
    </w:div>
    <w:div w:id="2068719760">
      <w:bodyDiv w:val="1"/>
      <w:marLeft w:val="0"/>
      <w:marRight w:val="0"/>
      <w:marTop w:val="0"/>
      <w:marBottom w:val="0"/>
      <w:divBdr>
        <w:top w:val="none" w:sz="0" w:space="0" w:color="auto"/>
        <w:left w:val="none" w:sz="0" w:space="0" w:color="auto"/>
        <w:bottom w:val="none" w:sz="0" w:space="0" w:color="auto"/>
        <w:right w:val="none" w:sz="0" w:space="0" w:color="auto"/>
      </w:divBdr>
    </w:div>
    <w:div w:id="2094666610">
      <w:bodyDiv w:val="1"/>
      <w:marLeft w:val="0"/>
      <w:marRight w:val="0"/>
      <w:marTop w:val="0"/>
      <w:marBottom w:val="0"/>
      <w:divBdr>
        <w:top w:val="none" w:sz="0" w:space="0" w:color="auto"/>
        <w:left w:val="none" w:sz="0" w:space="0" w:color="auto"/>
        <w:bottom w:val="none" w:sz="0" w:space="0" w:color="auto"/>
        <w:right w:val="none" w:sz="0" w:space="0" w:color="auto"/>
      </w:divBdr>
    </w:div>
    <w:div w:id="2101945318">
      <w:bodyDiv w:val="1"/>
      <w:marLeft w:val="0"/>
      <w:marRight w:val="0"/>
      <w:marTop w:val="0"/>
      <w:marBottom w:val="0"/>
      <w:divBdr>
        <w:top w:val="none" w:sz="0" w:space="0" w:color="auto"/>
        <w:left w:val="none" w:sz="0" w:space="0" w:color="auto"/>
        <w:bottom w:val="none" w:sz="0" w:space="0" w:color="auto"/>
        <w:right w:val="none" w:sz="0" w:space="0" w:color="auto"/>
      </w:divBdr>
    </w:div>
    <w:div w:id="2124611597">
      <w:bodyDiv w:val="1"/>
      <w:marLeft w:val="0"/>
      <w:marRight w:val="0"/>
      <w:marTop w:val="0"/>
      <w:marBottom w:val="0"/>
      <w:divBdr>
        <w:top w:val="none" w:sz="0" w:space="0" w:color="auto"/>
        <w:left w:val="none" w:sz="0" w:space="0" w:color="auto"/>
        <w:bottom w:val="none" w:sz="0" w:space="0" w:color="auto"/>
        <w:right w:val="none" w:sz="0" w:space="0" w:color="auto"/>
      </w:divBdr>
    </w:div>
    <w:div w:id="2133591113">
      <w:bodyDiv w:val="1"/>
      <w:marLeft w:val="0"/>
      <w:marRight w:val="0"/>
      <w:marTop w:val="0"/>
      <w:marBottom w:val="0"/>
      <w:divBdr>
        <w:top w:val="none" w:sz="0" w:space="0" w:color="auto"/>
        <w:left w:val="none" w:sz="0" w:space="0" w:color="auto"/>
        <w:bottom w:val="none" w:sz="0" w:space="0" w:color="auto"/>
        <w:right w:val="none" w:sz="0" w:space="0" w:color="auto"/>
      </w:divBdr>
    </w:div>
    <w:div w:id="2137092188">
      <w:bodyDiv w:val="1"/>
      <w:marLeft w:val="0"/>
      <w:marRight w:val="0"/>
      <w:marTop w:val="0"/>
      <w:marBottom w:val="0"/>
      <w:divBdr>
        <w:top w:val="none" w:sz="0" w:space="0" w:color="auto"/>
        <w:left w:val="none" w:sz="0" w:space="0" w:color="auto"/>
        <w:bottom w:val="none" w:sz="0" w:space="0" w:color="auto"/>
        <w:right w:val="none" w:sz="0" w:space="0" w:color="auto"/>
      </w:divBdr>
    </w:div>
    <w:div w:id="2139831377">
      <w:bodyDiv w:val="1"/>
      <w:marLeft w:val="0"/>
      <w:marRight w:val="0"/>
      <w:marTop w:val="0"/>
      <w:marBottom w:val="0"/>
      <w:divBdr>
        <w:top w:val="none" w:sz="0" w:space="0" w:color="auto"/>
        <w:left w:val="none" w:sz="0" w:space="0" w:color="auto"/>
        <w:bottom w:val="none" w:sz="0" w:space="0" w:color="auto"/>
        <w:right w:val="none" w:sz="0" w:space="0" w:color="auto"/>
      </w:divBdr>
    </w:div>
    <w:div w:id="214284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egi.org.mx/app/saladeprensa/noticia.html?id=8753" TargetMode="External"/><Relationship Id="rId18" Type="http://schemas.openxmlformats.org/officeDocument/2006/relationships/hyperlink" Target="https://www.banxico.org.mx/publicaciones-y-prensa/remesas/%7B2F79E6E7-1C28-2807-2515-8DC71542DF08%7D.pdf" TargetMode="External"/><Relationship Id="rId26" Type="http://schemas.openxmlformats.org/officeDocument/2006/relationships/hyperlink" Target="https://www.inegi.org.mx/contenidos/saladeprensa/boletines/2023/etef/etef2023_12.pdf"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banxico.org.mx/publicaciones-y-prensa/anuncios-de-las-decisiones-de-politica-monetaria/%7BC2B3629A-5738-402A-7D09-9893825E63AC%7D.pdf" TargetMode="External"/><Relationship Id="rId17" Type="http://schemas.openxmlformats.org/officeDocument/2006/relationships/image" Target="media/image7.png"/><Relationship Id="rId25" Type="http://schemas.openxmlformats.org/officeDocument/2006/relationships/hyperlink" Target="https://www.inegi.org.mx/contenidos/saladeprensa/boletines/2023/itaee/itaee2023_10_Tamps.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economia.gob.mx/datamexico/es/profile/geo/tamaulipas-tm?fdiTimeSelector=Quarter&amp;redirect=true&amp;workforceSelector=workforceOption&amp;yearQuarterRemittances=quarterOp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economia.gob.mx/datamexico/es/profile/geo/tamaulipas-tm?fdiTimeSelector=Quarter&amp;redirect=true&amp;workforceSelector=workforceOption&amp;yearQuarterRemittances=quarterOption" TargetMode="External"/><Relationship Id="rId28" Type="http://schemas.openxmlformats.org/officeDocument/2006/relationships/header" Target="header2.xml"/><Relationship Id="rId10" Type="http://schemas.openxmlformats.org/officeDocument/2006/relationships/hyperlink" Target="https://www.inegi.org.mx/contenidos/saladeprensa/boletines/2023/pib_pconst/pib_pconst2023_11.pdf" TargetMode="External"/><Relationship Id="rId19" Type="http://schemas.openxmlformats.org/officeDocument/2006/relationships/hyperlink" Target="https://www.indetec.gob.mx/delivery?srv=0&amp;sl=2&amp;cat=8&amp;path=/boletin_financiero/cvm/108/BoletinFNo108_6.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88331-10D1-46D5-A243-AA66E77DB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14</Pages>
  <Words>5757</Words>
  <Characters>31666</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Rosa Elena Ortiz Medina</cp:lastModifiedBy>
  <cp:revision>19</cp:revision>
  <cp:lastPrinted>2024-04-22T16:23:00Z</cp:lastPrinted>
  <dcterms:created xsi:type="dcterms:W3CDTF">2024-03-19T22:22:00Z</dcterms:created>
  <dcterms:modified xsi:type="dcterms:W3CDTF">2024-04-22T16:25:00Z</dcterms:modified>
</cp:coreProperties>
</file>