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4B118B" w:rsidRDefault="004B118B" w:rsidP="00451D35">
      <w:pPr>
        <w:pStyle w:val="Texto"/>
        <w:spacing w:after="80" w:line="203" w:lineRule="exact"/>
        <w:ind w:left="624" w:firstLine="0"/>
        <w:rPr>
          <w:rFonts w:ascii="Calibri" w:hAnsi="Calibri" w:cs="DIN Pro Regular"/>
          <w:sz w:val="20"/>
          <w:lang w:val="es-MX"/>
        </w:rPr>
      </w:pPr>
      <w:r w:rsidRPr="004B118B">
        <w:rPr>
          <w:rFonts w:ascii="Calibri" w:hAnsi="Calibri" w:cs="DIN Pro Regular"/>
          <w:sz w:val="20"/>
          <w:lang w:val="es-MX"/>
        </w:rPr>
        <w:t>El efectivo está constituido por moneda de curso legal y se encuentra a su valor nominal. El saldo que refleja es por la cantidad de $6</w:t>
      </w:r>
      <w:proofErr w:type="gramStart"/>
      <w:r w:rsidRPr="004B118B">
        <w:rPr>
          <w:rFonts w:ascii="Calibri" w:hAnsi="Calibri" w:cs="DIN Pro Regular"/>
          <w:sz w:val="20"/>
          <w:lang w:val="es-MX"/>
        </w:rPr>
        <w:t>,773,138</w:t>
      </w:r>
      <w:proofErr w:type="gramEnd"/>
      <w:r w:rsidRPr="004B118B">
        <w:rPr>
          <w:rFonts w:ascii="Calibri" w:hAnsi="Calibri" w:cs="DIN Pro Regular"/>
          <w:sz w:val="20"/>
          <w:lang w:val="es-MX"/>
        </w:rPr>
        <w:t xml:space="preserve"> (Seis  millones setecientos setenta y tres mil ciento treinta y ocho pesos </w:t>
      </w:r>
      <w:r>
        <w:rPr>
          <w:rFonts w:ascii="Calibri" w:hAnsi="Calibri" w:cs="DIN Pro Regular"/>
          <w:sz w:val="20"/>
          <w:lang w:val="es-MX"/>
        </w:rPr>
        <w:t>M</w:t>
      </w:r>
      <w:r w:rsidRPr="004B118B">
        <w:rPr>
          <w:rFonts w:ascii="Calibri" w:hAnsi="Calibri" w:cs="DIN Pro Regular"/>
          <w:sz w:val="20"/>
          <w:lang w:val="es-MX"/>
        </w:rPr>
        <w:t>.</w:t>
      </w:r>
      <w:r>
        <w:rPr>
          <w:rFonts w:ascii="Calibri" w:hAnsi="Calibri" w:cs="DIN Pro Regular"/>
          <w:sz w:val="20"/>
          <w:lang w:val="es-MX"/>
        </w:rPr>
        <w:t>N</w:t>
      </w:r>
      <w:r w:rsidRPr="004B118B">
        <w:rPr>
          <w:rFonts w:ascii="Calibri" w:hAnsi="Calibri" w:cs="DIN Pro Regular"/>
          <w:sz w:val="20"/>
          <w:lang w:val="es-MX"/>
        </w:rPr>
        <w:t>.) y está conformado por</w:t>
      </w:r>
      <w:r>
        <w:rPr>
          <w:rFonts w:ascii="Calibri" w:hAnsi="Calibri" w:cs="DIN Pro Regular"/>
          <w:sz w:val="20"/>
          <w:lang w:val="es-MX"/>
        </w:rPr>
        <w:t>:</w:t>
      </w:r>
    </w:p>
    <w:p w:rsidR="00174255" w:rsidRDefault="00174255" w:rsidP="00451D35">
      <w:pPr>
        <w:pStyle w:val="Texto"/>
        <w:spacing w:after="80" w:line="203" w:lineRule="exact"/>
        <w:ind w:left="624" w:firstLine="0"/>
        <w:rPr>
          <w:rFonts w:ascii="Calibri" w:hAnsi="Calibri" w:cs="DIN Pro Regular"/>
          <w:sz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865899" w:rsidRPr="006D4D1B" w:rsidTr="006D4D1B">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865899" w:rsidRPr="006D4D1B" w:rsidRDefault="00865899" w:rsidP="00174255">
            <w:pPr>
              <w:spacing w:after="0" w:line="240" w:lineRule="auto"/>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EFECTIVO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865899" w:rsidRPr="006D4D1B" w:rsidRDefault="00865899" w:rsidP="00174255">
            <w:pPr>
              <w:spacing w:after="0" w:line="240" w:lineRule="auto"/>
              <w:jc w:val="right"/>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 xml:space="preserve">$    </w:t>
            </w:r>
            <w:r w:rsidR="00715278">
              <w:rPr>
                <w:rFonts w:eastAsia="Times New Roman"/>
                <w:b/>
                <w:bCs/>
                <w:color w:val="FFFFFF" w:themeColor="background1"/>
                <w:sz w:val="20"/>
                <w:szCs w:val="20"/>
                <w:lang w:eastAsia="es-MX"/>
              </w:rPr>
              <w:t xml:space="preserve">       </w:t>
            </w:r>
            <w:r w:rsidRPr="006D4D1B">
              <w:rPr>
                <w:rFonts w:eastAsia="Times New Roman"/>
                <w:b/>
                <w:bCs/>
                <w:color w:val="FFFFFF" w:themeColor="background1"/>
                <w:sz w:val="20"/>
                <w:szCs w:val="20"/>
                <w:lang w:eastAsia="es-MX"/>
              </w:rPr>
              <w:t xml:space="preserve">          138</w:t>
            </w:r>
          </w:p>
        </w:tc>
      </w:tr>
      <w:tr w:rsidR="00865899" w:rsidRPr="006D4D1B" w:rsidTr="006D4D1B">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Fondo fijo de caja</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138</w:t>
            </w:r>
          </w:p>
        </w:tc>
        <w:tc>
          <w:tcPr>
            <w:tcW w:w="1559" w:type="dxa"/>
            <w:tcBorders>
              <w:top w:val="nil"/>
              <w:left w:val="nil"/>
              <w:bottom w:val="single" w:sz="4" w:space="0" w:color="auto"/>
              <w:right w:val="single" w:sz="4" w:space="0" w:color="auto"/>
            </w:tcBorders>
            <w:shd w:val="clear" w:color="auto" w:fill="auto"/>
            <w:noWrap/>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865899" w:rsidRPr="006D4D1B" w:rsidRDefault="00865899" w:rsidP="006D4D1B">
            <w:pPr>
              <w:spacing w:after="0" w:line="240" w:lineRule="auto"/>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BANCOS/TESORERÍA</w:t>
            </w:r>
          </w:p>
        </w:tc>
        <w:tc>
          <w:tcPr>
            <w:tcW w:w="1559" w:type="dxa"/>
            <w:tcBorders>
              <w:top w:val="nil"/>
              <w:left w:val="nil"/>
              <w:bottom w:val="single" w:sz="4" w:space="0" w:color="auto"/>
              <w:right w:val="single" w:sz="4" w:space="0" w:color="auto"/>
            </w:tcBorders>
            <w:shd w:val="clear" w:color="auto" w:fill="AB0033"/>
            <w:vAlign w:val="center"/>
            <w:hideMark/>
          </w:tcPr>
          <w:p w:rsidR="00865899" w:rsidRPr="006D4D1B" w:rsidRDefault="00865899" w:rsidP="00174255">
            <w:pPr>
              <w:spacing w:after="0" w:line="240" w:lineRule="auto"/>
              <w:jc w:val="right"/>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6,773,000</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N° Cuenta ***7633</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2,367,533</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N° Cuenta ***6432</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17,965</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Estatal Capítulo 1000   Cuenta ***4533</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Estatal Capítulo 2000   Cuenta ***4541</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334,245</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Estatal Capítulo 3000   Cuenta ***4568</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406,896</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Santander Estatal Compensaciones Cuenta ***8808-4</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157,983</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Ingresos Propios 2000 Cuenta 7015-524790</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272,332</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Ingresos Propios 3000 Cuenta 7015-524804</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1,316,270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Estatal </w:t>
            </w:r>
            <w:proofErr w:type="spellStart"/>
            <w:r w:rsidRPr="006D4D1B">
              <w:rPr>
                <w:rFonts w:eastAsia="Times New Roman"/>
                <w:color w:val="000000"/>
                <w:sz w:val="20"/>
                <w:szCs w:val="20"/>
                <w:lang w:eastAsia="es-MX"/>
              </w:rPr>
              <w:t>Compe</w:t>
            </w:r>
            <w:proofErr w:type="spellEnd"/>
            <w:r w:rsidRPr="006D4D1B">
              <w:rPr>
                <w:rFonts w:eastAsia="Times New Roman"/>
                <w:color w:val="000000"/>
                <w:sz w:val="20"/>
                <w:szCs w:val="20"/>
                <w:lang w:eastAsia="es-MX"/>
              </w:rPr>
              <w:t xml:space="preserve"> </w:t>
            </w:r>
            <w:proofErr w:type="spellStart"/>
            <w:r w:rsidRPr="006D4D1B">
              <w:rPr>
                <w:rFonts w:eastAsia="Times New Roman"/>
                <w:color w:val="000000"/>
                <w:sz w:val="20"/>
                <w:szCs w:val="20"/>
                <w:lang w:eastAsia="es-MX"/>
              </w:rPr>
              <w:t>Nva</w:t>
            </w:r>
            <w:proofErr w:type="spellEnd"/>
            <w:r w:rsidRPr="006D4D1B">
              <w:rPr>
                <w:rFonts w:eastAsia="Times New Roman"/>
                <w:color w:val="000000"/>
                <w:sz w:val="20"/>
                <w:szCs w:val="20"/>
                <w:lang w:eastAsia="es-MX"/>
              </w:rPr>
              <w:t xml:space="preserve"> 2020  Cta:65507927756</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Est</w:t>
            </w:r>
            <w:proofErr w:type="spellEnd"/>
            <w:r w:rsidRPr="006D4D1B">
              <w:rPr>
                <w:rFonts w:eastAsia="Times New Roman"/>
                <w:color w:val="000000"/>
                <w:sz w:val="20"/>
                <w:szCs w:val="20"/>
                <w:lang w:eastAsia="es-MX"/>
              </w:rPr>
              <w:t xml:space="preserve">. Cap1  70107194671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Est</w:t>
            </w:r>
            <w:proofErr w:type="spellEnd"/>
            <w:r w:rsidRPr="006D4D1B">
              <w:rPr>
                <w:rFonts w:eastAsia="Times New Roman"/>
                <w:color w:val="000000"/>
                <w:sz w:val="20"/>
                <w:szCs w:val="20"/>
                <w:lang w:eastAsia="es-MX"/>
              </w:rPr>
              <w:t xml:space="preserve"> </w:t>
            </w:r>
            <w:proofErr w:type="spellStart"/>
            <w:r w:rsidRPr="006D4D1B">
              <w:rPr>
                <w:rFonts w:eastAsia="Times New Roman"/>
                <w:color w:val="000000"/>
                <w:sz w:val="20"/>
                <w:szCs w:val="20"/>
                <w:lang w:eastAsia="es-MX"/>
              </w:rPr>
              <w:t>Cap</w:t>
            </w:r>
            <w:proofErr w:type="spellEnd"/>
            <w:r w:rsidRPr="006D4D1B">
              <w:rPr>
                <w:rFonts w:eastAsia="Times New Roman"/>
                <w:color w:val="000000"/>
                <w:sz w:val="20"/>
                <w:szCs w:val="20"/>
                <w:lang w:eastAsia="es-MX"/>
              </w:rPr>
              <w:t xml:space="preserve"> 2  70113599705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Est</w:t>
            </w:r>
            <w:proofErr w:type="spellEnd"/>
            <w:r w:rsidRPr="006D4D1B">
              <w:rPr>
                <w:rFonts w:eastAsia="Times New Roman"/>
                <w:color w:val="000000"/>
                <w:sz w:val="20"/>
                <w:szCs w:val="20"/>
                <w:lang w:eastAsia="es-MX"/>
              </w:rPr>
              <w:t xml:space="preserve"> </w:t>
            </w:r>
            <w:proofErr w:type="spellStart"/>
            <w:r w:rsidRPr="006D4D1B">
              <w:rPr>
                <w:rFonts w:eastAsia="Times New Roman"/>
                <w:color w:val="000000"/>
                <w:sz w:val="20"/>
                <w:szCs w:val="20"/>
                <w:lang w:eastAsia="es-MX"/>
              </w:rPr>
              <w:t>Cap</w:t>
            </w:r>
            <w:proofErr w:type="spellEnd"/>
            <w:r w:rsidRPr="006D4D1B">
              <w:rPr>
                <w:rFonts w:eastAsia="Times New Roman"/>
                <w:color w:val="000000"/>
                <w:sz w:val="20"/>
                <w:szCs w:val="20"/>
                <w:lang w:eastAsia="es-MX"/>
              </w:rPr>
              <w:t xml:space="preserve"> 3  70111041758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 EC1 2da 7508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1,396</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 EC1 3era 5592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N° Cuenta ***7625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213,410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Ingresos  Propios Capítulo 1000 Cuenta ***4576</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Ingresos Propios Capítulo 2000 Cuenta ***6267</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Ingresos Propios Capítulo 3000 Cuenta ***4577</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Propios </w:t>
            </w:r>
            <w:proofErr w:type="spellStart"/>
            <w:r w:rsidRPr="006D4D1B">
              <w:rPr>
                <w:rFonts w:eastAsia="Times New Roman"/>
                <w:color w:val="000000"/>
                <w:sz w:val="20"/>
                <w:szCs w:val="20"/>
                <w:lang w:eastAsia="es-MX"/>
              </w:rPr>
              <w:t>Cap</w:t>
            </w:r>
            <w:proofErr w:type="spellEnd"/>
            <w:r w:rsidRPr="006D4D1B">
              <w:rPr>
                <w:rFonts w:eastAsia="Times New Roman"/>
                <w:color w:val="000000"/>
                <w:sz w:val="20"/>
                <w:szCs w:val="20"/>
                <w:lang w:eastAsia="es-MX"/>
              </w:rPr>
              <w:t xml:space="preserve"> 1000  65-507284589</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Santander Propios Cap. 2000 65-507284618</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Propios </w:t>
            </w:r>
            <w:proofErr w:type="spellStart"/>
            <w:r w:rsidRPr="006D4D1B">
              <w:rPr>
                <w:rFonts w:eastAsia="Times New Roman"/>
                <w:color w:val="000000"/>
                <w:sz w:val="20"/>
                <w:szCs w:val="20"/>
                <w:lang w:eastAsia="es-MX"/>
              </w:rPr>
              <w:t>Cap</w:t>
            </w:r>
            <w:proofErr w:type="spellEnd"/>
            <w:r w:rsidRPr="006D4D1B">
              <w:rPr>
                <w:rFonts w:eastAsia="Times New Roman"/>
                <w:color w:val="000000"/>
                <w:sz w:val="20"/>
                <w:szCs w:val="20"/>
                <w:lang w:eastAsia="es-MX"/>
              </w:rPr>
              <w:t xml:space="preserve"> 3000 65-507284635</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Prop</w:t>
            </w:r>
            <w:proofErr w:type="spellEnd"/>
            <w:r w:rsidRPr="006D4D1B">
              <w:rPr>
                <w:rFonts w:eastAsia="Times New Roman"/>
                <w:color w:val="000000"/>
                <w:sz w:val="20"/>
                <w:szCs w:val="20"/>
                <w:lang w:eastAsia="es-MX"/>
              </w:rPr>
              <w:t xml:space="preserve"> Cap1 70108986202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Prop</w:t>
            </w:r>
            <w:proofErr w:type="spellEnd"/>
            <w:r w:rsidRPr="006D4D1B">
              <w:rPr>
                <w:rFonts w:eastAsia="Times New Roman"/>
                <w:color w:val="000000"/>
                <w:sz w:val="20"/>
                <w:szCs w:val="20"/>
                <w:lang w:eastAsia="es-MX"/>
              </w:rPr>
              <w:t xml:space="preserve"> Cap2 70108097211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2020 </w:t>
            </w:r>
            <w:proofErr w:type="spellStart"/>
            <w:r w:rsidRPr="006D4D1B">
              <w:rPr>
                <w:rFonts w:eastAsia="Times New Roman"/>
                <w:color w:val="000000"/>
                <w:sz w:val="20"/>
                <w:szCs w:val="20"/>
                <w:lang w:eastAsia="es-MX"/>
              </w:rPr>
              <w:t>Prop</w:t>
            </w:r>
            <w:proofErr w:type="spellEnd"/>
            <w:r w:rsidRPr="006D4D1B">
              <w:rPr>
                <w:rFonts w:eastAsia="Times New Roman"/>
                <w:color w:val="000000"/>
                <w:sz w:val="20"/>
                <w:szCs w:val="20"/>
                <w:lang w:eastAsia="es-MX"/>
              </w:rPr>
              <w:t xml:space="preserve"> Cap3 70107998827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2021 EC1000 8971414 R28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EC 2000 8048624 2021 PROPIOS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lastRenderedPageBreak/>
              <w:t xml:space="preserve">EC3000 1414498 2021 PROPIOS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EC COMP.NVA 2021 178641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EC1000  8932990  2021 EP</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2021 EC 2000 8048624 PROPIOS ESTATAL</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6</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2021 EC3000 1414498  PROPIOS ESTATAL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3</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EC COMP.NVA 2021 178641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7,030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8150-592 CUOTAS IPSSET </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493</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PC 1000 8873279 2021</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477,480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PC 2000 5549584 2021</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144,867</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PC 3000 8244654 2021</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26,154</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2022  648 CONCENTRADORA</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1,028,137</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Santander 637 </w:t>
            </w:r>
            <w:proofErr w:type="spellStart"/>
            <w:r w:rsidRPr="006D4D1B">
              <w:rPr>
                <w:rFonts w:eastAsia="Times New Roman"/>
                <w:color w:val="000000"/>
                <w:sz w:val="20"/>
                <w:szCs w:val="20"/>
                <w:lang w:eastAsia="es-MX"/>
              </w:rPr>
              <w:t>Compens</w:t>
            </w:r>
            <w:proofErr w:type="spellEnd"/>
            <w:r w:rsidRPr="006D4D1B">
              <w:rPr>
                <w:rFonts w:eastAsia="Times New Roman"/>
                <w:color w:val="000000"/>
                <w:sz w:val="20"/>
                <w:szCs w:val="20"/>
                <w:lang w:eastAsia="es-MX"/>
              </w:rPr>
              <w:t xml:space="preserve">. </w:t>
            </w:r>
            <w:proofErr w:type="spellStart"/>
            <w:r w:rsidRPr="006D4D1B">
              <w:rPr>
                <w:rFonts w:eastAsia="Times New Roman"/>
                <w:color w:val="000000"/>
                <w:sz w:val="20"/>
                <w:szCs w:val="20"/>
                <w:lang w:eastAsia="es-MX"/>
              </w:rPr>
              <w:t>Nva</w:t>
            </w:r>
            <w:proofErr w:type="spellEnd"/>
            <w:r w:rsidRPr="006D4D1B">
              <w:rPr>
                <w:rFonts w:eastAsia="Times New Roman"/>
                <w:color w:val="000000"/>
                <w:sz w:val="20"/>
                <w:szCs w:val="20"/>
                <w:lang w:eastAsia="es-MX"/>
              </w:rPr>
              <w:t xml:space="preserve"> 2022</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PC 1000 2022 7015-322772</w:t>
            </w:r>
          </w:p>
        </w:tc>
        <w:tc>
          <w:tcPr>
            <w:tcW w:w="1560" w:type="dxa"/>
            <w:tcBorders>
              <w:top w:val="nil"/>
              <w:left w:val="nil"/>
              <w:bottom w:val="single" w:sz="4" w:space="0" w:color="auto"/>
              <w:right w:val="single" w:sz="4" w:space="0" w:color="auto"/>
            </w:tcBorders>
            <w:shd w:val="clear" w:color="auto" w:fill="auto"/>
            <w:vAlign w:val="center"/>
            <w:hideMark/>
          </w:tcPr>
          <w:p w:rsidR="00865899" w:rsidRPr="006D4D1B" w:rsidRDefault="00865899" w:rsidP="006D4D1B">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800</w:t>
            </w:r>
          </w:p>
        </w:tc>
        <w:tc>
          <w:tcPr>
            <w:tcW w:w="1559" w:type="dxa"/>
            <w:tcBorders>
              <w:top w:val="nil"/>
              <w:left w:val="nil"/>
              <w:bottom w:val="single" w:sz="4" w:space="0" w:color="auto"/>
              <w:right w:val="single" w:sz="4" w:space="0" w:color="auto"/>
            </w:tcBorders>
            <w:shd w:val="clear" w:color="auto" w:fill="auto"/>
            <w:noWrap/>
            <w:vAlign w:val="bottom"/>
            <w:hideMark/>
          </w:tcPr>
          <w:p w:rsidR="00865899" w:rsidRPr="006D4D1B" w:rsidRDefault="00865899" w:rsidP="00865899">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865899" w:rsidRPr="006D4D1B" w:rsidTr="006D4D1B">
        <w:trPr>
          <w:trHeight w:hRule="exac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865899" w:rsidRPr="006D4D1B" w:rsidRDefault="00865899" w:rsidP="00174255">
            <w:pPr>
              <w:spacing w:after="0" w:line="240" w:lineRule="auto"/>
              <w:jc w:val="center"/>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865899" w:rsidRPr="006D4D1B" w:rsidRDefault="00174255" w:rsidP="00174255">
            <w:pPr>
              <w:spacing w:after="0" w:line="240" w:lineRule="auto"/>
              <w:jc w:val="right"/>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 xml:space="preserve">$  </w:t>
            </w:r>
            <w:r w:rsidR="00715278">
              <w:rPr>
                <w:rFonts w:eastAsia="Times New Roman"/>
                <w:b/>
                <w:bCs/>
                <w:color w:val="FFFFFF" w:themeColor="background1"/>
                <w:sz w:val="20"/>
                <w:szCs w:val="20"/>
                <w:lang w:eastAsia="es-MX"/>
              </w:rPr>
              <w:t xml:space="preserve">        </w:t>
            </w:r>
            <w:r w:rsidRPr="006D4D1B">
              <w:rPr>
                <w:rFonts w:eastAsia="Times New Roman"/>
                <w:b/>
                <w:bCs/>
                <w:color w:val="FFFFFF" w:themeColor="background1"/>
                <w:sz w:val="20"/>
                <w:szCs w:val="20"/>
                <w:lang w:eastAsia="es-MX"/>
              </w:rPr>
              <w:t xml:space="preserve"> </w:t>
            </w:r>
            <w:r w:rsidR="00865899" w:rsidRPr="006D4D1B">
              <w:rPr>
                <w:rFonts w:eastAsia="Times New Roman"/>
                <w:b/>
                <w:bCs/>
                <w:color w:val="FFFFFF" w:themeColor="background1"/>
                <w:sz w:val="20"/>
                <w:szCs w:val="20"/>
                <w:lang w:eastAsia="es-MX"/>
              </w:rPr>
              <w:t>6,773,138</w:t>
            </w:r>
          </w:p>
        </w:tc>
      </w:tr>
    </w:tbl>
    <w:p w:rsidR="004B118B" w:rsidRDefault="004B118B" w:rsidP="00451D35">
      <w:pPr>
        <w:pStyle w:val="Texto"/>
        <w:spacing w:after="80" w:line="203" w:lineRule="exact"/>
        <w:ind w:left="624" w:firstLine="0"/>
        <w:rPr>
          <w:rFonts w:ascii="Calibri" w:hAnsi="Calibri" w:cs="DIN Pro Regular"/>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C40FF7" w:rsidRDefault="0060364C" w:rsidP="00451D35">
      <w:pPr>
        <w:pStyle w:val="Texto"/>
        <w:spacing w:after="80" w:line="203" w:lineRule="exact"/>
        <w:ind w:left="624" w:firstLine="0"/>
        <w:rPr>
          <w:rFonts w:ascii="Calibri" w:hAnsi="Calibri" w:cs="DIN Pro Regular"/>
          <w:sz w:val="20"/>
          <w:lang w:val="es-MX"/>
        </w:rPr>
      </w:pPr>
      <w:r w:rsidRPr="0060364C">
        <w:rPr>
          <w:rFonts w:ascii="Calibri" w:hAnsi="Calibri" w:cs="DIN Pro Regular"/>
          <w:sz w:val="20"/>
          <w:lang w:val="es-MX"/>
        </w:rPr>
        <w:t>Cuentas por cobrar a corto plazo, deudores diversos por cobrar a corto plazo</w:t>
      </w:r>
      <w:r>
        <w:rPr>
          <w:rFonts w:ascii="Calibri" w:hAnsi="Calibri" w:cs="DIN Pro Regular"/>
          <w:sz w:val="20"/>
          <w:lang w:val="es-MX"/>
        </w:rPr>
        <w:t xml:space="preserve"> y</w:t>
      </w:r>
      <w:r w:rsidRPr="0060364C">
        <w:rPr>
          <w:rFonts w:ascii="Calibri" w:hAnsi="Calibri" w:cs="DIN Pro Regular"/>
          <w:sz w:val="20"/>
          <w:lang w:val="es-MX"/>
        </w:rPr>
        <w:t xml:space="preserve"> subsidio al empleo</w:t>
      </w:r>
      <w:r>
        <w:rPr>
          <w:rFonts w:ascii="Calibri" w:hAnsi="Calibri" w:cs="DIN Pro Regular"/>
          <w:sz w:val="20"/>
          <w:lang w:val="es-MX"/>
        </w:rPr>
        <w:t xml:space="preserve"> </w:t>
      </w:r>
      <w:r w:rsidRPr="0060364C">
        <w:rPr>
          <w:rFonts w:ascii="Calibri" w:hAnsi="Calibri" w:cs="DIN Pro Regular"/>
          <w:sz w:val="20"/>
          <w:lang w:val="es-MX"/>
        </w:rPr>
        <w:t>que a</w:t>
      </w:r>
      <w:r>
        <w:rPr>
          <w:rFonts w:ascii="Calibri" w:hAnsi="Calibri" w:cs="DIN Pro Regular"/>
          <w:sz w:val="20"/>
          <w:lang w:val="es-MX"/>
        </w:rPr>
        <w:t>sciende a la cantidad de $15,015 (Quince  mil quince pesos M.N.) y se conforma como sigue:</w:t>
      </w:r>
    </w:p>
    <w:p w:rsidR="0060364C" w:rsidRDefault="0060364C" w:rsidP="00451D35">
      <w:pPr>
        <w:pStyle w:val="Texto"/>
        <w:spacing w:after="80" w:line="203" w:lineRule="exact"/>
        <w:ind w:left="624" w:firstLine="0"/>
        <w:rPr>
          <w:rFonts w:ascii="Calibri" w:hAnsi="Calibri" w:cs="DIN Pro Regular"/>
          <w:sz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60364C" w:rsidRPr="0060364C" w:rsidTr="00715278">
        <w:trPr>
          <w:trHeight w:hRule="exac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60364C" w:rsidRPr="0060364C" w:rsidRDefault="0060364C" w:rsidP="00715278">
            <w:pPr>
              <w:spacing w:after="0" w:line="240" w:lineRule="auto"/>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CUENTAS POR COBRAR A CORTO PLAZO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60364C" w:rsidRPr="0060364C" w:rsidRDefault="0060364C" w:rsidP="00715278">
            <w:pPr>
              <w:spacing w:after="0" w:line="240" w:lineRule="auto"/>
              <w:jc w:val="right"/>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15,001</w:t>
            </w:r>
          </w:p>
        </w:tc>
      </w:tr>
      <w:tr w:rsidR="0060364C" w:rsidRPr="0060364C" w:rsidTr="00715278">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60364C" w:rsidRPr="0060364C" w:rsidRDefault="0060364C" w:rsidP="00715278">
            <w:pPr>
              <w:spacing w:after="0" w:line="240" w:lineRule="auto"/>
              <w:rPr>
                <w:rFonts w:eastAsia="Times New Roman"/>
                <w:color w:val="000000"/>
                <w:sz w:val="20"/>
                <w:szCs w:val="20"/>
                <w:lang w:eastAsia="es-MX"/>
              </w:rPr>
            </w:pPr>
            <w:r w:rsidRPr="0060364C">
              <w:rPr>
                <w:rFonts w:eastAsia="Times New Roman"/>
                <w:color w:val="000000"/>
                <w:sz w:val="20"/>
                <w:szCs w:val="20"/>
                <w:lang w:eastAsia="es-MX"/>
              </w:rPr>
              <w:t>Subsidio Del Empleo</w:t>
            </w:r>
          </w:p>
        </w:tc>
        <w:tc>
          <w:tcPr>
            <w:tcW w:w="1560" w:type="dxa"/>
            <w:tcBorders>
              <w:top w:val="nil"/>
              <w:left w:val="nil"/>
              <w:bottom w:val="single" w:sz="4" w:space="0" w:color="auto"/>
              <w:right w:val="single" w:sz="4" w:space="0" w:color="auto"/>
            </w:tcBorders>
            <w:shd w:val="clear" w:color="auto" w:fill="auto"/>
            <w:vAlign w:val="center"/>
            <w:hideMark/>
          </w:tcPr>
          <w:p w:rsidR="0060364C" w:rsidRPr="0060364C" w:rsidRDefault="0060364C" w:rsidP="00715278">
            <w:pPr>
              <w:spacing w:after="0" w:line="240" w:lineRule="auto"/>
              <w:jc w:val="right"/>
              <w:rPr>
                <w:rFonts w:eastAsia="Times New Roman"/>
                <w:color w:val="000000"/>
                <w:sz w:val="20"/>
                <w:szCs w:val="20"/>
                <w:lang w:eastAsia="es-MX"/>
              </w:rPr>
            </w:pPr>
            <w:r w:rsidRPr="0060364C">
              <w:rPr>
                <w:rFonts w:eastAsia="Times New Roman"/>
                <w:color w:val="000000"/>
                <w:sz w:val="20"/>
                <w:szCs w:val="20"/>
                <w:lang w:eastAsia="es-MX"/>
              </w:rPr>
              <w:t>1</w:t>
            </w:r>
          </w:p>
        </w:tc>
        <w:tc>
          <w:tcPr>
            <w:tcW w:w="1559" w:type="dxa"/>
            <w:tcBorders>
              <w:top w:val="nil"/>
              <w:left w:val="nil"/>
              <w:bottom w:val="single" w:sz="4" w:space="0" w:color="auto"/>
              <w:right w:val="single" w:sz="4" w:space="0" w:color="auto"/>
            </w:tcBorders>
            <w:shd w:val="clear" w:color="auto" w:fill="auto"/>
            <w:vAlign w:val="bottom"/>
            <w:hideMark/>
          </w:tcPr>
          <w:p w:rsidR="0060364C" w:rsidRPr="0060364C" w:rsidRDefault="0060364C" w:rsidP="0060364C">
            <w:pPr>
              <w:spacing w:after="0" w:line="240" w:lineRule="auto"/>
              <w:jc w:val="right"/>
              <w:rPr>
                <w:rFonts w:eastAsia="Times New Roman"/>
                <w:b/>
                <w:bCs/>
                <w:color w:val="000000"/>
                <w:sz w:val="20"/>
                <w:szCs w:val="20"/>
                <w:lang w:eastAsia="es-MX"/>
              </w:rPr>
            </w:pPr>
            <w:r w:rsidRPr="0060364C">
              <w:rPr>
                <w:rFonts w:eastAsia="Times New Roman"/>
                <w:b/>
                <w:bCs/>
                <w:color w:val="000000"/>
                <w:sz w:val="20"/>
                <w:szCs w:val="20"/>
                <w:lang w:eastAsia="es-MX"/>
              </w:rPr>
              <w:t> </w:t>
            </w:r>
          </w:p>
        </w:tc>
      </w:tr>
      <w:tr w:rsidR="0060364C" w:rsidRPr="0060364C" w:rsidTr="00715278">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60364C" w:rsidRPr="0060364C" w:rsidRDefault="0060364C" w:rsidP="00715278">
            <w:pPr>
              <w:spacing w:after="0" w:line="240" w:lineRule="auto"/>
              <w:rPr>
                <w:rFonts w:eastAsia="Times New Roman"/>
                <w:color w:val="000000"/>
                <w:sz w:val="20"/>
                <w:szCs w:val="20"/>
                <w:lang w:eastAsia="es-MX"/>
              </w:rPr>
            </w:pPr>
            <w:proofErr w:type="spellStart"/>
            <w:r w:rsidRPr="0060364C">
              <w:rPr>
                <w:rFonts w:eastAsia="Times New Roman"/>
                <w:color w:val="000000"/>
                <w:sz w:val="20"/>
                <w:szCs w:val="20"/>
                <w:lang w:eastAsia="es-MX"/>
              </w:rPr>
              <w:t>Cotacyt</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60364C" w:rsidRPr="0060364C" w:rsidRDefault="0060364C" w:rsidP="00715278">
            <w:pPr>
              <w:spacing w:after="0" w:line="240" w:lineRule="auto"/>
              <w:jc w:val="right"/>
              <w:rPr>
                <w:rFonts w:eastAsia="Times New Roman"/>
                <w:color w:val="000000"/>
                <w:sz w:val="20"/>
                <w:szCs w:val="20"/>
                <w:lang w:eastAsia="es-MX"/>
              </w:rPr>
            </w:pPr>
            <w:r w:rsidRPr="0060364C">
              <w:rPr>
                <w:rFonts w:eastAsia="Times New Roman"/>
                <w:color w:val="000000"/>
                <w:sz w:val="20"/>
                <w:szCs w:val="20"/>
                <w:lang w:eastAsia="es-MX"/>
              </w:rPr>
              <w:t>15,000</w:t>
            </w:r>
          </w:p>
        </w:tc>
        <w:tc>
          <w:tcPr>
            <w:tcW w:w="1559" w:type="dxa"/>
            <w:tcBorders>
              <w:top w:val="nil"/>
              <w:left w:val="nil"/>
              <w:bottom w:val="single" w:sz="4" w:space="0" w:color="auto"/>
              <w:right w:val="single" w:sz="4" w:space="0" w:color="auto"/>
            </w:tcBorders>
            <w:shd w:val="clear" w:color="auto" w:fill="auto"/>
            <w:noWrap/>
            <w:vAlign w:val="bottom"/>
            <w:hideMark/>
          </w:tcPr>
          <w:p w:rsidR="0060364C" w:rsidRPr="0060364C" w:rsidRDefault="0060364C" w:rsidP="0060364C">
            <w:pPr>
              <w:spacing w:after="0" w:line="240" w:lineRule="auto"/>
              <w:rPr>
                <w:rFonts w:eastAsia="Times New Roman"/>
                <w:color w:val="000000"/>
                <w:sz w:val="20"/>
                <w:szCs w:val="20"/>
                <w:lang w:eastAsia="es-MX"/>
              </w:rPr>
            </w:pPr>
            <w:r w:rsidRPr="0060364C">
              <w:rPr>
                <w:rFonts w:eastAsia="Times New Roman"/>
                <w:color w:val="000000"/>
                <w:sz w:val="20"/>
                <w:szCs w:val="20"/>
                <w:lang w:eastAsia="es-MX"/>
              </w:rPr>
              <w:t> </w:t>
            </w:r>
          </w:p>
        </w:tc>
      </w:tr>
      <w:tr w:rsidR="0060364C" w:rsidRPr="0060364C" w:rsidTr="00715278">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60364C" w:rsidRPr="0060364C" w:rsidRDefault="0060364C" w:rsidP="00715278">
            <w:pPr>
              <w:spacing w:after="0" w:line="240" w:lineRule="auto"/>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DEUDORES DIVERSOS POR COBRAR A CORTO PLAZO</w:t>
            </w:r>
          </w:p>
        </w:tc>
        <w:tc>
          <w:tcPr>
            <w:tcW w:w="1559" w:type="dxa"/>
            <w:tcBorders>
              <w:top w:val="nil"/>
              <w:left w:val="nil"/>
              <w:bottom w:val="single" w:sz="4" w:space="0" w:color="auto"/>
              <w:right w:val="single" w:sz="4" w:space="0" w:color="auto"/>
            </w:tcBorders>
            <w:shd w:val="clear" w:color="auto" w:fill="AB0033"/>
            <w:vAlign w:val="center"/>
            <w:hideMark/>
          </w:tcPr>
          <w:p w:rsidR="0060364C" w:rsidRPr="0060364C" w:rsidRDefault="0060364C" w:rsidP="00715278">
            <w:pPr>
              <w:spacing w:after="0" w:line="240" w:lineRule="auto"/>
              <w:jc w:val="right"/>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14</w:t>
            </w:r>
          </w:p>
        </w:tc>
      </w:tr>
      <w:tr w:rsidR="0060364C" w:rsidRPr="0060364C" w:rsidTr="00715278">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60364C" w:rsidRPr="0060364C" w:rsidRDefault="0060364C" w:rsidP="00715278">
            <w:pPr>
              <w:spacing w:after="0" w:line="240" w:lineRule="auto"/>
              <w:rPr>
                <w:rFonts w:eastAsia="Times New Roman"/>
                <w:color w:val="000000"/>
                <w:sz w:val="20"/>
                <w:szCs w:val="20"/>
                <w:lang w:eastAsia="es-MX"/>
              </w:rPr>
            </w:pPr>
            <w:r w:rsidRPr="0060364C">
              <w:rPr>
                <w:rFonts w:eastAsia="Times New Roman"/>
                <w:color w:val="000000"/>
                <w:sz w:val="20"/>
                <w:szCs w:val="20"/>
                <w:lang w:eastAsia="es-MX"/>
              </w:rPr>
              <w:t>Luis Eduardo Valdez Alvarado</w:t>
            </w:r>
          </w:p>
        </w:tc>
        <w:tc>
          <w:tcPr>
            <w:tcW w:w="1560" w:type="dxa"/>
            <w:tcBorders>
              <w:top w:val="nil"/>
              <w:left w:val="nil"/>
              <w:bottom w:val="single" w:sz="4" w:space="0" w:color="auto"/>
              <w:right w:val="single" w:sz="4" w:space="0" w:color="auto"/>
            </w:tcBorders>
            <w:shd w:val="clear" w:color="auto" w:fill="auto"/>
            <w:vAlign w:val="center"/>
            <w:hideMark/>
          </w:tcPr>
          <w:p w:rsidR="0060364C" w:rsidRPr="0060364C" w:rsidRDefault="0060364C" w:rsidP="00715278">
            <w:pPr>
              <w:spacing w:after="0" w:line="240" w:lineRule="auto"/>
              <w:jc w:val="right"/>
              <w:rPr>
                <w:rFonts w:eastAsia="Times New Roman"/>
                <w:color w:val="000000"/>
                <w:sz w:val="20"/>
                <w:szCs w:val="20"/>
                <w:lang w:eastAsia="es-MX"/>
              </w:rPr>
            </w:pPr>
            <w:r w:rsidRPr="0060364C">
              <w:rPr>
                <w:rFonts w:eastAsia="Times New Roman"/>
                <w:color w:val="000000"/>
                <w:sz w:val="20"/>
                <w:szCs w:val="20"/>
                <w:lang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rsidR="0060364C" w:rsidRPr="0060364C" w:rsidRDefault="0060364C" w:rsidP="00715278">
            <w:pPr>
              <w:spacing w:after="0" w:line="240" w:lineRule="auto"/>
              <w:jc w:val="right"/>
              <w:rPr>
                <w:rFonts w:eastAsia="Times New Roman"/>
                <w:color w:val="000000"/>
                <w:sz w:val="20"/>
                <w:szCs w:val="20"/>
                <w:lang w:eastAsia="es-MX"/>
              </w:rPr>
            </w:pPr>
            <w:r w:rsidRPr="0060364C">
              <w:rPr>
                <w:rFonts w:eastAsia="Times New Roman"/>
                <w:color w:val="000000"/>
                <w:sz w:val="20"/>
                <w:szCs w:val="20"/>
                <w:lang w:eastAsia="es-MX"/>
              </w:rPr>
              <w:t> </w:t>
            </w:r>
          </w:p>
        </w:tc>
      </w:tr>
      <w:tr w:rsidR="0060364C" w:rsidRPr="0060364C" w:rsidTr="00715278">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60364C" w:rsidRPr="0060364C" w:rsidRDefault="0060364C" w:rsidP="00715278">
            <w:pPr>
              <w:spacing w:after="0" w:line="240" w:lineRule="auto"/>
              <w:jc w:val="center"/>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60364C" w:rsidRPr="0060364C" w:rsidRDefault="00715278" w:rsidP="00715278">
            <w:pPr>
              <w:spacing w:after="0" w:line="240" w:lineRule="auto"/>
              <w:jc w:val="right"/>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 xml:space="preserve">$                </w:t>
            </w:r>
            <w:r w:rsidR="0060364C" w:rsidRPr="0060364C">
              <w:rPr>
                <w:rFonts w:eastAsia="Times New Roman"/>
                <w:b/>
                <w:bCs/>
                <w:color w:val="FFFFFF" w:themeColor="background1"/>
                <w:sz w:val="20"/>
                <w:szCs w:val="20"/>
                <w:lang w:eastAsia="es-MX"/>
              </w:rPr>
              <w:t>15,015</w:t>
            </w:r>
          </w:p>
        </w:tc>
      </w:tr>
    </w:tbl>
    <w:p w:rsidR="0060364C" w:rsidRPr="0060364C" w:rsidRDefault="0060364C" w:rsidP="00451D35">
      <w:pPr>
        <w:pStyle w:val="Texto"/>
        <w:spacing w:after="80" w:line="203" w:lineRule="exact"/>
        <w:ind w:left="624" w:firstLine="0"/>
        <w:rPr>
          <w:rFonts w:ascii="Calibri" w:hAnsi="Calibri" w:cs="DIN Pro Regular"/>
          <w:sz w:val="20"/>
          <w:lang w:val="es-MX"/>
        </w:rPr>
      </w:pPr>
    </w:p>
    <w:p w:rsidR="00C40FF7" w:rsidRPr="008A011E" w:rsidRDefault="00C40FF7"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r w:rsidR="00081355" w:rsidRPr="00081355">
        <w:t xml:space="preserve"> </w:t>
      </w:r>
      <w:r w:rsidR="00081355" w:rsidRPr="00081355">
        <w:rPr>
          <w:rFonts w:ascii="Calibri" w:hAnsi="Calibri" w:cs="DIN Pro Regular"/>
          <w:b/>
          <w:sz w:val="20"/>
          <w:lang w:val="es-MX"/>
        </w:rPr>
        <w:t>&lt;NO APLICA&gt;</w:t>
      </w:r>
    </w:p>
    <w:p w:rsidR="00081355" w:rsidRDefault="0008135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r w:rsidR="00081355" w:rsidRPr="00081355">
        <w:rPr>
          <w:rFonts w:ascii="Calibri" w:hAnsi="Calibri" w:cs="DIN Pro Regular"/>
          <w:b/>
          <w:sz w:val="20"/>
          <w:lang w:val="es-MX"/>
        </w:rPr>
        <w:t>&lt;NO APLICA&gt;</w:t>
      </w:r>
    </w:p>
    <w:p w:rsidR="00081355" w:rsidRPr="008A011E" w:rsidRDefault="00081355"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6F0C7E" w:rsidRDefault="006F0C7E" w:rsidP="006F0C7E">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Las inversiones en inmuebles y muebles representan en el transcurso del tiempo, un gasto por aquellas cantidades que no son susceptibles de recuperación. Tanto estos activos como los intangibles tienen como objetivo el generar beneficios, económicos o sociales, por lo que es necesario se reconozcan en resultados en el mismo período en el que generan dichos beneficios. Independientemente de que el ente público tenga fines exclusivamente gubernamentales, genera algún beneficio. La depreciación tiene por objeto el reconocimiento del gasto correspondiente por su uso, que es el que provoca el beneficio.</w:t>
      </w:r>
    </w:p>
    <w:p w:rsidR="006F0C7E" w:rsidRPr="006F0C7E" w:rsidRDefault="006F0C7E" w:rsidP="006F0C7E">
      <w:pPr>
        <w:pStyle w:val="Texto"/>
        <w:spacing w:after="80" w:line="203" w:lineRule="exact"/>
        <w:ind w:left="624"/>
        <w:rPr>
          <w:rFonts w:ascii="Calibri" w:hAnsi="Calibri" w:cs="DIN Pro Regular"/>
          <w:sz w:val="20"/>
          <w:lang w:val="es-MX"/>
        </w:rPr>
      </w:pPr>
    </w:p>
    <w:p w:rsidR="006F0C7E" w:rsidRDefault="006F0C7E" w:rsidP="006F0C7E">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 xml:space="preserve">El reconocimiento inicial de estos activos está valuado al costo de adquisición en concordancia con el postulado básico de valuación. </w:t>
      </w:r>
    </w:p>
    <w:p w:rsidR="006F0C7E" w:rsidRPr="006F0C7E" w:rsidRDefault="006F0C7E" w:rsidP="006F0C7E">
      <w:pPr>
        <w:pStyle w:val="Texto"/>
        <w:spacing w:after="80" w:line="203" w:lineRule="exact"/>
        <w:ind w:left="624"/>
        <w:rPr>
          <w:rFonts w:ascii="Calibri" w:hAnsi="Calibri" w:cs="DIN Pro Regular"/>
          <w:sz w:val="20"/>
          <w:lang w:val="es-MX"/>
        </w:rPr>
      </w:pPr>
    </w:p>
    <w:p w:rsidR="00081355" w:rsidRDefault="006F0C7E" w:rsidP="00143140">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El punto 14 Reconocimiento de los efectos de la inflación en las Reglas Específicas de Otros Eventos del Acuerdo por el que se emiten las Reglas Específicas del Registro y Valoración del Patrimonio, no considera oportuno incluir dicho reconocimiento, en tanto el CONAC emite lo conducente. Se anexa el concentrado de Bienes Muebles, Inmuebles e Intangibles:</w:t>
      </w:r>
    </w:p>
    <w:p w:rsidR="006F0C7E" w:rsidRDefault="006F0C7E">
      <w:pPr>
        <w:spacing w:after="0" w:line="240" w:lineRule="auto"/>
        <w:rPr>
          <w:rFonts w:eastAsia="Times New Roman" w:cs="DIN Pro Regular"/>
          <w:sz w:val="20"/>
          <w:szCs w:val="20"/>
          <w:lang w:eastAsia="es-ES"/>
        </w:rPr>
      </w:pPr>
      <w:r>
        <w:rPr>
          <w:rFonts w:cs="DIN Pro Regular"/>
          <w:sz w:val="20"/>
        </w:rPr>
        <w:br w:type="page"/>
      </w: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3B6756" w:rsidRPr="003B6756" w:rsidTr="003B6756">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3B6756" w:rsidRPr="003B6756" w:rsidRDefault="003B6756" w:rsidP="003B6756">
            <w:pPr>
              <w:spacing w:after="0" w:line="240" w:lineRule="auto"/>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lastRenderedPageBreak/>
              <w:t>BIENES INMUEBLES, INFRAESTRUCTURA Y CONSTRUCCIONES EN PROCESO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jc w:val="right"/>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13,906,189</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Terrenos</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400,000</w:t>
            </w:r>
          </w:p>
        </w:tc>
        <w:tc>
          <w:tcPr>
            <w:tcW w:w="1559"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b/>
                <w:bCs/>
                <w:color w:val="000000"/>
                <w:sz w:val="20"/>
                <w:szCs w:val="20"/>
                <w:lang w:eastAsia="es-MX"/>
              </w:rPr>
            </w:pPr>
            <w:r w:rsidRPr="003B6756">
              <w:rPr>
                <w:rFonts w:eastAsia="Times New Roman"/>
                <w:b/>
                <w:bCs/>
                <w:color w:val="000000"/>
                <w:sz w:val="20"/>
                <w:szCs w:val="20"/>
                <w:lang w:eastAsia="es-MX"/>
              </w:rPr>
              <w:t> </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Edificios no habitacionales</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13,506,189</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BIENES MUEBLES</w:t>
            </w:r>
          </w:p>
        </w:tc>
        <w:tc>
          <w:tcPr>
            <w:tcW w:w="1559" w:type="dxa"/>
            <w:tcBorders>
              <w:top w:val="nil"/>
              <w:left w:val="nil"/>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jc w:val="right"/>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8,023,192</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Mobiliario y Equipo de Administración</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1,434,435</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Mobiliario y Equipo Educacional y Recreativo</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1,869,264</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Equipo e Instrumental Médico y de laboratorio</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835,383</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Equipo de Transporte</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976,841</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Maquinaria, Otros Equipos y Herramientas</w:t>
            </w:r>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2,907,269</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ACTIVOS INTANGIBLES</w:t>
            </w:r>
          </w:p>
        </w:tc>
        <w:tc>
          <w:tcPr>
            <w:tcW w:w="1559" w:type="dxa"/>
            <w:tcBorders>
              <w:top w:val="nil"/>
              <w:left w:val="nil"/>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jc w:val="right"/>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58,504</w:t>
            </w:r>
          </w:p>
        </w:tc>
      </w:tr>
      <w:tr w:rsidR="003B6756" w:rsidRPr="003B6756" w:rsidTr="003B6756">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xml:space="preserve">Software </w:t>
            </w:r>
            <w:proofErr w:type="spellStart"/>
            <w:r w:rsidRPr="003B6756">
              <w:rPr>
                <w:rFonts w:eastAsia="Times New Roman"/>
                <w:color w:val="000000"/>
                <w:sz w:val="20"/>
                <w:szCs w:val="20"/>
                <w:lang w:eastAsia="es-MX"/>
              </w:rPr>
              <w:t>gravic</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3B6756" w:rsidRPr="003B6756" w:rsidRDefault="003B6756" w:rsidP="003B6756">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58,504</w:t>
            </w:r>
          </w:p>
        </w:tc>
        <w:tc>
          <w:tcPr>
            <w:tcW w:w="1559" w:type="dxa"/>
            <w:tcBorders>
              <w:top w:val="nil"/>
              <w:left w:val="nil"/>
              <w:bottom w:val="single" w:sz="4" w:space="0" w:color="auto"/>
              <w:right w:val="single" w:sz="4" w:space="0" w:color="auto"/>
            </w:tcBorders>
            <w:shd w:val="clear" w:color="auto" w:fill="auto"/>
            <w:noWrap/>
            <w:vAlign w:val="center"/>
            <w:hideMark/>
          </w:tcPr>
          <w:p w:rsidR="003B6756" w:rsidRPr="003B6756" w:rsidRDefault="003B6756" w:rsidP="003B6756">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3B6756" w:rsidRPr="003B6756" w:rsidTr="003B6756">
        <w:trPr>
          <w:trHeight w:hRule="exac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3B6756" w:rsidRPr="003B6756" w:rsidRDefault="003B6756" w:rsidP="003B6756">
            <w:pPr>
              <w:spacing w:after="0" w:line="240" w:lineRule="auto"/>
              <w:jc w:val="center"/>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3B6756" w:rsidRPr="003B6756" w:rsidRDefault="003B6756" w:rsidP="003B6756">
            <w:pPr>
              <w:spacing w:after="0" w:line="240" w:lineRule="auto"/>
              <w:jc w:val="right"/>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21,987,885</w:t>
            </w:r>
          </w:p>
        </w:tc>
      </w:tr>
    </w:tbl>
    <w:p w:rsidR="006F0C7E" w:rsidRDefault="006F0C7E" w:rsidP="006F0C7E">
      <w:pPr>
        <w:pStyle w:val="Texto"/>
        <w:spacing w:after="80" w:line="203" w:lineRule="exact"/>
        <w:ind w:left="624" w:firstLine="0"/>
        <w:rPr>
          <w:rFonts w:ascii="Calibri" w:hAnsi="Calibri" w:cs="DIN Pro Regular"/>
          <w:sz w:val="20"/>
          <w:lang w:val="es-MX"/>
        </w:rPr>
      </w:pPr>
    </w:p>
    <w:p w:rsidR="00493686" w:rsidRPr="006F0C7E" w:rsidRDefault="00493686" w:rsidP="006F0C7E">
      <w:pPr>
        <w:pStyle w:val="Texto"/>
        <w:spacing w:after="80" w:line="203" w:lineRule="exact"/>
        <w:ind w:left="624" w:firstLine="0"/>
        <w:rPr>
          <w:rFonts w:ascii="Calibri" w:hAnsi="Calibri" w:cs="DIN Pro Regular"/>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tbl>
      <w:tblPr>
        <w:tblW w:w="8120" w:type="dxa"/>
        <w:jc w:val="center"/>
        <w:tblInd w:w="53" w:type="dxa"/>
        <w:tblCellMar>
          <w:left w:w="70" w:type="dxa"/>
          <w:right w:w="70" w:type="dxa"/>
        </w:tblCellMar>
        <w:tblLook w:val="04A0" w:firstRow="1" w:lastRow="0" w:firstColumn="1" w:lastColumn="0" w:noHBand="0" w:noVBand="1"/>
      </w:tblPr>
      <w:tblGrid>
        <w:gridCol w:w="6460"/>
        <w:gridCol w:w="1660"/>
      </w:tblGrid>
      <w:tr w:rsidR="00493686" w:rsidRPr="00493686" w:rsidTr="00493686">
        <w:trPr>
          <w:trHeight w:val="300"/>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3686" w:rsidRPr="00493686" w:rsidRDefault="00493686" w:rsidP="00493686">
            <w:pPr>
              <w:spacing w:after="0" w:line="240" w:lineRule="auto"/>
              <w:rPr>
                <w:rFonts w:eastAsia="Times New Roman"/>
                <w:color w:val="000000"/>
                <w:sz w:val="20"/>
                <w:szCs w:val="20"/>
                <w:lang w:eastAsia="es-MX"/>
              </w:rPr>
            </w:pPr>
            <w:r w:rsidRPr="00493686">
              <w:rPr>
                <w:rFonts w:eastAsia="Times New Roman"/>
                <w:color w:val="000000"/>
                <w:sz w:val="20"/>
                <w:szCs w:val="20"/>
                <w:lang w:eastAsia="es-MX"/>
              </w:rPr>
              <w:t xml:space="preserve">Depreciaciones Bienes Inmuebles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93686" w:rsidRPr="00493686" w:rsidRDefault="00493686" w:rsidP="00493686">
            <w:pPr>
              <w:spacing w:after="0" w:line="240" w:lineRule="auto"/>
              <w:jc w:val="right"/>
              <w:rPr>
                <w:rFonts w:eastAsia="Times New Roman"/>
                <w:color w:val="000000"/>
                <w:sz w:val="20"/>
                <w:szCs w:val="20"/>
                <w:lang w:eastAsia="es-MX"/>
              </w:rPr>
            </w:pPr>
            <w:r w:rsidRPr="00493686">
              <w:rPr>
                <w:rFonts w:eastAsia="Times New Roman"/>
                <w:color w:val="000000"/>
                <w:sz w:val="20"/>
                <w:szCs w:val="20"/>
                <w:lang w:eastAsia="es-MX"/>
              </w:rPr>
              <w:t>-4,598,047</w:t>
            </w:r>
          </w:p>
        </w:tc>
      </w:tr>
      <w:tr w:rsidR="00493686" w:rsidRPr="00493686" w:rsidTr="00493686">
        <w:trPr>
          <w:trHeight w:val="300"/>
          <w:jc w:val="center"/>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493686" w:rsidRPr="00493686" w:rsidRDefault="00493686" w:rsidP="00493686">
            <w:pPr>
              <w:spacing w:after="0" w:line="240" w:lineRule="auto"/>
              <w:rPr>
                <w:rFonts w:eastAsia="Times New Roman"/>
                <w:color w:val="000000"/>
                <w:sz w:val="20"/>
                <w:szCs w:val="20"/>
                <w:lang w:eastAsia="es-MX"/>
              </w:rPr>
            </w:pPr>
            <w:r w:rsidRPr="00493686">
              <w:rPr>
                <w:rFonts w:eastAsia="Times New Roman"/>
                <w:color w:val="000000"/>
                <w:sz w:val="20"/>
                <w:szCs w:val="20"/>
                <w:lang w:eastAsia="es-MX"/>
              </w:rPr>
              <w:t xml:space="preserve">Depreciaciones Bienes Muebles </w:t>
            </w:r>
          </w:p>
        </w:tc>
        <w:tc>
          <w:tcPr>
            <w:tcW w:w="1660" w:type="dxa"/>
            <w:tcBorders>
              <w:top w:val="nil"/>
              <w:left w:val="nil"/>
              <w:bottom w:val="single" w:sz="4" w:space="0" w:color="auto"/>
              <w:right w:val="single" w:sz="4" w:space="0" w:color="auto"/>
            </w:tcBorders>
            <w:shd w:val="clear" w:color="auto" w:fill="auto"/>
            <w:vAlign w:val="bottom"/>
            <w:hideMark/>
          </w:tcPr>
          <w:p w:rsidR="00493686" w:rsidRPr="00493686" w:rsidRDefault="00493686" w:rsidP="00493686">
            <w:pPr>
              <w:spacing w:after="0" w:line="240" w:lineRule="auto"/>
              <w:jc w:val="right"/>
              <w:rPr>
                <w:rFonts w:eastAsia="Times New Roman"/>
                <w:color w:val="000000"/>
                <w:sz w:val="20"/>
                <w:szCs w:val="20"/>
                <w:lang w:eastAsia="es-MX"/>
              </w:rPr>
            </w:pPr>
            <w:r w:rsidRPr="00493686">
              <w:rPr>
                <w:rFonts w:eastAsia="Times New Roman"/>
                <w:color w:val="000000"/>
                <w:sz w:val="20"/>
                <w:szCs w:val="20"/>
                <w:lang w:eastAsia="es-MX"/>
              </w:rPr>
              <w:t>-6,551,629</w:t>
            </w:r>
          </w:p>
        </w:tc>
      </w:tr>
      <w:tr w:rsidR="00493686" w:rsidRPr="00493686" w:rsidTr="00493686">
        <w:trPr>
          <w:trHeight w:hRule="exact" w:val="300"/>
          <w:jc w:val="center"/>
        </w:trPr>
        <w:tc>
          <w:tcPr>
            <w:tcW w:w="6460" w:type="dxa"/>
            <w:tcBorders>
              <w:top w:val="nil"/>
              <w:left w:val="single" w:sz="4" w:space="0" w:color="auto"/>
              <w:bottom w:val="single" w:sz="4" w:space="0" w:color="auto"/>
              <w:right w:val="single" w:sz="4" w:space="0" w:color="auto"/>
            </w:tcBorders>
            <w:shd w:val="clear" w:color="auto" w:fill="AB0033"/>
            <w:vAlign w:val="bottom"/>
            <w:hideMark/>
          </w:tcPr>
          <w:p w:rsidR="00493686" w:rsidRPr="00493686" w:rsidRDefault="00493686" w:rsidP="00493686">
            <w:pPr>
              <w:spacing w:after="0" w:line="240" w:lineRule="auto"/>
              <w:jc w:val="center"/>
              <w:rPr>
                <w:rFonts w:eastAsia="Times New Roman"/>
                <w:b/>
                <w:bCs/>
                <w:color w:val="FFFFFF" w:themeColor="background1"/>
                <w:sz w:val="20"/>
                <w:szCs w:val="20"/>
                <w:lang w:eastAsia="es-MX"/>
              </w:rPr>
            </w:pPr>
            <w:r w:rsidRPr="00493686">
              <w:rPr>
                <w:rFonts w:eastAsia="Times New Roman"/>
                <w:b/>
                <w:bCs/>
                <w:color w:val="FFFFFF" w:themeColor="background1"/>
                <w:sz w:val="20"/>
                <w:szCs w:val="20"/>
                <w:lang w:eastAsia="es-MX"/>
              </w:rPr>
              <w:t>TOTAL</w:t>
            </w:r>
          </w:p>
        </w:tc>
        <w:tc>
          <w:tcPr>
            <w:tcW w:w="1660" w:type="dxa"/>
            <w:tcBorders>
              <w:top w:val="nil"/>
              <w:left w:val="nil"/>
              <w:bottom w:val="single" w:sz="4" w:space="0" w:color="auto"/>
              <w:right w:val="single" w:sz="4" w:space="0" w:color="auto"/>
            </w:tcBorders>
            <w:shd w:val="clear" w:color="auto" w:fill="AB0033"/>
            <w:vAlign w:val="bottom"/>
            <w:hideMark/>
          </w:tcPr>
          <w:p w:rsidR="00493686" w:rsidRPr="00493686" w:rsidRDefault="00493686" w:rsidP="00493686">
            <w:pPr>
              <w:spacing w:after="0" w:line="240" w:lineRule="auto"/>
              <w:jc w:val="right"/>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 xml:space="preserve">$      </w:t>
            </w:r>
            <w:r w:rsidRPr="00493686">
              <w:rPr>
                <w:rFonts w:eastAsia="Times New Roman"/>
                <w:b/>
                <w:bCs/>
                <w:color w:val="FFFFFF" w:themeColor="background1"/>
                <w:sz w:val="20"/>
                <w:szCs w:val="20"/>
                <w:lang w:eastAsia="es-MX"/>
              </w:rPr>
              <w:t>-11,149,676</w:t>
            </w:r>
          </w:p>
        </w:tc>
      </w:tr>
    </w:tbl>
    <w:p w:rsidR="006928FD" w:rsidRPr="008A011E" w:rsidRDefault="006928FD" w:rsidP="00493686">
      <w:pPr>
        <w:pStyle w:val="Texto"/>
        <w:spacing w:after="80" w:line="203" w:lineRule="exact"/>
        <w:ind w:left="624" w:firstLine="0"/>
        <w:jc w:val="center"/>
        <w:rPr>
          <w:rFonts w:ascii="Calibri" w:hAnsi="Calibri" w:cs="DIN Pro Regular"/>
          <w:b/>
          <w:sz w:val="20"/>
          <w:lang w:val="es-MX"/>
        </w:rPr>
      </w:pP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r w:rsidR="00493686" w:rsidRPr="00493686">
        <w:rPr>
          <w:rFonts w:ascii="Calibri" w:hAnsi="Calibri" w:cs="DIN Pro Regular"/>
          <w:b/>
          <w:sz w:val="20"/>
          <w:lang w:val="es-MX"/>
        </w:rPr>
        <w:t>&lt;NO APLICA&gt;</w:t>
      </w:r>
    </w:p>
    <w:p w:rsidR="00DF01DA" w:rsidRDefault="00DF01DA" w:rsidP="00451D35">
      <w:pPr>
        <w:pStyle w:val="Texto"/>
        <w:spacing w:after="80" w:line="203" w:lineRule="exact"/>
        <w:ind w:left="624" w:firstLine="0"/>
        <w:rPr>
          <w:rFonts w:ascii="Calibri" w:hAnsi="Calibri" w:cs="DIN Pro Regular"/>
          <w:b/>
          <w:sz w:val="20"/>
          <w:lang w:val="es-MX"/>
        </w:rPr>
      </w:pPr>
    </w:p>
    <w:p w:rsidR="00A50FA0" w:rsidRPr="008A011E" w:rsidRDefault="00A50FA0"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EC503B"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143140" w:rsidRDefault="00143140" w:rsidP="00143140">
      <w:pPr>
        <w:pStyle w:val="ROMANOS"/>
        <w:spacing w:after="0" w:line="240" w:lineRule="exact"/>
        <w:ind w:left="1083" w:firstLine="0"/>
        <w:rPr>
          <w:rFonts w:ascii="Calibri" w:hAnsi="Calibri" w:cs="DIN Pro Regular"/>
          <w:sz w:val="20"/>
          <w:szCs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8E7681" w:rsidRPr="008E7681" w:rsidTr="00EC503B">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8E7681" w:rsidRPr="008E7681" w:rsidRDefault="008E7681" w:rsidP="008E7681">
            <w:pPr>
              <w:spacing w:after="0" w:line="240" w:lineRule="auto"/>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CUENTAS POR PAGAR A CORTO PLAZO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8E7681" w:rsidRPr="008E7681" w:rsidRDefault="00EC503B" w:rsidP="008E768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008E7681" w:rsidRPr="008E7681">
              <w:rPr>
                <w:rFonts w:eastAsia="Times New Roman"/>
                <w:b/>
                <w:bCs/>
                <w:color w:val="FFFFFF" w:themeColor="background1"/>
                <w:sz w:val="20"/>
                <w:szCs w:val="20"/>
                <w:lang w:eastAsia="es-MX"/>
              </w:rPr>
              <w:t>1,040,019</w:t>
            </w:r>
          </w:p>
        </w:tc>
      </w:tr>
      <w:tr w:rsidR="008E7681" w:rsidRPr="008E7681" w:rsidTr="00EC503B">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E7681" w:rsidRPr="008E7681" w:rsidRDefault="008E7681" w:rsidP="008E7681">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Servicios personales por pagar a corto plazo</w:t>
            </w:r>
          </w:p>
        </w:tc>
        <w:tc>
          <w:tcPr>
            <w:tcW w:w="1560"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color w:val="000000"/>
                <w:sz w:val="20"/>
                <w:szCs w:val="20"/>
                <w:lang w:eastAsia="es-MX"/>
              </w:rPr>
            </w:pPr>
            <w:r w:rsidRPr="008E7681">
              <w:rPr>
                <w:rFonts w:eastAsia="Times New Roman"/>
                <w:color w:val="000000"/>
                <w:sz w:val="20"/>
                <w:szCs w:val="20"/>
                <w:lang w:eastAsia="es-MX"/>
              </w:rPr>
              <w:t>140,404</w:t>
            </w:r>
          </w:p>
        </w:tc>
        <w:tc>
          <w:tcPr>
            <w:tcW w:w="1559"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8E7681" w:rsidRPr="008E7681" w:rsidTr="00EC503B">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E7681" w:rsidRPr="008E7681" w:rsidRDefault="008E7681" w:rsidP="008E7681">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Proveedores por pagar a corto plazo</w:t>
            </w:r>
          </w:p>
        </w:tc>
        <w:tc>
          <w:tcPr>
            <w:tcW w:w="1560"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color w:val="000000"/>
                <w:sz w:val="20"/>
                <w:szCs w:val="20"/>
                <w:lang w:eastAsia="es-MX"/>
              </w:rPr>
            </w:pPr>
            <w:r w:rsidRPr="008E7681">
              <w:rPr>
                <w:rFonts w:eastAsia="Times New Roman"/>
                <w:color w:val="000000"/>
                <w:sz w:val="20"/>
                <w:szCs w:val="20"/>
                <w:lang w:eastAsia="es-MX"/>
              </w:rPr>
              <w:t>7,257</w:t>
            </w:r>
          </w:p>
        </w:tc>
        <w:tc>
          <w:tcPr>
            <w:tcW w:w="1559"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8E7681" w:rsidRPr="008E7681" w:rsidTr="00EC503B">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E7681" w:rsidRPr="008E7681" w:rsidRDefault="008E7681" w:rsidP="008E7681">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Retenciones y contribuciones por pagar a corto plazo</w:t>
            </w:r>
          </w:p>
        </w:tc>
        <w:tc>
          <w:tcPr>
            <w:tcW w:w="1560"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color w:val="000000"/>
                <w:sz w:val="20"/>
                <w:szCs w:val="20"/>
                <w:lang w:eastAsia="es-MX"/>
              </w:rPr>
            </w:pPr>
            <w:r w:rsidRPr="008E7681">
              <w:rPr>
                <w:rFonts w:eastAsia="Times New Roman"/>
                <w:color w:val="000000"/>
                <w:sz w:val="20"/>
                <w:szCs w:val="20"/>
                <w:lang w:eastAsia="es-MX"/>
              </w:rPr>
              <w:t>892,358</w:t>
            </w:r>
          </w:p>
        </w:tc>
        <w:tc>
          <w:tcPr>
            <w:tcW w:w="1559" w:type="dxa"/>
            <w:tcBorders>
              <w:top w:val="nil"/>
              <w:left w:val="nil"/>
              <w:bottom w:val="single" w:sz="4" w:space="0" w:color="auto"/>
              <w:right w:val="single" w:sz="4" w:space="0" w:color="auto"/>
            </w:tcBorders>
            <w:shd w:val="clear" w:color="auto" w:fill="auto"/>
            <w:vAlign w:val="center"/>
            <w:hideMark/>
          </w:tcPr>
          <w:p w:rsidR="008E7681" w:rsidRPr="008E7681" w:rsidRDefault="008E7681" w:rsidP="008E7681">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8E7681" w:rsidRPr="008E7681" w:rsidTr="00EC503B">
        <w:trPr>
          <w:trHeight w:hRule="exac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8E7681" w:rsidRPr="008E7681" w:rsidRDefault="008E7681" w:rsidP="008E7681">
            <w:pPr>
              <w:spacing w:after="0" w:line="240" w:lineRule="auto"/>
              <w:jc w:val="center"/>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8E7681" w:rsidRPr="008E7681" w:rsidRDefault="00EC503B" w:rsidP="008E768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008E7681" w:rsidRPr="008E7681">
              <w:rPr>
                <w:rFonts w:eastAsia="Times New Roman"/>
                <w:b/>
                <w:bCs/>
                <w:color w:val="FFFFFF" w:themeColor="background1"/>
                <w:sz w:val="20"/>
                <w:szCs w:val="20"/>
                <w:lang w:eastAsia="es-MX"/>
              </w:rPr>
              <w:t>1,040,019</w:t>
            </w:r>
          </w:p>
        </w:tc>
      </w:tr>
    </w:tbl>
    <w:p w:rsidR="00EC503B" w:rsidRPr="008A011E" w:rsidRDefault="00EC503B" w:rsidP="00143140">
      <w:pPr>
        <w:pStyle w:val="ROMANOS"/>
        <w:spacing w:after="0" w:line="240" w:lineRule="exact"/>
        <w:ind w:left="1083" w:firstLine="0"/>
        <w:rPr>
          <w:rFonts w:ascii="Calibri" w:hAnsi="Calibri" w:cs="DIN Pro Regular"/>
          <w:sz w:val="20"/>
          <w:szCs w:val="20"/>
          <w:lang w:val="es-MX"/>
        </w:rPr>
      </w:pP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EC503B" w:rsidRDefault="00EC503B" w:rsidP="00EC503B">
      <w:pPr>
        <w:pStyle w:val="ROMANOS"/>
        <w:spacing w:after="0" w:line="240" w:lineRule="exact"/>
        <w:ind w:left="1083" w:firstLine="0"/>
        <w:rPr>
          <w:rFonts w:ascii="Calibri" w:hAnsi="Calibri" w:cs="DIN Pro Regular"/>
          <w:sz w:val="20"/>
          <w:szCs w:val="20"/>
          <w:lang w:val="es-MX"/>
        </w:rPr>
      </w:pPr>
    </w:p>
    <w:tbl>
      <w:tblPr>
        <w:tblW w:w="8120" w:type="dxa"/>
        <w:jc w:val="center"/>
        <w:tblInd w:w="56" w:type="dxa"/>
        <w:tblCellMar>
          <w:left w:w="70" w:type="dxa"/>
          <w:right w:w="70" w:type="dxa"/>
        </w:tblCellMar>
        <w:tblLook w:val="04A0" w:firstRow="1" w:lastRow="0" w:firstColumn="1" w:lastColumn="0" w:noHBand="0" w:noVBand="1"/>
      </w:tblPr>
      <w:tblGrid>
        <w:gridCol w:w="6460"/>
        <w:gridCol w:w="1660"/>
      </w:tblGrid>
      <w:tr w:rsidR="00EC503B" w:rsidRPr="00EC503B" w:rsidTr="00EC503B">
        <w:trPr>
          <w:trHeight w:val="300"/>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503B" w:rsidRPr="00EC503B" w:rsidRDefault="00EC503B" w:rsidP="00EC503B">
            <w:pPr>
              <w:spacing w:after="0" w:line="240" w:lineRule="auto"/>
              <w:rPr>
                <w:rFonts w:eastAsia="Times New Roman"/>
                <w:color w:val="000000"/>
                <w:sz w:val="20"/>
                <w:szCs w:val="20"/>
                <w:lang w:eastAsia="es-MX"/>
              </w:rPr>
            </w:pPr>
            <w:r w:rsidRPr="00EC503B">
              <w:rPr>
                <w:rFonts w:eastAsia="Times New Roman"/>
                <w:color w:val="000000"/>
                <w:sz w:val="20"/>
                <w:szCs w:val="20"/>
                <w:lang w:eastAsia="es-MX"/>
              </w:rPr>
              <w:t>Otros fondos de terceros en garantía y/o administración a corto plazo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C503B" w:rsidRPr="00EC503B" w:rsidRDefault="00EC503B" w:rsidP="00EC503B">
            <w:pPr>
              <w:spacing w:after="0" w:line="240" w:lineRule="auto"/>
              <w:jc w:val="right"/>
              <w:rPr>
                <w:rFonts w:eastAsia="Times New Roman"/>
                <w:color w:val="000000"/>
                <w:sz w:val="20"/>
                <w:szCs w:val="20"/>
                <w:lang w:eastAsia="es-MX"/>
              </w:rPr>
            </w:pPr>
            <w:r w:rsidRPr="00EC503B">
              <w:rPr>
                <w:rFonts w:eastAsia="Times New Roman"/>
                <w:color w:val="000000"/>
                <w:sz w:val="20"/>
                <w:szCs w:val="20"/>
                <w:lang w:eastAsia="es-MX"/>
              </w:rPr>
              <w:t>23,207</w:t>
            </w:r>
          </w:p>
        </w:tc>
      </w:tr>
      <w:tr w:rsidR="00EC503B" w:rsidRPr="00EC503B" w:rsidTr="00EC503B">
        <w:trPr>
          <w:trHeight w:val="300"/>
          <w:jc w:val="center"/>
        </w:trPr>
        <w:tc>
          <w:tcPr>
            <w:tcW w:w="6460" w:type="dxa"/>
            <w:tcBorders>
              <w:top w:val="nil"/>
              <w:left w:val="single" w:sz="4" w:space="0" w:color="auto"/>
              <w:bottom w:val="single" w:sz="4" w:space="0" w:color="auto"/>
              <w:right w:val="single" w:sz="4" w:space="0" w:color="auto"/>
            </w:tcBorders>
            <w:shd w:val="clear" w:color="auto" w:fill="AB0033"/>
            <w:vAlign w:val="center"/>
            <w:hideMark/>
          </w:tcPr>
          <w:p w:rsidR="00EC503B" w:rsidRPr="00EC503B" w:rsidRDefault="00EC503B" w:rsidP="00EC503B">
            <w:pPr>
              <w:spacing w:after="0" w:line="240" w:lineRule="auto"/>
              <w:jc w:val="center"/>
              <w:rPr>
                <w:rFonts w:eastAsia="Times New Roman"/>
                <w:b/>
                <w:bCs/>
                <w:color w:val="FFFFFF" w:themeColor="background1"/>
                <w:sz w:val="20"/>
                <w:szCs w:val="20"/>
                <w:lang w:eastAsia="es-MX"/>
              </w:rPr>
            </w:pPr>
            <w:r w:rsidRPr="00EC503B">
              <w:rPr>
                <w:rFonts w:eastAsia="Times New Roman"/>
                <w:b/>
                <w:bCs/>
                <w:color w:val="FFFFFF" w:themeColor="background1"/>
                <w:sz w:val="20"/>
                <w:szCs w:val="20"/>
                <w:lang w:eastAsia="es-MX"/>
              </w:rPr>
              <w:t>TOTAL</w:t>
            </w:r>
          </w:p>
        </w:tc>
        <w:tc>
          <w:tcPr>
            <w:tcW w:w="1660" w:type="dxa"/>
            <w:tcBorders>
              <w:top w:val="nil"/>
              <w:left w:val="nil"/>
              <w:bottom w:val="single" w:sz="4" w:space="0" w:color="auto"/>
              <w:right w:val="single" w:sz="4" w:space="0" w:color="auto"/>
            </w:tcBorders>
            <w:shd w:val="clear" w:color="auto" w:fill="AB0033"/>
            <w:vAlign w:val="center"/>
            <w:hideMark/>
          </w:tcPr>
          <w:p w:rsidR="00EC503B" w:rsidRPr="00EC503B" w:rsidRDefault="00EC503B" w:rsidP="00EC503B">
            <w:pPr>
              <w:spacing w:after="0" w:line="240" w:lineRule="auto"/>
              <w:jc w:val="right"/>
              <w:rPr>
                <w:rFonts w:eastAsia="Times New Roman"/>
                <w:b/>
                <w:bCs/>
                <w:color w:val="FFFFFF" w:themeColor="background1"/>
                <w:sz w:val="20"/>
                <w:szCs w:val="20"/>
                <w:lang w:eastAsia="es-MX"/>
              </w:rPr>
            </w:pPr>
            <w:r w:rsidRPr="00EC503B">
              <w:rPr>
                <w:rFonts w:eastAsia="Times New Roman"/>
                <w:b/>
                <w:bCs/>
                <w:color w:val="FFFFFF" w:themeColor="background1"/>
                <w:sz w:val="20"/>
                <w:szCs w:val="20"/>
                <w:lang w:eastAsia="es-MX"/>
              </w:rPr>
              <w:t>23,207</w:t>
            </w:r>
          </w:p>
        </w:tc>
      </w:tr>
    </w:tbl>
    <w:p w:rsidR="00EC503B" w:rsidRDefault="00EC503B" w:rsidP="001A4EEA">
      <w:pPr>
        <w:spacing w:after="0" w:line="240" w:lineRule="auto"/>
        <w:rPr>
          <w:rFonts w:cs="DIN Pro Regular"/>
          <w:sz w:val="20"/>
          <w:szCs w:val="20"/>
        </w:rPr>
      </w:pPr>
    </w:p>
    <w:p w:rsidR="001A4EEA" w:rsidRPr="008A011E" w:rsidRDefault="001A4EEA" w:rsidP="001A4EEA">
      <w:pPr>
        <w:spacing w:after="0" w:line="240" w:lineRule="auto"/>
        <w:rPr>
          <w:rFonts w:cs="DIN Pro Regular"/>
          <w:sz w:val="20"/>
          <w:szCs w:val="20"/>
        </w:rPr>
      </w:pPr>
    </w:p>
    <w:p w:rsidR="000803D2" w:rsidRPr="008A011E"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del resto de las cuentas de pasivo a corto y largo plazo que impacten en la información fina</w:t>
      </w:r>
      <w:r w:rsidR="000803D2" w:rsidRPr="008A011E">
        <w:rPr>
          <w:rFonts w:ascii="Calibri" w:hAnsi="Calibri" w:cs="DIN Pro Regular"/>
          <w:sz w:val="20"/>
          <w:szCs w:val="20"/>
          <w:lang w:val="es-MX"/>
        </w:rPr>
        <w:t>n</w:t>
      </w:r>
      <w:r w:rsidR="00D0206A" w:rsidRPr="008A011E">
        <w:rPr>
          <w:rFonts w:ascii="Calibri" w:hAnsi="Calibri" w:cs="DIN Pro Regular"/>
          <w:sz w:val="20"/>
          <w:szCs w:val="20"/>
          <w:lang w:val="es-MX"/>
        </w:rPr>
        <w:t>ciera</w:t>
      </w:r>
      <w:r w:rsidR="007006CA" w:rsidRPr="008A011E">
        <w:rPr>
          <w:rFonts w:ascii="Calibri" w:hAnsi="Calibri" w:cs="DIN Pro Regular"/>
          <w:sz w:val="20"/>
          <w:szCs w:val="20"/>
          <w:lang w:val="es-MX"/>
        </w:rPr>
        <w:t>.</w:t>
      </w:r>
      <w:r w:rsidR="00AC7D90">
        <w:rPr>
          <w:rFonts w:ascii="Calibri" w:hAnsi="Calibri" w:cs="DIN Pro Regular"/>
          <w:sz w:val="20"/>
          <w:szCs w:val="20"/>
          <w:lang w:val="es-MX"/>
        </w:rPr>
        <w:t xml:space="preserve"> </w:t>
      </w:r>
      <w:r w:rsidR="00AC7D90" w:rsidRPr="00AC7D90">
        <w:rPr>
          <w:rFonts w:ascii="Calibri" w:hAnsi="Calibri" w:cs="DIN Pro Regular"/>
          <w:sz w:val="20"/>
          <w:szCs w:val="20"/>
          <w:lang w:val="es-MX"/>
        </w:rPr>
        <w:t>&lt;NO APLICA&gt;</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A50FA0" w:rsidRDefault="00A50FA0">
      <w:pPr>
        <w:spacing w:after="0" w:line="240" w:lineRule="auto"/>
        <w:rPr>
          <w:rFonts w:eastAsia="Times New Roman" w:cs="DIN Pro Regular"/>
          <w:b/>
          <w:smallCaps/>
          <w:sz w:val="20"/>
          <w:szCs w:val="20"/>
          <w:lang w:val="es-ES" w:eastAsia="es-ES"/>
        </w:rPr>
      </w:pPr>
      <w:r>
        <w:rPr>
          <w:rFonts w:cs="DIN Pro Regular"/>
          <w:b/>
          <w:smallCaps/>
          <w:sz w:val="20"/>
          <w:szCs w:val="20"/>
        </w:rPr>
        <w:br w:type="page"/>
      </w: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lastRenderedPageBreak/>
        <w:t>II)</w:t>
      </w:r>
      <w:r w:rsidRPr="008A011E">
        <w:rPr>
          <w:rFonts w:ascii="Calibri" w:hAnsi="Calibri" w:cs="DIN Pro Regular"/>
          <w:b/>
          <w:smallCaps/>
          <w:sz w:val="20"/>
          <w:szCs w:val="20"/>
        </w:rPr>
        <w:tab/>
        <w:t>Notas al Estado de Actividades</w:t>
      </w:r>
    </w:p>
    <w:p w:rsidR="001C760F" w:rsidRDefault="001C760F" w:rsidP="000E6439">
      <w:pPr>
        <w:pStyle w:val="ROMANOS"/>
        <w:spacing w:after="0" w:line="240" w:lineRule="exact"/>
        <w:ind w:left="0" w:firstLine="0"/>
        <w:rPr>
          <w:rFonts w:ascii="Calibri" w:hAnsi="Calibri" w:cs="DIN Pro Regular"/>
          <w:sz w:val="20"/>
          <w:szCs w:val="20"/>
          <w:lang w:val="es-MX"/>
        </w:rPr>
      </w:pPr>
    </w:p>
    <w:p w:rsidR="00A50FA0" w:rsidRPr="008A011E" w:rsidRDefault="00A50FA0" w:rsidP="000E6439">
      <w:pPr>
        <w:pStyle w:val="ROMANOS"/>
        <w:spacing w:after="0" w:line="240" w:lineRule="exact"/>
        <w:ind w:left="0" w:firstLine="0"/>
        <w:rPr>
          <w:rFonts w:ascii="Calibri" w:hAnsi="Calibri" w:cs="DIN Pro Regular"/>
          <w:sz w:val="20"/>
          <w:szCs w:val="20"/>
          <w:lang w:val="es-MX"/>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 xml:space="preserve">Ingresos </w:t>
      </w:r>
      <w:r w:rsidR="00C81453">
        <w:rPr>
          <w:rFonts w:ascii="Calibri" w:hAnsi="Calibri" w:cs="DIN Pro Regular"/>
          <w:b/>
          <w:sz w:val="20"/>
          <w:szCs w:val="20"/>
          <w:lang w:val="es-MX"/>
        </w:rPr>
        <w:t>y Otros Beneficios</w:t>
      </w:r>
    </w:p>
    <w:p w:rsidR="00A50FA0" w:rsidRDefault="00A50FA0" w:rsidP="000E6439">
      <w:pPr>
        <w:pStyle w:val="ROMANOS"/>
        <w:spacing w:after="0" w:line="240" w:lineRule="exact"/>
        <w:ind w:left="1140"/>
        <w:rPr>
          <w:rFonts w:ascii="Calibri" w:hAnsi="Calibri" w:cs="DIN Pro Regular"/>
          <w:b/>
          <w:sz w:val="20"/>
          <w:szCs w:val="20"/>
          <w:lang w:val="es-MX"/>
        </w:rPr>
      </w:pPr>
    </w:p>
    <w:p w:rsidR="00C81453" w:rsidRDefault="00C81453" w:rsidP="000E6439">
      <w:pPr>
        <w:pStyle w:val="ROMANOS"/>
        <w:spacing w:after="0" w:line="240" w:lineRule="exact"/>
        <w:ind w:left="1140"/>
        <w:rPr>
          <w:rFonts w:ascii="Calibri" w:hAnsi="Calibri" w:cs="DIN Pro Regular"/>
          <w:b/>
          <w:sz w:val="20"/>
          <w:szCs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CD0E3F" w:rsidRPr="00CD0E3F" w:rsidTr="00CD0E3F">
        <w:trPr>
          <w:trHeight w:val="642"/>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CD0E3F" w:rsidRPr="00CD0E3F" w:rsidRDefault="00CD0E3F" w:rsidP="00CD0E3F">
            <w:pPr>
              <w:spacing w:after="0" w:line="240" w:lineRule="auto"/>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INGRESOS DE GESTION</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CD0E3F" w:rsidRPr="00CD0E3F" w:rsidRDefault="00CD0E3F" w:rsidP="00CD0E3F">
            <w:pPr>
              <w:spacing w:after="0" w:line="240" w:lineRule="auto"/>
              <w:jc w:val="right"/>
              <w:rPr>
                <w:rFonts w:eastAsia="Times New Roman"/>
                <w:b/>
                <w:bCs/>
                <w:color w:val="FFFFFF" w:themeColor="background1"/>
                <w:sz w:val="20"/>
                <w:szCs w:val="20"/>
                <w:lang w:eastAsia="es-MX"/>
              </w:rPr>
            </w:pPr>
            <w:r w:rsidRPr="003F6E75">
              <w:rPr>
                <w:rFonts w:eastAsia="Times New Roman"/>
                <w:b/>
                <w:bCs/>
                <w:color w:val="FFFFFF" w:themeColor="background1"/>
                <w:sz w:val="20"/>
                <w:szCs w:val="20"/>
                <w:lang w:eastAsia="es-MX"/>
              </w:rPr>
              <w:t xml:space="preserve">$             </w:t>
            </w:r>
            <w:r w:rsidRPr="00CD0E3F">
              <w:rPr>
                <w:rFonts w:eastAsia="Times New Roman"/>
                <w:b/>
                <w:bCs/>
                <w:color w:val="FFFFFF" w:themeColor="background1"/>
                <w:sz w:val="20"/>
                <w:szCs w:val="20"/>
                <w:lang w:eastAsia="es-MX"/>
              </w:rPr>
              <w:t>10,158</w:t>
            </w:r>
          </w:p>
        </w:tc>
      </w:tr>
      <w:tr w:rsidR="00CD0E3F" w:rsidRPr="00CD0E3F" w:rsidTr="00CD0E3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CD0E3F" w:rsidRPr="00CD0E3F" w:rsidRDefault="00CD0E3F" w:rsidP="00CD0E3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Productos</w:t>
            </w:r>
          </w:p>
        </w:tc>
        <w:tc>
          <w:tcPr>
            <w:tcW w:w="1560" w:type="dxa"/>
            <w:tcBorders>
              <w:top w:val="nil"/>
              <w:left w:val="nil"/>
              <w:bottom w:val="single" w:sz="4" w:space="0" w:color="auto"/>
              <w:right w:val="single" w:sz="4" w:space="0" w:color="auto"/>
            </w:tcBorders>
            <w:shd w:val="clear" w:color="auto" w:fill="auto"/>
            <w:vAlign w:val="center"/>
            <w:hideMark/>
          </w:tcPr>
          <w:p w:rsidR="00CD0E3F" w:rsidRPr="00CD0E3F" w:rsidRDefault="00CD0E3F" w:rsidP="00CD0E3F">
            <w:pPr>
              <w:spacing w:after="0" w:line="240" w:lineRule="auto"/>
              <w:jc w:val="right"/>
              <w:rPr>
                <w:rFonts w:eastAsia="Times New Roman"/>
                <w:color w:val="000000"/>
                <w:sz w:val="20"/>
                <w:szCs w:val="20"/>
                <w:lang w:eastAsia="es-MX"/>
              </w:rPr>
            </w:pPr>
            <w:r w:rsidRPr="00CD0E3F">
              <w:rPr>
                <w:rFonts w:eastAsia="Times New Roman"/>
                <w:color w:val="000000"/>
                <w:sz w:val="20"/>
                <w:szCs w:val="20"/>
                <w:lang w:eastAsia="es-MX"/>
              </w:rPr>
              <w:t>10,158</w:t>
            </w:r>
          </w:p>
        </w:tc>
        <w:tc>
          <w:tcPr>
            <w:tcW w:w="1559" w:type="dxa"/>
            <w:tcBorders>
              <w:top w:val="nil"/>
              <w:left w:val="nil"/>
              <w:bottom w:val="single" w:sz="4" w:space="0" w:color="auto"/>
              <w:right w:val="single" w:sz="4" w:space="0" w:color="auto"/>
            </w:tcBorders>
            <w:shd w:val="clear" w:color="auto" w:fill="auto"/>
            <w:vAlign w:val="center"/>
            <w:hideMark/>
          </w:tcPr>
          <w:p w:rsidR="00CD0E3F" w:rsidRPr="00CD0E3F" w:rsidRDefault="00CD0E3F" w:rsidP="00CD0E3F">
            <w:pPr>
              <w:spacing w:after="0" w:line="240" w:lineRule="auto"/>
              <w:jc w:val="right"/>
              <w:rPr>
                <w:rFonts w:eastAsia="Times New Roman"/>
                <w:b/>
                <w:bCs/>
                <w:color w:val="000000"/>
                <w:sz w:val="20"/>
                <w:szCs w:val="20"/>
                <w:lang w:eastAsia="es-MX"/>
              </w:rPr>
            </w:pPr>
            <w:r w:rsidRPr="00CD0E3F">
              <w:rPr>
                <w:rFonts w:eastAsia="Times New Roman"/>
                <w:b/>
                <w:bCs/>
                <w:color w:val="000000"/>
                <w:sz w:val="20"/>
                <w:szCs w:val="20"/>
                <w:lang w:eastAsia="es-MX"/>
              </w:rPr>
              <w:t> </w:t>
            </w:r>
          </w:p>
        </w:tc>
      </w:tr>
      <w:tr w:rsidR="00CD0E3F" w:rsidRPr="00CD0E3F" w:rsidTr="00CD0E3F">
        <w:trPr>
          <w:trHeight w:val="1035"/>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D0E3F" w:rsidRPr="00CD0E3F" w:rsidRDefault="00CD0E3F" w:rsidP="00CD0E3F">
            <w:pPr>
              <w:spacing w:after="0" w:line="240" w:lineRule="auto"/>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PARTICIPACIONES, APORTACIONES, CONVENIOS, INCENTIVOS DERIVADOS DE LA COLABORACIÓN FISCAL, FONDOS DISTINTOS DE APORTACIONES, TRANSFERENCIAS, ASIGNACIONES, SUBSIDIOS Y SUBVENCIONES, Y PENSIONES Y JUBILACIONES</w:t>
            </w:r>
          </w:p>
        </w:tc>
        <w:tc>
          <w:tcPr>
            <w:tcW w:w="1559" w:type="dxa"/>
            <w:tcBorders>
              <w:top w:val="nil"/>
              <w:left w:val="nil"/>
              <w:bottom w:val="single" w:sz="4" w:space="0" w:color="auto"/>
              <w:right w:val="single" w:sz="4" w:space="0" w:color="auto"/>
            </w:tcBorders>
            <w:shd w:val="clear" w:color="auto" w:fill="AB0033"/>
            <w:vAlign w:val="center"/>
            <w:hideMark/>
          </w:tcPr>
          <w:p w:rsidR="00CD0E3F" w:rsidRPr="00CD0E3F" w:rsidRDefault="00CD0E3F" w:rsidP="00CD0E3F">
            <w:pPr>
              <w:spacing w:after="0" w:line="240" w:lineRule="auto"/>
              <w:jc w:val="right"/>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37,696,399</w:t>
            </w:r>
          </w:p>
        </w:tc>
      </w:tr>
      <w:tr w:rsidR="00CD0E3F" w:rsidRPr="00CD0E3F" w:rsidTr="00CD0E3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CD0E3F" w:rsidRPr="00CD0E3F" w:rsidRDefault="00CD0E3F" w:rsidP="00CD0E3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Participaciones, aportaciones, convenios, incentivos derivados de la colaboración fiscal y fondos distintos de aportaciones</w:t>
            </w:r>
          </w:p>
        </w:tc>
        <w:tc>
          <w:tcPr>
            <w:tcW w:w="1560" w:type="dxa"/>
            <w:tcBorders>
              <w:top w:val="nil"/>
              <w:left w:val="nil"/>
              <w:bottom w:val="single" w:sz="4" w:space="0" w:color="auto"/>
              <w:right w:val="single" w:sz="4" w:space="0" w:color="auto"/>
            </w:tcBorders>
            <w:shd w:val="clear" w:color="auto" w:fill="auto"/>
            <w:vAlign w:val="center"/>
            <w:hideMark/>
          </w:tcPr>
          <w:p w:rsidR="00CD0E3F" w:rsidRPr="00CD0E3F" w:rsidRDefault="00CD0E3F" w:rsidP="00CD0E3F">
            <w:pPr>
              <w:spacing w:after="0" w:line="240" w:lineRule="auto"/>
              <w:jc w:val="right"/>
              <w:rPr>
                <w:rFonts w:eastAsia="Times New Roman"/>
                <w:color w:val="000000"/>
                <w:sz w:val="20"/>
                <w:szCs w:val="20"/>
                <w:lang w:eastAsia="es-MX"/>
              </w:rPr>
            </w:pPr>
            <w:r w:rsidRPr="00CD0E3F">
              <w:rPr>
                <w:rFonts w:eastAsia="Times New Roman"/>
                <w:color w:val="000000"/>
                <w:sz w:val="20"/>
                <w:szCs w:val="20"/>
                <w:lang w:eastAsia="es-MX"/>
              </w:rPr>
              <w:t>80,000</w:t>
            </w:r>
          </w:p>
        </w:tc>
        <w:tc>
          <w:tcPr>
            <w:tcW w:w="1559" w:type="dxa"/>
            <w:tcBorders>
              <w:top w:val="nil"/>
              <w:left w:val="nil"/>
              <w:bottom w:val="single" w:sz="4" w:space="0" w:color="auto"/>
              <w:right w:val="single" w:sz="4" w:space="0" w:color="auto"/>
            </w:tcBorders>
            <w:shd w:val="clear" w:color="auto" w:fill="auto"/>
            <w:noWrap/>
            <w:vAlign w:val="center"/>
            <w:hideMark/>
          </w:tcPr>
          <w:p w:rsidR="00CD0E3F" w:rsidRPr="00CD0E3F" w:rsidRDefault="00CD0E3F" w:rsidP="00CD0E3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 </w:t>
            </w:r>
          </w:p>
        </w:tc>
      </w:tr>
      <w:tr w:rsidR="00CD0E3F" w:rsidRPr="00CD0E3F" w:rsidTr="00CD0E3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CD0E3F" w:rsidRPr="00CD0E3F" w:rsidRDefault="00CD0E3F" w:rsidP="00CD0E3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Transferencias, asignaciones, subsidios y subvenciones, y pensiones y jubilaciones</w:t>
            </w:r>
          </w:p>
        </w:tc>
        <w:tc>
          <w:tcPr>
            <w:tcW w:w="1560" w:type="dxa"/>
            <w:tcBorders>
              <w:top w:val="nil"/>
              <w:left w:val="nil"/>
              <w:bottom w:val="single" w:sz="4" w:space="0" w:color="auto"/>
              <w:right w:val="single" w:sz="4" w:space="0" w:color="auto"/>
            </w:tcBorders>
            <w:shd w:val="clear" w:color="auto" w:fill="auto"/>
            <w:vAlign w:val="center"/>
            <w:hideMark/>
          </w:tcPr>
          <w:p w:rsidR="00CD0E3F" w:rsidRPr="00CD0E3F" w:rsidRDefault="00CD0E3F" w:rsidP="00CD0E3F">
            <w:pPr>
              <w:spacing w:after="0" w:line="240" w:lineRule="auto"/>
              <w:jc w:val="right"/>
              <w:rPr>
                <w:rFonts w:eastAsia="Times New Roman"/>
                <w:color w:val="000000"/>
                <w:sz w:val="20"/>
                <w:szCs w:val="20"/>
                <w:lang w:eastAsia="es-MX"/>
              </w:rPr>
            </w:pPr>
            <w:r w:rsidRPr="00CD0E3F">
              <w:rPr>
                <w:rFonts w:eastAsia="Times New Roman"/>
                <w:color w:val="000000"/>
                <w:sz w:val="20"/>
                <w:szCs w:val="20"/>
                <w:lang w:eastAsia="es-MX"/>
              </w:rPr>
              <w:t>37,616,399</w:t>
            </w:r>
          </w:p>
        </w:tc>
        <w:tc>
          <w:tcPr>
            <w:tcW w:w="1559" w:type="dxa"/>
            <w:tcBorders>
              <w:top w:val="nil"/>
              <w:left w:val="nil"/>
              <w:bottom w:val="single" w:sz="4" w:space="0" w:color="auto"/>
              <w:right w:val="single" w:sz="4" w:space="0" w:color="auto"/>
            </w:tcBorders>
            <w:shd w:val="clear" w:color="auto" w:fill="auto"/>
            <w:noWrap/>
            <w:vAlign w:val="center"/>
            <w:hideMark/>
          </w:tcPr>
          <w:p w:rsidR="00CD0E3F" w:rsidRPr="00CD0E3F" w:rsidRDefault="00CD0E3F" w:rsidP="00CD0E3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 </w:t>
            </w:r>
          </w:p>
        </w:tc>
      </w:tr>
      <w:tr w:rsidR="00CD0E3F" w:rsidRPr="00CD0E3F" w:rsidTr="00CD0E3F">
        <w:trPr>
          <w:trHeight w:val="625"/>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D0E3F" w:rsidRPr="00CD0E3F" w:rsidRDefault="00CD0E3F" w:rsidP="00CD0E3F">
            <w:pPr>
              <w:spacing w:after="0" w:line="240" w:lineRule="auto"/>
              <w:jc w:val="center"/>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TOTAL</w:t>
            </w:r>
            <w:r w:rsidR="005E7AF4" w:rsidRPr="003F6E75">
              <w:rPr>
                <w:rFonts w:eastAsia="Times New Roman"/>
                <w:b/>
                <w:bCs/>
                <w:color w:val="FFFFFF" w:themeColor="background1"/>
                <w:sz w:val="20"/>
                <w:szCs w:val="20"/>
                <w:lang w:eastAsia="es-MX"/>
              </w:rPr>
              <w:t xml:space="preserve"> INGRESOS Y OTROS BENEFICIOS</w:t>
            </w:r>
          </w:p>
        </w:tc>
        <w:tc>
          <w:tcPr>
            <w:tcW w:w="1559" w:type="dxa"/>
            <w:tcBorders>
              <w:top w:val="nil"/>
              <w:left w:val="nil"/>
              <w:bottom w:val="single" w:sz="4" w:space="0" w:color="auto"/>
              <w:right w:val="single" w:sz="4" w:space="0" w:color="auto"/>
            </w:tcBorders>
            <w:shd w:val="clear" w:color="auto" w:fill="AB0033"/>
            <w:vAlign w:val="center"/>
            <w:hideMark/>
          </w:tcPr>
          <w:p w:rsidR="00CD0E3F" w:rsidRPr="00CD0E3F" w:rsidRDefault="00CD0E3F" w:rsidP="00CD0E3F">
            <w:pPr>
              <w:spacing w:after="0" w:line="240" w:lineRule="auto"/>
              <w:jc w:val="right"/>
              <w:rPr>
                <w:rFonts w:eastAsia="Times New Roman"/>
                <w:b/>
                <w:bCs/>
                <w:color w:val="FFFFFF" w:themeColor="background1"/>
                <w:sz w:val="20"/>
                <w:szCs w:val="20"/>
                <w:lang w:eastAsia="es-MX"/>
              </w:rPr>
            </w:pPr>
            <w:r w:rsidRPr="003F6E75">
              <w:rPr>
                <w:rFonts w:eastAsia="Times New Roman"/>
                <w:b/>
                <w:bCs/>
                <w:color w:val="FFFFFF" w:themeColor="background1"/>
                <w:sz w:val="20"/>
                <w:szCs w:val="20"/>
                <w:lang w:eastAsia="es-MX"/>
              </w:rPr>
              <w:t xml:space="preserve">$      </w:t>
            </w:r>
            <w:r w:rsidRPr="00CD0E3F">
              <w:rPr>
                <w:rFonts w:eastAsia="Times New Roman"/>
                <w:b/>
                <w:bCs/>
                <w:color w:val="FFFFFF" w:themeColor="background1"/>
                <w:sz w:val="20"/>
                <w:szCs w:val="20"/>
                <w:lang w:eastAsia="es-MX"/>
              </w:rPr>
              <w:t>37,706,557</w:t>
            </w:r>
          </w:p>
        </w:tc>
      </w:tr>
    </w:tbl>
    <w:p w:rsidR="00C81453" w:rsidRPr="008A011E" w:rsidRDefault="00C81453"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Pr="008A011E"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8E1076" w:rsidRPr="008E1076" w:rsidTr="008E1076">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8E1076" w:rsidRPr="008E1076" w:rsidRDefault="008E1076" w:rsidP="008E1076">
            <w:pPr>
              <w:spacing w:after="0" w:line="240" w:lineRule="auto"/>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GASTOS DE FUNCIONAMIENTO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8E1076" w:rsidRPr="008E1076" w:rsidRDefault="008E1076" w:rsidP="008E1076">
            <w:pPr>
              <w:spacing w:after="0" w:line="240" w:lineRule="auto"/>
              <w:jc w:val="right"/>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34,211,587</w:t>
            </w:r>
          </w:p>
        </w:tc>
      </w:tr>
      <w:tr w:rsidR="008E1076" w:rsidRPr="008E1076" w:rsidTr="008E1076">
        <w:trPr>
          <w:trHeight w:val="300"/>
        </w:trPr>
        <w:tc>
          <w:tcPr>
            <w:tcW w:w="6095" w:type="dxa"/>
            <w:tcBorders>
              <w:top w:val="nil"/>
              <w:left w:val="single" w:sz="4" w:space="0" w:color="auto"/>
              <w:bottom w:val="single" w:sz="4" w:space="0" w:color="auto"/>
              <w:right w:val="single" w:sz="4" w:space="0" w:color="auto"/>
            </w:tcBorders>
            <w:shd w:val="clear" w:color="000000" w:fill="FFFFFF"/>
            <w:noWrap/>
            <w:vAlign w:val="center"/>
            <w:hideMark/>
          </w:tcPr>
          <w:p w:rsidR="008E1076" w:rsidRPr="008E1076" w:rsidRDefault="008E1076" w:rsidP="008E1076">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 xml:space="preserve">Servicios Personales  </w:t>
            </w:r>
          </w:p>
        </w:tc>
        <w:tc>
          <w:tcPr>
            <w:tcW w:w="1560"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color w:val="000000"/>
                <w:sz w:val="20"/>
                <w:szCs w:val="20"/>
                <w:lang w:eastAsia="es-MX"/>
              </w:rPr>
            </w:pPr>
            <w:r w:rsidRPr="008E1076">
              <w:rPr>
                <w:rFonts w:eastAsia="Times New Roman"/>
                <w:color w:val="000000"/>
                <w:sz w:val="20"/>
                <w:szCs w:val="20"/>
                <w:lang w:eastAsia="es-MX"/>
              </w:rPr>
              <w:t>29,494,246</w:t>
            </w:r>
          </w:p>
        </w:tc>
        <w:tc>
          <w:tcPr>
            <w:tcW w:w="1559"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8E1076" w:rsidRPr="008E1076" w:rsidTr="008E1076">
        <w:trPr>
          <w:trHeight w:val="300"/>
        </w:trPr>
        <w:tc>
          <w:tcPr>
            <w:tcW w:w="6095" w:type="dxa"/>
            <w:tcBorders>
              <w:top w:val="nil"/>
              <w:left w:val="single" w:sz="4" w:space="0" w:color="auto"/>
              <w:bottom w:val="single" w:sz="4" w:space="0" w:color="auto"/>
              <w:right w:val="single" w:sz="4" w:space="0" w:color="auto"/>
            </w:tcBorders>
            <w:shd w:val="clear" w:color="000000" w:fill="FFFFFF"/>
            <w:noWrap/>
            <w:vAlign w:val="center"/>
            <w:hideMark/>
          </w:tcPr>
          <w:p w:rsidR="008E1076" w:rsidRPr="008E1076" w:rsidRDefault="008E1076" w:rsidP="008E1076">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Materiales y Suministros</w:t>
            </w:r>
          </w:p>
        </w:tc>
        <w:tc>
          <w:tcPr>
            <w:tcW w:w="1560"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color w:val="000000"/>
                <w:sz w:val="20"/>
                <w:szCs w:val="20"/>
                <w:lang w:eastAsia="es-MX"/>
              </w:rPr>
            </w:pPr>
            <w:r w:rsidRPr="008E1076">
              <w:rPr>
                <w:rFonts w:eastAsia="Times New Roman"/>
                <w:color w:val="000000"/>
                <w:sz w:val="20"/>
                <w:szCs w:val="20"/>
                <w:lang w:eastAsia="es-MX"/>
              </w:rPr>
              <w:t>1,650,002</w:t>
            </w:r>
          </w:p>
        </w:tc>
        <w:tc>
          <w:tcPr>
            <w:tcW w:w="1559"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8E1076" w:rsidRPr="008E1076" w:rsidTr="008E1076">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8E1076" w:rsidRPr="008E1076" w:rsidRDefault="008E1076" w:rsidP="008E1076">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Servicios Generales</w:t>
            </w:r>
          </w:p>
        </w:tc>
        <w:tc>
          <w:tcPr>
            <w:tcW w:w="1560"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color w:val="000000"/>
                <w:sz w:val="20"/>
                <w:szCs w:val="20"/>
                <w:lang w:eastAsia="es-MX"/>
              </w:rPr>
            </w:pPr>
            <w:r w:rsidRPr="008E1076">
              <w:rPr>
                <w:rFonts w:eastAsia="Times New Roman"/>
                <w:color w:val="000000"/>
                <w:sz w:val="20"/>
                <w:szCs w:val="20"/>
                <w:lang w:eastAsia="es-MX"/>
              </w:rPr>
              <w:t>3,067,339</w:t>
            </w:r>
          </w:p>
        </w:tc>
        <w:tc>
          <w:tcPr>
            <w:tcW w:w="1559"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8E1076" w:rsidRPr="008E1076" w:rsidTr="008E1076">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8E1076" w:rsidRPr="008E1076" w:rsidRDefault="008E1076" w:rsidP="008E1076">
            <w:pPr>
              <w:spacing w:after="0" w:line="240" w:lineRule="auto"/>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OTROS GASTOS Y PÉRDIDAS EXTRAORDINARIAS</w:t>
            </w:r>
          </w:p>
        </w:tc>
        <w:tc>
          <w:tcPr>
            <w:tcW w:w="1559" w:type="dxa"/>
            <w:tcBorders>
              <w:top w:val="nil"/>
              <w:left w:val="nil"/>
              <w:bottom w:val="single" w:sz="4" w:space="0" w:color="auto"/>
              <w:right w:val="single" w:sz="4" w:space="0" w:color="auto"/>
            </w:tcBorders>
            <w:shd w:val="clear" w:color="auto" w:fill="AB0033"/>
            <w:vAlign w:val="center"/>
            <w:hideMark/>
          </w:tcPr>
          <w:p w:rsidR="008E1076" w:rsidRPr="008E1076" w:rsidRDefault="008E1076" w:rsidP="008E1076">
            <w:pPr>
              <w:spacing w:after="0" w:line="240" w:lineRule="auto"/>
              <w:jc w:val="right"/>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379,277</w:t>
            </w:r>
          </w:p>
        </w:tc>
      </w:tr>
      <w:tr w:rsidR="008E1076" w:rsidRPr="008E1076" w:rsidTr="008E1076">
        <w:trPr>
          <w:trHeight w:val="6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Estimaciones, Depreciaciones, Deterioros, Obsolescencia y Amortizaciones</w:t>
            </w:r>
          </w:p>
        </w:tc>
        <w:tc>
          <w:tcPr>
            <w:tcW w:w="1560" w:type="dxa"/>
            <w:tcBorders>
              <w:top w:val="nil"/>
              <w:left w:val="nil"/>
              <w:bottom w:val="single" w:sz="4" w:space="0" w:color="auto"/>
              <w:right w:val="single" w:sz="4" w:space="0" w:color="auto"/>
            </w:tcBorders>
            <w:shd w:val="clear" w:color="auto" w:fill="auto"/>
            <w:vAlign w:val="center"/>
            <w:hideMark/>
          </w:tcPr>
          <w:p w:rsidR="008E1076" w:rsidRPr="008E1076" w:rsidRDefault="008E1076" w:rsidP="008E1076">
            <w:pPr>
              <w:spacing w:after="0" w:line="240" w:lineRule="auto"/>
              <w:jc w:val="right"/>
              <w:rPr>
                <w:rFonts w:eastAsia="Times New Roman"/>
                <w:color w:val="000000"/>
                <w:sz w:val="20"/>
                <w:szCs w:val="20"/>
                <w:lang w:eastAsia="es-MX"/>
              </w:rPr>
            </w:pPr>
            <w:r w:rsidRPr="008E1076">
              <w:rPr>
                <w:rFonts w:eastAsia="Times New Roman"/>
                <w:color w:val="000000"/>
                <w:sz w:val="20"/>
                <w:szCs w:val="20"/>
                <w:lang w:eastAsia="es-MX"/>
              </w:rPr>
              <w:t>379,277</w:t>
            </w:r>
          </w:p>
        </w:tc>
        <w:tc>
          <w:tcPr>
            <w:tcW w:w="1559" w:type="dxa"/>
            <w:tcBorders>
              <w:top w:val="nil"/>
              <w:left w:val="nil"/>
              <w:bottom w:val="single" w:sz="4" w:space="0" w:color="auto"/>
              <w:right w:val="single" w:sz="4" w:space="0" w:color="auto"/>
            </w:tcBorders>
            <w:shd w:val="clear" w:color="auto" w:fill="auto"/>
            <w:noWrap/>
            <w:vAlign w:val="center"/>
            <w:hideMark/>
          </w:tcPr>
          <w:p w:rsidR="008E1076" w:rsidRPr="008E1076" w:rsidRDefault="008E1076" w:rsidP="008E1076">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 </w:t>
            </w:r>
          </w:p>
        </w:tc>
      </w:tr>
      <w:tr w:rsidR="008E1076" w:rsidRPr="008E1076" w:rsidTr="008E1076">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8E1076" w:rsidRPr="008E1076" w:rsidRDefault="008E1076" w:rsidP="008E1076">
            <w:pPr>
              <w:spacing w:after="0" w:line="240" w:lineRule="auto"/>
              <w:jc w:val="center"/>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TOTAL GASTOS Y OTRAS PERDIDAS</w:t>
            </w:r>
          </w:p>
        </w:tc>
        <w:tc>
          <w:tcPr>
            <w:tcW w:w="1559" w:type="dxa"/>
            <w:tcBorders>
              <w:top w:val="nil"/>
              <w:left w:val="nil"/>
              <w:bottom w:val="single" w:sz="4" w:space="0" w:color="auto"/>
              <w:right w:val="single" w:sz="4" w:space="0" w:color="auto"/>
            </w:tcBorders>
            <w:shd w:val="clear" w:color="auto" w:fill="AB0033"/>
            <w:vAlign w:val="center"/>
            <w:hideMark/>
          </w:tcPr>
          <w:p w:rsidR="008E1076" w:rsidRPr="008E1076" w:rsidRDefault="008E1076" w:rsidP="008E1076">
            <w:pPr>
              <w:spacing w:after="0" w:line="240" w:lineRule="auto"/>
              <w:jc w:val="right"/>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34,590,864</w:t>
            </w:r>
          </w:p>
        </w:tc>
      </w:tr>
    </w:tbl>
    <w:p w:rsidR="00DF01DA" w:rsidRPr="008A011E" w:rsidRDefault="00DF01DA"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540418" w:rsidRPr="008A011E" w:rsidRDefault="00540418" w:rsidP="00540418">
      <w:pPr>
        <w:pStyle w:val="ROMANOS"/>
        <w:spacing w:after="0" w:line="240" w:lineRule="exact"/>
        <w:ind w:left="1008"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5D40CD" w:rsidRPr="005D40CD" w:rsidRDefault="005D40CD" w:rsidP="005D40CD">
      <w:pPr>
        <w:pStyle w:val="Texto"/>
        <w:spacing w:after="80" w:line="203" w:lineRule="exact"/>
        <w:ind w:left="624"/>
        <w:rPr>
          <w:rFonts w:ascii="Calibri" w:hAnsi="Calibri" w:cs="DIN Pro Regular"/>
          <w:sz w:val="20"/>
          <w:lang w:val="es-MX"/>
        </w:rPr>
      </w:pPr>
    </w:p>
    <w:p w:rsidR="00DF01DA" w:rsidRPr="005D40CD" w:rsidRDefault="003F6E75" w:rsidP="005D40CD">
      <w:pPr>
        <w:pStyle w:val="Texto"/>
        <w:spacing w:after="80" w:line="203" w:lineRule="exact"/>
        <w:ind w:left="624"/>
        <w:rPr>
          <w:rFonts w:ascii="Calibri" w:hAnsi="Calibri" w:cs="DIN Pro Regular"/>
          <w:sz w:val="20"/>
          <w:lang w:val="es-MX"/>
        </w:rPr>
      </w:pPr>
      <w:r w:rsidRPr="005D40CD">
        <w:rPr>
          <w:rFonts w:ascii="Calibri" w:hAnsi="Calibri" w:cs="DIN Pro Regular"/>
          <w:sz w:val="20"/>
          <w:lang w:val="es-MX"/>
        </w:rPr>
        <w:t>Se aprecia una diferencia en aportaciones</w:t>
      </w:r>
      <w:r w:rsidR="005D40CD">
        <w:rPr>
          <w:rFonts w:ascii="Calibri" w:hAnsi="Calibri" w:cs="DIN Pro Regular"/>
          <w:sz w:val="20"/>
          <w:lang w:val="es-MX"/>
        </w:rPr>
        <w:t xml:space="preserve"> por el registro de las depreciaciones del 2022 de activos</w:t>
      </w:r>
      <w:r w:rsidRPr="005D40CD">
        <w:rPr>
          <w:rFonts w:ascii="Calibri" w:hAnsi="Calibri" w:cs="DIN Pro Regular"/>
          <w:sz w:val="20"/>
          <w:lang w:val="es-MX"/>
        </w:rPr>
        <w:t xml:space="preserve"> que anteriormente la adquisición de bienes muebles e inmuebles se registraba en esta cuenta y no se registraba la depreciación,  razón por</w:t>
      </w:r>
      <w:r w:rsidR="005D40CD">
        <w:rPr>
          <w:rFonts w:ascii="Calibri" w:hAnsi="Calibri" w:cs="DIN Pro Regular"/>
          <w:sz w:val="20"/>
          <w:lang w:val="es-MX"/>
        </w:rPr>
        <w:t xml:space="preserve"> la cual disminuye el monto,</w:t>
      </w:r>
      <w:r w:rsidR="009620F4">
        <w:rPr>
          <w:rFonts w:ascii="Calibri" w:hAnsi="Calibri" w:cs="DIN Pro Regular"/>
          <w:sz w:val="20"/>
          <w:lang w:val="es-MX"/>
        </w:rPr>
        <w:t xml:space="preserve"> y</w:t>
      </w:r>
      <w:r w:rsidR="005D40CD">
        <w:rPr>
          <w:rFonts w:ascii="Calibri" w:hAnsi="Calibri" w:cs="DIN Pro Regular"/>
          <w:sz w:val="20"/>
          <w:lang w:val="es-MX"/>
        </w:rPr>
        <w:t xml:space="preserve"> </w:t>
      </w:r>
      <w:r w:rsidRPr="005D40CD">
        <w:rPr>
          <w:rFonts w:ascii="Calibri" w:hAnsi="Calibri" w:cs="DIN Pro Regular"/>
          <w:sz w:val="20"/>
          <w:lang w:val="es-MX"/>
        </w:rPr>
        <w:t>así como</w:t>
      </w:r>
      <w:r w:rsidR="005D40CD">
        <w:rPr>
          <w:rFonts w:ascii="Calibri" w:hAnsi="Calibri" w:cs="DIN Pro Regular"/>
          <w:sz w:val="20"/>
          <w:lang w:val="es-MX"/>
        </w:rPr>
        <w:t xml:space="preserve"> la disminución de la cuenta de resultado de ejercicios anteriores por los</w:t>
      </w:r>
      <w:r w:rsidRPr="005D40CD">
        <w:rPr>
          <w:rFonts w:ascii="Calibri" w:hAnsi="Calibri" w:cs="DIN Pro Regular"/>
          <w:sz w:val="20"/>
          <w:lang w:val="es-MX"/>
        </w:rPr>
        <w:t xml:space="preserve"> reintegro</w:t>
      </w:r>
      <w:r w:rsidR="005D40CD">
        <w:rPr>
          <w:rFonts w:ascii="Calibri" w:hAnsi="Calibri" w:cs="DIN Pro Regular"/>
          <w:sz w:val="20"/>
          <w:lang w:val="es-MX"/>
        </w:rPr>
        <w:t>s</w:t>
      </w:r>
      <w:r w:rsidRPr="005D40CD">
        <w:rPr>
          <w:rFonts w:ascii="Calibri" w:hAnsi="Calibri" w:cs="DIN Pro Regular"/>
          <w:sz w:val="20"/>
          <w:lang w:val="es-MX"/>
        </w:rPr>
        <w:t xml:space="preserve"> de remanente</w:t>
      </w:r>
      <w:r w:rsidR="005D40CD">
        <w:rPr>
          <w:rFonts w:ascii="Calibri" w:hAnsi="Calibri" w:cs="DIN Pro Regular"/>
          <w:sz w:val="20"/>
          <w:lang w:val="es-MX"/>
        </w:rPr>
        <w:t>s del ejercicio</w:t>
      </w:r>
      <w:r w:rsidRPr="005D40CD">
        <w:rPr>
          <w:rFonts w:ascii="Calibri" w:hAnsi="Calibri" w:cs="DIN Pro Regular"/>
          <w:sz w:val="20"/>
          <w:lang w:val="es-MX"/>
        </w:rPr>
        <w:t xml:space="preserve"> 2021</w:t>
      </w:r>
      <w:r w:rsidR="009620F4">
        <w:rPr>
          <w:rFonts w:ascii="Calibri" w:hAnsi="Calibri" w:cs="DIN Pro Regular"/>
          <w:sz w:val="20"/>
          <w:lang w:val="es-MX"/>
        </w:rPr>
        <w:t xml:space="preserve"> realizados en el ejercicio</w:t>
      </w:r>
      <w:r w:rsidR="005D40CD">
        <w:rPr>
          <w:rFonts w:ascii="Calibri" w:hAnsi="Calibri" w:cs="DIN Pro Regular"/>
          <w:sz w:val="20"/>
          <w:lang w:val="es-MX"/>
        </w:rPr>
        <w:t>.</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A50FA0" w:rsidRDefault="00A50FA0">
      <w:pPr>
        <w:spacing w:after="0" w:line="240" w:lineRule="auto"/>
        <w:rPr>
          <w:rFonts w:eastAsia="Times New Roman" w:cs="DIN Pro Regular"/>
          <w:b/>
          <w:smallCaps/>
          <w:sz w:val="20"/>
          <w:szCs w:val="20"/>
          <w:lang w:val="es-ES" w:eastAsia="es-ES"/>
        </w:rPr>
      </w:pPr>
      <w:r>
        <w:rPr>
          <w:rFonts w:cs="DIN Pro Regular"/>
          <w:b/>
          <w:smallCaps/>
          <w:sz w:val="20"/>
          <w:szCs w:val="20"/>
        </w:rPr>
        <w:br w:type="page"/>
      </w: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lastRenderedPageBreak/>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DF01DA" w:rsidRPr="00A50FA0" w:rsidRDefault="003F39C5" w:rsidP="00DF01DA">
      <w:pPr>
        <w:pStyle w:val="ROMANOS"/>
        <w:numPr>
          <w:ilvl w:val="0"/>
          <w:numId w:val="9"/>
        </w:numPr>
        <w:spacing w:after="0" w:line="240" w:lineRule="exact"/>
        <w:rPr>
          <w:rFonts w:ascii="Calibri" w:hAnsi="Calibri" w:cs="DIN Pro Regular"/>
          <w:b/>
          <w:sz w:val="20"/>
          <w:szCs w:val="20"/>
          <w:lang w:val="es-MX"/>
        </w:rPr>
      </w:pPr>
      <w:r w:rsidRPr="00413EA7">
        <w:rPr>
          <w:rFonts w:ascii="Calibri" w:hAnsi="Calibri" w:cs="DIN Pro Regular"/>
          <w:sz w:val="20"/>
          <w:szCs w:val="20"/>
          <w:lang w:val="es-MX"/>
        </w:rPr>
        <w:t>El análisis de los saldos inicial y final, del Estado de Flujo de Efectivo en la cuenta de efectivo y equivalentes:</w:t>
      </w:r>
    </w:p>
    <w:p w:rsidR="00A50FA0" w:rsidRPr="00413EA7" w:rsidRDefault="00A50FA0" w:rsidP="00A50FA0">
      <w:pPr>
        <w:pStyle w:val="ROMANOS"/>
        <w:spacing w:after="0" w:line="240" w:lineRule="exact"/>
        <w:ind w:left="1068" w:firstLine="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2875"/>
        <w:gridCol w:w="1253"/>
        <w:gridCol w:w="1298"/>
      </w:tblGrid>
      <w:tr w:rsidR="005774F0" w:rsidRPr="008A011E" w:rsidTr="00D53D05">
        <w:trPr>
          <w:cantSplit/>
          <w:trHeight w:val="200"/>
          <w:jc w:val="center"/>
        </w:trPr>
        <w:tc>
          <w:tcPr>
            <w:tcW w:w="287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253"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298"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6,773,000</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6,288,475</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C09C1"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253" w:type="dxa"/>
            <w:tcBorders>
              <w:top w:val="single" w:sz="6" w:space="0" w:color="auto"/>
              <w:left w:val="single" w:sz="6" w:space="0" w:color="auto"/>
              <w:bottom w:val="single" w:sz="6" w:space="0" w:color="auto"/>
              <w:right w:val="single" w:sz="6" w:space="0" w:color="auto"/>
            </w:tcBorders>
            <w:vAlign w:val="center"/>
          </w:tcPr>
          <w:p w:rsidR="004C09C1"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98" w:type="dxa"/>
            <w:tcBorders>
              <w:top w:val="single" w:sz="6" w:space="0" w:color="auto"/>
              <w:left w:val="single" w:sz="6" w:space="0" w:color="auto"/>
              <w:bottom w:val="single" w:sz="6" w:space="0" w:color="auto"/>
              <w:right w:val="single" w:sz="6" w:space="0" w:color="auto"/>
            </w:tcBorders>
            <w:vAlign w:val="center"/>
          </w:tcPr>
          <w:p w:rsidR="004C09C1"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0554C" w:rsidRPr="008A011E" w:rsidTr="00D53D05">
        <w:trPr>
          <w:cantSplit/>
          <w:trHeight w:val="299"/>
          <w:jc w:val="center"/>
        </w:trPr>
        <w:tc>
          <w:tcPr>
            <w:tcW w:w="287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253" w:type="dxa"/>
            <w:tcBorders>
              <w:top w:val="single" w:sz="6" w:space="0" w:color="auto"/>
              <w:left w:val="single" w:sz="6" w:space="0" w:color="auto"/>
              <w:bottom w:val="single" w:sz="6" w:space="0" w:color="auto"/>
              <w:right w:val="single" w:sz="6" w:space="0" w:color="auto"/>
            </w:tcBorders>
            <w:vAlign w:val="center"/>
          </w:tcPr>
          <w:p w:rsidR="0020554C" w:rsidRPr="008A011E" w:rsidRDefault="00D53D05" w:rsidP="00D53D05">
            <w:pPr>
              <w:tabs>
                <w:tab w:val="left" w:pos="330"/>
                <w:tab w:val="center" w:pos="398"/>
              </w:tabs>
              <w:jc w:val="right"/>
              <w:rPr>
                <w:rFonts w:cs="DIN Pro Regular"/>
                <w:sz w:val="20"/>
                <w:szCs w:val="20"/>
              </w:rPr>
            </w:pPr>
            <w:r>
              <w:rPr>
                <w:rFonts w:cs="DIN Pro Regular"/>
                <w:sz w:val="20"/>
                <w:szCs w:val="20"/>
              </w:rPr>
              <w:t>0</w:t>
            </w:r>
          </w:p>
        </w:tc>
        <w:tc>
          <w:tcPr>
            <w:tcW w:w="1298" w:type="dxa"/>
            <w:tcBorders>
              <w:top w:val="single" w:sz="6" w:space="0" w:color="auto"/>
              <w:left w:val="single" w:sz="6" w:space="0" w:color="auto"/>
              <w:bottom w:val="single" w:sz="6" w:space="0" w:color="auto"/>
              <w:right w:val="single" w:sz="6" w:space="0" w:color="auto"/>
            </w:tcBorders>
            <w:vAlign w:val="center"/>
          </w:tcPr>
          <w:p w:rsidR="0020554C" w:rsidRPr="008A011E" w:rsidRDefault="00D53D05" w:rsidP="00D53D05">
            <w:pPr>
              <w:jc w:val="right"/>
              <w:rPr>
                <w:rFonts w:cs="DIN Pro Regular"/>
                <w:sz w:val="20"/>
                <w:szCs w:val="20"/>
              </w:rPr>
            </w:pPr>
            <w:r>
              <w:rPr>
                <w:rFonts w:cs="DIN Pro Regular"/>
                <w:sz w:val="20"/>
                <w:szCs w:val="20"/>
              </w:rPr>
              <w:t>0</w:t>
            </w:r>
          </w:p>
        </w:tc>
      </w:tr>
      <w:tr w:rsidR="005774F0" w:rsidRPr="008A011E" w:rsidTr="00D53D05">
        <w:trPr>
          <w:cantSplit/>
          <w:jc w:val="center"/>
        </w:trPr>
        <w:tc>
          <w:tcPr>
            <w:tcW w:w="287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253"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6,773,138</w:t>
            </w:r>
          </w:p>
        </w:tc>
        <w:tc>
          <w:tcPr>
            <w:tcW w:w="1298" w:type="dxa"/>
            <w:tcBorders>
              <w:top w:val="single" w:sz="6" w:space="0" w:color="auto"/>
              <w:left w:val="single" w:sz="6" w:space="0" w:color="auto"/>
              <w:bottom w:val="single" w:sz="6" w:space="0" w:color="auto"/>
              <w:right w:val="single" w:sz="6" w:space="0" w:color="auto"/>
            </w:tcBorders>
            <w:vAlign w:val="center"/>
          </w:tcPr>
          <w:p w:rsidR="005774F0" w:rsidRPr="008A011E" w:rsidRDefault="00D53D05" w:rsidP="00D53D0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6,288,613</w:t>
            </w:r>
          </w:p>
        </w:tc>
      </w:tr>
    </w:tbl>
    <w:p w:rsidR="005774F0" w:rsidRDefault="005774F0" w:rsidP="000E6439">
      <w:pPr>
        <w:pStyle w:val="ROMANOS"/>
        <w:spacing w:after="0" w:line="240" w:lineRule="exact"/>
        <w:ind w:left="1140"/>
        <w:rPr>
          <w:rFonts w:ascii="Calibri" w:hAnsi="Calibri" w:cs="DIN Pro Regular"/>
          <w:b/>
          <w:sz w:val="20"/>
          <w:szCs w:val="20"/>
          <w:lang w:val="es-MX"/>
        </w:rPr>
      </w:pPr>
    </w:p>
    <w:p w:rsidR="00A50FA0" w:rsidRPr="008A011E" w:rsidRDefault="00A50FA0" w:rsidP="000E6439">
      <w:pPr>
        <w:pStyle w:val="ROMANOS"/>
        <w:spacing w:after="0" w:line="240" w:lineRule="exact"/>
        <w:ind w:left="1140"/>
        <w:rPr>
          <w:rFonts w:ascii="Calibri" w:hAnsi="Calibri" w:cs="DIN Pro Regular"/>
          <w:b/>
          <w:sz w:val="20"/>
          <w:szCs w:val="20"/>
          <w:lang w:val="es-MX"/>
        </w:rPr>
      </w:pPr>
    </w:p>
    <w:p w:rsidR="00AE608D" w:rsidRDefault="003F39C5" w:rsidP="00413EA7">
      <w:pPr>
        <w:pStyle w:val="ROMANOS"/>
        <w:numPr>
          <w:ilvl w:val="0"/>
          <w:numId w:val="9"/>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Adquisiciones de bienes muebles e inmuebles con su monto global y porcentaje que se aplicó en el presupuesto Federal o Estatal según sea el caso:</w:t>
      </w:r>
    </w:p>
    <w:p w:rsidR="00413EA7" w:rsidRDefault="00413EA7" w:rsidP="00413EA7">
      <w:pPr>
        <w:pStyle w:val="ROMANOS"/>
        <w:spacing w:after="0" w:line="240" w:lineRule="exact"/>
        <w:ind w:left="1068" w:firstLine="0"/>
        <w:rPr>
          <w:rFonts w:ascii="Calibri" w:hAnsi="Calibri" w:cs="DIN Pro Regular"/>
          <w:sz w:val="20"/>
          <w:szCs w:val="20"/>
          <w:lang w:val="es-MX"/>
        </w:rPr>
      </w:pPr>
    </w:p>
    <w:p w:rsidR="00A50FA0" w:rsidRDefault="00A50FA0" w:rsidP="00413EA7">
      <w:pPr>
        <w:pStyle w:val="ROMANOS"/>
        <w:spacing w:after="0" w:line="240" w:lineRule="exact"/>
        <w:ind w:left="1068" w:firstLine="0"/>
        <w:rPr>
          <w:rFonts w:ascii="Calibri" w:hAnsi="Calibri" w:cs="DIN Pro Regular"/>
          <w:sz w:val="20"/>
          <w:szCs w:val="20"/>
          <w:lang w:val="es-MX"/>
        </w:rPr>
      </w:pPr>
    </w:p>
    <w:tbl>
      <w:tblPr>
        <w:tblW w:w="9214" w:type="dxa"/>
        <w:tblInd w:w="212" w:type="dxa"/>
        <w:tblCellMar>
          <w:left w:w="70" w:type="dxa"/>
          <w:right w:w="70" w:type="dxa"/>
        </w:tblCellMar>
        <w:tblLook w:val="04A0" w:firstRow="1" w:lastRow="0" w:firstColumn="1" w:lastColumn="0" w:noHBand="0" w:noVBand="1"/>
      </w:tblPr>
      <w:tblGrid>
        <w:gridCol w:w="6095"/>
        <w:gridCol w:w="1560"/>
        <w:gridCol w:w="1559"/>
      </w:tblGrid>
      <w:tr w:rsidR="00413EA7" w:rsidRPr="00413EA7" w:rsidTr="00413EA7">
        <w:trPr>
          <w:trHeight w:val="300"/>
        </w:trPr>
        <w:tc>
          <w:tcPr>
            <w:tcW w:w="6095" w:type="dxa"/>
            <w:tcBorders>
              <w:top w:val="single" w:sz="4" w:space="0" w:color="auto"/>
              <w:left w:val="single" w:sz="4" w:space="0" w:color="auto"/>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rPr>
                <w:rFonts w:ascii="Encode Sans" w:eastAsia="Times New Roman" w:hAnsi="Encode Sans"/>
                <w:b/>
                <w:color w:val="FFFFFF" w:themeColor="background1"/>
                <w:sz w:val="20"/>
                <w:szCs w:val="20"/>
                <w:lang w:eastAsia="es-MX"/>
              </w:rPr>
            </w:pPr>
            <w:r w:rsidRPr="00413EA7">
              <w:rPr>
                <w:rFonts w:ascii="Encode Sans" w:eastAsia="Times New Roman" w:hAnsi="Encode Sans"/>
                <w:b/>
                <w:color w:val="FFFFFF" w:themeColor="background1"/>
                <w:sz w:val="20"/>
                <w:szCs w:val="20"/>
                <w:lang w:eastAsia="es-MX"/>
              </w:rPr>
              <w:t> </w:t>
            </w:r>
          </w:p>
        </w:tc>
        <w:tc>
          <w:tcPr>
            <w:tcW w:w="1560" w:type="dxa"/>
            <w:tcBorders>
              <w:top w:val="single" w:sz="4" w:space="0" w:color="auto"/>
              <w:left w:val="nil"/>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jc w:val="center"/>
              <w:rPr>
                <w:rFonts w:eastAsia="Times New Roman"/>
                <w:b/>
                <w:color w:val="FFFFFF" w:themeColor="background1"/>
                <w:sz w:val="20"/>
                <w:szCs w:val="20"/>
                <w:lang w:eastAsia="es-MX"/>
              </w:rPr>
            </w:pPr>
            <w:r w:rsidRPr="00413EA7">
              <w:rPr>
                <w:rFonts w:eastAsia="Times New Roman"/>
                <w:b/>
                <w:color w:val="FFFFFF" w:themeColor="background1"/>
                <w:sz w:val="20"/>
                <w:szCs w:val="20"/>
                <w:lang w:eastAsia="es-MX"/>
              </w:rPr>
              <w:t>2022</w:t>
            </w:r>
          </w:p>
        </w:tc>
        <w:tc>
          <w:tcPr>
            <w:tcW w:w="1559" w:type="dxa"/>
            <w:tcBorders>
              <w:top w:val="single" w:sz="4" w:space="0" w:color="auto"/>
              <w:left w:val="nil"/>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jc w:val="center"/>
              <w:rPr>
                <w:rFonts w:eastAsia="Times New Roman"/>
                <w:b/>
                <w:color w:val="FFFFFF" w:themeColor="background1"/>
                <w:sz w:val="20"/>
                <w:szCs w:val="20"/>
                <w:lang w:eastAsia="es-MX"/>
              </w:rPr>
            </w:pPr>
            <w:r w:rsidRPr="00413EA7">
              <w:rPr>
                <w:rFonts w:eastAsia="Times New Roman"/>
                <w:b/>
                <w:color w:val="FFFFFF" w:themeColor="background1"/>
                <w:sz w:val="20"/>
                <w:szCs w:val="20"/>
                <w:lang w:eastAsia="es-MX"/>
              </w:rPr>
              <w:t>2021</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Mobiliario y equipo de admón.</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45,977</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Mobiliario y equipo educacional y recreativo</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Otro mobiliario y equipo educacional y recreativo</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134,116</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Equipo e instrumental médico y de laboratorio</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Equipo de transporte</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376,900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Maquinaria, otros equipos</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116,000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Equipo de computo</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Activo intangible</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Otros equipos</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Maquinaria y equipo Industrial</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4,095</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289"/>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Herramientas y maquinas-herramientas</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s="Arial"/>
                <w:color w:val="000000"/>
                <w:sz w:val="20"/>
                <w:szCs w:val="20"/>
                <w:lang w:eastAsia="es-MX"/>
              </w:rPr>
              <w:t>66,530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rPr>
                <w:rFonts w:eastAsia="Times New Roman"/>
                <w:color w:val="000000"/>
                <w:sz w:val="20"/>
                <w:szCs w:val="20"/>
                <w:lang w:eastAsia="es-MX"/>
              </w:rPr>
            </w:pPr>
            <w:r w:rsidRPr="00413EA7">
              <w:rPr>
                <w:rFonts w:eastAsia="Times New Roman"/>
                <w:color w:val="000000"/>
                <w:sz w:val="20"/>
                <w:szCs w:val="20"/>
                <w:lang w:eastAsia="es-MX"/>
              </w:rPr>
              <w:t>Edificio (Caseta + Baño)</w:t>
            </w:r>
          </w:p>
        </w:tc>
        <w:tc>
          <w:tcPr>
            <w:tcW w:w="1560"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center"/>
            <w:hideMark/>
          </w:tcPr>
          <w:p w:rsidR="00413EA7" w:rsidRPr="00413EA7" w:rsidRDefault="00413EA7" w:rsidP="00413EA7">
            <w:pPr>
              <w:spacing w:after="0" w:line="240" w:lineRule="auto"/>
              <w:jc w:val="right"/>
              <w:rPr>
                <w:rFonts w:eastAsia="Times New Roman"/>
                <w:color w:val="000000"/>
                <w:sz w:val="20"/>
                <w:szCs w:val="20"/>
                <w:lang w:eastAsia="es-MX"/>
              </w:rPr>
            </w:pPr>
            <w:r w:rsidRPr="00413EA7">
              <w:rPr>
                <w:rFonts w:eastAsia="Times New Roman"/>
                <w:color w:val="000000"/>
                <w:sz w:val="20"/>
                <w:szCs w:val="20"/>
                <w:lang w:eastAsia="es-MX"/>
              </w:rPr>
              <w:t>445,234</w:t>
            </w:r>
          </w:p>
        </w:tc>
      </w:tr>
      <w:tr w:rsidR="00413EA7" w:rsidRPr="00413EA7" w:rsidTr="00413EA7">
        <w:trPr>
          <w:trHeight w:val="300"/>
        </w:trPr>
        <w:tc>
          <w:tcPr>
            <w:tcW w:w="6095" w:type="dxa"/>
            <w:tcBorders>
              <w:top w:val="nil"/>
              <w:left w:val="single" w:sz="4" w:space="0" w:color="auto"/>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rPr>
                <w:rFonts w:eastAsia="Times New Roman"/>
                <w:b/>
                <w:bCs/>
                <w:color w:val="FFFFFF" w:themeColor="background1"/>
                <w:sz w:val="20"/>
                <w:szCs w:val="20"/>
                <w:lang w:eastAsia="es-MX"/>
              </w:rPr>
            </w:pPr>
            <w:r w:rsidRPr="00413EA7">
              <w:rPr>
                <w:rFonts w:eastAsia="Times New Roman"/>
                <w:b/>
                <w:bCs/>
                <w:color w:val="FFFFFF" w:themeColor="background1"/>
                <w:sz w:val="20"/>
                <w:szCs w:val="20"/>
                <w:lang w:eastAsia="es-MX"/>
              </w:rPr>
              <w:t>TOTAL DE ADQUISICIONES DE BIENES</w:t>
            </w:r>
          </w:p>
        </w:tc>
        <w:tc>
          <w:tcPr>
            <w:tcW w:w="1560" w:type="dxa"/>
            <w:tcBorders>
              <w:top w:val="nil"/>
              <w:left w:val="nil"/>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jc w:val="right"/>
              <w:rPr>
                <w:rFonts w:eastAsia="Times New Roman"/>
                <w:b/>
                <w:color w:val="FFFFFF" w:themeColor="background1"/>
                <w:sz w:val="20"/>
                <w:szCs w:val="20"/>
                <w:lang w:eastAsia="es-MX"/>
              </w:rPr>
            </w:pPr>
            <w:r w:rsidRPr="00413EA7">
              <w:rPr>
                <w:rFonts w:eastAsia="Times New Roman"/>
                <w:b/>
                <w:color w:val="FFFFFF" w:themeColor="background1"/>
                <w:sz w:val="20"/>
                <w:szCs w:val="20"/>
                <w:lang w:eastAsia="es-MX"/>
              </w:rPr>
              <w:t>493,502</w:t>
            </w:r>
          </w:p>
        </w:tc>
        <w:tc>
          <w:tcPr>
            <w:tcW w:w="1559" w:type="dxa"/>
            <w:tcBorders>
              <w:top w:val="nil"/>
              <w:left w:val="nil"/>
              <w:bottom w:val="single" w:sz="4" w:space="0" w:color="auto"/>
              <w:right w:val="single" w:sz="4" w:space="0" w:color="auto"/>
            </w:tcBorders>
            <w:shd w:val="clear" w:color="auto" w:fill="AB0033"/>
            <w:noWrap/>
            <w:vAlign w:val="center"/>
            <w:hideMark/>
          </w:tcPr>
          <w:p w:rsidR="00413EA7" w:rsidRPr="00413EA7" w:rsidRDefault="00413EA7" w:rsidP="00413EA7">
            <w:pPr>
              <w:spacing w:after="0" w:line="240" w:lineRule="auto"/>
              <w:jc w:val="right"/>
              <w:rPr>
                <w:rFonts w:eastAsia="Times New Roman"/>
                <w:b/>
                <w:color w:val="FFFFFF" w:themeColor="background1"/>
                <w:sz w:val="20"/>
                <w:szCs w:val="20"/>
                <w:lang w:eastAsia="es-MX"/>
              </w:rPr>
            </w:pPr>
            <w:r w:rsidRPr="00413EA7">
              <w:rPr>
                <w:rFonts w:eastAsia="Times New Roman"/>
                <w:b/>
                <w:color w:val="FFFFFF" w:themeColor="background1"/>
                <w:sz w:val="20"/>
                <w:szCs w:val="20"/>
                <w:lang w:eastAsia="es-MX"/>
              </w:rPr>
              <w:t>695,350</w:t>
            </w:r>
          </w:p>
        </w:tc>
      </w:tr>
    </w:tbl>
    <w:p w:rsidR="00413EA7" w:rsidRPr="008A011E" w:rsidRDefault="00413EA7" w:rsidP="00413EA7">
      <w:pPr>
        <w:pStyle w:val="ROMANOS"/>
        <w:spacing w:after="0" w:line="240" w:lineRule="exact"/>
        <w:ind w:left="1068" w:firstLine="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A50FA0" w:rsidRDefault="00A50FA0">
      <w:pPr>
        <w:spacing w:after="0" w:line="240" w:lineRule="auto"/>
        <w:rPr>
          <w:rFonts w:eastAsia="Times New Roman" w:cs="DIN Pro Regular"/>
          <w:b/>
          <w:sz w:val="20"/>
          <w:szCs w:val="20"/>
          <w:lang w:eastAsia="es-ES"/>
        </w:rPr>
      </w:pPr>
      <w:r>
        <w:rPr>
          <w:rFonts w:cs="DIN Pro Regular"/>
          <w:b/>
          <w:sz w:val="20"/>
          <w:szCs w:val="20"/>
        </w:rPr>
        <w:br w:type="page"/>
      </w:r>
    </w:p>
    <w:p w:rsidR="003F39C5"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lastRenderedPageBreak/>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A50FA0" w:rsidRPr="008A011E" w:rsidRDefault="00A50FA0" w:rsidP="000E6439">
      <w:pPr>
        <w:pStyle w:val="ROMANOS"/>
        <w:spacing w:after="0" w:line="240" w:lineRule="exact"/>
        <w:ind w:left="1140"/>
        <w:rPr>
          <w:rFonts w:ascii="Calibri" w:hAnsi="Calibri" w:cs="DIN Pro Regular"/>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8A011E"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D23FC" w:rsidP="00944203">
            <w:pPr>
              <w:pStyle w:val="Texto"/>
              <w:spacing w:after="0" w:line="240" w:lineRule="exact"/>
              <w:ind w:firstLine="0"/>
              <w:jc w:val="left"/>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b/>
                <w:sz w:val="20"/>
                <w:lang w:val="es-MX"/>
              </w:rPr>
            </w:pPr>
            <w:r w:rsidRPr="00BB660B">
              <w:rPr>
                <w:rFonts w:ascii="Calibri" w:hAnsi="Calibri" w:cs="DIN Pro Regular"/>
                <w:b/>
                <w:sz w:val="20"/>
                <w:lang w:val="es-MX"/>
              </w:rPr>
              <w:t>3,115,693</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b/>
                <w:sz w:val="20"/>
                <w:lang w:val="es-MX"/>
              </w:rPr>
            </w:pPr>
            <w:r w:rsidRPr="00BB660B">
              <w:rPr>
                <w:rFonts w:ascii="Calibri" w:hAnsi="Calibri" w:cs="DIN Pro Regular"/>
                <w:b/>
                <w:sz w:val="20"/>
                <w:lang w:val="es-MX"/>
              </w:rPr>
              <w:t>1,631,076</w:t>
            </w: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right"/>
              <w:rPr>
                <w:rFonts w:ascii="Calibri" w:hAnsi="Calibri" w:cs="DIN Pro Regular"/>
                <w:sz w:val="20"/>
                <w:lang w:val="es-MX"/>
              </w:rPr>
            </w:pP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sidRPr="00944203">
              <w:rPr>
                <w:rFonts w:ascii="Calibri" w:hAnsi="Calibri" w:cs="DIN Pro Regular"/>
                <w:sz w:val="20"/>
                <w:lang w:val="es-MX"/>
              </w:rPr>
              <w:t>379,27</w:t>
            </w:r>
            <w:r>
              <w:rPr>
                <w:rFonts w:ascii="Calibri" w:hAnsi="Calibri" w:cs="DIN Pro Regular"/>
                <w:sz w:val="20"/>
                <w:lang w:val="es-MX"/>
              </w:rPr>
              <w:t>7</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sidRPr="00944203">
              <w:rPr>
                <w:rFonts w:ascii="Calibri" w:hAnsi="Calibri" w:cs="DIN Pro Regular"/>
                <w:sz w:val="20"/>
                <w:lang w:val="es-MX"/>
              </w:rPr>
              <w:t>326,52</w:t>
            </w:r>
            <w:r>
              <w:rPr>
                <w:rFonts w:ascii="Calibri" w:hAnsi="Calibri" w:cs="DIN Pro Regular"/>
                <w:sz w:val="20"/>
                <w:lang w:val="es-MX"/>
              </w:rPr>
              <w:t>7</w:t>
            </w: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sidRPr="00944203">
              <w:rPr>
                <w:rFonts w:ascii="Calibri" w:hAnsi="Calibri" w:cs="DIN Pro Regular"/>
                <w:sz w:val="20"/>
                <w:lang w:val="es-MX"/>
              </w:rPr>
              <w:t>147,66</w:t>
            </w:r>
            <w:r>
              <w:rPr>
                <w:rFonts w:ascii="Calibri" w:hAnsi="Calibri" w:cs="DIN Pro Regular"/>
                <w:sz w:val="20"/>
                <w:lang w:val="es-MX"/>
              </w:rPr>
              <w:t>1</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1,182,466</w:t>
            </w:r>
          </w:p>
        </w:tc>
      </w:tr>
      <w:tr w:rsidR="003F39C5" w:rsidRPr="008A011E" w:rsidTr="00944203">
        <w:trPr>
          <w:cantSplit/>
          <w:trHeight w:val="212"/>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F39C5"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944203">
        <w:trPr>
          <w:cantSplit/>
          <w:trHeight w:val="102"/>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D23FC" w:rsidP="00944203">
            <w:pPr>
              <w:pStyle w:val="Texto"/>
              <w:spacing w:after="0" w:line="240" w:lineRule="exact"/>
              <w:ind w:firstLine="0"/>
              <w:jc w:val="left"/>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944203" w:rsidP="00944203">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8A011E" w:rsidTr="00944203">
        <w:trPr>
          <w:cantSplit/>
          <w:trHeight w:val="282"/>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left"/>
              <w:rPr>
                <w:rFonts w:ascii="Calibri" w:hAnsi="Calibri" w:cs="DIN Pro Regular"/>
                <w:sz w:val="20"/>
                <w:lang w:val="es-MX"/>
              </w:rPr>
            </w:pPr>
            <w:r w:rsidRPr="00BB660B">
              <w:rPr>
                <w:rFonts w:ascii="Calibri" w:hAnsi="Calibri" w:cs="DIN Pro Regular"/>
                <w:sz w:val="20"/>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-2,664,605</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-4,045,110</w:t>
            </w:r>
          </w:p>
        </w:tc>
      </w:tr>
      <w:tr w:rsidR="003F39C5" w:rsidRPr="008A011E" w:rsidTr="00944203">
        <w:trPr>
          <w:cantSplit/>
          <w:jc w:val="center"/>
        </w:trPr>
        <w:tc>
          <w:tcPr>
            <w:tcW w:w="6677" w:type="dxa"/>
            <w:tcBorders>
              <w:top w:val="single" w:sz="6" w:space="0" w:color="auto"/>
              <w:left w:val="single" w:sz="6" w:space="0" w:color="auto"/>
              <w:bottom w:val="single" w:sz="6" w:space="0" w:color="auto"/>
              <w:right w:val="single" w:sz="6" w:space="0" w:color="auto"/>
            </w:tcBorders>
            <w:vAlign w:val="center"/>
          </w:tcPr>
          <w:p w:rsidR="003F39C5" w:rsidRPr="008A011E" w:rsidRDefault="003D23FC" w:rsidP="00944203">
            <w:pPr>
              <w:pStyle w:val="Texto"/>
              <w:spacing w:after="0" w:line="240" w:lineRule="exact"/>
              <w:ind w:firstLine="0"/>
              <w:jc w:val="left"/>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978,026</w:t>
            </w:r>
          </w:p>
        </w:tc>
        <w:tc>
          <w:tcPr>
            <w:tcW w:w="1134" w:type="dxa"/>
            <w:tcBorders>
              <w:top w:val="single" w:sz="6" w:space="0" w:color="auto"/>
              <w:left w:val="single" w:sz="6" w:space="0" w:color="auto"/>
              <w:bottom w:val="single" w:sz="6" w:space="0" w:color="auto"/>
              <w:right w:val="single" w:sz="6" w:space="0" w:color="auto"/>
            </w:tcBorders>
            <w:vAlign w:val="center"/>
          </w:tcPr>
          <w:p w:rsidR="003F39C5" w:rsidRPr="008A011E" w:rsidRDefault="00BB660B" w:rsidP="00944203">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-905,041</w:t>
            </w:r>
          </w:p>
        </w:tc>
      </w:tr>
    </w:tbl>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570C5" w:rsidRDefault="00D570C5" w:rsidP="002C576A">
      <w:pPr>
        <w:pStyle w:val="INCISO"/>
        <w:spacing w:after="0" w:line="240" w:lineRule="exact"/>
        <w:ind w:left="360"/>
        <w:rPr>
          <w:rFonts w:ascii="Calibri" w:hAnsi="Calibri" w:cs="DIN Pro Regular"/>
          <w:b/>
          <w:smallCaps/>
          <w:sz w:val="20"/>
          <w:szCs w:val="20"/>
        </w:rPr>
      </w:pPr>
    </w:p>
    <w:p w:rsidR="0017410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tbl>
      <w:tblPr>
        <w:tblpPr w:leftFromText="141" w:rightFromText="141" w:vertAnchor="text" w:horzAnchor="margin" w:tblpXSpec="center" w:tblpY="572"/>
        <w:tblOverlap w:val="never"/>
        <w:tblW w:w="9284" w:type="dxa"/>
        <w:tblCellMar>
          <w:left w:w="70" w:type="dxa"/>
          <w:right w:w="70" w:type="dxa"/>
        </w:tblCellMar>
        <w:tblLook w:val="04A0" w:firstRow="1" w:lastRow="0" w:firstColumn="1" w:lastColumn="0" w:noHBand="0" w:noVBand="1"/>
      </w:tblPr>
      <w:tblGrid>
        <w:gridCol w:w="1462"/>
        <w:gridCol w:w="5076"/>
        <w:gridCol w:w="2746"/>
      </w:tblGrid>
      <w:tr w:rsidR="007F796F" w:rsidRPr="002164CC" w:rsidTr="008619FB">
        <w:trPr>
          <w:trHeight w:val="425"/>
        </w:trPr>
        <w:tc>
          <w:tcPr>
            <w:tcW w:w="9284" w:type="dxa"/>
            <w:gridSpan w:val="3"/>
            <w:tcBorders>
              <w:top w:val="single" w:sz="8" w:space="0" w:color="auto"/>
              <w:left w:val="single" w:sz="8" w:space="0" w:color="auto"/>
              <w:bottom w:val="nil"/>
              <w:right w:val="single" w:sz="8" w:space="0" w:color="000000"/>
            </w:tcBorders>
            <w:shd w:val="clear" w:color="auto" w:fill="AB0033"/>
            <w:vAlign w:val="center"/>
            <w:hideMark/>
          </w:tcPr>
          <w:p w:rsidR="007F796F" w:rsidRPr="002164CC" w:rsidRDefault="007F796F" w:rsidP="002164CC">
            <w:pPr>
              <w:spacing w:after="0" w:line="240" w:lineRule="auto"/>
              <w:jc w:val="center"/>
              <w:rPr>
                <w:rFonts w:asciiTheme="minorHAnsi" w:eastAsia="Times New Roman" w:hAnsiTheme="minorHAnsi" w:cs="DIN Pro Regular"/>
                <w:b/>
                <w:bCs/>
                <w:color w:val="FFFFFF"/>
                <w:sz w:val="20"/>
                <w:szCs w:val="20"/>
                <w:lang w:eastAsia="es-MX"/>
              </w:rPr>
            </w:pPr>
            <w:r w:rsidRPr="00073D61">
              <w:rPr>
                <w:rFonts w:asciiTheme="minorHAnsi" w:eastAsia="Times New Roman" w:hAnsiTheme="minorHAnsi" w:cs="DIN Pro Regular"/>
                <w:b/>
                <w:bCs/>
                <w:color w:val="FFFFFF"/>
                <w:sz w:val="20"/>
                <w:szCs w:val="20"/>
                <w:lang w:eastAsia="es-MX"/>
              </w:rPr>
              <w:t>Instituto Tecnológico Superior de El Mante</w:t>
            </w:r>
          </w:p>
        </w:tc>
      </w:tr>
      <w:tr w:rsidR="007F796F" w:rsidRPr="002164CC" w:rsidTr="008619FB">
        <w:trPr>
          <w:trHeight w:val="354"/>
        </w:trPr>
        <w:tc>
          <w:tcPr>
            <w:tcW w:w="9284" w:type="dxa"/>
            <w:gridSpan w:val="3"/>
            <w:tcBorders>
              <w:top w:val="nil"/>
              <w:left w:val="single" w:sz="8" w:space="0" w:color="auto"/>
              <w:bottom w:val="nil"/>
              <w:right w:val="single" w:sz="8" w:space="0" w:color="000000"/>
            </w:tcBorders>
            <w:shd w:val="clear" w:color="auto" w:fill="AB0033"/>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7F796F" w:rsidRPr="002164CC" w:rsidTr="008619FB">
        <w:trPr>
          <w:trHeight w:val="354"/>
        </w:trPr>
        <w:tc>
          <w:tcPr>
            <w:tcW w:w="9284" w:type="dxa"/>
            <w:gridSpan w:val="3"/>
            <w:tcBorders>
              <w:top w:val="nil"/>
              <w:left w:val="single" w:sz="8" w:space="0" w:color="auto"/>
              <w:bottom w:val="nil"/>
              <w:right w:val="single" w:sz="8" w:space="0" w:color="000000"/>
            </w:tcBorders>
            <w:shd w:val="clear" w:color="auto" w:fill="AB0033"/>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7F796F" w:rsidRPr="002164CC" w:rsidTr="008619FB">
        <w:trPr>
          <w:trHeight w:val="372"/>
        </w:trPr>
        <w:tc>
          <w:tcPr>
            <w:tcW w:w="9284" w:type="dxa"/>
            <w:gridSpan w:val="3"/>
            <w:tcBorders>
              <w:top w:val="nil"/>
              <w:left w:val="single" w:sz="8" w:space="0" w:color="auto"/>
              <w:bottom w:val="single" w:sz="8" w:space="0" w:color="auto"/>
              <w:right w:val="single" w:sz="8" w:space="0" w:color="000000"/>
            </w:tcBorders>
            <w:shd w:val="clear" w:color="auto" w:fill="AB0033"/>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7F796F" w:rsidRPr="002164CC" w:rsidTr="008619FB">
        <w:trPr>
          <w:trHeight w:val="334"/>
        </w:trPr>
        <w:tc>
          <w:tcPr>
            <w:tcW w:w="1462" w:type="dxa"/>
            <w:tcBorders>
              <w:top w:val="nil"/>
              <w:left w:val="nil"/>
              <w:bottom w:val="nil"/>
              <w:right w:val="nil"/>
            </w:tcBorders>
            <w:shd w:val="clear" w:color="auto" w:fill="auto"/>
            <w:noWrap/>
            <w:vAlign w:val="center"/>
            <w:hideMark/>
          </w:tcPr>
          <w:p w:rsidR="007F796F" w:rsidRPr="002164CC" w:rsidRDefault="007F796F"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7F796F" w:rsidRPr="002164CC" w:rsidRDefault="007F796F"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7F796F" w:rsidRPr="002164CC" w:rsidRDefault="007F796F" w:rsidP="002164CC">
            <w:pPr>
              <w:spacing w:after="0" w:line="240" w:lineRule="auto"/>
              <w:rPr>
                <w:rFonts w:eastAsia="Times New Roman" w:cs="DIN Pro Regular"/>
                <w:color w:val="000000"/>
                <w:sz w:val="20"/>
                <w:szCs w:val="20"/>
                <w:lang w:eastAsia="es-MX"/>
              </w:rPr>
            </w:pPr>
          </w:p>
        </w:tc>
      </w:tr>
      <w:tr w:rsidR="007F796F" w:rsidRPr="002164CC" w:rsidTr="008619FB">
        <w:trPr>
          <w:trHeight w:val="368"/>
        </w:trPr>
        <w:tc>
          <w:tcPr>
            <w:tcW w:w="6538"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7F796F" w:rsidRPr="002164CC" w:rsidRDefault="007F796F"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7F796F" w:rsidRPr="002164CC" w:rsidRDefault="007F796F" w:rsidP="00073D61">
            <w:pPr>
              <w:spacing w:after="0" w:line="240" w:lineRule="auto"/>
              <w:jc w:val="center"/>
              <w:rPr>
                <w:rFonts w:asciiTheme="minorHAnsi" w:eastAsia="Times New Roman" w:hAnsiTheme="minorHAnsi" w:cs="DIN Pro Regular"/>
                <w:b/>
                <w:color w:val="000000"/>
                <w:sz w:val="20"/>
                <w:szCs w:val="20"/>
                <w:lang w:eastAsia="es-MX"/>
              </w:rPr>
            </w:pPr>
            <w:r w:rsidRPr="00073D61">
              <w:rPr>
                <w:rFonts w:asciiTheme="minorHAnsi" w:eastAsia="Times New Roman" w:hAnsiTheme="minorHAnsi" w:cs="DIN Pro Regular"/>
                <w:b/>
                <w:color w:val="000000"/>
                <w:sz w:val="20"/>
                <w:szCs w:val="20"/>
                <w:lang w:eastAsia="es-MX"/>
              </w:rPr>
              <w:t>37,706,557</w:t>
            </w:r>
          </w:p>
        </w:tc>
      </w:tr>
      <w:tr w:rsidR="007F796F" w:rsidRPr="002164CC" w:rsidTr="008619FB">
        <w:trPr>
          <w:trHeight w:val="334"/>
        </w:trPr>
        <w:tc>
          <w:tcPr>
            <w:tcW w:w="1462" w:type="dxa"/>
            <w:tcBorders>
              <w:top w:val="nil"/>
              <w:left w:val="nil"/>
              <w:bottom w:val="nil"/>
              <w:right w:val="nil"/>
            </w:tcBorders>
            <w:shd w:val="clear" w:color="auto" w:fill="auto"/>
            <w:noWrap/>
            <w:vAlign w:val="center"/>
            <w:hideMark/>
          </w:tcPr>
          <w:p w:rsidR="007F796F" w:rsidRPr="002164CC" w:rsidRDefault="007F796F"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68"/>
        </w:trPr>
        <w:tc>
          <w:tcPr>
            <w:tcW w:w="6538"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7F796F" w:rsidRPr="002164CC" w:rsidRDefault="007F796F"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tcPr>
          <w:p w:rsidR="007F796F" w:rsidRPr="002164CC" w:rsidRDefault="007F796F"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496"/>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65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 xml:space="preserve">   2.6      </w:t>
            </w:r>
            <w:r w:rsidRPr="002164CC">
              <w:rPr>
                <w:rFonts w:asciiTheme="minorHAnsi" w:eastAsia="Times New Roman" w:hAnsiTheme="minorHAnsi" w:cs="DIN Pro Regular"/>
                <w:color w:val="000000"/>
                <w:sz w:val="20"/>
                <w:szCs w:val="20"/>
                <w:lang w:eastAsia="es-MX"/>
              </w:rPr>
              <w:t>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nil"/>
              <w:bottom w:val="nil"/>
              <w:right w:val="nil"/>
            </w:tcBorders>
            <w:shd w:val="clear" w:color="auto" w:fill="auto"/>
            <w:vAlign w:val="center"/>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68"/>
        </w:trPr>
        <w:tc>
          <w:tcPr>
            <w:tcW w:w="6538"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7F796F" w:rsidRPr="002164CC" w:rsidRDefault="007F796F"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1462"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34"/>
        </w:trPr>
        <w:tc>
          <w:tcPr>
            <w:tcW w:w="6538" w:type="dxa"/>
            <w:gridSpan w:val="2"/>
            <w:tcBorders>
              <w:top w:val="nil"/>
              <w:left w:val="nil"/>
              <w:bottom w:val="nil"/>
              <w:right w:val="nil"/>
            </w:tcBorders>
            <w:shd w:val="clear" w:color="auto" w:fill="auto"/>
            <w:vAlign w:val="center"/>
            <w:hideMark/>
          </w:tcPr>
          <w:p w:rsidR="007F796F" w:rsidRPr="002164CC" w:rsidRDefault="007F796F"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7F796F" w:rsidRPr="002164CC" w:rsidRDefault="007F796F" w:rsidP="002164CC">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54"/>
        </w:trPr>
        <w:tc>
          <w:tcPr>
            <w:tcW w:w="6538"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7F796F" w:rsidRPr="002164CC" w:rsidRDefault="007F796F"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7F796F" w:rsidRPr="002164CC" w:rsidRDefault="007F796F" w:rsidP="002164CC">
            <w:pPr>
              <w:spacing w:after="0" w:line="240" w:lineRule="auto"/>
              <w:jc w:val="center"/>
              <w:rPr>
                <w:rFonts w:asciiTheme="minorHAnsi" w:eastAsia="Times New Roman" w:hAnsiTheme="minorHAnsi" w:cs="DIN Pro Regular"/>
                <w:b/>
                <w:color w:val="000000"/>
                <w:sz w:val="20"/>
                <w:szCs w:val="20"/>
                <w:lang w:eastAsia="es-MX"/>
              </w:rPr>
            </w:pPr>
            <w:r w:rsidRPr="00073D61">
              <w:rPr>
                <w:rFonts w:asciiTheme="minorHAnsi" w:eastAsia="Times New Roman" w:hAnsiTheme="minorHAnsi" w:cs="DIN Pro Regular"/>
                <w:b/>
                <w:color w:val="000000"/>
                <w:sz w:val="20"/>
                <w:szCs w:val="20"/>
                <w:lang w:eastAsia="es-MX"/>
              </w:rPr>
              <w:t>37,706,557</w:t>
            </w:r>
          </w:p>
        </w:tc>
      </w:tr>
    </w:tbl>
    <w:p w:rsidR="007006CA" w:rsidRPr="008A011E" w:rsidRDefault="00C80DE1" w:rsidP="007006CA">
      <w:pPr>
        <w:spacing w:after="0"/>
        <w:rPr>
          <w:rFonts w:cs="DIN Pro Regular"/>
          <w:sz w:val="20"/>
          <w:szCs w:val="20"/>
        </w:rPr>
      </w:pPr>
      <w:r w:rsidRPr="008A011E">
        <w:rPr>
          <w:rFonts w:cs="DIN Pro Regular"/>
          <w:sz w:val="20"/>
          <w:szCs w:val="20"/>
        </w:rPr>
        <w:t xml:space="preserve">                          </w:t>
      </w:r>
    </w:p>
    <w:p w:rsidR="00DF01DA" w:rsidRPr="008A011E" w:rsidRDefault="00DF01DA" w:rsidP="007006CA">
      <w:pPr>
        <w:spacing w:after="0"/>
        <w:rPr>
          <w:rFonts w:cs="DIN Pro Regular"/>
          <w:sz w:val="20"/>
          <w:szCs w:val="20"/>
        </w:rPr>
      </w:pPr>
    </w:p>
    <w:p w:rsidR="008619FB" w:rsidRDefault="008619FB">
      <w:pPr>
        <w:spacing w:after="0" w:line="240" w:lineRule="auto"/>
        <w:rPr>
          <w:rFonts w:cs="DIN Pro Regular"/>
          <w:sz w:val="20"/>
          <w:szCs w:val="20"/>
        </w:rPr>
      </w:pPr>
    </w:p>
    <w:p w:rsidR="008619FB" w:rsidRDefault="008619FB">
      <w:pPr>
        <w:spacing w:after="0" w:line="240" w:lineRule="auto"/>
        <w:rPr>
          <w:rFonts w:cs="DIN Pro Regular"/>
          <w:sz w:val="20"/>
          <w:szCs w:val="20"/>
        </w:rPr>
      </w:pPr>
    </w:p>
    <w:tbl>
      <w:tblPr>
        <w:tblW w:w="9211" w:type="dxa"/>
        <w:jc w:val="center"/>
        <w:tblInd w:w="-2452" w:type="dxa"/>
        <w:tblCellMar>
          <w:left w:w="70" w:type="dxa"/>
          <w:right w:w="70" w:type="dxa"/>
        </w:tblCellMar>
        <w:tblLook w:val="04A0" w:firstRow="1" w:lastRow="0" w:firstColumn="1" w:lastColumn="0" w:noHBand="0" w:noVBand="1"/>
      </w:tblPr>
      <w:tblGrid>
        <w:gridCol w:w="851"/>
        <w:gridCol w:w="6804"/>
        <w:gridCol w:w="1556"/>
      </w:tblGrid>
      <w:tr w:rsidR="007F796F" w:rsidRPr="002164CC" w:rsidTr="008619FB">
        <w:trPr>
          <w:trHeight w:val="340"/>
          <w:jc w:val="center"/>
        </w:trPr>
        <w:tc>
          <w:tcPr>
            <w:tcW w:w="9211" w:type="dxa"/>
            <w:gridSpan w:val="3"/>
            <w:tcBorders>
              <w:left w:val="single" w:sz="8" w:space="0" w:color="auto"/>
              <w:bottom w:val="nil"/>
              <w:right w:val="single" w:sz="8" w:space="0" w:color="000000"/>
            </w:tcBorders>
            <w:shd w:val="clear" w:color="auto" w:fill="AB0033"/>
            <w:vAlign w:val="center"/>
            <w:hideMark/>
          </w:tcPr>
          <w:p w:rsidR="007F796F" w:rsidRPr="002164CC" w:rsidRDefault="007F796F" w:rsidP="00DF6363">
            <w:pPr>
              <w:spacing w:after="0" w:line="240" w:lineRule="auto"/>
              <w:jc w:val="center"/>
              <w:rPr>
                <w:rFonts w:asciiTheme="minorHAnsi" w:eastAsia="Times New Roman" w:hAnsiTheme="minorHAnsi" w:cs="DIN Pro Regular"/>
                <w:b/>
                <w:bCs/>
                <w:color w:val="FFFFFF"/>
                <w:sz w:val="20"/>
                <w:szCs w:val="20"/>
                <w:lang w:eastAsia="es-MX"/>
              </w:rPr>
            </w:pPr>
            <w:r w:rsidRPr="00073D61">
              <w:rPr>
                <w:rFonts w:asciiTheme="minorHAnsi" w:eastAsia="Times New Roman" w:hAnsiTheme="minorHAnsi" w:cs="DIN Pro Regular"/>
                <w:b/>
                <w:bCs/>
                <w:color w:val="FFFFFF"/>
                <w:sz w:val="20"/>
                <w:szCs w:val="20"/>
                <w:lang w:eastAsia="es-MX"/>
              </w:rPr>
              <w:lastRenderedPageBreak/>
              <w:t>Instituto Tecnológico Superior de El Mante</w:t>
            </w:r>
          </w:p>
        </w:tc>
      </w:tr>
      <w:tr w:rsidR="007F796F" w:rsidRPr="002164CC" w:rsidTr="008619FB">
        <w:trPr>
          <w:trHeight w:val="340"/>
          <w:jc w:val="center"/>
        </w:trPr>
        <w:tc>
          <w:tcPr>
            <w:tcW w:w="9211" w:type="dxa"/>
            <w:gridSpan w:val="3"/>
            <w:tcBorders>
              <w:top w:val="nil"/>
              <w:left w:val="single" w:sz="8" w:space="0" w:color="auto"/>
              <w:bottom w:val="nil"/>
              <w:right w:val="single" w:sz="8" w:space="0" w:color="000000"/>
            </w:tcBorders>
            <w:shd w:val="clear" w:color="auto" w:fill="AB0033"/>
            <w:vAlign w:val="center"/>
            <w:hideMark/>
          </w:tcPr>
          <w:p w:rsidR="007F796F" w:rsidRPr="002164CC" w:rsidRDefault="007F796F"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7F796F" w:rsidRPr="002164CC" w:rsidTr="008619FB">
        <w:trPr>
          <w:trHeight w:val="340"/>
          <w:jc w:val="center"/>
        </w:trPr>
        <w:tc>
          <w:tcPr>
            <w:tcW w:w="9211" w:type="dxa"/>
            <w:gridSpan w:val="3"/>
            <w:tcBorders>
              <w:top w:val="nil"/>
              <w:left w:val="single" w:sz="8" w:space="0" w:color="auto"/>
              <w:bottom w:val="nil"/>
              <w:right w:val="single" w:sz="8" w:space="0" w:color="000000"/>
            </w:tcBorders>
            <w:shd w:val="clear" w:color="auto" w:fill="AB0033"/>
            <w:vAlign w:val="center"/>
            <w:hideMark/>
          </w:tcPr>
          <w:p w:rsidR="007F796F" w:rsidRPr="002164CC" w:rsidRDefault="007F796F"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7F796F" w:rsidRPr="002164CC" w:rsidTr="008619FB">
        <w:trPr>
          <w:trHeight w:val="340"/>
          <w:jc w:val="center"/>
        </w:trPr>
        <w:tc>
          <w:tcPr>
            <w:tcW w:w="9211" w:type="dxa"/>
            <w:gridSpan w:val="3"/>
            <w:tcBorders>
              <w:top w:val="nil"/>
              <w:left w:val="single" w:sz="8" w:space="0" w:color="auto"/>
              <w:bottom w:val="single" w:sz="8" w:space="0" w:color="auto"/>
              <w:right w:val="single" w:sz="8" w:space="0" w:color="000000"/>
            </w:tcBorders>
            <w:shd w:val="clear" w:color="auto" w:fill="AB0033"/>
            <w:vAlign w:val="center"/>
            <w:hideMark/>
          </w:tcPr>
          <w:p w:rsidR="007F796F" w:rsidRPr="002164CC" w:rsidRDefault="007F796F"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7F796F" w:rsidRPr="002164CC" w:rsidTr="008619FB">
        <w:trPr>
          <w:trHeight w:val="340"/>
          <w:jc w:val="center"/>
        </w:trPr>
        <w:tc>
          <w:tcPr>
            <w:tcW w:w="851"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6804"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1556" w:type="dxa"/>
            <w:tcBorders>
              <w:top w:val="nil"/>
              <w:left w:val="nil"/>
              <w:bottom w:val="single" w:sz="4" w:space="0" w:color="auto"/>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40"/>
          <w:jc w:val="center"/>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7F796F" w:rsidRPr="002164CC" w:rsidRDefault="007F796F"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Presupuestarios </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96F" w:rsidRPr="002164CC" w:rsidRDefault="007F796F" w:rsidP="006D41B9">
            <w:pPr>
              <w:spacing w:after="0" w:line="240" w:lineRule="auto"/>
              <w:jc w:val="center"/>
              <w:rPr>
                <w:rFonts w:asciiTheme="minorHAnsi" w:eastAsia="Times New Roman" w:hAnsiTheme="minorHAnsi" w:cs="DIN Pro Regular"/>
                <w:b/>
                <w:color w:val="000000"/>
                <w:sz w:val="20"/>
                <w:szCs w:val="20"/>
                <w:lang w:eastAsia="es-MX"/>
              </w:rPr>
            </w:pPr>
            <w:r w:rsidRPr="00073D61">
              <w:rPr>
                <w:rFonts w:asciiTheme="minorHAnsi" w:eastAsia="Times New Roman" w:hAnsiTheme="minorHAnsi" w:cs="DIN Pro Regular"/>
                <w:b/>
                <w:color w:val="000000"/>
                <w:sz w:val="20"/>
                <w:szCs w:val="20"/>
                <w:lang w:eastAsia="es-MX"/>
              </w:rPr>
              <w:t>34,705,089</w:t>
            </w:r>
          </w:p>
        </w:tc>
      </w:tr>
      <w:tr w:rsidR="007F796F" w:rsidRPr="002164CC" w:rsidTr="008619FB">
        <w:trPr>
          <w:trHeight w:val="340"/>
          <w:jc w:val="center"/>
        </w:trPr>
        <w:tc>
          <w:tcPr>
            <w:tcW w:w="851"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6804"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1556"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40"/>
          <w:jc w:val="center"/>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7F796F" w:rsidRPr="002164CC" w:rsidRDefault="007F796F"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7F796F" w:rsidRPr="002164CC" w:rsidRDefault="007F796F" w:rsidP="002C7C1D">
            <w:pPr>
              <w:spacing w:after="0" w:line="240" w:lineRule="auto"/>
              <w:jc w:val="center"/>
              <w:rPr>
                <w:rFonts w:asciiTheme="minorHAnsi" w:eastAsia="Times New Roman" w:hAnsiTheme="minorHAnsi" w:cs="DIN Pro Regular"/>
                <w:b/>
                <w:color w:val="000000"/>
                <w:sz w:val="20"/>
                <w:szCs w:val="20"/>
                <w:lang w:eastAsia="es-MX"/>
              </w:rPr>
            </w:pPr>
            <w:r w:rsidRPr="00073D61">
              <w:rPr>
                <w:rFonts w:asciiTheme="minorHAnsi" w:eastAsia="Times New Roman" w:hAnsiTheme="minorHAnsi" w:cs="DIN Pro Regular"/>
                <w:b/>
                <w:color w:val="000000"/>
                <w:sz w:val="20"/>
                <w:szCs w:val="20"/>
                <w:lang w:eastAsia="es-MX"/>
              </w:rPr>
              <w:t>493,502</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Mobiliario y Equipo de Administración</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sidRPr="00073D61">
              <w:rPr>
                <w:rFonts w:asciiTheme="minorHAnsi" w:eastAsia="Times New Roman" w:hAnsiTheme="minorHAnsi" w:cs="DIN Pro Regular"/>
                <w:color w:val="000000"/>
                <w:sz w:val="20"/>
                <w:szCs w:val="20"/>
                <w:lang w:eastAsia="es-MX"/>
              </w:rPr>
              <w:t>45,977</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Mobiliario y Equipo Educacional y Recreativo</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Equipo e Instrumental Médico y de Laboratorio</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Vehículos y Equipo de Transporte</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sidRPr="00073D61">
              <w:rPr>
                <w:rFonts w:asciiTheme="minorHAnsi" w:eastAsia="Times New Roman" w:hAnsiTheme="minorHAnsi" w:cs="DIN Pro Regular"/>
                <w:color w:val="000000"/>
                <w:sz w:val="20"/>
                <w:szCs w:val="20"/>
                <w:lang w:eastAsia="es-MX"/>
              </w:rPr>
              <w:t>376,900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2.7</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Equipo de Defensa y Seguridad</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Maquinaria, Otros Equipos y Herramientas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sidRPr="00073D61">
              <w:rPr>
                <w:rFonts w:asciiTheme="minorHAnsi" w:eastAsia="Times New Roman" w:hAnsiTheme="minorHAnsi" w:cs="DIN Pro Regular"/>
                <w:color w:val="000000"/>
                <w:sz w:val="20"/>
                <w:szCs w:val="20"/>
                <w:lang w:eastAsia="es-MX"/>
              </w:rPr>
              <w:t>70,625</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Propios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Acciones y Participaciones de Capital</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Compra de Títulos y Valores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bCs/>
                <w:color w:val="000000"/>
                <w:sz w:val="20"/>
                <w:szCs w:val="20"/>
                <w:lang w:eastAsia="es-MX"/>
              </w:rPr>
            </w:pPr>
            <w:r>
              <w:rPr>
                <w:rFonts w:asciiTheme="minorHAnsi" w:eastAsia="Times New Roman" w:hAnsiTheme="minorHAnsi" w:cs="DIN Pro Regular"/>
                <w:bCs/>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6804" w:type="dxa"/>
            <w:tcBorders>
              <w:top w:val="nil"/>
              <w:left w:val="nil"/>
              <w:bottom w:val="single" w:sz="4" w:space="0" w:color="auto"/>
              <w:right w:val="single" w:sz="4" w:space="0" w:color="auto"/>
            </w:tcBorders>
            <w:shd w:val="clear" w:color="auto" w:fill="auto"/>
            <w:vAlign w:val="center"/>
            <w:hideMark/>
          </w:tcPr>
          <w:p w:rsidR="007F796F" w:rsidRPr="008619FB" w:rsidRDefault="007F796F" w:rsidP="002B3FDA">
            <w:pPr>
              <w:spacing w:after="0" w:line="240" w:lineRule="auto"/>
              <w:jc w:val="both"/>
              <w:rPr>
                <w:rFonts w:asciiTheme="minorHAnsi" w:eastAsia="Times New Roman" w:hAnsiTheme="minorHAnsi" w:cs="DIN Pro Regular"/>
                <w:bCs/>
                <w:color w:val="000000"/>
                <w:sz w:val="20"/>
                <w:szCs w:val="20"/>
                <w:lang w:eastAsia="es-MX"/>
              </w:rPr>
            </w:pPr>
            <w:r w:rsidRPr="008619FB">
              <w:rPr>
                <w:rFonts w:asciiTheme="minorHAnsi" w:eastAsia="Times New Roman" w:hAnsiTheme="minorHAnsi" w:cs="DIN Pro Regular"/>
                <w:bCs/>
                <w:color w:val="000000"/>
                <w:sz w:val="20"/>
                <w:szCs w:val="20"/>
                <w:lang w:eastAsia="es-MX"/>
              </w:rPr>
              <w:t>Inversiones en Fideicomisos. Mandatos y Otros Análogos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 para Contingencias y Otras Erogaciones Especiales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Amortización de la Deuda Pública</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Adeudos de Ejercicios Fiscales Anteriores (ADEFAS)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4B118B">
        <w:trPr>
          <w:trHeight w:val="340"/>
          <w:jc w:val="center"/>
        </w:trPr>
        <w:tc>
          <w:tcPr>
            <w:tcW w:w="7655" w:type="dxa"/>
            <w:gridSpan w:val="2"/>
            <w:tcBorders>
              <w:top w:val="nil"/>
              <w:left w:val="single" w:sz="4" w:space="0" w:color="auto"/>
              <w:bottom w:val="single" w:sz="4" w:space="0" w:color="auto"/>
              <w:right w:val="single" w:sz="4" w:space="0" w:color="auto"/>
            </w:tcBorders>
            <w:shd w:val="clear" w:color="auto" w:fill="AB0033"/>
            <w:vAlign w:val="center"/>
            <w:hideMark/>
          </w:tcPr>
          <w:p w:rsidR="007F796F" w:rsidRPr="002164CC" w:rsidRDefault="008619FB" w:rsidP="00174108">
            <w:pPr>
              <w:spacing w:after="0" w:line="240" w:lineRule="auto"/>
              <w:rPr>
                <w:rFonts w:asciiTheme="minorHAnsi" w:eastAsia="Times New Roman" w:hAnsiTheme="minorHAnsi" w:cs="DIN Pro Regular"/>
                <w:b/>
                <w:bCs/>
                <w:color w:val="FFFFFF" w:themeColor="background1"/>
                <w:sz w:val="20"/>
                <w:szCs w:val="20"/>
                <w:lang w:eastAsia="es-MX"/>
              </w:rPr>
            </w:pPr>
            <w:r>
              <w:br w:type="page"/>
            </w:r>
            <w:r w:rsidR="007F796F">
              <w:br w:type="page"/>
            </w:r>
            <w:r w:rsidR="007F796F"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b/>
                <w:color w:val="000000"/>
                <w:sz w:val="20"/>
                <w:szCs w:val="20"/>
                <w:lang w:eastAsia="es-MX"/>
              </w:rPr>
            </w:pPr>
            <w:r w:rsidRPr="00073D61">
              <w:rPr>
                <w:rFonts w:asciiTheme="minorHAnsi" w:eastAsia="Times New Roman" w:hAnsiTheme="minorHAnsi" w:cs="DIN Pro Regular"/>
                <w:b/>
                <w:color w:val="000000"/>
                <w:sz w:val="20"/>
                <w:szCs w:val="20"/>
                <w:lang w:eastAsia="es-MX"/>
              </w:rPr>
              <w:t>379,277</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Estimaciones, Depreciaciones y Deterioros, Obsolescencia y Amortizaciones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sidRPr="00073D61">
              <w:rPr>
                <w:rFonts w:asciiTheme="minorHAnsi" w:eastAsia="Times New Roman" w:hAnsiTheme="minorHAnsi" w:cs="DIN Pro Regular"/>
                <w:color w:val="000000"/>
                <w:sz w:val="20"/>
                <w:szCs w:val="20"/>
                <w:lang w:eastAsia="es-MX"/>
              </w:rPr>
              <w:t>379,277</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 Inventarios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Aumento por Insuficiencia de Estimaciones por Pérdida o Deterioro u Obsolescencia</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Aumento por Insuficiencia de Provisiones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hideMark/>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3.6 </w:t>
            </w:r>
          </w:p>
        </w:tc>
        <w:tc>
          <w:tcPr>
            <w:tcW w:w="6804"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1556" w:type="dxa"/>
            <w:tcBorders>
              <w:top w:val="nil"/>
              <w:left w:val="nil"/>
              <w:bottom w:val="single" w:sz="4" w:space="0" w:color="auto"/>
              <w:right w:val="single" w:sz="4" w:space="0" w:color="auto"/>
            </w:tcBorders>
            <w:shd w:val="clear" w:color="auto" w:fill="auto"/>
            <w:vAlign w:val="center"/>
            <w:hideMark/>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single" w:sz="4" w:space="0" w:color="auto"/>
              <w:bottom w:val="single" w:sz="4" w:space="0" w:color="auto"/>
              <w:right w:val="nil"/>
            </w:tcBorders>
            <w:shd w:val="clear" w:color="auto" w:fill="auto"/>
            <w:vAlign w:val="center"/>
          </w:tcPr>
          <w:p w:rsidR="007F796F" w:rsidRPr="002164CC" w:rsidRDefault="007F796F"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lastRenderedPageBreak/>
              <w:t>3.7</w:t>
            </w:r>
          </w:p>
        </w:tc>
        <w:tc>
          <w:tcPr>
            <w:tcW w:w="6804" w:type="dxa"/>
            <w:tcBorders>
              <w:top w:val="nil"/>
              <w:left w:val="nil"/>
              <w:bottom w:val="single" w:sz="4" w:space="0" w:color="auto"/>
              <w:right w:val="single" w:sz="4" w:space="0" w:color="auto"/>
            </w:tcBorders>
            <w:shd w:val="clear" w:color="auto" w:fill="auto"/>
            <w:vAlign w:val="center"/>
          </w:tcPr>
          <w:p w:rsidR="007F796F" w:rsidRPr="002164CC" w:rsidRDefault="007F796F"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1556" w:type="dxa"/>
            <w:tcBorders>
              <w:top w:val="nil"/>
              <w:left w:val="nil"/>
              <w:bottom w:val="single" w:sz="4" w:space="0" w:color="auto"/>
              <w:right w:val="single" w:sz="4" w:space="0" w:color="auto"/>
            </w:tcBorders>
            <w:shd w:val="clear" w:color="auto" w:fill="auto"/>
            <w:vAlign w:val="center"/>
          </w:tcPr>
          <w:p w:rsidR="007F796F" w:rsidRPr="002164CC" w:rsidRDefault="007F796F" w:rsidP="00073D61">
            <w:pPr>
              <w:spacing w:after="0" w:line="240" w:lineRule="auto"/>
              <w:jc w:val="center"/>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7F796F" w:rsidRPr="002164CC" w:rsidTr="008619FB">
        <w:trPr>
          <w:trHeight w:val="340"/>
          <w:jc w:val="center"/>
        </w:trPr>
        <w:tc>
          <w:tcPr>
            <w:tcW w:w="851"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6804" w:type="dxa"/>
            <w:tcBorders>
              <w:top w:val="nil"/>
              <w:left w:val="nil"/>
              <w:bottom w:val="nil"/>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c>
          <w:tcPr>
            <w:tcW w:w="1556" w:type="dxa"/>
            <w:tcBorders>
              <w:top w:val="nil"/>
              <w:left w:val="nil"/>
              <w:bottom w:val="single" w:sz="4" w:space="0" w:color="auto"/>
              <w:right w:val="nil"/>
            </w:tcBorders>
            <w:shd w:val="clear" w:color="auto" w:fill="auto"/>
            <w:noWrap/>
            <w:vAlign w:val="bottom"/>
            <w:hideMark/>
          </w:tcPr>
          <w:p w:rsidR="007F796F" w:rsidRPr="002164CC" w:rsidRDefault="007F796F" w:rsidP="00174108">
            <w:pPr>
              <w:spacing w:after="0" w:line="240" w:lineRule="auto"/>
              <w:rPr>
                <w:rFonts w:asciiTheme="minorHAnsi" w:eastAsia="Times New Roman" w:hAnsiTheme="minorHAnsi" w:cs="DIN Pro Regular"/>
                <w:color w:val="000000"/>
                <w:sz w:val="20"/>
                <w:szCs w:val="20"/>
                <w:lang w:eastAsia="es-MX"/>
              </w:rPr>
            </w:pPr>
          </w:p>
        </w:tc>
      </w:tr>
      <w:tr w:rsidR="007F796F" w:rsidRPr="002164CC" w:rsidTr="008619FB">
        <w:trPr>
          <w:trHeight w:val="340"/>
          <w:jc w:val="center"/>
        </w:trPr>
        <w:tc>
          <w:tcPr>
            <w:tcW w:w="7655" w:type="dxa"/>
            <w:gridSpan w:val="2"/>
            <w:tcBorders>
              <w:top w:val="single" w:sz="4" w:space="0" w:color="auto"/>
              <w:left w:val="single" w:sz="4" w:space="0" w:color="auto"/>
              <w:bottom w:val="single" w:sz="4" w:space="0" w:color="auto"/>
              <w:right w:val="nil"/>
            </w:tcBorders>
            <w:shd w:val="clear" w:color="auto" w:fill="AB0033"/>
            <w:noWrap/>
            <w:vAlign w:val="bottom"/>
            <w:hideMark/>
          </w:tcPr>
          <w:p w:rsidR="007F796F" w:rsidRPr="002164CC" w:rsidRDefault="007F796F"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96F" w:rsidRPr="002164CC" w:rsidRDefault="007F796F" w:rsidP="002C7C1D">
            <w:pPr>
              <w:spacing w:after="0" w:line="240" w:lineRule="auto"/>
              <w:jc w:val="center"/>
              <w:rPr>
                <w:rFonts w:asciiTheme="minorHAnsi" w:eastAsia="Times New Roman" w:hAnsiTheme="minorHAnsi" w:cs="DIN Pro Regular"/>
                <w:b/>
                <w:color w:val="000000"/>
                <w:sz w:val="20"/>
                <w:szCs w:val="20"/>
                <w:lang w:eastAsia="es-MX"/>
              </w:rPr>
            </w:pPr>
            <w:r w:rsidRPr="007F796F">
              <w:rPr>
                <w:rFonts w:asciiTheme="minorHAnsi" w:eastAsia="Times New Roman" w:hAnsiTheme="minorHAnsi" w:cs="DIN Pro Regular"/>
                <w:b/>
                <w:color w:val="000000"/>
                <w:sz w:val="20"/>
                <w:szCs w:val="20"/>
                <w:lang w:eastAsia="es-MX"/>
              </w:rPr>
              <w:t>34,590,864</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Default="00174108" w:rsidP="00D10273">
      <w:pPr>
        <w:pStyle w:val="Texto"/>
        <w:spacing w:after="0" w:line="240" w:lineRule="exact"/>
        <w:ind w:firstLine="0"/>
        <w:rPr>
          <w:rFonts w:ascii="Calibri" w:hAnsi="Calibri" w:cs="DIN Pro Regular"/>
          <w:b/>
          <w:smallCaps/>
          <w:sz w:val="20"/>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r w:rsidR="00F6633F">
        <w:rPr>
          <w:rFonts w:ascii="Calibri" w:hAnsi="Calibri" w:cs="DIN Pro Regular"/>
          <w:i/>
          <w:sz w:val="20"/>
        </w:rPr>
        <w:t xml:space="preserve"> </w:t>
      </w:r>
      <w:r w:rsidR="00F6633F" w:rsidRPr="00F6633F">
        <w:rPr>
          <w:rFonts w:ascii="Calibri" w:hAnsi="Calibri" w:cs="DIN Pro Regular"/>
          <w:i/>
          <w:sz w:val="20"/>
        </w:rPr>
        <w:t>&lt;No aplica&gt;</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p>
    <w:p w:rsidR="00B60517" w:rsidRPr="008A011E" w:rsidRDefault="00B60517"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p>
    <w:p w:rsidR="00290E6D"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270D81" w:rsidRPr="008A011E" w:rsidRDefault="00270D81" w:rsidP="00290E6D">
      <w:pPr>
        <w:pStyle w:val="Texto"/>
        <w:spacing w:after="0" w:line="240" w:lineRule="exact"/>
        <w:ind w:left="2160" w:hanging="540"/>
        <w:rPr>
          <w:rFonts w:ascii="Calibri" w:hAnsi="Calibri" w:cs="DIN Pro Regular"/>
          <w:i/>
          <w:sz w:val="20"/>
        </w:rPr>
      </w:pP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tbl>
      <w:tblPr>
        <w:tblpPr w:leftFromText="141" w:rightFromText="141" w:vertAnchor="text" w:horzAnchor="margin" w:tblpXSpec="center" w:tblpY="-46"/>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4"/>
        <w:gridCol w:w="238"/>
        <w:gridCol w:w="1182"/>
        <w:gridCol w:w="235"/>
        <w:gridCol w:w="1418"/>
      </w:tblGrid>
      <w:tr w:rsidR="00270D81" w:rsidRPr="00CF4649" w:rsidTr="00AA39F8">
        <w:trPr>
          <w:trHeight w:val="233"/>
        </w:trPr>
        <w:tc>
          <w:tcPr>
            <w:tcW w:w="4794" w:type="dxa"/>
            <w:shd w:val="clear" w:color="auto" w:fill="AB0033"/>
            <w:vAlign w:val="center"/>
            <w:hideMark/>
          </w:tcPr>
          <w:p w:rsidR="00270D81" w:rsidRPr="00CE30C9" w:rsidRDefault="00270D81" w:rsidP="000D7BE2">
            <w:pPr>
              <w:spacing w:after="0" w:line="240" w:lineRule="auto"/>
              <w:jc w:val="center"/>
              <w:rPr>
                <w:rFonts w:ascii="Arial" w:eastAsia="Times New Roman" w:hAnsi="Arial" w:cs="Arial"/>
                <w:b/>
                <w:bCs/>
                <w:color w:val="FFFFFF"/>
                <w:sz w:val="18"/>
                <w:szCs w:val="18"/>
                <w:lang w:eastAsia="es-MX"/>
              </w:rPr>
            </w:pPr>
            <w:r w:rsidRPr="00CE30C9">
              <w:rPr>
                <w:rFonts w:ascii="Arial" w:eastAsia="Times New Roman" w:hAnsi="Arial" w:cs="Arial"/>
                <w:b/>
                <w:bCs/>
                <w:color w:val="FFFFFF"/>
                <w:sz w:val="18"/>
                <w:szCs w:val="18"/>
                <w:lang w:eastAsia="es-MX"/>
              </w:rPr>
              <w:t>CONCEPTO</w:t>
            </w:r>
          </w:p>
        </w:tc>
        <w:tc>
          <w:tcPr>
            <w:tcW w:w="1420" w:type="dxa"/>
            <w:gridSpan w:val="2"/>
            <w:shd w:val="clear" w:color="auto" w:fill="AB0033"/>
            <w:vAlign w:val="center"/>
            <w:hideMark/>
          </w:tcPr>
          <w:p w:rsidR="00270D81" w:rsidRPr="00CE30C9" w:rsidRDefault="00270D81" w:rsidP="000D7BE2">
            <w:pPr>
              <w:spacing w:after="0" w:line="240" w:lineRule="auto"/>
              <w:jc w:val="center"/>
              <w:rPr>
                <w:rFonts w:ascii="Arial" w:eastAsia="Times New Roman" w:hAnsi="Arial" w:cs="Arial"/>
                <w:b/>
                <w:bCs/>
                <w:color w:val="FFFFFF"/>
                <w:sz w:val="18"/>
                <w:szCs w:val="18"/>
                <w:lang w:eastAsia="es-MX"/>
              </w:rPr>
            </w:pPr>
            <w:r w:rsidRPr="00CE30C9">
              <w:rPr>
                <w:rFonts w:ascii="Arial" w:eastAsia="Times New Roman" w:hAnsi="Arial" w:cs="Arial"/>
                <w:b/>
                <w:bCs/>
                <w:color w:val="FFFFFF"/>
                <w:sz w:val="18"/>
                <w:szCs w:val="18"/>
                <w:lang w:eastAsia="es-MX"/>
              </w:rPr>
              <w:t>2022</w:t>
            </w:r>
          </w:p>
        </w:tc>
        <w:tc>
          <w:tcPr>
            <w:tcW w:w="1653" w:type="dxa"/>
            <w:gridSpan w:val="2"/>
            <w:shd w:val="clear" w:color="auto" w:fill="AB0033"/>
            <w:vAlign w:val="center"/>
            <w:hideMark/>
          </w:tcPr>
          <w:p w:rsidR="00270D81" w:rsidRPr="00CE30C9" w:rsidRDefault="00270D81" w:rsidP="000D7BE2">
            <w:pPr>
              <w:spacing w:after="0" w:line="240" w:lineRule="auto"/>
              <w:jc w:val="center"/>
              <w:rPr>
                <w:rFonts w:ascii="Arial" w:eastAsia="Times New Roman" w:hAnsi="Arial" w:cs="Arial"/>
                <w:b/>
                <w:bCs/>
                <w:color w:val="FFFFFF"/>
                <w:sz w:val="18"/>
                <w:szCs w:val="18"/>
                <w:lang w:eastAsia="es-MX"/>
              </w:rPr>
            </w:pPr>
            <w:r w:rsidRPr="00CE30C9">
              <w:rPr>
                <w:rFonts w:ascii="Arial" w:eastAsia="Times New Roman" w:hAnsi="Arial" w:cs="Arial"/>
                <w:b/>
                <w:bCs/>
                <w:color w:val="FFFFFF"/>
                <w:sz w:val="18"/>
                <w:szCs w:val="18"/>
                <w:lang w:eastAsia="es-MX"/>
              </w:rPr>
              <w:t>2021</w:t>
            </w:r>
          </w:p>
        </w:tc>
      </w:tr>
      <w:tr w:rsidR="00270D81" w:rsidRPr="00CF4649" w:rsidTr="00AA39F8">
        <w:trPr>
          <w:trHeight w:val="210"/>
        </w:trPr>
        <w:tc>
          <w:tcPr>
            <w:tcW w:w="7867" w:type="dxa"/>
            <w:gridSpan w:val="5"/>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20"/>
                <w:szCs w:val="20"/>
                <w:lang w:eastAsia="es-MX"/>
              </w:rPr>
            </w:pPr>
          </w:p>
        </w:tc>
      </w:tr>
      <w:tr w:rsidR="00270D81" w:rsidRPr="00CF4649" w:rsidTr="00AA39F8">
        <w:trPr>
          <w:trHeight w:val="210"/>
        </w:trPr>
        <w:tc>
          <w:tcPr>
            <w:tcW w:w="7867" w:type="dxa"/>
            <w:gridSpan w:val="5"/>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20"/>
                <w:szCs w:val="20"/>
                <w:lang w:eastAsia="es-MX"/>
              </w:rPr>
            </w:pPr>
            <w:r w:rsidRPr="00CF4649">
              <w:rPr>
                <w:rFonts w:ascii="Arial" w:eastAsia="Times New Roman" w:hAnsi="Arial" w:cs="Arial"/>
                <w:b/>
                <w:bCs/>
                <w:color w:val="000000"/>
                <w:sz w:val="14"/>
                <w:szCs w:val="14"/>
                <w:lang w:eastAsia="es-MX"/>
              </w:rPr>
              <w:t xml:space="preserve">LEY DE INGRESOS </w:t>
            </w:r>
            <w:r w:rsidRPr="00CF4649">
              <w:rPr>
                <w:rFonts w:ascii="Arial" w:eastAsia="Times New Roman" w:hAnsi="Arial" w:cs="Arial"/>
                <w:color w:val="000000"/>
                <w:sz w:val="20"/>
                <w:szCs w:val="20"/>
                <w:lang w:eastAsia="es-MX"/>
              </w:rPr>
              <w:t>  </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LEY DE INGRESOS ESTIMADA</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36,240,155</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35,240,76</w:t>
            </w:r>
            <w:r>
              <w:rPr>
                <w:rFonts w:ascii="Arial" w:eastAsia="Times New Roman" w:hAnsi="Arial" w:cs="Arial"/>
                <w:color w:val="000000"/>
                <w:sz w:val="14"/>
                <w:szCs w:val="14"/>
                <w:lang w:eastAsia="es-MX"/>
              </w:rPr>
              <w:t>7</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LEY DE INGRESOS POR EJECUTAR</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0</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197,86</w:t>
            </w:r>
            <w:r>
              <w:rPr>
                <w:rFonts w:ascii="Arial" w:eastAsia="Times New Roman" w:hAnsi="Arial" w:cs="Arial"/>
                <w:color w:val="000000"/>
                <w:sz w:val="14"/>
                <w:szCs w:val="14"/>
                <w:lang w:eastAsia="es-MX"/>
              </w:rPr>
              <w:t>3</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MODIFICACIONES A LA LEY DE INGRESOS ESTIMADA</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1,466,40</w:t>
            </w:r>
            <w:r>
              <w:rPr>
                <w:rFonts w:ascii="Arial" w:eastAsia="Times New Roman" w:hAnsi="Arial" w:cs="Arial"/>
                <w:color w:val="000000"/>
                <w:sz w:val="14"/>
                <w:szCs w:val="14"/>
                <w:lang w:eastAsia="es-MX"/>
              </w:rPr>
              <w:t>2</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1,363,89</w:t>
            </w:r>
            <w:r>
              <w:rPr>
                <w:rFonts w:ascii="Arial" w:eastAsia="Times New Roman" w:hAnsi="Arial" w:cs="Arial"/>
                <w:color w:val="000000"/>
                <w:sz w:val="14"/>
                <w:szCs w:val="14"/>
                <w:lang w:eastAsia="es-MX"/>
              </w:rPr>
              <w:t>6</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LEY DE INGRESOS DEVENGADA</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37,706,55</w:t>
            </w:r>
            <w:r>
              <w:rPr>
                <w:rFonts w:ascii="Arial" w:eastAsia="Times New Roman" w:hAnsi="Arial" w:cs="Arial"/>
                <w:color w:val="000000"/>
                <w:sz w:val="14"/>
                <w:szCs w:val="14"/>
                <w:lang w:eastAsia="es-MX"/>
              </w:rPr>
              <w:t>7</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36,406,</w:t>
            </w:r>
            <w:r>
              <w:rPr>
                <w:rFonts w:ascii="Arial" w:eastAsia="Times New Roman" w:hAnsi="Arial" w:cs="Arial"/>
                <w:color w:val="000000"/>
                <w:sz w:val="14"/>
                <w:szCs w:val="14"/>
                <w:lang w:eastAsia="es-MX"/>
              </w:rPr>
              <w:t>800</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LEY DE INGRESOS RECAUDADA</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37,706,55</w:t>
            </w:r>
            <w:r>
              <w:rPr>
                <w:rFonts w:ascii="Arial" w:eastAsia="Times New Roman" w:hAnsi="Arial" w:cs="Arial"/>
                <w:color w:val="000000"/>
                <w:sz w:val="14"/>
                <w:szCs w:val="14"/>
                <w:lang w:eastAsia="es-MX"/>
              </w:rPr>
              <w:t>7</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36,406,</w:t>
            </w:r>
            <w:r>
              <w:rPr>
                <w:rFonts w:ascii="Arial" w:eastAsia="Times New Roman" w:hAnsi="Arial" w:cs="Arial"/>
                <w:color w:val="000000"/>
                <w:sz w:val="14"/>
                <w:szCs w:val="14"/>
                <w:lang w:eastAsia="es-MX"/>
              </w:rPr>
              <w:t>800</w:t>
            </w:r>
          </w:p>
        </w:tc>
      </w:tr>
      <w:tr w:rsidR="00270D81" w:rsidRPr="00CF4649" w:rsidTr="00AA39F8">
        <w:trPr>
          <w:trHeight w:val="210"/>
        </w:trPr>
        <w:tc>
          <w:tcPr>
            <w:tcW w:w="7867" w:type="dxa"/>
            <w:gridSpan w:val="5"/>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20"/>
                <w:szCs w:val="20"/>
                <w:lang w:eastAsia="es-MX"/>
              </w:rPr>
            </w:pPr>
          </w:p>
        </w:tc>
      </w:tr>
      <w:tr w:rsidR="00270D81" w:rsidRPr="00CF4649" w:rsidTr="00AA39F8">
        <w:trPr>
          <w:trHeight w:val="210"/>
        </w:trPr>
        <w:tc>
          <w:tcPr>
            <w:tcW w:w="7867" w:type="dxa"/>
            <w:gridSpan w:val="5"/>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20"/>
                <w:szCs w:val="20"/>
                <w:lang w:eastAsia="es-MX"/>
              </w:rPr>
            </w:pPr>
            <w:r w:rsidRPr="00CF4649">
              <w:rPr>
                <w:rFonts w:ascii="Arial" w:eastAsia="Times New Roman" w:hAnsi="Arial" w:cs="Arial"/>
                <w:b/>
                <w:bCs/>
                <w:color w:val="000000"/>
                <w:sz w:val="14"/>
                <w:szCs w:val="14"/>
                <w:lang w:eastAsia="es-MX"/>
              </w:rPr>
              <w:t>PRESUPUESTO DE EGRESOS</w:t>
            </w:r>
            <w:r w:rsidRPr="00CF4649">
              <w:rPr>
                <w:rFonts w:ascii="Arial" w:eastAsia="Times New Roman" w:hAnsi="Arial" w:cs="Arial"/>
                <w:color w:val="000000"/>
                <w:sz w:val="20"/>
                <w:szCs w:val="20"/>
                <w:lang w:eastAsia="es-MX"/>
              </w:rPr>
              <w:t> </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PRESUPUESTO DE EGRESOS APROBADO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36,240,155.00</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35,240,76</w:t>
            </w:r>
            <w:r>
              <w:rPr>
                <w:rFonts w:ascii="Arial" w:eastAsia="Times New Roman" w:hAnsi="Arial" w:cs="Arial"/>
                <w:color w:val="000000"/>
                <w:sz w:val="14"/>
                <w:szCs w:val="14"/>
                <w:lang w:eastAsia="es-MX"/>
              </w:rPr>
              <w:t>7</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PRESUPUESTO DE EGRESOS POR EJERCER</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3,396,707</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3,414,163</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AA39F8">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MODIFICACIONES AL PRESUPUESTO DE EGRESOS</w:t>
            </w:r>
            <w:r>
              <w:rPr>
                <w:rFonts w:ascii="Arial" w:eastAsia="Times New Roman" w:hAnsi="Arial" w:cs="Arial"/>
                <w:color w:val="000000"/>
                <w:sz w:val="14"/>
                <w:szCs w:val="14"/>
                <w:lang w:eastAsia="es-MX"/>
              </w:rPr>
              <w:t xml:space="preserve"> </w:t>
            </w:r>
            <w:r w:rsidRPr="00CF4649">
              <w:rPr>
                <w:rFonts w:ascii="Arial" w:eastAsia="Times New Roman" w:hAnsi="Arial" w:cs="Arial"/>
                <w:color w:val="000000"/>
                <w:sz w:val="14"/>
                <w:szCs w:val="14"/>
                <w:lang w:eastAsia="es-MX"/>
              </w:rPr>
              <w:t>APROBADO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1,984,556</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3,520,574</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Pr="00CF4649">
              <w:rPr>
                <w:rFonts w:ascii="Arial" w:eastAsia="Times New Roman" w:hAnsi="Arial" w:cs="Arial"/>
                <w:color w:val="000000"/>
                <w:sz w:val="14"/>
                <w:szCs w:val="14"/>
                <w:lang w:eastAsia="es-MX"/>
              </w:rPr>
              <w:t>PRESUPUESTO DE EGRESOS COMPROMETIDO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34,828,004</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35,347,177</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PRESUPUESTO DE EGRESOS DEVENGADO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34,705,08</w:t>
            </w:r>
            <w:r>
              <w:rPr>
                <w:rFonts w:ascii="Arial" w:eastAsia="Times New Roman" w:hAnsi="Arial" w:cs="Arial"/>
                <w:color w:val="000000"/>
                <w:sz w:val="14"/>
                <w:szCs w:val="14"/>
                <w:lang w:eastAsia="es-MX"/>
              </w:rPr>
              <w:t>9</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35,144,54</w:t>
            </w:r>
            <w:r>
              <w:rPr>
                <w:rFonts w:ascii="Arial" w:eastAsia="Times New Roman" w:hAnsi="Arial" w:cs="Arial"/>
                <w:color w:val="000000"/>
                <w:sz w:val="14"/>
                <w:szCs w:val="14"/>
                <w:lang w:eastAsia="es-MX"/>
              </w:rPr>
              <w:t>6</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PRESUPUESTO DE EGRESOS EJERCIDO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34,557,428</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35,144,54</w:t>
            </w:r>
            <w:r>
              <w:rPr>
                <w:rFonts w:ascii="Arial" w:eastAsia="Times New Roman" w:hAnsi="Arial" w:cs="Arial"/>
                <w:color w:val="000000"/>
                <w:sz w:val="14"/>
                <w:szCs w:val="14"/>
                <w:lang w:eastAsia="es-MX"/>
              </w:rPr>
              <w:t>6</w:t>
            </w:r>
          </w:p>
        </w:tc>
      </w:tr>
      <w:tr w:rsidR="00270D81" w:rsidRPr="00CF4649" w:rsidTr="00AA39F8">
        <w:trPr>
          <w:trHeight w:val="210"/>
        </w:trPr>
        <w:tc>
          <w:tcPr>
            <w:tcW w:w="5032" w:type="dxa"/>
            <w:gridSpan w:val="2"/>
            <w:shd w:val="clear" w:color="auto" w:fill="auto"/>
            <w:vAlign w:val="center"/>
            <w:hideMark/>
          </w:tcPr>
          <w:p w:rsidR="00270D81" w:rsidRPr="00CF4649" w:rsidRDefault="00270D81" w:rsidP="000D7BE2">
            <w:pPr>
              <w:spacing w:after="0" w:line="240" w:lineRule="auto"/>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 xml:space="preserve">      PRESUPUESTO DE EGRESOS PAGADO</w:t>
            </w:r>
          </w:p>
        </w:tc>
        <w:tc>
          <w:tcPr>
            <w:tcW w:w="1417" w:type="dxa"/>
            <w:gridSpan w:val="2"/>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34,557,428</w:t>
            </w:r>
          </w:p>
        </w:tc>
        <w:tc>
          <w:tcPr>
            <w:tcW w:w="1418" w:type="dxa"/>
            <w:shd w:val="clear" w:color="auto" w:fill="auto"/>
            <w:vAlign w:val="center"/>
            <w:hideMark/>
          </w:tcPr>
          <w:p w:rsidR="00270D81" w:rsidRPr="00CF4649" w:rsidRDefault="00270D81" w:rsidP="000D7BE2">
            <w:pPr>
              <w:spacing w:after="0" w:line="240" w:lineRule="auto"/>
              <w:jc w:val="right"/>
              <w:rPr>
                <w:rFonts w:ascii="Arial" w:eastAsia="Times New Roman" w:hAnsi="Arial" w:cs="Arial"/>
                <w:color w:val="000000"/>
                <w:sz w:val="14"/>
                <w:szCs w:val="14"/>
                <w:lang w:eastAsia="es-MX"/>
              </w:rPr>
            </w:pPr>
            <w:r w:rsidRPr="00CF4649">
              <w:rPr>
                <w:rFonts w:ascii="Arial" w:eastAsia="Times New Roman" w:hAnsi="Arial" w:cs="Arial"/>
                <w:color w:val="000000"/>
                <w:sz w:val="14"/>
                <w:szCs w:val="14"/>
                <w:lang w:eastAsia="es-MX"/>
              </w:rPr>
              <w:t>35,144,54</w:t>
            </w:r>
            <w:r>
              <w:rPr>
                <w:rFonts w:ascii="Arial" w:eastAsia="Times New Roman" w:hAnsi="Arial" w:cs="Arial"/>
                <w:color w:val="000000"/>
                <w:sz w:val="14"/>
                <w:szCs w:val="14"/>
                <w:lang w:eastAsia="es-MX"/>
              </w:rPr>
              <w:t>6</w:t>
            </w:r>
          </w:p>
        </w:tc>
      </w:tr>
    </w:tbl>
    <w:p w:rsidR="00540418" w:rsidRDefault="00540418" w:rsidP="00270D81">
      <w:pPr>
        <w:pStyle w:val="Texto"/>
        <w:spacing w:after="0" w:line="240" w:lineRule="exact"/>
        <w:ind w:firstLine="0"/>
        <w:rPr>
          <w:rFonts w:ascii="Calibri" w:hAnsi="Calibri" w:cs="DIN Pro Regular"/>
          <w:sz w:val="20"/>
        </w:rPr>
      </w:pPr>
    </w:p>
    <w:p w:rsidR="00270D81" w:rsidRDefault="00270D81" w:rsidP="00270D81">
      <w:pPr>
        <w:pStyle w:val="Texto"/>
        <w:spacing w:after="0" w:line="240" w:lineRule="exact"/>
        <w:ind w:firstLine="0"/>
        <w:rPr>
          <w:rFonts w:ascii="Calibri" w:hAnsi="Calibri" w:cs="DIN Pro Regular"/>
          <w:sz w:val="20"/>
        </w:rPr>
      </w:pPr>
    </w:p>
    <w:p w:rsidR="00270D81" w:rsidRDefault="00270D81" w:rsidP="00270D81">
      <w:pPr>
        <w:pStyle w:val="Texto"/>
        <w:spacing w:after="0" w:line="240" w:lineRule="exact"/>
        <w:ind w:firstLine="0"/>
        <w:rPr>
          <w:rFonts w:ascii="Calibri" w:hAnsi="Calibri" w:cs="DIN Pro Regular"/>
          <w:sz w:val="20"/>
        </w:rPr>
      </w:pPr>
    </w:p>
    <w:p w:rsidR="00270D81" w:rsidRDefault="00270D81" w:rsidP="00270D81">
      <w:pPr>
        <w:pStyle w:val="Texto"/>
        <w:spacing w:after="0" w:line="240" w:lineRule="exact"/>
        <w:ind w:firstLine="0"/>
        <w:rPr>
          <w:rFonts w:ascii="Calibri" w:hAnsi="Calibri" w:cs="DIN Pro Regular"/>
          <w:sz w:val="20"/>
        </w:rPr>
      </w:pPr>
    </w:p>
    <w:p w:rsidR="00270D81" w:rsidRDefault="00270D81" w:rsidP="00270D81">
      <w:pPr>
        <w:pStyle w:val="Texto"/>
        <w:spacing w:after="0" w:line="240" w:lineRule="exact"/>
        <w:ind w:firstLine="0"/>
        <w:rPr>
          <w:rFonts w:ascii="Calibri" w:hAnsi="Calibri" w:cs="DIN Pro Regular"/>
          <w:sz w:val="20"/>
        </w:rPr>
      </w:pPr>
    </w:p>
    <w:p w:rsidR="00270D81" w:rsidRDefault="00270D81" w:rsidP="00270D81">
      <w:pPr>
        <w:pStyle w:val="Texto"/>
        <w:spacing w:after="0" w:line="240" w:lineRule="exact"/>
        <w:ind w:firstLine="0"/>
        <w:rPr>
          <w:rFonts w:ascii="Calibri" w:hAnsi="Calibri" w:cs="DIN Pro Regular"/>
          <w:sz w:val="20"/>
        </w:rPr>
      </w:pPr>
    </w:p>
    <w:p w:rsidR="00270D81" w:rsidRPr="008A011E" w:rsidRDefault="00270D81" w:rsidP="00270D81">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270D81" w:rsidRDefault="00270D81" w:rsidP="000D5EFE">
      <w:pPr>
        <w:pStyle w:val="Texto"/>
        <w:spacing w:after="0" w:line="240" w:lineRule="exact"/>
        <w:ind w:firstLine="0"/>
        <w:rPr>
          <w:rFonts w:ascii="Calibri" w:hAnsi="Calibri" w:cs="DIN Pro Regular"/>
          <w:sz w:val="20"/>
        </w:rPr>
      </w:pPr>
    </w:p>
    <w:p w:rsidR="00FD6673" w:rsidRDefault="00FD6673"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Default="000D5EFE" w:rsidP="00540418">
      <w:pPr>
        <w:pStyle w:val="Texto"/>
        <w:spacing w:after="0" w:line="240" w:lineRule="exact"/>
        <w:rPr>
          <w:rFonts w:ascii="Calibri" w:hAnsi="Calibri" w:cs="DIN Pro Regular"/>
          <w:sz w:val="20"/>
        </w:rPr>
      </w:pPr>
    </w:p>
    <w:p w:rsidR="00AA39F8" w:rsidRDefault="00AA39F8" w:rsidP="00540418">
      <w:pPr>
        <w:pStyle w:val="Texto"/>
        <w:spacing w:after="0" w:line="240" w:lineRule="exact"/>
        <w:rPr>
          <w:rFonts w:ascii="Calibri" w:hAnsi="Calibri" w:cs="DIN Pro Regular"/>
          <w:sz w:val="20"/>
        </w:rPr>
      </w:pPr>
    </w:p>
    <w:p w:rsidR="00AA39F8" w:rsidRPr="008A011E" w:rsidRDefault="00AA39F8"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FD6673" w:rsidRDefault="00FD6673" w:rsidP="00540418">
      <w:pPr>
        <w:pStyle w:val="Texto"/>
        <w:spacing w:after="0" w:line="240" w:lineRule="exact"/>
        <w:ind w:firstLine="0"/>
        <w:jc w:val="center"/>
        <w:rPr>
          <w:rFonts w:ascii="Encode Sans" w:hAnsi="Encode Sans" w:cs="DIN Pro Regular"/>
          <w:b/>
          <w:sz w:val="20"/>
          <w:lang w:val="es-MX"/>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Default="00540418" w:rsidP="00331EF8">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Introducción</w:t>
      </w:r>
    </w:p>
    <w:p w:rsidR="00331EF8" w:rsidRDefault="00331EF8" w:rsidP="00331EF8">
      <w:pPr>
        <w:pStyle w:val="Texto"/>
        <w:spacing w:after="0" w:line="240" w:lineRule="exact"/>
        <w:ind w:left="708" w:firstLine="0"/>
        <w:rPr>
          <w:rFonts w:ascii="Calibri" w:hAnsi="Calibri" w:cs="DIN Pro Regular"/>
          <w:sz w:val="20"/>
          <w:lang w:val="es-MX"/>
        </w:rPr>
      </w:pPr>
    </w:p>
    <w:p w:rsidR="00331EF8" w:rsidRPr="00331EF8" w:rsidRDefault="00331EF8" w:rsidP="00331EF8">
      <w:pPr>
        <w:pStyle w:val="Texto"/>
        <w:spacing w:after="0" w:line="240" w:lineRule="exact"/>
        <w:ind w:left="708"/>
        <w:rPr>
          <w:rFonts w:ascii="Calibri" w:hAnsi="Calibri" w:cs="DIN Pro Regular"/>
          <w:sz w:val="20"/>
        </w:rPr>
      </w:pPr>
      <w:r w:rsidRPr="00331EF8">
        <w:rPr>
          <w:rFonts w:ascii="Calibri" w:hAnsi="Calibri" w:cs="DIN Pro Regular"/>
          <w:sz w:val="20"/>
        </w:rPr>
        <w:t>Los Estados Financieros del Instituto Tecnológico Superior de El Mante, proveen de información acerca de la situación financiera y los resultados de gestión sobre el ejercicio de la Ley de Ingresos y del Presupuesto de Egresos 2022 de este Organismo Público Descentralizado, a los principales usuarios de esta, al Congreso del Estado de Tamaulipas y a la ciudadanía en general.</w:t>
      </w:r>
    </w:p>
    <w:p w:rsidR="00331EF8" w:rsidRPr="00331EF8" w:rsidRDefault="00331EF8" w:rsidP="00331EF8">
      <w:pPr>
        <w:pStyle w:val="Texto"/>
        <w:spacing w:after="0" w:line="240" w:lineRule="exact"/>
        <w:ind w:left="708"/>
        <w:rPr>
          <w:rFonts w:ascii="Calibri" w:hAnsi="Calibri" w:cs="DIN Pro Regular"/>
          <w:sz w:val="20"/>
        </w:rPr>
      </w:pPr>
    </w:p>
    <w:p w:rsidR="00331EF8" w:rsidRDefault="00331EF8" w:rsidP="00331EF8">
      <w:pPr>
        <w:pStyle w:val="Texto"/>
        <w:spacing w:after="0" w:line="240" w:lineRule="exact"/>
        <w:ind w:left="708"/>
        <w:rPr>
          <w:rFonts w:ascii="Calibri" w:hAnsi="Calibri" w:cs="DIN Pro Regular"/>
          <w:sz w:val="20"/>
        </w:rPr>
      </w:pPr>
      <w:r w:rsidRPr="00331EF8">
        <w:rPr>
          <w:rFonts w:ascii="Calibri" w:hAnsi="Calibri" w:cs="DIN Pro Regular"/>
          <w:sz w:val="20"/>
        </w:rPr>
        <w:t>El objetivo del presente documento es la revelación del contexto y de los aspectos económico-financieros más relevantes que influyeron en las decisiones del periodo, y que deberán ser considerados en la elaboración de los estados financieros para la mayor comprensión de estos y sus particularidades. 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w:t>
      </w:r>
    </w:p>
    <w:p w:rsidR="00331EF8" w:rsidRPr="008A011E" w:rsidRDefault="00331EF8" w:rsidP="00331EF8">
      <w:pPr>
        <w:pStyle w:val="Texto"/>
        <w:spacing w:after="0" w:line="240" w:lineRule="exact"/>
        <w:ind w:left="708" w:firstLine="0"/>
        <w:rPr>
          <w:rFonts w:ascii="Calibri" w:hAnsi="Calibri" w:cs="DIN Pro Regular"/>
          <w:sz w:val="20"/>
        </w:rPr>
      </w:pPr>
    </w:p>
    <w:p w:rsidR="00540418" w:rsidRDefault="00540418" w:rsidP="00331EF8">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Panorama Económico y Financiero</w:t>
      </w:r>
    </w:p>
    <w:p w:rsidR="00331EF8" w:rsidRDefault="00331EF8" w:rsidP="00331EF8">
      <w:pPr>
        <w:pStyle w:val="Texto"/>
        <w:spacing w:after="0" w:line="240" w:lineRule="exact"/>
        <w:ind w:left="708" w:firstLine="0"/>
        <w:rPr>
          <w:rFonts w:ascii="Calibri" w:hAnsi="Calibri" w:cs="DIN Pro Regular"/>
          <w:sz w:val="20"/>
          <w:lang w:val="es-MX"/>
        </w:rPr>
      </w:pPr>
    </w:p>
    <w:p w:rsidR="00331EF8" w:rsidRPr="00331EF8" w:rsidRDefault="00331EF8" w:rsidP="00331EF8">
      <w:pPr>
        <w:pStyle w:val="Texto"/>
        <w:spacing w:after="0" w:line="240" w:lineRule="exact"/>
        <w:ind w:left="708"/>
        <w:rPr>
          <w:rFonts w:ascii="Calibri" w:hAnsi="Calibri" w:cs="DIN Pro Regular"/>
          <w:sz w:val="20"/>
        </w:rPr>
      </w:pPr>
      <w:r w:rsidRPr="00331EF8">
        <w:rPr>
          <w:rFonts w:ascii="Calibri" w:hAnsi="Calibri" w:cs="DIN Pro Regular"/>
          <w:sz w:val="20"/>
        </w:rPr>
        <w:t>A través del presente documento se informa sobre las principales condiciones económico – financieras bajo las cuales el Instituto Tecnológico Superior de El Mante estuvo operando, mismas que influyeron en la toma de decisiones en el periodo sobre la administración de los recursos financieros, considerándolas para la elaboración de los Estados Financieros Contables y Presupuestarios.</w:t>
      </w:r>
    </w:p>
    <w:p w:rsidR="00331EF8" w:rsidRPr="008A011E" w:rsidRDefault="00331EF8" w:rsidP="00331EF8">
      <w:pPr>
        <w:pStyle w:val="Texto"/>
        <w:spacing w:after="0" w:line="240" w:lineRule="exact"/>
        <w:ind w:left="708" w:firstLine="0"/>
        <w:rPr>
          <w:rFonts w:ascii="Calibri" w:hAnsi="Calibri" w:cs="DIN Pro Regular"/>
          <w:sz w:val="20"/>
          <w:lang w:val="es-MX"/>
        </w:rPr>
      </w:pPr>
    </w:p>
    <w:p w:rsidR="00540418" w:rsidRDefault="00540418" w:rsidP="00331EF8">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Autorización e Historia</w:t>
      </w:r>
    </w:p>
    <w:p w:rsidR="00331EF8" w:rsidRDefault="00331EF8" w:rsidP="00331EF8">
      <w:pPr>
        <w:pStyle w:val="Texto"/>
        <w:spacing w:after="0" w:line="240" w:lineRule="exact"/>
        <w:ind w:left="708" w:firstLine="0"/>
        <w:rPr>
          <w:rFonts w:ascii="Calibri" w:hAnsi="Calibri" w:cs="DIN Pro Regular"/>
          <w:sz w:val="20"/>
          <w:lang w:val="es-MX"/>
        </w:rPr>
      </w:pPr>
    </w:p>
    <w:p w:rsidR="00331EF8" w:rsidRPr="00331EF8" w:rsidRDefault="00331EF8" w:rsidP="00331EF8">
      <w:pPr>
        <w:pStyle w:val="Texto"/>
        <w:spacing w:after="0" w:line="240" w:lineRule="exact"/>
        <w:ind w:left="708"/>
        <w:rPr>
          <w:rFonts w:ascii="Calibri" w:hAnsi="Calibri" w:cs="DIN Pro Regular"/>
          <w:sz w:val="20"/>
        </w:rPr>
      </w:pPr>
      <w:r w:rsidRPr="00331EF8">
        <w:rPr>
          <w:rFonts w:ascii="Calibri" w:hAnsi="Calibri" w:cs="DIN Pro Regular"/>
          <w:sz w:val="20"/>
        </w:rPr>
        <w:t>El Instituto Tecnológico Superior de El Mante, es un Organismo Descentralizado de la Administración Pública del Estado de Tamaulipas, creado mediante Decreto Gubernamental publicado en el Periódico Oficial del Estado de fecha 25 de agosto de 2008,  dotado de personalidad jurídica y patrimonio propio.</w:t>
      </w:r>
    </w:p>
    <w:p w:rsidR="00331EF8" w:rsidRPr="008A011E" w:rsidRDefault="00331EF8" w:rsidP="00331EF8">
      <w:pPr>
        <w:pStyle w:val="Texto"/>
        <w:spacing w:after="0" w:line="240" w:lineRule="exact"/>
        <w:ind w:left="708" w:firstLine="0"/>
        <w:rPr>
          <w:rFonts w:ascii="Calibri" w:hAnsi="Calibri" w:cs="DIN Pro Regular"/>
          <w:sz w:val="20"/>
          <w:lang w:val="es-MX"/>
        </w:rPr>
      </w:pPr>
    </w:p>
    <w:p w:rsidR="00540418" w:rsidRDefault="00540418" w:rsidP="00744704">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Organización y Objeto Social</w:t>
      </w:r>
    </w:p>
    <w:p w:rsidR="00744704" w:rsidRDefault="00744704" w:rsidP="00744704">
      <w:pPr>
        <w:pStyle w:val="Texto"/>
        <w:spacing w:after="0" w:line="240" w:lineRule="exact"/>
        <w:ind w:left="708" w:firstLine="0"/>
        <w:rPr>
          <w:rFonts w:ascii="Calibri" w:hAnsi="Calibri" w:cs="DIN Pro Regular"/>
          <w:sz w:val="20"/>
          <w:lang w:val="es-MX"/>
        </w:rPr>
      </w:pP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I.</w:t>
      </w:r>
      <w:r w:rsidRPr="00744704">
        <w:rPr>
          <w:rFonts w:ascii="Calibri" w:hAnsi="Calibri" w:cs="DIN Pro Regular"/>
          <w:sz w:val="20"/>
          <w:lang w:val="es-MX"/>
        </w:rPr>
        <w:tab/>
        <w:t>Impartir estudios de educación superior, y otros estudios de postgrado  en las modalidades escolarizada, no escolarizada y mixta, para formar profesionales altamente capacitados, organizar cursos de capacitación, actualización y especialización en sus diversas modalidades;</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II.</w:t>
      </w:r>
      <w:r w:rsidRPr="00744704">
        <w:rPr>
          <w:rFonts w:ascii="Calibri" w:hAnsi="Calibri" w:cs="DIN Pro Regular"/>
          <w:sz w:val="20"/>
          <w:lang w:val="es-MX"/>
        </w:rPr>
        <w:tab/>
        <w:t>Contribuir mediante el desarrollo de la investigación y de la educación superior,  a  la independencia económica, científica, tecnológica y cultural de la Región, del Estado y del País, creando condiciones que propicien un adecuado desarrollo social con base en los principios de la Constitución Política de los Estados Unidos Mexicanos y demás disposiciones en la materia;</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III.</w:t>
      </w:r>
      <w:r w:rsidRPr="00744704">
        <w:rPr>
          <w:rFonts w:ascii="Calibri" w:hAnsi="Calibri" w:cs="DIN Pro Regular"/>
          <w:sz w:val="20"/>
          <w:lang w:val="es-MX"/>
        </w:rPr>
        <w:tab/>
        <w:t>Realizar investigaciones científicas, humanísticas y tecnológicas, adecuadas principalmente a los problemas del Estado y del País;</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IV.</w:t>
      </w:r>
      <w:r w:rsidRPr="00744704">
        <w:rPr>
          <w:rFonts w:ascii="Calibri" w:hAnsi="Calibri" w:cs="DIN Pro Regular"/>
          <w:sz w:val="20"/>
          <w:lang w:val="es-MX"/>
        </w:rPr>
        <w:tab/>
        <w:t>Difundir el conocimiento, la cultura y la formación a lo largo de toda la vida;</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V.</w:t>
      </w:r>
      <w:r w:rsidRPr="00744704">
        <w:rPr>
          <w:rFonts w:ascii="Calibri" w:hAnsi="Calibri" w:cs="DIN Pro Regular"/>
          <w:sz w:val="20"/>
          <w:lang w:val="es-MX"/>
        </w:rPr>
        <w:tab/>
        <w:t>Fortalecer el conocimiento de la cultura regional y de interés para la sociedad, así como programar y promover las actividades culturales, recreativas y deportivas que coadyuven al desarrollo armónico de la personalidad de los alumnos;</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VI.</w:t>
      </w:r>
      <w:r w:rsidRPr="00744704">
        <w:rPr>
          <w:rFonts w:ascii="Calibri" w:hAnsi="Calibri" w:cs="DIN Pro Regular"/>
          <w:sz w:val="20"/>
          <w:lang w:val="es-MX"/>
        </w:rPr>
        <w:tab/>
        <w:t>Promover, difundir y concienciar a la sociedad de las necesidades de observar una cultura de explotación racional y aprovechamiento sustentable de los recursos naturales que ofrece nuestro Estado, para su desarrollo social y cultural y que contribuirá sin duda alguna, a la preservación humana y ambiental;</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VII.</w:t>
      </w:r>
      <w:r w:rsidRPr="00744704">
        <w:rPr>
          <w:rFonts w:ascii="Calibri" w:hAnsi="Calibri" w:cs="DIN Pro Regular"/>
          <w:sz w:val="20"/>
          <w:lang w:val="es-MX"/>
        </w:rPr>
        <w:tab/>
        <w:t xml:space="preserve">Fomentar los principios de respeto a la dignidad humana, dentro de un marco de paz, justicia, libertad y solidaridad social; </w:t>
      </w:r>
    </w:p>
    <w:p w:rsidR="00744704" w:rsidRPr="00744704" w:rsidRDefault="00744704" w:rsidP="00744704">
      <w:pPr>
        <w:pStyle w:val="Texto"/>
        <w:spacing w:after="0" w:line="240" w:lineRule="exact"/>
        <w:ind w:left="708"/>
        <w:rPr>
          <w:rFonts w:ascii="Calibri" w:hAnsi="Calibri" w:cs="DIN Pro Regular"/>
          <w:sz w:val="20"/>
          <w:lang w:val="es-MX"/>
        </w:rPr>
      </w:pPr>
      <w:r w:rsidRPr="00744704">
        <w:rPr>
          <w:rFonts w:ascii="Calibri" w:hAnsi="Calibri" w:cs="DIN Pro Regular"/>
          <w:sz w:val="20"/>
          <w:lang w:val="es-MX"/>
        </w:rPr>
        <w:t>VIII.</w:t>
      </w:r>
      <w:r w:rsidRPr="00744704">
        <w:rPr>
          <w:rFonts w:ascii="Calibri" w:hAnsi="Calibri" w:cs="DIN Pro Regular"/>
          <w:sz w:val="20"/>
          <w:lang w:val="es-MX"/>
        </w:rPr>
        <w:tab/>
        <w:t>Ampliar la cobertura de la educación superior abierta y a distancia en el Estado;</w:t>
      </w:r>
    </w:p>
    <w:p w:rsidR="00744704" w:rsidRDefault="00744704" w:rsidP="00744704">
      <w:pPr>
        <w:pStyle w:val="Texto"/>
        <w:spacing w:after="0" w:line="240" w:lineRule="exact"/>
        <w:ind w:left="708" w:firstLine="0"/>
        <w:rPr>
          <w:rFonts w:ascii="Calibri" w:hAnsi="Calibri" w:cs="DIN Pro Regular"/>
          <w:sz w:val="20"/>
          <w:lang w:val="es-MX"/>
        </w:rPr>
      </w:pPr>
      <w:r w:rsidRPr="00744704">
        <w:rPr>
          <w:rFonts w:ascii="Calibri" w:hAnsi="Calibri" w:cs="DIN Pro Regular"/>
          <w:sz w:val="20"/>
          <w:lang w:val="es-MX"/>
        </w:rPr>
        <w:t xml:space="preserve">       IX.</w:t>
      </w:r>
      <w:r w:rsidRPr="00744704">
        <w:rPr>
          <w:rFonts w:ascii="Calibri" w:hAnsi="Calibri" w:cs="DIN Pro Regular"/>
          <w:sz w:val="20"/>
          <w:lang w:val="es-MX"/>
        </w:rPr>
        <w:tab/>
        <w:t>Participar en la integración del Espacio Común de Educación Superior Tecnológica;</w:t>
      </w:r>
    </w:p>
    <w:p w:rsidR="00744704" w:rsidRPr="008A011E" w:rsidRDefault="00744704" w:rsidP="00744704">
      <w:pPr>
        <w:pStyle w:val="Texto"/>
        <w:spacing w:after="0" w:line="240" w:lineRule="exact"/>
        <w:ind w:left="708" w:firstLine="0"/>
        <w:rPr>
          <w:rFonts w:ascii="Calibri" w:hAnsi="Calibri" w:cs="DIN Pro Regular"/>
          <w:sz w:val="20"/>
          <w:lang w:val="es-MX"/>
        </w:rPr>
      </w:pPr>
    </w:p>
    <w:p w:rsidR="001C760F" w:rsidRDefault="00540418" w:rsidP="00FD6673">
      <w:pPr>
        <w:spacing w:after="0" w:line="240" w:lineRule="auto"/>
        <w:rPr>
          <w:rFonts w:cs="DIN Pro Regular"/>
          <w:sz w:val="20"/>
        </w:rPr>
      </w:pPr>
      <w:bookmarkStart w:id="0" w:name="_GoBack"/>
      <w:bookmarkEnd w:id="0"/>
      <w:r w:rsidRPr="008A011E">
        <w:rPr>
          <w:rFonts w:cs="DIN Pro Regular"/>
          <w:sz w:val="20"/>
        </w:rPr>
        <w:t>Bases de Preparación de los Estados Financieros</w:t>
      </w:r>
    </w:p>
    <w:p w:rsidR="000D7BE2" w:rsidRDefault="000D7BE2" w:rsidP="00744704">
      <w:pPr>
        <w:pStyle w:val="Texto"/>
        <w:spacing w:after="0" w:line="240" w:lineRule="exact"/>
        <w:rPr>
          <w:rFonts w:ascii="Calibri" w:hAnsi="Calibri" w:cs="DIN Pro Regular"/>
          <w:sz w:val="20"/>
          <w:lang w:val="es-MX"/>
        </w:rPr>
      </w:pPr>
    </w:p>
    <w:p w:rsidR="00744704" w:rsidRP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Los Estados Financieros Contables correspondientes al periodo del mes de enero  al mes de Diciembre del 2022,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w:t>
      </w:r>
    </w:p>
    <w:p w:rsid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La normatividad aplicada para el reconocimiento, valuación y revelación, se hace presente a través del Postulado Básico de Contabilidad Gubernamental de Valuación, para el registro de los bienes muebles e inmuebles, del cual se derivan sus registros a costo histórico considerándose el registro en moneda nacional. En relación a la preparación de la información financiera se puede observar que se aplican los Postulados Básicos de Contabilidad Gubernamental emitidos en el Acuerdo publicado por el Consejo Nacional de Armonización Contable (CONAC) los cuales se enlistan a continuación:</w:t>
      </w:r>
    </w:p>
    <w:p w:rsidR="00A50FA0" w:rsidRPr="00744704" w:rsidRDefault="00A50FA0" w:rsidP="00744704">
      <w:pPr>
        <w:pStyle w:val="Texto"/>
        <w:spacing w:after="0" w:line="240" w:lineRule="exact"/>
        <w:rPr>
          <w:rFonts w:ascii="Calibri" w:hAnsi="Calibri" w:cs="DIN Pro Regular"/>
          <w:sz w:val="20"/>
          <w:lang w:val="es-MX"/>
        </w:rPr>
      </w:pPr>
    </w:p>
    <w:p w:rsidR="00744704" w:rsidRPr="00744704" w:rsidRDefault="00744704" w:rsidP="000D7BE2">
      <w:pPr>
        <w:pStyle w:val="Texto"/>
        <w:spacing w:after="0" w:line="240" w:lineRule="exact"/>
        <w:rPr>
          <w:rFonts w:ascii="Calibri" w:hAnsi="Calibri" w:cs="DIN Pro Regular"/>
          <w:sz w:val="20"/>
          <w:lang w:val="es-MX"/>
        </w:rPr>
      </w:pPr>
      <w:r w:rsidRPr="00744704">
        <w:rPr>
          <w:rFonts w:ascii="Calibri" w:hAnsi="Calibri" w:cs="DIN Pro Regular"/>
          <w:sz w:val="20"/>
          <w:lang w:val="es-MX"/>
        </w:rPr>
        <w:t xml:space="preserve"> </w:t>
      </w:r>
      <w:r w:rsidR="000D7BE2">
        <w:rPr>
          <w:rFonts w:ascii="Calibri" w:hAnsi="Calibri" w:cs="DIN Pro Regular"/>
          <w:sz w:val="20"/>
          <w:lang w:val="es-MX"/>
        </w:rPr>
        <w:t xml:space="preserve">            </w:t>
      </w:r>
      <w:r w:rsidRPr="00744704">
        <w:rPr>
          <w:rFonts w:ascii="Calibri" w:hAnsi="Calibri" w:cs="DIN Pro Regular"/>
          <w:sz w:val="20"/>
          <w:lang w:val="es-MX"/>
        </w:rPr>
        <w:t xml:space="preserve"> 1.- Sustancia Económica.</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2.- Entes Públicos.</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3.- Existencia Permanente.</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4.- Revelación Suficiente.</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5.- Importancia Relativa.</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6.- Registro e integración Presupuestaria.</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7.- Consolidación de la Información Financiera.</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8.- devengo Contable.</w:t>
      </w:r>
    </w:p>
    <w:p w:rsidR="00744704" w:rsidRP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9.- Valuación.</w:t>
      </w:r>
    </w:p>
    <w:p w:rsidR="00744704" w:rsidRPr="00744704" w:rsidRDefault="00744704" w:rsidP="001E1435">
      <w:pPr>
        <w:pStyle w:val="Texto"/>
        <w:spacing w:after="0" w:line="240" w:lineRule="exact"/>
        <w:ind w:left="567" w:firstLine="0"/>
        <w:rPr>
          <w:rFonts w:ascii="Calibri" w:hAnsi="Calibri" w:cs="DIN Pro Regular"/>
          <w:sz w:val="20"/>
          <w:lang w:val="es-MX"/>
        </w:rPr>
      </w:pPr>
      <w:r>
        <w:rPr>
          <w:rFonts w:ascii="Calibri" w:hAnsi="Calibri" w:cs="DIN Pro Regular"/>
          <w:sz w:val="20"/>
          <w:lang w:val="es-MX"/>
        </w:rPr>
        <w:t xml:space="preserve">      </w:t>
      </w:r>
      <w:r w:rsidRPr="00744704">
        <w:rPr>
          <w:rFonts w:ascii="Calibri" w:hAnsi="Calibri" w:cs="DIN Pro Regular"/>
          <w:sz w:val="20"/>
          <w:lang w:val="es-MX"/>
        </w:rPr>
        <w:t>10.- Dualidad Económica.</w:t>
      </w:r>
    </w:p>
    <w:p w:rsidR="00744704" w:rsidRDefault="00744704" w:rsidP="001E1435">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11.- Consistencia.</w:t>
      </w:r>
    </w:p>
    <w:p w:rsidR="00744704" w:rsidRPr="008A011E" w:rsidRDefault="00744704" w:rsidP="00744704">
      <w:pPr>
        <w:pStyle w:val="Texto"/>
        <w:spacing w:after="0" w:line="240" w:lineRule="exact"/>
        <w:rPr>
          <w:rFonts w:ascii="Calibri" w:hAnsi="Calibri" w:cs="DIN Pro Regular"/>
          <w:sz w:val="20"/>
          <w:lang w:val="es-MX"/>
        </w:rPr>
      </w:pPr>
    </w:p>
    <w:p w:rsidR="00540418" w:rsidRDefault="00540418" w:rsidP="00744704">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Políticas de Contabilidad Significativas</w:t>
      </w:r>
    </w:p>
    <w:p w:rsidR="00744704" w:rsidRDefault="00744704" w:rsidP="00744704">
      <w:pPr>
        <w:pStyle w:val="Texto"/>
        <w:spacing w:after="0" w:line="240" w:lineRule="exact"/>
        <w:rPr>
          <w:rFonts w:ascii="Calibri" w:hAnsi="Calibri" w:cs="DIN Pro Regular"/>
          <w:sz w:val="20"/>
          <w:lang w:val="es-MX"/>
        </w:rPr>
      </w:pPr>
    </w:p>
    <w:p w:rsidR="00744704" w:rsidRP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Las principales políticas contables del Instituto se resumen a continuación:</w:t>
      </w:r>
    </w:p>
    <w:p w:rsidR="00744704" w:rsidRPr="00744704" w:rsidRDefault="00744704" w:rsidP="00744704">
      <w:pPr>
        <w:pStyle w:val="Texto"/>
        <w:spacing w:after="0" w:line="240" w:lineRule="exact"/>
        <w:rPr>
          <w:rFonts w:ascii="Calibri" w:hAnsi="Calibri" w:cs="DIN Pro Regular"/>
          <w:sz w:val="20"/>
          <w:lang w:val="es-MX"/>
        </w:rPr>
      </w:pPr>
    </w:p>
    <w:p w:rsidR="00744704" w:rsidRP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Los Estados Financieros al 31 de Diciembre del 2022 están en pesos históricos y no reconocen los efectos de la inflación en la información financiera contenidos en las Normas de Información Financiera, en tanto la CONAC no emita lo conducente.</w:t>
      </w:r>
    </w:p>
    <w:p w:rsidR="00744704" w:rsidRP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La información se elabora conforme a las normas, criterios y principios técnicos emitidos por la CONAC y las disposiciones legales aplicables, obedeciendo a las mejores prácticas contables.</w:t>
      </w:r>
    </w:p>
    <w:p w:rsid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Para la clasificación y registro de las operaciones presupuestarias y contables se alinea el Clasificador por Objeto del Gasto, Clasificador por Tipo de Gasto, Clasificador Funcional del Gasto y Clasificador por Rubro de Ingresos emitidos por la Secretaria de Finanzas del Estado de Tamaulipas al Plan de Cuentas emitido por la CONAC.</w:t>
      </w:r>
    </w:p>
    <w:p w:rsidR="00744704" w:rsidRPr="008A011E" w:rsidRDefault="00744704" w:rsidP="00744704">
      <w:pPr>
        <w:pStyle w:val="Texto"/>
        <w:spacing w:after="0" w:line="240" w:lineRule="exact"/>
        <w:rPr>
          <w:rFonts w:ascii="Calibri" w:hAnsi="Calibri" w:cs="DIN Pro Regular"/>
          <w:sz w:val="20"/>
          <w:lang w:val="es-MX"/>
        </w:rPr>
      </w:pPr>
    </w:p>
    <w:p w:rsidR="00540418" w:rsidRDefault="00540418" w:rsidP="00744704">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p>
    <w:p w:rsidR="00744704" w:rsidRDefault="00744704" w:rsidP="00744704">
      <w:pPr>
        <w:pStyle w:val="Texto"/>
        <w:spacing w:after="0" w:line="240" w:lineRule="exact"/>
        <w:rPr>
          <w:rFonts w:ascii="Calibri" w:hAnsi="Calibri" w:cs="DIN Pro Regular"/>
          <w:sz w:val="20"/>
          <w:lang w:val="es-MX"/>
        </w:rPr>
      </w:pPr>
    </w:p>
    <w:p w:rsidR="00744704" w:rsidRDefault="00744704" w:rsidP="00744704">
      <w:pPr>
        <w:pStyle w:val="Texto"/>
        <w:spacing w:after="0" w:line="240" w:lineRule="exact"/>
        <w:rPr>
          <w:rFonts w:ascii="Calibri" w:hAnsi="Calibri" w:cs="DIN Pro Regular"/>
          <w:sz w:val="20"/>
          <w:lang w:val="es-MX"/>
        </w:rPr>
      </w:pPr>
      <w:r w:rsidRPr="00744704">
        <w:rPr>
          <w:rFonts w:ascii="Calibri" w:hAnsi="Calibri" w:cs="DIN Pro Regular"/>
          <w:sz w:val="20"/>
          <w:lang w:val="es-MX"/>
        </w:rPr>
        <w:t>&lt;No aplica&gt;</w:t>
      </w:r>
    </w:p>
    <w:p w:rsidR="00744704" w:rsidRPr="008A011E" w:rsidRDefault="00744704" w:rsidP="00744704">
      <w:pPr>
        <w:pStyle w:val="Texto"/>
        <w:spacing w:after="0" w:line="240" w:lineRule="exact"/>
        <w:rPr>
          <w:rFonts w:ascii="Calibri" w:hAnsi="Calibri" w:cs="DIN Pro Regular"/>
          <w:sz w:val="20"/>
          <w:lang w:val="es-MX"/>
        </w:rPr>
      </w:pPr>
    </w:p>
    <w:p w:rsidR="001C760F" w:rsidRDefault="00540418" w:rsidP="00744704">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Reporte Analítico del Activo</w:t>
      </w:r>
    </w:p>
    <w:p w:rsidR="00744704" w:rsidRDefault="00744704" w:rsidP="00744704">
      <w:pPr>
        <w:pStyle w:val="Texto"/>
        <w:spacing w:after="0" w:line="240" w:lineRule="exact"/>
        <w:ind w:left="708" w:firstLine="0"/>
        <w:rPr>
          <w:rFonts w:ascii="Calibri" w:hAnsi="Calibri" w:cs="DIN Pro Regular"/>
          <w:sz w:val="20"/>
          <w:lang w:val="es-MX"/>
        </w:rPr>
      </w:pPr>
    </w:p>
    <w:p w:rsidR="00744704" w:rsidRDefault="00744704" w:rsidP="00744704">
      <w:pPr>
        <w:pStyle w:val="Texto"/>
        <w:spacing w:after="0" w:line="240" w:lineRule="exact"/>
        <w:ind w:left="708" w:firstLine="0"/>
        <w:rPr>
          <w:rFonts w:ascii="Calibri" w:hAnsi="Calibri" w:cs="DIN Pro Regular"/>
          <w:sz w:val="20"/>
          <w:lang w:val="es-MX"/>
        </w:rPr>
      </w:pPr>
      <w:r w:rsidRPr="00744704">
        <w:rPr>
          <w:rFonts w:ascii="Calibri" w:hAnsi="Calibri" w:cs="DIN Pro Regular"/>
          <w:sz w:val="20"/>
          <w:lang w:val="es-MX"/>
        </w:rPr>
        <w:t>Se utiliza la Guía de vida útil estimada y porcentaje de depreciación emitida por la CONAC, dentro de los parámetros de vida útil</w:t>
      </w:r>
      <w:r>
        <w:rPr>
          <w:rFonts w:ascii="Calibri" w:hAnsi="Calibri" w:cs="DIN Pro Regular"/>
          <w:sz w:val="20"/>
          <w:lang w:val="es-MX"/>
        </w:rPr>
        <w:t>.</w:t>
      </w:r>
    </w:p>
    <w:p w:rsidR="00744704" w:rsidRDefault="00744704" w:rsidP="00744704">
      <w:pPr>
        <w:pStyle w:val="Texto"/>
        <w:spacing w:after="0" w:line="240" w:lineRule="exact"/>
        <w:ind w:left="708" w:firstLine="0"/>
        <w:rPr>
          <w:rFonts w:ascii="Calibri" w:hAnsi="Calibri" w:cs="DIN Pro Regular"/>
          <w:sz w:val="20"/>
          <w:lang w:val="es-MX"/>
        </w:rPr>
      </w:pPr>
    </w:p>
    <w:p w:rsidR="001E1435" w:rsidRDefault="001E1435">
      <w:pPr>
        <w:spacing w:after="0" w:line="240" w:lineRule="auto"/>
        <w:rPr>
          <w:rFonts w:eastAsia="Times New Roman" w:cs="DIN Pro Regular"/>
          <w:sz w:val="20"/>
          <w:szCs w:val="20"/>
          <w:lang w:eastAsia="es-ES"/>
        </w:rPr>
      </w:pPr>
      <w:r>
        <w:rPr>
          <w:rFonts w:cs="DIN Pro Regular"/>
          <w:sz w:val="20"/>
        </w:rPr>
        <w:br w:type="page"/>
      </w:r>
    </w:p>
    <w:p w:rsidR="00540418" w:rsidRDefault="00540418" w:rsidP="00D04D6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lastRenderedPageBreak/>
        <w:t>Fideicomisos, Mandatos y Análogos</w:t>
      </w:r>
    </w:p>
    <w:p w:rsidR="00D04D60" w:rsidRDefault="00D04D60" w:rsidP="00D04D60">
      <w:pPr>
        <w:pStyle w:val="Texto"/>
        <w:spacing w:after="0" w:line="240" w:lineRule="exact"/>
        <w:rPr>
          <w:rFonts w:ascii="Calibri" w:hAnsi="Calibri" w:cs="DIN Pro Regular"/>
          <w:sz w:val="20"/>
          <w:lang w:val="es-MX"/>
        </w:rPr>
      </w:pPr>
    </w:p>
    <w:p w:rsidR="00D04D60" w:rsidRDefault="00D04D60" w:rsidP="00D04D60">
      <w:pPr>
        <w:pStyle w:val="Texto"/>
        <w:spacing w:after="0" w:line="240" w:lineRule="exact"/>
        <w:rPr>
          <w:rFonts w:ascii="Calibri" w:hAnsi="Calibri" w:cs="DIN Pro Regular"/>
          <w:sz w:val="20"/>
          <w:lang w:val="es-MX"/>
        </w:rPr>
      </w:pPr>
      <w:r w:rsidRPr="00D04D60">
        <w:rPr>
          <w:rFonts w:ascii="Calibri" w:hAnsi="Calibri" w:cs="DIN Pro Regular"/>
          <w:sz w:val="20"/>
          <w:lang w:val="es-MX"/>
        </w:rPr>
        <w:t>&lt;No aplica&gt;</w:t>
      </w:r>
    </w:p>
    <w:p w:rsidR="00D04D60" w:rsidRPr="008A011E" w:rsidRDefault="00D04D60" w:rsidP="00D04D60">
      <w:pPr>
        <w:pStyle w:val="Texto"/>
        <w:spacing w:after="0" w:line="240" w:lineRule="exact"/>
        <w:rPr>
          <w:rFonts w:ascii="Calibri" w:hAnsi="Calibri" w:cs="DIN Pro Regular"/>
          <w:sz w:val="20"/>
          <w:lang w:val="es-MX"/>
        </w:rPr>
      </w:pPr>
    </w:p>
    <w:p w:rsidR="00540418" w:rsidRDefault="00540418" w:rsidP="00AA39F8">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Reporte de la Recaudación</w:t>
      </w:r>
    </w:p>
    <w:p w:rsidR="000D7BE2" w:rsidRDefault="000D7BE2" w:rsidP="000D7BE2">
      <w:pPr>
        <w:pStyle w:val="Texto"/>
        <w:spacing w:after="0" w:line="240" w:lineRule="exact"/>
        <w:rPr>
          <w:rFonts w:ascii="Calibri" w:hAnsi="Calibri" w:cs="DIN Pro Regular"/>
          <w:sz w:val="20"/>
          <w:lang w:val="es-MX"/>
        </w:rPr>
      </w:pPr>
    </w:p>
    <w:tbl>
      <w:tblPr>
        <w:tblW w:w="9214" w:type="dxa"/>
        <w:tblInd w:w="212" w:type="dxa"/>
        <w:tblCellMar>
          <w:left w:w="70" w:type="dxa"/>
          <w:right w:w="70" w:type="dxa"/>
        </w:tblCellMar>
        <w:tblLook w:val="04A0" w:firstRow="1" w:lastRow="0" w:firstColumn="1" w:lastColumn="0" w:noHBand="0" w:noVBand="1"/>
      </w:tblPr>
      <w:tblGrid>
        <w:gridCol w:w="6303"/>
        <w:gridCol w:w="1660"/>
        <w:gridCol w:w="1251"/>
      </w:tblGrid>
      <w:tr w:rsidR="000D7BE2" w:rsidRPr="000D7BE2" w:rsidTr="000D7BE2">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000000" w:fill="AB0033"/>
            <w:noWrap/>
            <w:vAlign w:val="center"/>
            <w:hideMark/>
          </w:tcPr>
          <w:p w:rsidR="000D7BE2" w:rsidRPr="000D7BE2" w:rsidRDefault="000D7BE2" w:rsidP="000D7BE2">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APORTACIONES GOBIERNO ESTATAL</w:t>
            </w:r>
          </w:p>
        </w:tc>
        <w:tc>
          <w:tcPr>
            <w:tcW w:w="1251" w:type="dxa"/>
            <w:tcBorders>
              <w:top w:val="single" w:sz="4" w:space="0" w:color="auto"/>
              <w:left w:val="nil"/>
              <w:bottom w:val="single" w:sz="4" w:space="0" w:color="auto"/>
              <w:right w:val="single" w:sz="4" w:space="0" w:color="auto"/>
            </w:tcBorders>
            <w:shd w:val="clear" w:color="000000" w:fill="AB0033"/>
            <w:vAlign w:val="center"/>
            <w:hideMark/>
          </w:tcPr>
          <w:p w:rsidR="000D7BE2" w:rsidRPr="000D7BE2" w:rsidRDefault="000D7BE2" w:rsidP="000D7BE2">
            <w:pPr>
              <w:spacing w:after="0" w:line="240" w:lineRule="auto"/>
              <w:jc w:val="right"/>
              <w:rPr>
                <w:rFonts w:eastAsia="Times New Roman"/>
                <w:b/>
                <w:bCs/>
                <w:color w:val="FFFFFF"/>
                <w:sz w:val="20"/>
                <w:szCs w:val="20"/>
                <w:lang w:eastAsia="es-MX"/>
              </w:rPr>
            </w:pPr>
            <w:r w:rsidRPr="000D7BE2">
              <w:rPr>
                <w:rFonts w:eastAsia="Times New Roman"/>
                <w:b/>
                <w:bCs/>
                <w:color w:val="FFFFFF"/>
                <w:sz w:val="20"/>
                <w:szCs w:val="20"/>
                <w:lang w:eastAsia="es-MX"/>
              </w:rPr>
              <w:t>20,395,308</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000000" w:fill="FFFFFF"/>
            <w:noWrap/>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15,171,082</w:t>
            </w:r>
          </w:p>
        </w:tc>
        <w:tc>
          <w:tcPr>
            <w:tcW w:w="1251"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000000" w:fill="FFFFFF"/>
            <w:noWrap/>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por Compensación pagado por Gob. </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2,100,009</w:t>
            </w:r>
          </w:p>
        </w:tc>
        <w:tc>
          <w:tcPr>
            <w:tcW w:w="1251"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000000" w:fill="FFFFFF"/>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por Ingresos Propios </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3,124,217</w:t>
            </w:r>
          </w:p>
        </w:tc>
        <w:tc>
          <w:tcPr>
            <w:tcW w:w="1251"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0D7BE2" w:rsidRPr="000D7BE2" w:rsidTr="000D7BE2">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000000" w:fill="AB0033"/>
            <w:vAlign w:val="center"/>
            <w:hideMark/>
          </w:tcPr>
          <w:p w:rsidR="000D7BE2" w:rsidRPr="000D7BE2" w:rsidRDefault="000D7BE2" w:rsidP="000D7BE2">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APORTACIONES GOBIERNO FEDERAL</w:t>
            </w:r>
          </w:p>
        </w:tc>
        <w:tc>
          <w:tcPr>
            <w:tcW w:w="1251" w:type="dxa"/>
            <w:tcBorders>
              <w:top w:val="nil"/>
              <w:left w:val="nil"/>
              <w:bottom w:val="single" w:sz="4" w:space="0" w:color="auto"/>
              <w:right w:val="single" w:sz="4" w:space="0" w:color="auto"/>
            </w:tcBorders>
            <w:shd w:val="clear" w:color="000000" w:fill="AB0033"/>
            <w:vAlign w:val="center"/>
            <w:hideMark/>
          </w:tcPr>
          <w:p w:rsidR="000D7BE2" w:rsidRPr="000D7BE2" w:rsidRDefault="000D7BE2" w:rsidP="000D7BE2">
            <w:pPr>
              <w:spacing w:after="0" w:line="240" w:lineRule="auto"/>
              <w:jc w:val="right"/>
              <w:rPr>
                <w:rFonts w:eastAsia="Times New Roman"/>
                <w:b/>
                <w:bCs/>
                <w:color w:val="FFFFFF"/>
                <w:sz w:val="20"/>
                <w:szCs w:val="20"/>
                <w:lang w:eastAsia="es-MX"/>
              </w:rPr>
            </w:pPr>
            <w:r w:rsidRPr="000D7BE2">
              <w:rPr>
                <w:rFonts w:eastAsia="Times New Roman"/>
                <w:b/>
                <w:bCs/>
                <w:color w:val="FFFFFF"/>
                <w:sz w:val="20"/>
                <w:szCs w:val="20"/>
                <w:lang w:eastAsia="es-MX"/>
              </w:rPr>
              <w:t>17,271,091</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Gobierno Federal</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17,221,091</w:t>
            </w:r>
          </w:p>
        </w:tc>
        <w:tc>
          <w:tcPr>
            <w:tcW w:w="1251" w:type="dxa"/>
            <w:tcBorders>
              <w:top w:val="nil"/>
              <w:left w:val="nil"/>
              <w:bottom w:val="single" w:sz="4" w:space="0" w:color="auto"/>
              <w:right w:val="single" w:sz="4" w:space="0" w:color="auto"/>
            </w:tcBorders>
            <w:shd w:val="clear" w:color="auto" w:fill="auto"/>
            <w:noWrap/>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Gobierno Federal Investigación</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50,000</w:t>
            </w:r>
          </w:p>
        </w:tc>
        <w:tc>
          <w:tcPr>
            <w:tcW w:w="1251" w:type="dxa"/>
            <w:tcBorders>
              <w:top w:val="nil"/>
              <w:left w:val="nil"/>
              <w:bottom w:val="single" w:sz="4" w:space="0" w:color="auto"/>
              <w:right w:val="single" w:sz="4" w:space="0" w:color="auto"/>
            </w:tcBorders>
            <w:shd w:val="clear" w:color="auto" w:fill="auto"/>
            <w:noWrap/>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w:t>
            </w:r>
          </w:p>
        </w:tc>
      </w:tr>
      <w:tr w:rsidR="000D7BE2" w:rsidRPr="000D7BE2" w:rsidTr="000D7BE2">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000000" w:fill="AB0033"/>
            <w:vAlign w:val="center"/>
            <w:hideMark/>
          </w:tcPr>
          <w:p w:rsidR="000D7BE2" w:rsidRPr="000D7BE2" w:rsidRDefault="000D7BE2" w:rsidP="000D7BE2">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CONVENIO COTACYT</w:t>
            </w:r>
          </w:p>
        </w:tc>
        <w:tc>
          <w:tcPr>
            <w:tcW w:w="1251" w:type="dxa"/>
            <w:tcBorders>
              <w:top w:val="nil"/>
              <w:left w:val="nil"/>
              <w:bottom w:val="single" w:sz="4" w:space="0" w:color="auto"/>
              <w:right w:val="single" w:sz="4" w:space="0" w:color="auto"/>
            </w:tcBorders>
            <w:shd w:val="clear" w:color="000000" w:fill="AB0033"/>
            <w:vAlign w:val="center"/>
            <w:hideMark/>
          </w:tcPr>
          <w:p w:rsidR="000D7BE2" w:rsidRPr="000D7BE2" w:rsidRDefault="000D7BE2" w:rsidP="000D7BE2">
            <w:pPr>
              <w:spacing w:after="0" w:line="240" w:lineRule="auto"/>
              <w:jc w:val="right"/>
              <w:rPr>
                <w:rFonts w:eastAsia="Times New Roman"/>
                <w:b/>
                <w:bCs/>
                <w:color w:val="FFFFFF"/>
                <w:sz w:val="20"/>
                <w:szCs w:val="20"/>
                <w:lang w:eastAsia="es-MX"/>
              </w:rPr>
            </w:pPr>
            <w:r w:rsidRPr="000D7BE2">
              <w:rPr>
                <w:rFonts w:eastAsia="Times New Roman"/>
                <w:b/>
                <w:bCs/>
                <w:color w:val="FFFFFF"/>
                <w:sz w:val="20"/>
                <w:szCs w:val="20"/>
                <w:lang w:eastAsia="es-MX"/>
              </w:rPr>
              <w:t>30,000</w:t>
            </w:r>
          </w:p>
        </w:tc>
      </w:tr>
      <w:tr w:rsidR="000D7BE2" w:rsidRPr="000D7BE2" w:rsidTr="000D7BE2">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Evento Creatividad</w:t>
            </w:r>
          </w:p>
        </w:tc>
        <w:tc>
          <w:tcPr>
            <w:tcW w:w="1660"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color w:val="000000"/>
                <w:sz w:val="20"/>
                <w:szCs w:val="20"/>
                <w:lang w:eastAsia="es-MX"/>
              </w:rPr>
            </w:pPr>
            <w:r w:rsidRPr="000D7BE2">
              <w:rPr>
                <w:rFonts w:eastAsia="Times New Roman"/>
                <w:color w:val="000000"/>
                <w:sz w:val="20"/>
                <w:szCs w:val="20"/>
                <w:lang w:eastAsia="es-MX"/>
              </w:rPr>
              <w:t>30,000</w:t>
            </w:r>
          </w:p>
        </w:tc>
        <w:tc>
          <w:tcPr>
            <w:tcW w:w="1251" w:type="dxa"/>
            <w:tcBorders>
              <w:top w:val="nil"/>
              <w:left w:val="nil"/>
              <w:bottom w:val="single" w:sz="4" w:space="0" w:color="auto"/>
              <w:right w:val="single" w:sz="4" w:space="0" w:color="auto"/>
            </w:tcBorders>
            <w:shd w:val="clear" w:color="auto" w:fill="auto"/>
            <w:vAlign w:val="center"/>
            <w:hideMark/>
          </w:tcPr>
          <w:p w:rsidR="000D7BE2" w:rsidRPr="000D7BE2" w:rsidRDefault="000D7BE2" w:rsidP="000D7BE2">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0D7BE2" w:rsidRPr="000D7BE2" w:rsidTr="000D7BE2">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000000" w:fill="AB0033"/>
            <w:vAlign w:val="center"/>
            <w:hideMark/>
          </w:tcPr>
          <w:p w:rsidR="000D7BE2" w:rsidRPr="000D7BE2" w:rsidRDefault="000D7BE2" w:rsidP="000D7BE2">
            <w:pPr>
              <w:spacing w:after="0" w:line="240" w:lineRule="auto"/>
              <w:jc w:val="center"/>
              <w:rPr>
                <w:rFonts w:eastAsia="Times New Roman"/>
                <w:b/>
                <w:bCs/>
                <w:color w:val="FFFFFF"/>
                <w:sz w:val="20"/>
                <w:szCs w:val="20"/>
                <w:lang w:eastAsia="es-MX"/>
              </w:rPr>
            </w:pPr>
            <w:r w:rsidRPr="000D7BE2">
              <w:rPr>
                <w:rFonts w:eastAsia="Times New Roman"/>
                <w:b/>
                <w:bCs/>
                <w:color w:val="FFFFFF"/>
                <w:sz w:val="20"/>
                <w:szCs w:val="20"/>
                <w:lang w:eastAsia="es-MX"/>
              </w:rPr>
              <w:t>TOTAL RECAUDACION</w:t>
            </w:r>
          </w:p>
        </w:tc>
        <w:tc>
          <w:tcPr>
            <w:tcW w:w="1251" w:type="dxa"/>
            <w:tcBorders>
              <w:top w:val="nil"/>
              <w:left w:val="nil"/>
              <w:bottom w:val="single" w:sz="4" w:space="0" w:color="auto"/>
              <w:right w:val="single" w:sz="4" w:space="0" w:color="auto"/>
            </w:tcBorders>
            <w:shd w:val="clear" w:color="000000" w:fill="AB0033"/>
            <w:vAlign w:val="center"/>
            <w:hideMark/>
          </w:tcPr>
          <w:p w:rsidR="000D7BE2" w:rsidRPr="000D7BE2" w:rsidRDefault="000D7BE2" w:rsidP="000D7BE2">
            <w:pPr>
              <w:spacing w:after="0" w:line="240" w:lineRule="auto"/>
              <w:jc w:val="right"/>
              <w:rPr>
                <w:rFonts w:eastAsia="Times New Roman"/>
                <w:b/>
                <w:bCs/>
                <w:color w:val="FFFFFF"/>
                <w:sz w:val="20"/>
                <w:szCs w:val="20"/>
                <w:lang w:eastAsia="es-MX"/>
              </w:rPr>
            </w:pPr>
            <w:r w:rsidRPr="000D7BE2">
              <w:rPr>
                <w:rFonts w:eastAsia="Times New Roman"/>
                <w:b/>
                <w:bCs/>
                <w:color w:val="FFFFFF"/>
                <w:sz w:val="20"/>
                <w:szCs w:val="20"/>
                <w:lang w:eastAsia="es-MX"/>
              </w:rPr>
              <w:t>37,696,399</w:t>
            </w:r>
          </w:p>
        </w:tc>
      </w:tr>
    </w:tbl>
    <w:p w:rsidR="000D7BE2" w:rsidRDefault="000D7BE2" w:rsidP="000D7BE2">
      <w:pPr>
        <w:pStyle w:val="Texto"/>
        <w:spacing w:after="0" w:line="240" w:lineRule="exact"/>
        <w:ind w:left="708" w:firstLine="0"/>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p>
    <w:p w:rsidR="009F5400" w:rsidRDefault="009F5400" w:rsidP="009F5400">
      <w:pPr>
        <w:pStyle w:val="Texto"/>
        <w:spacing w:after="0" w:line="240" w:lineRule="exact"/>
        <w:rPr>
          <w:rFonts w:ascii="Calibri" w:hAnsi="Calibri" w:cs="DIN Pro Regular"/>
          <w:sz w:val="20"/>
          <w:lang w:val="es-MX"/>
        </w:rPr>
      </w:pPr>
    </w:p>
    <w:p w:rsid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&lt;No aplica&gt;</w:t>
      </w:r>
    </w:p>
    <w:p w:rsidR="009F5400" w:rsidRPr="008A011E" w:rsidRDefault="009F5400" w:rsidP="009F5400">
      <w:pPr>
        <w:pStyle w:val="Texto"/>
        <w:spacing w:after="0" w:line="240" w:lineRule="exact"/>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p>
    <w:p w:rsidR="009F5400" w:rsidRDefault="009F5400" w:rsidP="009F5400">
      <w:pPr>
        <w:pStyle w:val="Texto"/>
        <w:spacing w:after="0" w:line="240" w:lineRule="exact"/>
        <w:rPr>
          <w:rFonts w:ascii="Calibri" w:hAnsi="Calibri" w:cs="DIN Pro Regular"/>
          <w:sz w:val="20"/>
          <w:lang w:val="es-MX"/>
        </w:rPr>
      </w:pPr>
    </w:p>
    <w:p w:rsid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&lt;No aplica&gt;</w:t>
      </w:r>
    </w:p>
    <w:p w:rsidR="009F5400" w:rsidRPr="008A011E" w:rsidRDefault="009F5400" w:rsidP="009F5400">
      <w:pPr>
        <w:pStyle w:val="Texto"/>
        <w:spacing w:after="0" w:line="240" w:lineRule="exact"/>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Proceso de Mejora</w:t>
      </w:r>
    </w:p>
    <w:p w:rsidR="009F5400" w:rsidRDefault="009F5400" w:rsidP="009F5400">
      <w:pPr>
        <w:pStyle w:val="Texto"/>
        <w:spacing w:after="0" w:line="240" w:lineRule="exact"/>
        <w:rPr>
          <w:rFonts w:ascii="Calibri" w:hAnsi="Calibri" w:cs="DIN Pro Regular"/>
          <w:sz w:val="20"/>
          <w:lang w:val="es-MX"/>
        </w:rPr>
      </w:pPr>
    </w:p>
    <w:p w:rsid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El Instituto está inmerso en un Proceso de Mejora Continua, enmarcado en un Sistema de Gestión de la Calidad de la norma ISO 9001-2015, ISO 14000-2015 y de Seguridad OHSAS 18001:2007.</w:t>
      </w:r>
    </w:p>
    <w:p w:rsidR="009F5400" w:rsidRPr="008A011E" w:rsidRDefault="009F5400" w:rsidP="009F5400">
      <w:pPr>
        <w:pStyle w:val="Texto"/>
        <w:spacing w:after="0" w:line="240" w:lineRule="exact"/>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p>
    <w:p w:rsidR="009F5400" w:rsidRDefault="009F5400" w:rsidP="009F5400">
      <w:pPr>
        <w:pStyle w:val="Texto"/>
        <w:spacing w:after="0" w:line="240" w:lineRule="exact"/>
        <w:rPr>
          <w:rFonts w:ascii="Calibri" w:hAnsi="Calibri" w:cs="DIN Pro Regular"/>
          <w:sz w:val="20"/>
          <w:lang w:val="es-MX"/>
        </w:rPr>
      </w:pPr>
    </w:p>
    <w:p w:rsid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No contamos con información segmentada por no tener diversidad de actividades y operaciones.</w:t>
      </w:r>
    </w:p>
    <w:p w:rsidR="009F5400" w:rsidRPr="008A011E" w:rsidRDefault="009F5400" w:rsidP="009F5400">
      <w:pPr>
        <w:pStyle w:val="Texto"/>
        <w:spacing w:after="0" w:line="240" w:lineRule="exact"/>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Eventos Posteriores al Cierre</w:t>
      </w:r>
    </w:p>
    <w:p w:rsidR="009F5400" w:rsidRDefault="009F5400" w:rsidP="009F5400">
      <w:pPr>
        <w:pStyle w:val="Texto"/>
        <w:spacing w:after="0" w:line="240" w:lineRule="exact"/>
        <w:rPr>
          <w:rFonts w:ascii="Calibri" w:hAnsi="Calibri" w:cs="DIN Pro Regular"/>
          <w:sz w:val="20"/>
          <w:lang w:val="es-MX"/>
        </w:rPr>
      </w:pPr>
    </w:p>
    <w:p w:rsid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En el periodo que se informa no se presentan eventos posteriores al cierre del mismo, que modifiquen los registros de los Estados Financieros.</w:t>
      </w:r>
    </w:p>
    <w:p w:rsidR="009F5400" w:rsidRPr="008A011E" w:rsidRDefault="009F5400" w:rsidP="009F5400">
      <w:pPr>
        <w:pStyle w:val="Texto"/>
        <w:spacing w:after="0" w:line="240" w:lineRule="exact"/>
        <w:rPr>
          <w:rFonts w:ascii="Calibri" w:hAnsi="Calibri" w:cs="DIN Pro Regular"/>
          <w:sz w:val="20"/>
          <w:lang w:val="es-MX"/>
        </w:rPr>
      </w:pPr>
    </w:p>
    <w:p w:rsidR="00540418" w:rsidRDefault="00540418" w:rsidP="009F5400">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Partes Relacionadas</w:t>
      </w:r>
    </w:p>
    <w:p w:rsidR="009F5400" w:rsidRDefault="009F5400" w:rsidP="009F5400">
      <w:pPr>
        <w:pStyle w:val="Texto"/>
        <w:spacing w:after="0" w:line="240" w:lineRule="exact"/>
        <w:rPr>
          <w:rFonts w:ascii="Calibri" w:hAnsi="Calibri" w:cs="DIN Pro Regular"/>
          <w:sz w:val="20"/>
          <w:lang w:val="es-MX"/>
        </w:rPr>
      </w:pPr>
    </w:p>
    <w:p w:rsidR="009F5400" w:rsidRPr="009F5400"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El Instituto Tecnológico Superior de El Mante, manifiesta que no existen partes relacionadas que pudieran ejercer influencia significativa sobre la toma de decisiones financieras y operativas.</w:t>
      </w:r>
    </w:p>
    <w:p w:rsidR="009F5400" w:rsidRPr="008A011E" w:rsidRDefault="009F5400" w:rsidP="009F5400">
      <w:pPr>
        <w:pStyle w:val="Texto"/>
        <w:spacing w:after="0" w:line="240" w:lineRule="exact"/>
        <w:rPr>
          <w:rFonts w:ascii="Calibri" w:hAnsi="Calibri" w:cs="DIN Pro Regular"/>
          <w:sz w:val="20"/>
          <w:lang w:val="es-MX"/>
        </w:rPr>
      </w:pPr>
      <w:r w:rsidRPr="009F5400">
        <w:rPr>
          <w:rFonts w:ascii="Calibri" w:hAnsi="Calibri" w:cs="DIN Pro Regular"/>
          <w:sz w:val="20"/>
          <w:lang w:val="es-MX"/>
        </w:rPr>
        <w:t>Las notas descritas son parte integral de los Estados Financieros del Instituto al 31 de Diciembre del 2022.</w:t>
      </w: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9F5400" w:rsidRPr="008A011E" w:rsidRDefault="009F5400"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sectPr w:rsidR="000D5EFE" w:rsidRPr="008A011E" w:rsidSect="002C3BA7">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48" w:rsidRDefault="00481E48" w:rsidP="00EA5418">
      <w:pPr>
        <w:spacing w:after="0" w:line="240" w:lineRule="auto"/>
      </w:pPr>
      <w:r>
        <w:separator/>
      </w:r>
    </w:p>
  </w:endnote>
  <w:endnote w:type="continuationSeparator" w:id="0">
    <w:p w:rsidR="00481E48" w:rsidRDefault="00481E4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20002A87" w:usb1="00000000" w:usb2="00000000"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E2" w:rsidRPr="00241D8F" w:rsidRDefault="00FD6673" w:rsidP="0013011C">
    <w:pPr>
      <w:pStyle w:val="Piedepgina"/>
      <w:jc w:val="center"/>
      <w:rPr>
        <w:rFonts w:ascii="Arial" w:hAnsi="Arial" w:cs="Arial"/>
      </w:rPr>
    </w:pPr>
    <w:r>
      <w:rPr>
        <w:rFonts w:ascii="Arial" w:hAnsi="Arial" w:cs="Arial"/>
        <w:noProof/>
        <w:lang w:eastAsia="es-MX"/>
      </w:rPr>
      <w:pict>
        <v:line id="12 Conector recto" o:spid="_x0000_s47106" style="position:absolute;left:0;text-align:left;flip:y;z-index:251658752;visibility:visible;mso-width-relative:margin"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w:r>
    <w:r w:rsidR="000D7BE2" w:rsidRPr="00241D8F">
      <w:rPr>
        <w:rFonts w:ascii="Arial" w:hAnsi="Arial" w:cs="Arial"/>
      </w:rPr>
      <w:t xml:space="preserve">Contable / </w:t>
    </w:r>
    <w:r w:rsidR="00586507" w:rsidRPr="00241D8F">
      <w:rPr>
        <w:rFonts w:ascii="Arial" w:hAnsi="Arial" w:cs="Arial"/>
      </w:rPr>
      <w:fldChar w:fldCharType="begin"/>
    </w:r>
    <w:r w:rsidR="000D7BE2" w:rsidRPr="00241D8F">
      <w:rPr>
        <w:rFonts w:ascii="Arial" w:hAnsi="Arial" w:cs="Arial"/>
      </w:rPr>
      <w:instrText>PAGE   \* MERGEFORMAT</w:instrText>
    </w:r>
    <w:r w:rsidR="00586507" w:rsidRPr="00241D8F">
      <w:rPr>
        <w:rFonts w:ascii="Arial" w:hAnsi="Arial" w:cs="Arial"/>
      </w:rPr>
      <w:fldChar w:fldCharType="separate"/>
    </w:r>
    <w:r w:rsidRPr="00FD6673">
      <w:rPr>
        <w:rFonts w:ascii="Arial" w:hAnsi="Arial" w:cs="Arial"/>
        <w:noProof/>
        <w:lang w:val="es-ES"/>
      </w:rPr>
      <w:t>2</w:t>
    </w:r>
    <w:r w:rsidR="00586507" w:rsidRPr="00241D8F">
      <w:rPr>
        <w:rFonts w:ascii="Arial" w:hAnsi="Arial" w:cs="Arial"/>
      </w:rPr>
      <w:fldChar w:fldCharType="end"/>
    </w:r>
  </w:p>
  <w:p w:rsidR="000D7BE2" w:rsidRDefault="000D7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E2" w:rsidRPr="007818C6" w:rsidRDefault="00FD6673" w:rsidP="008E3652">
    <w:pPr>
      <w:pStyle w:val="Piedepgina"/>
      <w:jc w:val="center"/>
      <w:rPr>
        <w:rFonts w:ascii="Helvetica" w:hAnsi="Helvetica" w:cs="Arial"/>
      </w:rPr>
    </w:pPr>
    <w:r>
      <w:rPr>
        <w:rFonts w:ascii="Helvetica" w:hAnsi="Helvetica"/>
        <w:noProof/>
        <w:lang w:eastAsia="es-MX"/>
      </w:rPr>
      <w:pict>
        <v:line id="3 Conector recto" o:spid="_x0000_s47105" style="position:absolute;left:0;text-align:left;flip:y;z-index:251655680;visibility:visible;mso-width-relative:margin"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w:r>
    <w:r w:rsidR="000D7BE2" w:rsidRPr="007818C6">
      <w:rPr>
        <w:rFonts w:ascii="Helvetica" w:hAnsi="Helvetica" w:cs="Arial"/>
      </w:rPr>
      <w:t xml:space="preserve">Contable / </w:t>
    </w:r>
    <w:r w:rsidR="00586507" w:rsidRPr="007818C6">
      <w:rPr>
        <w:rFonts w:ascii="Helvetica" w:hAnsi="Helvetica" w:cs="Arial"/>
      </w:rPr>
      <w:fldChar w:fldCharType="begin"/>
    </w:r>
    <w:r w:rsidR="000D7BE2" w:rsidRPr="007818C6">
      <w:rPr>
        <w:rFonts w:ascii="Helvetica" w:hAnsi="Helvetica" w:cs="Arial"/>
      </w:rPr>
      <w:instrText>PAGE   \* MERGEFORMAT</w:instrText>
    </w:r>
    <w:r w:rsidR="00586507" w:rsidRPr="007818C6">
      <w:rPr>
        <w:rFonts w:ascii="Helvetica" w:hAnsi="Helvetica" w:cs="Arial"/>
      </w:rPr>
      <w:fldChar w:fldCharType="separate"/>
    </w:r>
    <w:r w:rsidRPr="00FD6673">
      <w:rPr>
        <w:rFonts w:ascii="Helvetica" w:hAnsi="Helvetica" w:cs="Arial"/>
        <w:noProof/>
        <w:lang w:val="es-ES"/>
      </w:rPr>
      <w:t>1</w:t>
    </w:r>
    <w:r w:rsidR="00586507"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48" w:rsidRDefault="00481E48" w:rsidP="00EA5418">
      <w:pPr>
        <w:spacing w:after="0" w:line="240" w:lineRule="auto"/>
      </w:pPr>
      <w:r>
        <w:separator/>
      </w:r>
    </w:p>
  </w:footnote>
  <w:footnote w:type="continuationSeparator" w:id="0">
    <w:p w:rsidR="00481E48" w:rsidRDefault="00481E4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E2" w:rsidRDefault="00FD6673">
    <w:pPr>
      <w:pStyle w:val="Encabezado"/>
    </w:pPr>
    <w:r>
      <w:rPr>
        <w:noProof/>
        <w:lang w:eastAsia="es-MX"/>
      </w:rPr>
      <w:pict>
        <v:line id="4 Conector recto" o:spid="_x0000_s47113" style="position:absolute;flip:y;z-index:251653632;visibility:visible;mso-width-relative:margin"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w:r>
    <w:r>
      <w:rPr>
        <w:noProof/>
        <w:lang w:eastAsia="es-MX"/>
      </w:rPr>
      <w:pict>
        <v:group id="6 Grupo" o:spid="_x0000_s47108"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47112" type="#_x0000_t202" style="position:absolute;top:448;width:22891;height:3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D7BE2" w:rsidRPr="008A011E" w:rsidRDefault="000D7BE2" w:rsidP="00040466">
                  <w:pPr>
                    <w:spacing w:after="120"/>
                    <w:jc w:val="right"/>
                    <w:rPr>
                      <w:rFonts w:cs="Arial"/>
                      <w:color w:val="808080"/>
                      <w:sz w:val="32"/>
                      <w:szCs w:val="32"/>
                    </w:rPr>
                  </w:pPr>
                  <w:r w:rsidRPr="008A011E">
                    <w:rPr>
                      <w:rFonts w:cs="Arial"/>
                      <w:color w:val="808080"/>
                      <w:sz w:val="32"/>
                      <w:szCs w:val="32"/>
                    </w:rPr>
                    <w:t>CUENTA PÚBLICA</w:t>
                  </w:r>
                </w:p>
                <w:p w:rsidR="000D7BE2" w:rsidRPr="00DF6363" w:rsidRDefault="000D7BE2" w:rsidP="00040466">
                  <w:pPr>
                    <w:jc w:val="right"/>
                    <w:rPr>
                      <w:rFonts w:ascii="DIN Pro Regular" w:hAnsi="DIN Pro Regular" w:cs="DIN Pro Regular"/>
                      <w:color w:val="808080"/>
                      <w:sz w:val="36"/>
                      <w:szCs w:val="36"/>
                    </w:rPr>
                  </w:pPr>
                </w:p>
              </w:txbxContent>
            </v:textbox>
          </v:shape>
          <v:group id="9 Grupo" o:spid="_x0000_s47109"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7111"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1" o:title="" croptop="4055f" cropbottom="57131f" cropleft="36353f" cropright="28433f"/>
              <v:path arrowok="t"/>
            </v:shape>
            <v:shape id="Cuadro de texto 5" o:spid="_x0000_s47110" type="#_x0000_t202" style="position:absolute;left:343;width:8865;height:4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D7BE2" w:rsidRPr="008A011E" w:rsidRDefault="000D7BE2" w:rsidP="00040466">
                    <w:pPr>
                      <w:jc w:val="both"/>
                      <w:rPr>
                        <w:rFonts w:cs="Arial"/>
                        <w:color w:val="808080"/>
                        <w:sz w:val="42"/>
                        <w:szCs w:val="42"/>
                      </w:rPr>
                    </w:pPr>
                    <w:r w:rsidRPr="008A011E">
                      <w:rPr>
                        <w:rFonts w:cs="Arial"/>
                        <w:color w:val="808080"/>
                        <w:sz w:val="42"/>
                        <w:szCs w:val="42"/>
                      </w:rPr>
                      <w:t>2022</w:t>
                    </w:r>
                  </w:p>
                  <w:p w:rsidR="000D7BE2" w:rsidRDefault="000D7BE2" w:rsidP="00040466">
                    <w:pPr>
                      <w:jc w:val="both"/>
                      <w:rPr>
                        <w:rFonts w:ascii="Helvetica" w:hAnsi="Helvetica" w:cs="Arial"/>
                        <w:color w:val="808080"/>
                        <w:sz w:val="42"/>
                        <w:szCs w:val="42"/>
                      </w:rPr>
                    </w:pPr>
                  </w:p>
                  <w:p w:rsidR="000D7BE2" w:rsidRDefault="000D7BE2" w:rsidP="00040466">
                    <w:pPr>
                      <w:jc w:val="both"/>
                      <w:rPr>
                        <w:rFonts w:ascii="Helvetica" w:hAnsi="Helvetica" w:cs="Arial"/>
                        <w:color w:val="808080"/>
                        <w:sz w:val="42"/>
                        <w:szCs w:val="42"/>
                      </w:rPr>
                    </w:pPr>
                  </w:p>
                  <w:p w:rsidR="000D7BE2" w:rsidRPr="00DC53C5" w:rsidRDefault="000D7BE2" w:rsidP="00040466">
                    <w:pPr>
                      <w:jc w:val="both"/>
                      <w:rPr>
                        <w:rFonts w:ascii="Arial" w:hAnsi="Arial" w:cs="Arial"/>
                        <w:color w:val="808080"/>
                        <w:sz w:val="42"/>
                        <w:szCs w:val="42"/>
                      </w:rPr>
                    </w:pPr>
                  </w:p>
                  <w:p w:rsidR="000D7BE2" w:rsidRPr="00DC53C5" w:rsidRDefault="000D7BE2" w:rsidP="00040466">
                    <w:pPr>
                      <w:jc w:val="both"/>
                      <w:rPr>
                        <w:rFonts w:ascii="Arial" w:hAnsi="Arial" w:cs="Arial"/>
                        <w:color w:val="808080"/>
                        <w:sz w:val="42"/>
                        <w:szCs w:val="42"/>
                      </w:rPr>
                    </w:pPr>
                  </w:p>
                </w:txbxContent>
              </v:textbox>
            </v:shape>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E2" w:rsidRDefault="000D7BE2"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2848" behindDoc="1" locked="0" layoutInCell="1" allowOverlap="1">
          <wp:simplePos x="0" y="0"/>
          <wp:positionH relativeFrom="column">
            <wp:posOffset>4924425</wp:posOffset>
          </wp:positionH>
          <wp:positionV relativeFrom="paragraph">
            <wp:posOffset>-182880</wp:posOffset>
          </wp:positionV>
          <wp:extent cx="909955" cy="723900"/>
          <wp:effectExtent l="1905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09955" cy="723900"/>
                  </a:xfrm>
                  <a:prstGeom prst="rect">
                    <a:avLst/>
                  </a:prstGeom>
                  <a:noFill/>
                </pic:spPr>
              </pic:pic>
            </a:graphicData>
          </a:graphic>
        </wp:anchor>
      </w:drawing>
    </w:r>
    <w:r>
      <w:rPr>
        <w:noProof/>
        <w:lang w:eastAsia="es-MX"/>
      </w:rPr>
      <w:drawing>
        <wp:anchor distT="0" distB="0" distL="114300" distR="114300" simplePos="0" relativeHeight="251661824" behindDoc="0" locked="0" layoutInCell="1" allowOverlap="1">
          <wp:simplePos x="0" y="0"/>
          <wp:positionH relativeFrom="column">
            <wp:posOffset>-314325</wp:posOffset>
          </wp:positionH>
          <wp:positionV relativeFrom="paragraph">
            <wp:posOffset>-97155</wp:posOffset>
          </wp:positionV>
          <wp:extent cx="1800225" cy="723900"/>
          <wp:effectExtent l="19050" t="0" r="9525" b="0"/>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800225" cy="723900"/>
                  </a:xfrm>
                  <a:prstGeom prst="rect">
                    <a:avLst/>
                  </a:prstGeom>
                </pic:spPr>
              </pic:pic>
            </a:graphicData>
          </a:graphic>
        </wp:anchor>
      </w:drawing>
    </w:r>
  </w:p>
  <w:p w:rsidR="000D7BE2" w:rsidRDefault="000D7BE2" w:rsidP="002164CC">
    <w:pPr>
      <w:pStyle w:val="Encabezado"/>
      <w:tabs>
        <w:tab w:val="clear" w:pos="8838"/>
        <w:tab w:val="left" w:pos="7965"/>
      </w:tabs>
      <w:jc w:val="center"/>
      <w:rPr>
        <w:rFonts w:ascii="Encode Sans" w:hAnsi="Encode Sans" w:cs="Arial"/>
        <w:b/>
      </w:rPr>
    </w:pPr>
    <w:r>
      <w:rPr>
        <w:rFonts w:ascii="Encode Sans" w:hAnsi="Encode Sans" w:cs="Arial"/>
        <w:b/>
      </w:rPr>
      <w:t>INSTITUTO TECNOLÓ</w:t>
    </w:r>
    <w:r w:rsidRPr="00073D61">
      <w:rPr>
        <w:rFonts w:ascii="Encode Sans" w:hAnsi="Encode Sans" w:cs="Arial"/>
        <w:b/>
      </w:rPr>
      <w:t>GICO SUPERIOR</w:t>
    </w:r>
  </w:p>
  <w:p w:rsidR="000D7BE2" w:rsidRPr="00010BEF" w:rsidRDefault="000D7BE2" w:rsidP="002164CC">
    <w:pPr>
      <w:pStyle w:val="Encabezado"/>
      <w:tabs>
        <w:tab w:val="clear" w:pos="8838"/>
        <w:tab w:val="left" w:pos="7965"/>
      </w:tabs>
      <w:jc w:val="center"/>
      <w:rPr>
        <w:rFonts w:ascii="Encode Sans" w:hAnsi="Encode Sans" w:cs="Arial"/>
        <w:b/>
      </w:rPr>
    </w:pPr>
    <w:r w:rsidRPr="00073D61">
      <w:rPr>
        <w:rFonts w:ascii="Encode Sans" w:hAnsi="Encode Sans" w:cs="Arial"/>
        <w:b/>
      </w:rPr>
      <w:t xml:space="preserve"> DE EL MANTE</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6FF2C80"/>
    <w:multiLevelType w:val="hybridMultilevel"/>
    <w:tmpl w:val="4B0C5D6A"/>
    <w:lvl w:ilvl="0" w:tplc="3000E79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7115">
      <o:colormru v:ext="edit" colors="#40b4e5,#005cb9,#95d600,#0064a7,#97c93d"/>
    </o:shapedefaults>
    <o:shapelayout v:ext="edit">
      <o:idmap v:ext="edit" data="46"/>
    </o:shapelayout>
  </w:hdrShapeDefaults>
  <w:footnotePr>
    <w:footnote w:id="-1"/>
    <w:footnote w:id="0"/>
  </w:footnotePr>
  <w:endnotePr>
    <w:endnote w:id="-1"/>
    <w:endnote w:id="0"/>
  </w:endnotePr>
  <w:compat>
    <w:compatSetting w:name="compatibilityMode" w:uri="http://schemas.microsoft.com/office/word" w:val="12"/>
  </w:compat>
  <w:rsids>
    <w:rsidRoot w:val="00EA5418"/>
    <w:rsid w:val="000052AF"/>
    <w:rsid w:val="00006431"/>
    <w:rsid w:val="00010BEF"/>
    <w:rsid w:val="000113AB"/>
    <w:rsid w:val="00040466"/>
    <w:rsid w:val="0004649B"/>
    <w:rsid w:val="00046F5B"/>
    <w:rsid w:val="00050441"/>
    <w:rsid w:val="0005461A"/>
    <w:rsid w:val="00067F40"/>
    <w:rsid w:val="00073D61"/>
    <w:rsid w:val="000803D2"/>
    <w:rsid w:val="00081355"/>
    <w:rsid w:val="00093161"/>
    <w:rsid w:val="000931E9"/>
    <w:rsid w:val="00093E9A"/>
    <w:rsid w:val="000A6616"/>
    <w:rsid w:val="000B3006"/>
    <w:rsid w:val="000C7E64"/>
    <w:rsid w:val="000D5EFE"/>
    <w:rsid w:val="000D7BE2"/>
    <w:rsid w:val="000E6439"/>
    <w:rsid w:val="0013011C"/>
    <w:rsid w:val="00143140"/>
    <w:rsid w:val="00145173"/>
    <w:rsid w:val="00163D6C"/>
    <w:rsid w:val="00174108"/>
    <w:rsid w:val="00174255"/>
    <w:rsid w:val="001819BD"/>
    <w:rsid w:val="00185224"/>
    <w:rsid w:val="00186C07"/>
    <w:rsid w:val="001954E6"/>
    <w:rsid w:val="001A4EEA"/>
    <w:rsid w:val="001B1B72"/>
    <w:rsid w:val="001B3965"/>
    <w:rsid w:val="001B6AFE"/>
    <w:rsid w:val="001C2F26"/>
    <w:rsid w:val="001C3CA6"/>
    <w:rsid w:val="001C6FD8"/>
    <w:rsid w:val="001C760F"/>
    <w:rsid w:val="001E1435"/>
    <w:rsid w:val="001E2701"/>
    <w:rsid w:val="002052B5"/>
    <w:rsid w:val="0020554C"/>
    <w:rsid w:val="002164CC"/>
    <w:rsid w:val="00236391"/>
    <w:rsid w:val="00241D8F"/>
    <w:rsid w:val="002437CF"/>
    <w:rsid w:val="0024446D"/>
    <w:rsid w:val="00264F1F"/>
    <w:rsid w:val="00270D81"/>
    <w:rsid w:val="0027220A"/>
    <w:rsid w:val="00290E6D"/>
    <w:rsid w:val="002A70B3"/>
    <w:rsid w:val="002B3FDA"/>
    <w:rsid w:val="002C3BA7"/>
    <w:rsid w:val="002C576A"/>
    <w:rsid w:val="002C7C1D"/>
    <w:rsid w:val="002D015C"/>
    <w:rsid w:val="002D7A6B"/>
    <w:rsid w:val="00300C87"/>
    <w:rsid w:val="00306E20"/>
    <w:rsid w:val="00315D1D"/>
    <w:rsid w:val="00331EF8"/>
    <w:rsid w:val="00351DD9"/>
    <w:rsid w:val="00372F40"/>
    <w:rsid w:val="00375BBC"/>
    <w:rsid w:val="00375C20"/>
    <w:rsid w:val="0039289D"/>
    <w:rsid w:val="003A0303"/>
    <w:rsid w:val="003B6756"/>
    <w:rsid w:val="003C1806"/>
    <w:rsid w:val="003C2F9B"/>
    <w:rsid w:val="003D23FC"/>
    <w:rsid w:val="003D5DBF"/>
    <w:rsid w:val="003D7B22"/>
    <w:rsid w:val="003E46AF"/>
    <w:rsid w:val="003E46D2"/>
    <w:rsid w:val="003E7FD0"/>
    <w:rsid w:val="003F39C5"/>
    <w:rsid w:val="003F6E75"/>
    <w:rsid w:val="00413EA7"/>
    <w:rsid w:val="004152B3"/>
    <w:rsid w:val="0044253C"/>
    <w:rsid w:val="00451D35"/>
    <w:rsid w:val="00460462"/>
    <w:rsid w:val="00481E48"/>
    <w:rsid w:val="00484C0D"/>
    <w:rsid w:val="00493508"/>
    <w:rsid w:val="00493686"/>
    <w:rsid w:val="00497203"/>
    <w:rsid w:val="00497D8B"/>
    <w:rsid w:val="004B118B"/>
    <w:rsid w:val="004C09C1"/>
    <w:rsid w:val="004C1FD4"/>
    <w:rsid w:val="004D41B8"/>
    <w:rsid w:val="0050622C"/>
    <w:rsid w:val="00522632"/>
    <w:rsid w:val="00522ECA"/>
    <w:rsid w:val="0053502D"/>
    <w:rsid w:val="00540418"/>
    <w:rsid w:val="005655B2"/>
    <w:rsid w:val="005774F0"/>
    <w:rsid w:val="00586507"/>
    <w:rsid w:val="00591EE2"/>
    <w:rsid w:val="005A137F"/>
    <w:rsid w:val="005B24BE"/>
    <w:rsid w:val="005D40CD"/>
    <w:rsid w:val="005E5C36"/>
    <w:rsid w:val="005E7AF4"/>
    <w:rsid w:val="0060364C"/>
    <w:rsid w:val="00655E50"/>
    <w:rsid w:val="00677336"/>
    <w:rsid w:val="006928FD"/>
    <w:rsid w:val="00692CDF"/>
    <w:rsid w:val="006A30B4"/>
    <w:rsid w:val="006C4132"/>
    <w:rsid w:val="006D41B9"/>
    <w:rsid w:val="006D4D1B"/>
    <w:rsid w:val="006E4041"/>
    <w:rsid w:val="006E77DD"/>
    <w:rsid w:val="006F0C7E"/>
    <w:rsid w:val="007006CA"/>
    <w:rsid w:val="0070709C"/>
    <w:rsid w:val="007075A0"/>
    <w:rsid w:val="00715278"/>
    <w:rsid w:val="00725F56"/>
    <w:rsid w:val="00744704"/>
    <w:rsid w:val="007460DF"/>
    <w:rsid w:val="007658CB"/>
    <w:rsid w:val="007818C6"/>
    <w:rsid w:val="0079582C"/>
    <w:rsid w:val="007A5B39"/>
    <w:rsid w:val="007B5517"/>
    <w:rsid w:val="007D6E9A"/>
    <w:rsid w:val="007E4A53"/>
    <w:rsid w:val="007F08FA"/>
    <w:rsid w:val="007F796F"/>
    <w:rsid w:val="00811DAC"/>
    <w:rsid w:val="00820190"/>
    <w:rsid w:val="00847907"/>
    <w:rsid w:val="00847B0D"/>
    <w:rsid w:val="0085677D"/>
    <w:rsid w:val="008619FB"/>
    <w:rsid w:val="00862A0D"/>
    <w:rsid w:val="00865899"/>
    <w:rsid w:val="00876FA6"/>
    <w:rsid w:val="00890055"/>
    <w:rsid w:val="008A011E"/>
    <w:rsid w:val="008A120B"/>
    <w:rsid w:val="008A6E4D"/>
    <w:rsid w:val="008B0017"/>
    <w:rsid w:val="008B3251"/>
    <w:rsid w:val="008B41CF"/>
    <w:rsid w:val="008E1076"/>
    <w:rsid w:val="008E3652"/>
    <w:rsid w:val="008E7681"/>
    <w:rsid w:val="008F6D58"/>
    <w:rsid w:val="00910AF6"/>
    <w:rsid w:val="009426AC"/>
    <w:rsid w:val="00944203"/>
    <w:rsid w:val="009613BA"/>
    <w:rsid w:val="00961E75"/>
    <w:rsid w:val="009620F4"/>
    <w:rsid w:val="009915EB"/>
    <w:rsid w:val="00994738"/>
    <w:rsid w:val="009B7FAD"/>
    <w:rsid w:val="009C5C3A"/>
    <w:rsid w:val="009F5400"/>
    <w:rsid w:val="00A10572"/>
    <w:rsid w:val="00A35095"/>
    <w:rsid w:val="00A40022"/>
    <w:rsid w:val="00A50FA0"/>
    <w:rsid w:val="00A74F12"/>
    <w:rsid w:val="00A752B2"/>
    <w:rsid w:val="00AA39F8"/>
    <w:rsid w:val="00AC7D90"/>
    <w:rsid w:val="00AD6B30"/>
    <w:rsid w:val="00AE608D"/>
    <w:rsid w:val="00AE777E"/>
    <w:rsid w:val="00AF2F48"/>
    <w:rsid w:val="00AF50E1"/>
    <w:rsid w:val="00AF7996"/>
    <w:rsid w:val="00B10695"/>
    <w:rsid w:val="00B26248"/>
    <w:rsid w:val="00B368BA"/>
    <w:rsid w:val="00B60517"/>
    <w:rsid w:val="00B73DF3"/>
    <w:rsid w:val="00B74663"/>
    <w:rsid w:val="00B849EE"/>
    <w:rsid w:val="00BA2940"/>
    <w:rsid w:val="00BA648B"/>
    <w:rsid w:val="00BB660B"/>
    <w:rsid w:val="00BC77D8"/>
    <w:rsid w:val="00BD394C"/>
    <w:rsid w:val="00BD6292"/>
    <w:rsid w:val="00BE6581"/>
    <w:rsid w:val="00BF5ADB"/>
    <w:rsid w:val="00C03D37"/>
    <w:rsid w:val="00C07D59"/>
    <w:rsid w:val="00C11164"/>
    <w:rsid w:val="00C24E4A"/>
    <w:rsid w:val="00C2567A"/>
    <w:rsid w:val="00C40FF7"/>
    <w:rsid w:val="00C71B04"/>
    <w:rsid w:val="00C7736C"/>
    <w:rsid w:val="00C80663"/>
    <w:rsid w:val="00C80DE1"/>
    <w:rsid w:val="00C81453"/>
    <w:rsid w:val="00C9777A"/>
    <w:rsid w:val="00CC2371"/>
    <w:rsid w:val="00CD0037"/>
    <w:rsid w:val="00CD0E3F"/>
    <w:rsid w:val="00CF47BE"/>
    <w:rsid w:val="00CF5A17"/>
    <w:rsid w:val="00D0206A"/>
    <w:rsid w:val="00D04D60"/>
    <w:rsid w:val="00D055EC"/>
    <w:rsid w:val="00D10273"/>
    <w:rsid w:val="00D53D05"/>
    <w:rsid w:val="00D570C5"/>
    <w:rsid w:val="00D846EF"/>
    <w:rsid w:val="00D85F71"/>
    <w:rsid w:val="00D9138F"/>
    <w:rsid w:val="00DC53C5"/>
    <w:rsid w:val="00DE0B18"/>
    <w:rsid w:val="00DF01DA"/>
    <w:rsid w:val="00DF166B"/>
    <w:rsid w:val="00DF6363"/>
    <w:rsid w:val="00E07C35"/>
    <w:rsid w:val="00E32708"/>
    <w:rsid w:val="00E71540"/>
    <w:rsid w:val="00E75E3C"/>
    <w:rsid w:val="00EA5418"/>
    <w:rsid w:val="00EB26B0"/>
    <w:rsid w:val="00EB37D6"/>
    <w:rsid w:val="00EB4758"/>
    <w:rsid w:val="00EC503B"/>
    <w:rsid w:val="00ED118F"/>
    <w:rsid w:val="00EF2D81"/>
    <w:rsid w:val="00F45C83"/>
    <w:rsid w:val="00F4664C"/>
    <w:rsid w:val="00F6633F"/>
    <w:rsid w:val="00FB1010"/>
    <w:rsid w:val="00FB472C"/>
    <w:rsid w:val="00FC3198"/>
    <w:rsid w:val="00FD2B3A"/>
    <w:rsid w:val="00FD2B73"/>
    <w:rsid w:val="00FD300F"/>
    <w:rsid w:val="00FD6673"/>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15">
      <o:colormru v:ext="edit" colors="#40b4e5,#005cb9,#95d600,#0064a7,#97c93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B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181">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3370500">
      <w:bodyDiv w:val="1"/>
      <w:marLeft w:val="0"/>
      <w:marRight w:val="0"/>
      <w:marTop w:val="0"/>
      <w:marBottom w:val="0"/>
      <w:divBdr>
        <w:top w:val="none" w:sz="0" w:space="0" w:color="auto"/>
        <w:left w:val="none" w:sz="0" w:space="0" w:color="auto"/>
        <w:bottom w:val="none" w:sz="0" w:space="0" w:color="auto"/>
        <w:right w:val="none" w:sz="0" w:space="0" w:color="auto"/>
      </w:divBdr>
    </w:div>
    <w:div w:id="212230290">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4095541">
      <w:bodyDiv w:val="1"/>
      <w:marLeft w:val="0"/>
      <w:marRight w:val="0"/>
      <w:marTop w:val="0"/>
      <w:marBottom w:val="0"/>
      <w:divBdr>
        <w:top w:val="none" w:sz="0" w:space="0" w:color="auto"/>
        <w:left w:val="none" w:sz="0" w:space="0" w:color="auto"/>
        <w:bottom w:val="none" w:sz="0" w:space="0" w:color="auto"/>
        <w:right w:val="none" w:sz="0" w:space="0" w:color="auto"/>
      </w:divBdr>
    </w:div>
    <w:div w:id="469596071">
      <w:bodyDiv w:val="1"/>
      <w:marLeft w:val="0"/>
      <w:marRight w:val="0"/>
      <w:marTop w:val="0"/>
      <w:marBottom w:val="0"/>
      <w:divBdr>
        <w:top w:val="none" w:sz="0" w:space="0" w:color="auto"/>
        <w:left w:val="none" w:sz="0" w:space="0" w:color="auto"/>
        <w:bottom w:val="none" w:sz="0" w:space="0" w:color="auto"/>
        <w:right w:val="none" w:sz="0" w:space="0" w:color="auto"/>
      </w:divBdr>
    </w:div>
    <w:div w:id="638144871">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23337765">
      <w:bodyDiv w:val="1"/>
      <w:marLeft w:val="0"/>
      <w:marRight w:val="0"/>
      <w:marTop w:val="0"/>
      <w:marBottom w:val="0"/>
      <w:divBdr>
        <w:top w:val="none" w:sz="0" w:space="0" w:color="auto"/>
        <w:left w:val="none" w:sz="0" w:space="0" w:color="auto"/>
        <w:bottom w:val="none" w:sz="0" w:space="0" w:color="auto"/>
        <w:right w:val="none" w:sz="0" w:space="0" w:color="auto"/>
      </w:divBdr>
    </w:div>
    <w:div w:id="763957180">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014378449">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11737252">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65999944">
      <w:bodyDiv w:val="1"/>
      <w:marLeft w:val="0"/>
      <w:marRight w:val="0"/>
      <w:marTop w:val="0"/>
      <w:marBottom w:val="0"/>
      <w:divBdr>
        <w:top w:val="none" w:sz="0" w:space="0" w:color="auto"/>
        <w:left w:val="none" w:sz="0" w:space="0" w:color="auto"/>
        <w:bottom w:val="none" w:sz="0" w:space="0" w:color="auto"/>
        <w:right w:val="none" w:sz="0" w:space="0" w:color="auto"/>
      </w:divBdr>
    </w:div>
    <w:div w:id="2010673433">
      <w:bodyDiv w:val="1"/>
      <w:marLeft w:val="0"/>
      <w:marRight w:val="0"/>
      <w:marTop w:val="0"/>
      <w:marBottom w:val="0"/>
      <w:divBdr>
        <w:top w:val="none" w:sz="0" w:space="0" w:color="auto"/>
        <w:left w:val="none" w:sz="0" w:space="0" w:color="auto"/>
        <w:bottom w:val="none" w:sz="0" w:space="0" w:color="auto"/>
        <w:right w:val="none" w:sz="0" w:space="0" w:color="auto"/>
      </w:divBdr>
    </w:div>
    <w:div w:id="21311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E0F0-8D94-458A-8C8E-10CBAD6D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3162</Words>
  <Characters>17394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Jose Antonio Torres Gonzalez</cp:lastModifiedBy>
  <cp:revision>76</cp:revision>
  <cp:lastPrinted>2023-02-10T18:02:00Z</cp:lastPrinted>
  <dcterms:created xsi:type="dcterms:W3CDTF">2021-01-09T00:40:00Z</dcterms:created>
  <dcterms:modified xsi:type="dcterms:W3CDTF">2023-04-26T21:09:00Z</dcterms:modified>
</cp:coreProperties>
</file>