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W w:w="5522" w:type="pct"/>
        <w:tblInd w:w="-639" w:type="dxa"/>
        <w:tblCellMar>
          <w:left w:w="70" w:type="dxa"/>
          <w:right w:w="70" w:type="dxa"/>
        </w:tblCellMar>
        <w:tblLook w:val="04A0"/>
      </w:tblPr>
      <w:tblGrid>
        <w:gridCol w:w="1255"/>
        <w:gridCol w:w="2005"/>
        <w:gridCol w:w="2767"/>
        <w:gridCol w:w="992"/>
        <w:gridCol w:w="995"/>
        <w:gridCol w:w="1250"/>
        <w:gridCol w:w="945"/>
        <w:gridCol w:w="1134"/>
        <w:gridCol w:w="2548"/>
      </w:tblGrid>
      <w:tr w:rsidR="00F553BA" w:rsidRPr="009D0514" w:rsidTr="00F553BA">
        <w:trPr>
          <w:trHeight w:val="76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051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F553BA" w:rsidRPr="009D0514" w:rsidTr="00F553BA">
        <w:trPr>
          <w:trHeight w:val="1845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1.1.3 Porcentaje de programas de licenciatura acreditados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programas de licenciatura acreditados en el año N/Total de programas de licenciatura evaluables en el año 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50%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obtuvo la Acreditación de la Carrera de Ingeniería en Gestión Empresarial por parte de la empresa evaluadora CIEES.  Se establecen estrategias para fortalecer los dos programas educativos acreditados a través de certificaciones para los alumnos en las carreras de Ingeniería en Gestión Empresarial e Ingeniería Industrial para mantener el reconocimiento por su buena calidad.</w:t>
            </w:r>
          </w:p>
        </w:tc>
      </w:tr>
      <w:tr w:rsidR="00F553BA" w:rsidRPr="009D0514" w:rsidTr="00F553BA">
        <w:trPr>
          <w:trHeight w:val="1995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estudiantes de licenciatura inscritos en programas acreditados en el año N/Matrícula total de estudiantes de licenciatura en el año)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72%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F553BA" w:rsidRPr="009D0514" w:rsidTr="00D31680">
        <w:trPr>
          <w:trHeight w:val="12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1.2.2 Número de académicos participantes en cursos de capacitación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Académicos participantes en cursos de formación y actualización en el año 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establecen estrategias para que la plantilla docente obtenga su formación y actualización profesional.</w:t>
            </w:r>
          </w:p>
        </w:tc>
      </w:tr>
      <w:tr w:rsidR="00F553BA" w:rsidRPr="009D0514" w:rsidTr="00D31680">
        <w:trPr>
          <w:trHeight w:val="12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1.2.3 Número de académicos con grado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de especialidad, maestría o doctorado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académicos con grado de especialidad, maestría o doctorado en el año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establecen estrategias para gestionar becas de apoyo económico para que los docentes cursen algún posgrado.</w:t>
            </w:r>
          </w:p>
        </w:tc>
      </w:tr>
      <w:tr w:rsidR="00F553BA" w:rsidRPr="009D0514" w:rsidTr="00D31680">
        <w:trPr>
          <w:trHeight w:val="12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1.2.4 Número de académicos con reconocimiento al perfil deseable vigente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académicos con perfil deseable en el año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Se mantiene contacto con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para cuando se defina realizar las gestiones para el programa  PRODEP.</w:t>
            </w:r>
          </w:p>
        </w:tc>
      </w:tr>
      <w:tr w:rsidR="00F553BA" w:rsidRPr="009D0514" w:rsidTr="00F553BA">
        <w:trPr>
          <w:trHeight w:val="9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1.2.5 Número de académicos con competencias digitales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académicos con competencias digitales en el año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fomenta la participación en talleres y cursos presenciales y medios electrónicos o digitales.</w:t>
            </w:r>
          </w:p>
        </w:tc>
      </w:tr>
      <w:tr w:rsidR="00F553BA" w:rsidRPr="009D0514" w:rsidTr="00F553BA">
        <w:trPr>
          <w:trHeight w:val="15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1.3.1 Número de académicos formados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en recursos educativos digitales, en ambientes virtuales de aprendizaje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académicos que acreditan el DREAVA en el año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Se mantiene la promoción de cursos y diplomados para el uso de las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TIC´s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en los procesos de enseñanza-aprendizaje</w:t>
            </w:r>
          </w:p>
        </w:tc>
      </w:tr>
      <w:tr w:rsidR="00F553BA" w:rsidRPr="009D0514" w:rsidTr="00D31680">
        <w:trPr>
          <w:trHeight w:val="18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1.3.2 Número personal de apoyo y asistencia a la educación y directivos que tomaron al menos un curso de capacitación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presencial o a distancia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personal de apoyo y asistencia a la educación y directivos capacitados en el año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fomenta la participación en talleres y cursos presenciales y medios electrónicos o digitales.</w:t>
            </w:r>
          </w:p>
        </w:tc>
      </w:tr>
      <w:tr w:rsidR="00F553BA" w:rsidRPr="009D0514" w:rsidTr="00D31680">
        <w:trPr>
          <w:trHeight w:val="15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1.3.3 Número de células de producción de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materiales educativos y recursos digitales conformadas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células de producción conformadas en el año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Se </w:t>
            </w:r>
            <w:r w:rsidR="00D31680" w:rsidRPr="009D0514">
              <w:rPr>
                <w:rFonts w:eastAsia="Times New Roman"/>
                <w:color w:val="000000"/>
                <w:lang w:eastAsia="es-MX"/>
              </w:rPr>
              <w:t>continúa</w:t>
            </w:r>
            <w:r w:rsidRPr="009D0514">
              <w:rPr>
                <w:rFonts w:eastAsia="Times New Roman"/>
                <w:color w:val="000000"/>
                <w:lang w:eastAsia="es-MX"/>
              </w:rPr>
              <w:t xml:space="preserve"> con el diseño de los materiales educativos y recursos digitales.</w:t>
            </w:r>
          </w:p>
        </w:tc>
      </w:tr>
      <w:tr w:rsidR="00F553BA" w:rsidRPr="009D0514" w:rsidTr="00D31680">
        <w:trPr>
          <w:trHeight w:val="18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1.4.2 Académicos y estudiantes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participantes en convocatorias en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materia académica y/o de investigación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académicos y estudiantes participantes en convocatorias en materia académica y/o de investigación en el año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Se impulsa la participación del personal académico y estudiantes en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a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presentación de trabajos de investigación y desarrollo en foros relevantes.</w:t>
            </w:r>
          </w:p>
        </w:tc>
      </w:tr>
      <w:tr w:rsidR="00F553BA" w:rsidRPr="009D0514" w:rsidTr="00F553BA">
        <w:trPr>
          <w:trHeight w:val="21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1.4.3 Porcentaje de académicos y alumnos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con habilidad de comunicación en una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segunda lengua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académicos y alumnos con habilidad de comunicación en una segunda lengua en el año N/Número total de académicos y alumnos en el año 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22%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diseñan y ofertan servicios de educación continua y esquemas de apoyo para el aprendizaje de una segunda lengua.</w:t>
            </w:r>
          </w:p>
        </w:tc>
      </w:tr>
      <w:tr w:rsidR="00F553BA" w:rsidRPr="009D0514" w:rsidTr="00D31680">
        <w:trPr>
          <w:trHeight w:val="21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1.4.4 Número de académicos y estudiantes que participan en programas de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intercambio académico nacional e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internacional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académicos y estudiantes que participan en programas de intercambio académico nacional e internacional en el año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promueve el intercambio de personal académico y de investigación, a través de alianzas entre Institutos  tecnológicos, así como con otras instituciones del país y del extranjero.</w:t>
            </w:r>
          </w:p>
        </w:tc>
      </w:tr>
      <w:tr w:rsidR="00F553BA" w:rsidRPr="009D0514" w:rsidTr="00D31680">
        <w:trPr>
          <w:trHeight w:val="15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1.4.5 Número de asignaturas, planes o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programas académicos impartidos en una segunda lengua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asignaturas, planes o programas académicos impartidos en una segunda lengua en el año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busca la impartición de algunas asignaturas preferentemente en el idioma inglés.</w:t>
            </w:r>
          </w:p>
        </w:tc>
      </w:tr>
      <w:tr w:rsidR="00F553BA" w:rsidRPr="009D0514" w:rsidTr="00D31680">
        <w:trPr>
          <w:trHeight w:val="9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2.2.1  Número de estudiantes beneficiados con una beca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estudiantes beneficiados con beca en el año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559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Se difunde con oportunidad las distintas convocatorias de becas.</w:t>
            </w:r>
          </w:p>
        </w:tc>
      </w:tr>
      <w:tr w:rsidR="00F553BA" w:rsidRPr="009D0514" w:rsidTr="00F553BA">
        <w:trPr>
          <w:trHeight w:val="15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2.2.2 Incremento de la matrícula de licenciatura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[(Matrícula de licenciatura en el año/Matrícula de licenciatura en el año-1)-1]*100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-4%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Continuar con la participación en el programa emergente Rechazo Cero, a fin de aprovechar esta estrategia para aumentar la presencia e identidad del ITSM.</w:t>
            </w:r>
          </w:p>
          <w:p w:rsidR="00F553BA" w:rsidRPr="009D0514" w:rsidRDefault="00F553BA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F553BA" w:rsidRPr="009D0514" w:rsidTr="00F553BA">
        <w:trPr>
          <w:trHeight w:val="9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2.2.5 Número de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tutores formados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Personal académico formados como tutores en el año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Continuar con el análisis de la actualización del Programa Nacional de Tutorías del ITSM.</w:t>
            </w:r>
          </w:p>
          <w:p w:rsidR="00F553BA" w:rsidRPr="009D0514" w:rsidRDefault="00F553BA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F553BA" w:rsidRPr="009D0514" w:rsidTr="00D31680">
        <w:trPr>
          <w:trHeight w:val="15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2.2.6 Índice de eficiencia terminal de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licenciatura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estudiantes de licenciatura egresados del IT en el año/número de estudiantes de nuevo ingreso en el año- 5)*100</w:t>
            </w:r>
          </w:p>
          <w:p w:rsidR="00F553BA" w:rsidRPr="009D0514" w:rsidRDefault="00F553BA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36%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Analizar las causas fundamentales de reprobación y de deserción estudiantil.</w:t>
            </w:r>
          </w:p>
        </w:tc>
      </w:tr>
      <w:tr w:rsidR="00F553BA" w:rsidRPr="009D0514" w:rsidTr="00D31680">
        <w:trPr>
          <w:trHeight w:val="18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2.4.1 Porcentaje de talleres y laboratorios de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los institutos tecnológicos y centros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modernizados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talleres y laboratorios del Instituto modernizados en el año/Total e talleres y laboratorios del instituto en el año)*100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40%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Gestionar recursos presupuestales para su modernización</w:t>
            </w:r>
          </w:p>
        </w:tc>
      </w:tr>
      <w:tr w:rsidR="00F553BA" w:rsidRPr="009D0514" w:rsidTr="00D31680">
        <w:trPr>
          <w:trHeight w:val="21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3.1.1 Porcentaje de la matrícula de nuevo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ingreso que participa en alguno de los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programas de primer nivel de atención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(Total de estudiantes de nuevo ingreso que participan en alguno de los programas de primer nivel de atención en el año/Matrícula total de estudiantes de nuevo ingreso en el año)*100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70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60%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Mantener el programa de apreciación de las artes y diversidad cultural, que dé lugar al reconocimiento y respeto de las diferencias, contribuyendo a la no violencia y la no discriminación.</w:t>
            </w:r>
          </w:p>
        </w:tc>
      </w:tr>
      <w:tr w:rsidR="00F553BA" w:rsidRPr="009D0514" w:rsidTr="00D31680">
        <w:trPr>
          <w:trHeight w:val="27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3.1.2 Porcentaje de la matrícula de los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semestres 2 a 12 que participa en alguno de los equipos y grupos representativos o en alguno de los clubes cívico, cultural y deportivo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(Total de estudiantes de  los semestres 2 a 12 que participan en alguno de los grupos o equipos representativos de segundo nivel de atención en el año/Matrícula total de estudiantes de los semestres 2 a 12 en el año)*100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Fortalecer la participación en grupos y equipos representativos en activo.</w:t>
            </w:r>
          </w:p>
        </w:tc>
      </w:tr>
      <w:tr w:rsidR="00F553BA" w:rsidRPr="009D0514" w:rsidTr="00D31680">
        <w:trPr>
          <w:trHeight w:val="3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3.2.1 Porcentaje de instalaciones para el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desarrollo de actividades cívicas, culturales y deportivas rehabilitados para su uso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espacios de infraestructura para el desarrollo de actividades cívicas, culturales, deportivas y recreativas renovadas en el año/Total de espacios de infraestructura para el desarrollo de actividades cívicas, culturales, deportivas y recreativas existentes en el año)*100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0%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Implementar proyectos de recuperación y mejoramiento de instalaciones donde se desarrollen las actividades de compromiso cívico, culturales-artísticas, deportivas y recreativas.</w:t>
            </w:r>
          </w:p>
        </w:tc>
      </w:tr>
      <w:tr w:rsidR="00F553BA" w:rsidRPr="009D0514" w:rsidTr="00D31680">
        <w:trPr>
          <w:trHeight w:val="39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3.2.2 Número de promotores culturales,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cívicos y deportivos incorporados y/o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formados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promotores culturales, cívicos y deportivos incorporados y/o formados en el año/Número de promotores culturales, cívicos y deportivos programados para incorporación y/o formación en el año)*100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Continuar impulsando: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* La profesionalización de los promotores del compromiso cívico, de culturales-artísticos y de deporte.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* La certificación de entrenadores deportivos y de instructores del compromiso cívico y de actividades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culturales-artísticas.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* La integración de nuevos promotores con base en perfiles específicos, para las áreas de compromiso cívico, cultural-artística y deportiva.</w:t>
            </w:r>
          </w:p>
          <w:p w:rsidR="00F553BA" w:rsidRPr="009D0514" w:rsidRDefault="00F553BA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F553BA" w:rsidRPr="009D0514" w:rsidTr="00D31680">
        <w:trPr>
          <w:trHeight w:val="27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3.2.3 Número de eventos culturales, cívicos y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deportivos realizados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(Número de eventos culturales, cívicos, deportivos y recreativos realizados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intra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o extra muros en el año/Número de eventos culturales, cívicos deportivos y recreativos programados para su realización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intra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o extra muros en el año)*100</w:t>
            </w:r>
          </w:p>
          <w:p w:rsidR="00F553BA" w:rsidRPr="009D0514" w:rsidRDefault="00F553BA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400%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Continuar organizando: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 xml:space="preserve">* Eventos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intra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y extramuros de competencia y de recreación.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 xml:space="preserve">* Muestras artístico-culturales y de recreación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intra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y extramuros.</w:t>
            </w:r>
          </w:p>
        </w:tc>
      </w:tr>
      <w:tr w:rsidR="00F553BA" w:rsidRPr="009D0514" w:rsidTr="00D31680">
        <w:trPr>
          <w:trHeight w:val="240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3.3.2 Número de estudiantes que prestan servicio social, número de comunidades beneficiadas y número de personas beneficiadas por el servicio social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Número de prestantes de servicio social que de acuerdo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a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reglamento realizan actividades que inciden en la atención de los problemas regionales o nacionales prioritarios en el año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170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130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Establecer convenios con los gobiernos municipales, estatales y federal para impulsar el desarrollo de zonas de alta marginación y grupos vulnerables.</w:t>
            </w:r>
          </w:p>
        </w:tc>
      </w:tr>
      <w:tr w:rsidR="00F553BA" w:rsidRPr="009D0514" w:rsidTr="00F553BA">
        <w:trPr>
          <w:trHeight w:val="120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comunidades beneficiadas con prestantes de servicio social en el año 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Realizar servicio social enfocado a las zonas de alta marginación y zonas vulnerables.</w:t>
            </w:r>
          </w:p>
        </w:tc>
      </w:tr>
      <w:tr w:rsidR="00F553BA" w:rsidRPr="009D0514" w:rsidTr="00D31680">
        <w:trPr>
          <w:trHeight w:val="120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personas beneficiadas por los prestantes de servicio social en el año 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Impulsar la participación del servicio social en zonas de alta marginación.</w:t>
            </w:r>
          </w:p>
        </w:tc>
      </w:tr>
      <w:tr w:rsidR="00F553BA" w:rsidRPr="009D0514" w:rsidTr="00D31680">
        <w:trPr>
          <w:trHeight w:val="15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4.1.4 Número de estudiantes de licenciatura que participan en proyectos de investigación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estudiantes de licenciatura que participan en proyectos de investigación en el año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Difundir la convocatoria para la participación en  Proyectos de Desarrollo Tecnológico e Innovación para Estudiantes.</w:t>
            </w:r>
          </w:p>
        </w:tc>
      </w:tr>
      <w:tr w:rsidR="00F553BA" w:rsidRPr="009D0514" w:rsidTr="00D31680">
        <w:trPr>
          <w:trHeight w:val="21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4.2.1 Número de proyectos de investigación científica, desarrollo tecnológico e innovación financiados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proyectos de investigación científica, desarrollo tecnológico e innovación financiados en el año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Difundir las convocatorias de investigación referentes a: Proyectos de Investigación Científica; Proyectos de Desarrollo Tecnológico e Innovación, y Proyectos de Desarrollo Tecnológico e Innovación para Estudiantes.</w:t>
            </w:r>
          </w:p>
        </w:tc>
      </w:tr>
      <w:tr w:rsidR="00F553BA" w:rsidRPr="009D0514" w:rsidTr="00F553BA">
        <w:trPr>
          <w:trHeight w:val="15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4.2.3 Número de académicos que participan en redes de investigación, científica y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tecnológica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académicos que participan en redes de investigación, científica y tecnológica en el año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400%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Continuar con la identificación de las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redes de investigación existentes donde participe el personal académico.</w:t>
            </w:r>
          </w:p>
        </w:tc>
      </w:tr>
      <w:tr w:rsidR="00F553BA" w:rsidRPr="009D0514" w:rsidTr="00D31680">
        <w:trPr>
          <w:trHeight w:val="21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F553BA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4.2.5 Número de artículos de investigación de académicos publicados en revistas indexadas nacionales e internacionales como parte del </w:t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artículos de investigación de académicos publicados en revistas indexadas nacionales e internacionales como parte del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</w:r>
            <w:proofErr w:type="spellStart"/>
            <w:r w:rsidRPr="009D0514">
              <w:rPr>
                <w:rFonts w:eastAsia="Times New Roman"/>
                <w:color w:val="000000"/>
                <w:lang w:eastAsia="es-MX"/>
              </w:rPr>
              <w:t>TecNM</w:t>
            </w:r>
            <w:proofErr w:type="spellEnd"/>
            <w:r w:rsidRPr="009D0514">
              <w:rPr>
                <w:rFonts w:eastAsia="Times New Roman"/>
                <w:color w:val="000000"/>
                <w:lang w:eastAsia="es-MX"/>
              </w:rPr>
              <w:t xml:space="preserve"> en el año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Fomentar que las publicaciones se efectúen con identidad institucional.</w:t>
            </w:r>
          </w:p>
        </w:tc>
      </w:tr>
      <w:tr w:rsidR="00F553BA" w:rsidRPr="009D0514" w:rsidTr="00D31680">
        <w:trPr>
          <w:trHeight w:val="15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5.1.3 Número de convenios vigentes de vinculación entre institutos tecnológicos y centros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convenios de vinculación entre Institutos tecnológicos y centros vigentes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Establecer proyectos que  contribuyan al desarrollo económico, social y  humano.</w:t>
            </w:r>
          </w:p>
        </w:tc>
      </w:tr>
      <w:tr w:rsidR="00F553BA" w:rsidRPr="009D0514" w:rsidTr="00D31680">
        <w:trPr>
          <w:trHeight w:val="24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5.1.4 Número de convenios vigentes de vinculación de los institutos tecnológicos y centros con otras instituciones de educación superior nacionales e internacionales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convenios de vinculación del instituto tecnológico con otras instituciones de educación superior nacionales e internacionales vigentes en el año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Gestionar la cooperación con el sector académico y empresarial nacional e internacional que contribuyan al desarrollo económico, social y humano</w:t>
            </w:r>
          </w:p>
        </w:tc>
      </w:tr>
      <w:tr w:rsidR="00F553BA" w:rsidRPr="009D0514" w:rsidTr="00F553BA">
        <w:trPr>
          <w:trHeight w:val="15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F553BA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5.1.5 Número de convenios o contratos vigentes de vinculación con los sectores público, social y privado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convenios o contratos de vinculación con los sectores público, social y privado vigentes en el año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Promover la celebración de convenios de vinculación.</w:t>
            </w:r>
          </w:p>
        </w:tc>
      </w:tr>
      <w:tr w:rsidR="00F553BA" w:rsidRPr="009D0514" w:rsidTr="00D31680">
        <w:trPr>
          <w:trHeight w:val="18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5.1.6 Número de estudiantes que participan en proyectos de vinculación con los sectores público, social y privado.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estudiantes que participan en proyectos de vinculación con los sectores público, social y privado en el año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63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Continuar impulsando la participación de estudiantes en los diferentes proyectos de vinculación.</w:t>
            </w:r>
          </w:p>
        </w:tc>
      </w:tr>
      <w:tr w:rsidR="00F553BA" w:rsidRPr="009D0514" w:rsidTr="00D31680">
        <w:trPr>
          <w:trHeight w:val="15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5.3.2 Porcentaje de egresados incorporados al mercado laboral en los primeros doce meses de su egreso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(Número de egresados incorporados al mercado laboral en los primeros doce meses de su egreso/Total de egresados)*100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73%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Establecer mecanismos institucionales para facilitar la  incorporación de estudiantes y egresados al mercado laboral.</w:t>
            </w:r>
          </w:p>
        </w:tc>
      </w:tr>
      <w:tr w:rsidR="00F553BA" w:rsidRPr="009D0514" w:rsidTr="00D31680">
        <w:trPr>
          <w:trHeight w:val="166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ET 5.1 Número de proyectos de emprendimiento con enfoque innovación y sustentabilidad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proyectos de emprendimiento con enfoque de innovación y sustentabilidad en el año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Continuar promoviendo la cultura de la sustentabilidad y el trabajo interdisciplinario.</w:t>
            </w:r>
          </w:p>
        </w:tc>
      </w:tr>
      <w:tr w:rsidR="00F553BA" w:rsidRPr="009D0514" w:rsidTr="00F553BA">
        <w:trPr>
          <w:trHeight w:val="15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ET 5.2 Número de estudiantes de servicio social que participan en actividades de inclusión e igualdad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 de estudiantes de servicio social que participan en actividades de inclusión e igualdad en el año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Incrementar la difusión de los programas servicio social en los temas de inclusión e igualdad.</w:t>
            </w:r>
          </w:p>
        </w:tc>
      </w:tr>
      <w:tr w:rsidR="00F553BA" w:rsidRPr="009D0514" w:rsidTr="00F553BA">
        <w:trPr>
          <w:trHeight w:val="9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F553BA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6.1.2 Manual de organización actualizado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Manual de organización actualizado en el año 2021, publicado en POE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Actualizar el Manual de Organización General.</w:t>
            </w:r>
          </w:p>
        </w:tc>
      </w:tr>
      <w:tr w:rsidR="00F553BA" w:rsidRPr="009D0514" w:rsidTr="00D31680">
        <w:trPr>
          <w:trHeight w:val="181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6.2.3  Institutos, unidades y centros certificados.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total de certificados en un sistema de gestión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Actualmente, el Instituto se encuentra en proceso de recertificado en 5 sistemas de las Normas ISO 9001, ISO 14001, ISO 50001, ISO 45001 y la  Norma Mexicana 025.</w:t>
            </w:r>
          </w:p>
        </w:tc>
      </w:tr>
      <w:tr w:rsidR="00F553BA" w:rsidRPr="009D0514" w:rsidTr="00D31680">
        <w:trPr>
          <w:trHeight w:val="18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lastRenderedPageBreak/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ET 6.1 Porcentaje de institutos tecnológicos y</w:t>
            </w:r>
            <w:r w:rsidRPr="009D0514">
              <w:rPr>
                <w:rFonts w:eastAsia="Times New Roman"/>
                <w:color w:val="000000"/>
                <w:lang w:eastAsia="es-MX"/>
              </w:rPr>
              <w:br/>
              <w:t>centros que operan el programa institucional de cero plásticos de un solo uso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institucional de cero plásticos de un solo uso en el año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Implementar la segunda etapa de la iniciativa: 100% libre de plástico de un solo uso.</w:t>
            </w:r>
          </w:p>
        </w:tc>
      </w:tr>
      <w:tr w:rsidR="00F553BA" w:rsidRPr="009D0514" w:rsidTr="00D31680">
        <w:trPr>
          <w:trHeight w:val="283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Desarrollo Institucional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9D0514" w:rsidRDefault="009D0514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ET 6.2 Porcentaje de institutos tecnológicos y</w:t>
            </w:r>
            <w:r w:rsidRPr="009D0514">
              <w:rPr>
                <w:rFonts w:eastAsia="Times New Roman"/>
                <w:color w:val="000000"/>
                <w:lang w:eastAsia="es-MX"/>
              </w:rPr>
              <w:br w:type="page"/>
              <w:t>centros que cuentan con un programa de utilización de energías renovables</w:t>
            </w:r>
            <w:r w:rsidRPr="009D0514">
              <w:rPr>
                <w:rFonts w:eastAsia="Times New Roman"/>
                <w:color w:val="000000"/>
                <w:lang w:eastAsia="es-MX"/>
              </w:rPr>
              <w:br w:type="page"/>
              <w:t>y del cuidado del medio ambiente en</w:t>
            </w:r>
            <w:r w:rsidRPr="009D0514">
              <w:rPr>
                <w:rFonts w:eastAsia="Times New Roman"/>
                <w:color w:val="000000"/>
                <w:lang w:eastAsia="es-MX"/>
              </w:rPr>
              <w:br w:type="page"/>
              <w:t>operación</w:t>
            </w:r>
          </w:p>
          <w:p w:rsidR="00F553BA" w:rsidRPr="009D0514" w:rsidRDefault="00F553BA" w:rsidP="00F553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Programa de utilización de energías renovables y del cuidado del medio ambiente en el año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número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 xml:space="preserve">Anual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14" w:rsidRPr="009D0514" w:rsidRDefault="009D0514" w:rsidP="009D051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9D0514">
              <w:rPr>
                <w:rFonts w:eastAsia="Times New Roman"/>
                <w:color w:val="000000"/>
                <w:lang w:eastAsia="es-MX"/>
              </w:rPr>
              <w:t>Promover acciones de ahorro de energía e implementación de fuentes alternas y renovables de energía.</w:t>
            </w:r>
          </w:p>
        </w:tc>
      </w:tr>
    </w:tbl>
    <w:p w:rsidR="004C5C47" w:rsidRPr="00215E1E" w:rsidRDefault="00215E1E" w:rsidP="00215E1E">
      <w:pPr>
        <w:jc w:val="center"/>
        <w:rPr>
          <w:rFonts w:ascii="Encode Sans" w:hAnsi="Encode Sans" w:cs="DIN Pro Regular"/>
          <w:sz w:val="18"/>
          <w:szCs w:val="18"/>
        </w:rPr>
      </w:pPr>
      <w:r w:rsidRPr="00215E1E">
        <w:rPr>
          <w:rFonts w:ascii="Encode Sans" w:hAnsi="Encode Sans" w:cs="DIN Pro Regular"/>
          <w:sz w:val="18"/>
          <w:szCs w:val="18"/>
        </w:rPr>
        <w:t>"Bajo protesta de decir verdad declaramos que los Estados Financieros y sus Notas, son razonablemente correctos y son responsabilidad del emisor"</w:t>
      </w:r>
    </w:p>
    <w:p w:rsidR="004C5C47" w:rsidRDefault="004C5C47" w:rsidP="006F0576">
      <w:pPr>
        <w:rPr>
          <w:rFonts w:cs="DIN Pro Regular"/>
        </w:rPr>
      </w:pPr>
    </w:p>
    <w:p w:rsidR="00215E1E" w:rsidRPr="00CA0775" w:rsidRDefault="00215E1E" w:rsidP="006F0576">
      <w:pPr>
        <w:rPr>
          <w:rFonts w:cs="DIN Pro Regular"/>
        </w:rPr>
      </w:pPr>
    </w:p>
    <w:p w:rsidR="006F0576" w:rsidRPr="001B664F" w:rsidRDefault="006F0576" w:rsidP="00025AF0">
      <w:pPr>
        <w:pStyle w:val="Texto"/>
        <w:spacing w:after="0" w:line="240" w:lineRule="exact"/>
        <w:jc w:val="left"/>
        <w:rPr>
          <w:szCs w:val="18"/>
        </w:rPr>
      </w:pPr>
      <w:r>
        <w:rPr>
          <w:rFonts w:ascii="Calibri" w:hAnsi="Calibri" w:cs="DIN Pro Regular"/>
          <w:sz w:val="22"/>
          <w:szCs w:val="22"/>
        </w:rPr>
        <w:t xml:space="preserve">                     </w:t>
      </w:r>
    </w:p>
    <w:p w:rsidR="00AB13B7" w:rsidRPr="00CA0775" w:rsidRDefault="00AB13B7" w:rsidP="006F0576">
      <w:pPr>
        <w:pStyle w:val="Texto"/>
        <w:spacing w:after="0" w:line="240" w:lineRule="exact"/>
        <w:jc w:val="left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59" w:rsidRDefault="00234659" w:rsidP="00EA5418">
      <w:pPr>
        <w:spacing w:after="0" w:line="240" w:lineRule="auto"/>
      </w:pPr>
      <w:r>
        <w:separator/>
      </w:r>
    </w:p>
  </w:endnote>
  <w:endnote w:type="continuationSeparator" w:id="0">
    <w:p w:rsidR="00234659" w:rsidRDefault="002346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4F57C5" w:rsidRDefault="0037407B" w:rsidP="0013011C">
    <w:pPr>
      <w:pStyle w:val="Piedepgina"/>
      <w:jc w:val="center"/>
      <w:rPr>
        <w:rFonts w:ascii="Arial" w:hAnsi="Arial" w:cs="Arial"/>
      </w:rPr>
    </w:pPr>
    <w:r w:rsidRPr="0037407B">
      <w:rPr>
        <w:noProof/>
        <w:lang w:eastAsia="es-MX"/>
      </w:rPr>
      <w:pict>
        <v:line id="12 Conector recto" o:spid="_x0000_s24578" style="position:absolute;left:0;text-align:left;flip:y;z-index:25165926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4F57C5" w:rsidRDefault="0037407B" w:rsidP="008E3652">
    <w:pPr>
      <w:pStyle w:val="Piedepgina"/>
      <w:jc w:val="center"/>
      <w:rPr>
        <w:rFonts w:ascii="Arial" w:hAnsi="Arial" w:cs="Arial"/>
      </w:rPr>
    </w:pPr>
    <w:r w:rsidRPr="0037407B">
      <w:rPr>
        <w:noProof/>
        <w:lang w:eastAsia="es-MX"/>
      </w:rPr>
      <w:pict>
        <v:line id="3 Conector recto" o:spid="_x0000_s24577" style="position:absolute;left:0;text-align:left;flip:y;z-index:251653120;visibility:visible;mso-width-relative:margin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<v:stroke joinstyle="miter"/>
          <o:lock v:ext="edit" shapetype="f"/>
        </v:line>
      </w:pic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025AF0" w:rsidRPr="00025AF0">
      <w:rPr>
        <w:rFonts w:ascii="Arial" w:hAnsi="Arial" w:cs="Arial"/>
        <w:noProof/>
        <w:lang w:val="es-ES"/>
      </w:rPr>
      <w:t>11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59" w:rsidRDefault="00234659" w:rsidP="00EA5418">
      <w:pPr>
        <w:spacing w:after="0" w:line="240" w:lineRule="auto"/>
      </w:pPr>
      <w:r>
        <w:separator/>
      </w:r>
    </w:p>
  </w:footnote>
  <w:footnote w:type="continuationSeparator" w:id="0">
    <w:p w:rsidR="00234659" w:rsidRDefault="002346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7407B">
    <w:pPr>
      <w:pStyle w:val="Encabezado"/>
    </w:pPr>
    <w:r>
      <w:rPr>
        <w:noProof/>
        <w:lang w:eastAsia="es-MX"/>
      </w:rPr>
      <w:pict>
        <v:group id="6 Grupo" o:spid="_x0000_s24581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4585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D921B1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D921B1" w:rsidRDefault="00540418" w:rsidP="004F57C5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ENTIDAD  FEDERATIVA DE </w:t>
                  </w:r>
                  <w:r w:rsidR="004F57C5"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XXXX</w:t>
                  </w:r>
                </w:p>
              </w:txbxContent>
            </v:textbox>
          </v:shape>
          <v:group id="9 Grupo" o:spid="_x0000_s2458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458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2458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Pr="00D921B1" w:rsidRDefault="002943A3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040466" w:rsidRPr="00D921B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D921B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D921B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24580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9F" w:rsidRDefault="006F057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6958965</wp:posOffset>
          </wp:positionH>
          <wp:positionV relativeFrom="paragraph">
            <wp:posOffset>-326390</wp:posOffset>
          </wp:positionV>
          <wp:extent cx="914400" cy="7239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-384810</wp:posOffset>
          </wp:positionH>
          <wp:positionV relativeFrom="margin">
            <wp:posOffset>-738505</wp:posOffset>
          </wp:positionV>
          <wp:extent cx="1800225" cy="7239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762A">
      <w:rPr>
        <w:rFonts w:ascii="Encode Sans" w:hAnsi="Encode Sans" w:cs="DIN Pro Regular"/>
      </w:rPr>
      <w:t>INSTITUTO TECNOLÓGICO SUPERIOR DE EL MANTE</w:t>
    </w: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5AF0"/>
    <w:rsid w:val="00036798"/>
    <w:rsid w:val="00040466"/>
    <w:rsid w:val="000766BB"/>
    <w:rsid w:val="000A5D54"/>
    <w:rsid w:val="000D401B"/>
    <w:rsid w:val="0013011C"/>
    <w:rsid w:val="00146BCD"/>
    <w:rsid w:val="001764C2"/>
    <w:rsid w:val="001B1B72"/>
    <w:rsid w:val="00215E1E"/>
    <w:rsid w:val="00217114"/>
    <w:rsid w:val="00234659"/>
    <w:rsid w:val="00284A01"/>
    <w:rsid w:val="002943A3"/>
    <w:rsid w:val="002A70B3"/>
    <w:rsid w:val="00372F40"/>
    <w:rsid w:val="0037407B"/>
    <w:rsid w:val="00391A7A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6F0576"/>
    <w:rsid w:val="007869A3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34E6B"/>
    <w:rsid w:val="009673F5"/>
    <w:rsid w:val="00981226"/>
    <w:rsid w:val="00986B3A"/>
    <w:rsid w:val="009D0514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940FD"/>
    <w:rsid w:val="00BE4371"/>
    <w:rsid w:val="00C13091"/>
    <w:rsid w:val="00C43DDF"/>
    <w:rsid w:val="00C50332"/>
    <w:rsid w:val="00C51F71"/>
    <w:rsid w:val="00C97ECB"/>
    <w:rsid w:val="00CA0775"/>
    <w:rsid w:val="00CB17A2"/>
    <w:rsid w:val="00CF2FEA"/>
    <w:rsid w:val="00CF63D6"/>
    <w:rsid w:val="00D055EC"/>
    <w:rsid w:val="00D31680"/>
    <w:rsid w:val="00D46585"/>
    <w:rsid w:val="00D51261"/>
    <w:rsid w:val="00D921B1"/>
    <w:rsid w:val="00DA2BA4"/>
    <w:rsid w:val="00E20B95"/>
    <w:rsid w:val="00E32708"/>
    <w:rsid w:val="00E42A6C"/>
    <w:rsid w:val="00E75F9F"/>
    <w:rsid w:val="00E8255C"/>
    <w:rsid w:val="00E92F76"/>
    <w:rsid w:val="00EA5418"/>
    <w:rsid w:val="00EB3E19"/>
    <w:rsid w:val="00EC7521"/>
    <w:rsid w:val="00F3277E"/>
    <w:rsid w:val="00F34998"/>
    <w:rsid w:val="00F553BA"/>
    <w:rsid w:val="00F63B9C"/>
    <w:rsid w:val="00F96944"/>
    <w:rsid w:val="00F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312B-A4FA-4EBE-88D7-9591A6E7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2461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CENTRO COMPUTO</cp:lastModifiedBy>
  <cp:revision>22</cp:revision>
  <cp:lastPrinted>2023-02-10T18:13:00Z</cp:lastPrinted>
  <dcterms:created xsi:type="dcterms:W3CDTF">2021-01-09T00:44:00Z</dcterms:created>
  <dcterms:modified xsi:type="dcterms:W3CDTF">2023-02-24T16:33:00Z</dcterms:modified>
</cp:coreProperties>
</file>