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20" w:rsidRPr="000931E9" w:rsidRDefault="00375C20" w:rsidP="000931E9">
      <w:pPr>
        <w:pStyle w:val="Texto"/>
      </w:pPr>
    </w:p>
    <w:p w:rsidR="00375C20" w:rsidRPr="00010BEF" w:rsidRDefault="00067F40"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CUENTA PÚBLICA 2022</w:t>
      </w:r>
    </w:p>
    <w:p w:rsidR="00540418" w:rsidRPr="00010BEF" w:rsidRDefault="00540418"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NOTAS A LOS ESTADOS FINANCIEROS</w:t>
      </w:r>
    </w:p>
    <w:p w:rsidR="00DF01DA" w:rsidRPr="00010BEF" w:rsidRDefault="00DF01DA" w:rsidP="007A5B39">
      <w:pPr>
        <w:pStyle w:val="Texto"/>
        <w:spacing w:after="0" w:line="240" w:lineRule="exact"/>
        <w:ind w:firstLine="0"/>
        <w:rPr>
          <w:rFonts w:ascii="Encode Sans" w:hAnsi="Encode Sans" w:cs="DIN Pro Regular"/>
          <w:b/>
          <w:sz w:val="20"/>
        </w:rPr>
      </w:pPr>
    </w:p>
    <w:p w:rsidR="00DF01DA" w:rsidRPr="00010BEF" w:rsidRDefault="00DF01DA" w:rsidP="007A5B39">
      <w:pPr>
        <w:pStyle w:val="Texto"/>
        <w:spacing w:after="0" w:line="240" w:lineRule="exact"/>
        <w:ind w:firstLine="0"/>
        <w:rPr>
          <w:rFonts w:ascii="Encode Sans" w:hAnsi="Encode Sans" w:cs="DIN Pro Regular"/>
          <w:b/>
          <w:sz w:val="20"/>
        </w:rPr>
      </w:pPr>
    </w:p>
    <w:p w:rsidR="00540418" w:rsidRDefault="00540418"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a) NOTAS DE DESGLOSE</w:t>
      </w:r>
    </w:p>
    <w:p w:rsidR="00305AD4" w:rsidRPr="00010BEF" w:rsidRDefault="00305AD4" w:rsidP="00540418">
      <w:pPr>
        <w:pStyle w:val="Texto"/>
        <w:spacing w:after="0" w:line="240" w:lineRule="exact"/>
        <w:jc w:val="center"/>
        <w:rPr>
          <w:rFonts w:ascii="Encode Sans" w:hAnsi="Encode Sans" w:cs="DIN Pro Regular"/>
          <w:sz w:val="20"/>
        </w:rPr>
      </w:pPr>
    </w:p>
    <w:p w:rsidR="00540418" w:rsidRDefault="00305AD4" w:rsidP="00540418">
      <w:pPr>
        <w:pStyle w:val="Texto"/>
        <w:spacing w:after="0" w:line="240" w:lineRule="exact"/>
        <w:rPr>
          <w:rFonts w:ascii="Calibri" w:hAnsi="Calibri" w:cs="DIN Pro Regular"/>
          <w:sz w:val="20"/>
          <w:lang w:val="es-MX"/>
        </w:rPr>
      </w:pPr>
      <w:proofErr w:type="gramStart"/>
      <w:r>
        <w:rPr>
          <w:rFonts w:ascii="Calibri" w:hAnsi="Calibri" w:cs="DIN Pro Regular"/>
          <w:sz w:val="20"/>
          <w:lang w:val="es-MX"/>
        </w:rPr>
        <w:t>en</w:t>
      </w:r>
      <w:proofErr w:type="gramEnd"/>
      <w:r>
        <w:rPr>
          <w:rFonts w:ascii="Calibri" w:hAnsi="Calibri" w:cs="DIN Pro Regular"/>
          <w:sz w:val="20"/>
          <w:lang w:val="es-MX"/>
        </w:rPr>
        <w:t xml:space="preserve"> la cuenta de Bancos/</w:t>
      </w:r>
      <w:r w:rsidR="000B1F9C">
        <w:rPr>
          <w:rFonts w:ascii="Calibri" w:hAnsi="Calibri" w:cs="DIN Pro Regular"/>
          <w:sz w:val="20"/>
          <w:lang w:val="es-MX"/>
        </w:rPr>
        <w:t>Tesorería</w:t>
      </w:r>
      <w:r>
        <w:rPr>
          <w:rFonts w:ascii="Calibri" w:hAnsi="Calibri" w:cs="DIN Pro Regular"/>
          <w:sz w:val="20"/>
          <w:lang w:val="es-MX"/>
        </w:rPr>
        <w:t xml:space="preserve"> se cuenta con un saldo de 21,303,662 y en Inversiones Temporales un saldo                 de 16,558,037 y se compone de la siguiente manera</w:t>
      </w:r>
      <w:r w:rsidR="000B1F9C">
        <w:rPr>
          <w:rFonts w:ascii="Calibri" w:hAnsi="Calibri" w:cs="DIN Pro Regular"/>
          <w:sz w:val="20"/>
          <w:lang w:val="es-MX"/>
        </w:rPr>
        <w:t>.</w:t>
      </w:r>
    </w:p>
    <w:p w:rsidR="00305AD4" w:rsidRDefault="00305AD4" w:rsidP="00540418">
      <w:pPr>
        <w:pStyle w:val="Texto"/>
        <w:spacing w:after="0" w:line="240" w:lineRule="exact"/>
        <w:rPr>
          <w:rFonts w:ascii="Calibri" w:hAnsi="Calibri" w:cs="DIN Pro Regular"/>
          <w:sz w:val="20"/>
          <w:lang w:val="es-MX"/>
        </w:rPr>
      </w:pPr>
    </w:p>
    <w:tbl>
      <w:tblPr>
        <w:tblStyle w:val="Tablaconcuadrcula"/>
        <w:tblW w:w="0" w:type="auto"/>
        <w:tblInd w:w="534" w:type="dxa"/>
        <w:tblLook w:val="04A0" w:firstRow="1" w:lastRow="0" w:firstColumn="1" w:lastColumn="0" w:noHBand="0" w:noVBand="1"/>
      </w:tblPr>
      <w:tblGrid>
        <w:gridCol w:w="4216"/>
        <w:gridCol w:w="4750"/>
      </w:tblGrid>
      <w:tr w:rsidR="00305AD4" w:rsidTr="00B91395">
        <w:tc>
          <w:tcPr>
            <w:tcW w:w="4216" w:type="dxa"/>
          </w:tcPr>
          <w:p w:rsidR="00305AD4" w:rsidRPr="000A40B5" w:rsidRDefault="00305AD4" w:rsidP="00654B89">
            <w:pPr>
              <w:pStyle w:val="Texto"/>
              <w:spacing w:after="0" w:line="240" w:lineRule="exact"/>
              <w:ind w:firstLine="0"/>
              <w:rPr>
                <w:rFonts w:ascii="Calibri" w:hAnsi="Calibri" w:cs="DIN Pro Regular"/>
                <w:b/>
                <w:sz w:val="20"/>
                <w:lang w:val="es-MX"/>
              </w:rPr>
            </w:pPr>
            <w:r w:rsidRPr="000A40B5">
              <w:rPr>
                <w:rFonts w:ascii="Calibri" w:hAnsi="Calibri" w:cs="DIN Pro Regular"/>
                <w:b/>
                <w:sz w:val="20"/>
                <w:lang w:val="es-MX"/>
              </w:rPr>
              <w:t>B</w:t>
            </w:r>
            <w:r w:rsidR="00654B89">
              <w:rPr>
                <w:rFonts w:ascii="Calibri" w:hAnsi="Calibri" w:cs="DIN Pro Regular"/>
                <w:b/>
                <w:sz w:val="20"/>
                <w:lang w:val="es-MX"/>
              </w:rPr>
              <w:t>anco</w:t>
            </w:r>
            <w:r w:rsidRPr="000A40B5">
              <w:rPr>
                <w:rFonts w:ascii="Calibri" w:hAnsi="Calibri" w:cs="DIN Pro Regular"/>
                <w:b/>
                <w:sz w:val="20"/>
                <w:lang w:val="es-MX"/>
              </w:rPr>
              <w:t xml:space="preserve"> HSBC</w:t>
            </w:r>
          </w:p>
        </w:tc>
        <w:tc>
          <w:tcPr>
            <w:tcW w:w="4750" w:type="dxa"/>
          </w:tcPr>
          <w:p w:rsidR="00305AD4" w:rsidRPr="000A40B5" w:rsidRDefault="00305AD4" w:rsidP="00540418">
            <w:pPr>
              <w:pStyle w:val="Texto"/>
              <w:spacing w:after="0" w:line="240" w:lineRule="exact"/>
              <w:ind w:firstLine="0"/>
              <w:rPr>
                <w:rFonts w:ascii="Calibri" w:hAnsi="Calibri" w:cs="DIN Pro Regular"/>
                <w:b/>
                <w:sz w:val="20"/>
                <w:lang w:val="es-MX"/>
              </w:rPr>
            </w:pPr>
            <w:r w:rsidRPr="000A40B5">
              <w:rPr>
                <w:rFonts w:ascii="Calibri" w:hAnsi="Calibri" w:cs="DIN Pro Regular"/>
                <w:b/>
                <w:sz w:val="20"/>
                <w:lang w:val="es-MX"/>
              </w:rPr>
              <w:t xml:space="preserve">                                                                                    4,295.84</w:t>
            </w:r>
          </w:p>
        </w:tc>
      </w:tr>
      <w:tr w:rsidR="00305AD4" w:rsidTr="00B91395">
        <w:tc>
          <w:tcPr>
            <w:tcW w:w="4216" w:type="dxa"/>
          </w:tcPr>
          <w:p w:rsidR="00305AD4" w:rsidRPr="000A40B5" w:rsidRDefault="00305AD4" w:rsidP="00654B89">
            <w:pPr>
              <w:pStyle w:val="Texto"/>
              <w:spacing w:after="0" w:line="240" w:lineRule="exact"/>
              <w:ind w:firstLine="0"/>
              <w:rPr>
                <w:rFonts w:ascii="Calibri" w:hAnsi="Calibri" w:cs="DIN Pro Regular"/>
                <w:b/>
                <w:sz w:val="20"/>
                <w:lang w:val="es-MX"/>
              </w:rPr>
            </w:pPr>
            <w:r w:rsidRPr="000A40B5">
              <w:rPr>
                <w:rFonts w:ascii="Calibri" w:hAnsi="Calibri" w:cs="DIN Pro Regular"/>
                <w:b/>
                <w:sz w:val="20"/>
                <w:lang w:val="es-MX"/>
              </w:rPr>
              <w:t>B</w:t>
            </w:r>
            <w:r w:rsidR="00654B89">
              <w:rPr>
                <w:rFonts w:ascii="Calibri" w:hAnsi="Calibri" w:cs="DIN Pro Regular"/>
                <w:b/>
                <w:sz w:val="20"/>
                <w:lang w:val="es-MX"/>
              </w:rPr>
              <w:t>anco</w:t>
            </w:r>
            <w:r w:rsidRPr="000A40B5">
              <w:rPr>
                <w:rFonts w:ascii="Calibri" w:hAnsi="Calibri" w:cs="DIN Pro Regular"/>
                <w:b/>
                <w:sz w:val="20"/>
                <w:lang w:val="es-MX"/>
              </w:rPr>
              <w:t xml:space="preserve"> S</w:t>
            </w:r>
            <w:r w:rsidR="00654B89">
              <w:rPr>
                <w:rFonts w:ascii="Calibri" w:hAnsi="Calibri" w:cs="DIN Pro Regular"/>
                <w:b/>
                <w:sz w:val="20"/>
                <w:lang w:val="es-MX"/>
              </w:rPr>
              <w:t>antander</w:t>
            </w:r>
          </w:p>
        </w:tc>
        <w:tc>
          <w:tcPr>
            <w:tcW w:w="4750" w:type="dxa"/>
          </w:tcPr>
          <w:p w:rsidR="00305AD4" w:rsidRPr="000A40B5" w:rsidRDefault="00305AD4" w:rsidP="00540418">
            <w:pPr>
              <w:pStyle w:val="Texto"/>
              <w:spacing w:after="0" w:line="240" w:lineRule="exact"/>
              <w:ind w:firstLine="0"/>
              <w:rPr>
                <w:rFonts w:ascii="Calibri" w:hAnsi="Calibri" w:cs="DIN Pro Regular"/>
                <w:b/>
                <w:sz w:val="20"/>
                <w:lang w:val="es-MX"/>
              </w:rPr>
            </w:pPr>
            <w:r w:rsidRPr="000A40B5">
              <w:rPr>
                <w:rFonts w:ascii="Calibri" w:hAnsi="Calibri" w:cs="DIN Pro Regular"/>
                <w:b/>
                <w:sz w:val="20"/>
                <w:lang w:val="es-MX"/>
              </w:rPr>
              <w:t xml:space="preserve">                                                                          21,299,365.76</w:t>
            </w:r>
          </w:p>
        </w:tc>
      </w:tr>
      <w:tr w:rsidR="00305AD4" w:rsidTr="00B91395">
        <w:tc>
          <w:tcPr>
            <w:tcW w:w="4216" w:type="dxa"/>
          </w:tcPr>
          <w:p w:rsidR="00305AD4" w:rsidRPr="000A40B5" w:rsidRDefault="000B1F9C" w:rsidP="00654B89">
            <w:pPr>
              <w:pStyle w:val="Texto"/>
              <w:spacing w:after="0" w:line="240" w:lineRule="exact"/>
              <w:ind w:firstLine="0"/>
              <w:rPr>
                <w:rFonts w:ascii="Calibri" w:hAnsi="Calibri" w:cs="DIN Pro Regular"/>
                <w:b/>
                <w:sz w:val="20"/>
                <w:lang w:val="es-MX"/>
              </w:rPr>
            </w:pPr>
            <w:r w:rsidRPr="000A40B5">
              <w:rPr>
                <w:rFonts w:ascii="Calibri" w:hAnsi="Calibri" w:cs="DIN Pro Regular"/>
                <w:b/>
                <w:sz w:val="20"/>
                <w:lang w:val="es-MX"/>
              </w:rPr>
              <w:t>I</w:t>
            </w:r>
            <w:r w:rsidR="00654B89">
              <w:rPr>
                <w:rFonts w:ascii="Calibri" w:hAnsi="Calibri" w:cs="DIN Pro Regular"/>
                <w:b/>
                <w:sz w:val="20"/>
                <w:lang w:val="es-MX"/>
              </w:rPr>
              <w:t>nversiones</w:t>
            </w:r>
            <w:r w:rsidRPr="000A40B5">
              <w:rPr>
                <w:rFonts w:ascii="Calibri" w:hAnsi="Calibri" w:cs="DIN Pro Regular"/>
                <w:b/>
                <w:sz w:val="20"/>
                <w:lang w:val="es-MX"/>
              </w:rPr>
              <w:t xml:space="preserve"> T</w:t>
            </w:r>
            <w:r w:rsidR="00654B89">
              <w:rPr>
                <w:rFonts w:ascii="Calibri" w:hAnsi="Calibri" w:cs="DIN Pro Regular"/>
                <w:b/>
                <w:sz w:val="20"/>
                <w:lang w:val="es-MX"/>
              </w:rPr>
              <w:t>emporales</w:t>
            </w:r>
          </w:p>
        </w:tc>
        <w:tc>
          <w:tcPr>
            <w:tcW w:w="4750" w:type="dxa"/>
          </w:tcPr>
          <w:p w:rsidR="00305AD4" w:rsidRPr="000A40B5" w:rsidRDefault="000B1F9C" w:rsidP="000B1F9C">
            <w:pPr>
              <w:pStyle w:val="Texto"/>
              <w:spacing w:after="0" w:line="240" w:lineRule="exact"/>
              <w:ind w:firstLine="0"/>
              <w:jc w:val="right"/>
              <w:rPr>
                <w:rFonts w:ascii="Calibri" w:hAnsi="Calibri" w:cs="DIN Pro Regular"/>
                <w:b/>
                <w:sz w:val="20"/>
                <w:lang w:val="es-MX"/>
              </w:rPr>
            </w:pPr>
            <w:r w:rsidRPr="000A40B5">
              <w:rPr>
                <w:rFonts w:ascii="Calibri" w:hAnsi="Calibri" w:cs="DIN Pro Regular"/>
                <w:b/>
                <w:sz w:val="20"/>
                <w:lang w:val="es-MX"/>
              </w:rPr>
              <w:t>16,558,037.15</w:t>
            </w:r>
          </w:p>
        </w:tc>
      </w:tr>
      <w:tr w:rsidR="00305AD4" w:rsidTr="00B91395">
        <w:tc>
          <w:tcPr>
            <w:tcW w:w="4216" w:type="dxa"/>
          </w:tcPr>
          <w:p w:rsidR="00305AD4" w:rsidRPr="000A40B5" w:rsidRDefault="000B1F9C" w:rsidP="00654B89">
            <w:pPr>
              <w:pStyle w:val="Texto"/>
              <w:spacing w:after="0" w:line="240" w:lineRule="exact"/>
              <w:ind w:firstLine="0"/>
              <w:rPr>
                <w:rFonts w:ascii="Calibri" w:hAnsi="Calibri" w:cs="DIN Pro Regular"/>
                <w:b/>
                <w:sz w:val="20"/>
                <w:lang w:val="es-MX"/>
              </w:rPr>
            </w:pPr>
            <w:r w:rsidRPr="000A40B5">
              <w:rPr>
                <w:rFonts w:ascii="Calibri" w:hAnsi="Calibri" w:cs="DIN Pro Regular"/>
                <w:b/>
                <w:sz w:val="20"/>
                <w:lang w:val="es-MX"/>
              </w:rPr>
              <w:t>T</w:t>
            </w:r>
            <w:r w:rsidR="00654B89">
              <w:rPr>
                <w:rFonts w:ascii="Calibri" w:hAnsi="Calibri" w:cs="DIN Pro Regular"/>
                <w:b/>
                <w:sz w:val="20"/>
                <w:lang w:val="es-MX"/>
              </w:rPr>
              <w:t>otal</w:t>
            </w:r>
          </w:p>
        </w:tc>
        <w:tc>
          <w:tcPr>
            <w:tcW w:w="4750" w:type="dxa"/>
          </w:tcPr>
          <w:p w:rsidR="00305AD4" w:rsidRPr="000A40B5" w:rsidRDefault="000B1F9C" w:rsidP="000B1F9C">
            <w:pPr>
              <w:pStyle w:val="Texto"/>
              <w:spacing w:after="0" w:line="240" w:lineRule="exact"/>
              <w:ind w:firstLine="0"/>
              <w:jc w:val="right"/>
              <w:rPr>
                <w:rFonts w:ascii="Calibri" w:hAnsi="Calibri" w:cs="DIN Pro Regular"/>
                <w:b/>
                <w:sz w:val="20"/>
                <w:lang w:val="es-MX"/>
              </w:rPr>
            </w:pPr>
            <w:r w:rsidRPr="000A40B5">
              <w:rPr>
                <w:rFonts w:ascii="Calibri" w:hAnsi="Calibri" w:cs="DIN Pro Regular"/>
                <w:b/>
                <w:sz w:val="20"/>
                <w:lang w:val="es-MX"/>
              </w:rPr>
              <w:t>37,861,698.75</w:t>
            </w:r>
          </w:p>
        </w:tc>
      </w:tr>
    </w:tbl>
    <w:p w:rsidR="00305AD4" w:rsidRDefault="00305AD4" w:rsidP="00540418">
      <w:pPr>
        <w:pStyle w:val="Texto"/>
        <w:spacing w:after="0" w:line="240" w:lineRule="exact"/>
        <w:rPr>
          <w:rFonts w:ascii="Calibri" w:hAnsi="Calibri" w:cs="DIN Pro Regular"/>
          <w:sz w:val="20"/>
          <w:lang w:val="es-MX"/>
        </w:rPr>
      </w:pPr>
    </w:p>
    <w:p w:rsidR="00305AD4" w:rsidRDefault="00305AD4" w:rsidP="00540418">
      <w:pPr>
        <w:pStyle w:val="Texto"/>
        <w:spacing w:after="0" w:line="240" w:lineRule="exact"/>
        <w:rPr>
          <w:rFonts w:ascii="Calibri" w:hAnsi="Calibri" w:cs="DIN Pro Regular"/>
          <w:sz w:val="20"/>
          <w:lang w:val="es-MX"/>
        </w:rPr>
      </w:pPr>
    </w:p>
    <w:p w:rsidR="00305AD4" w:rsidRDefault="00305AD4" w:rsidP="00540418">
      <w:pPr>
        <w:pStyle w:val="Texto"/>
        <w:spacing w:after="0" w:line="240" w:lineRule="exact"/>
        <w:rPr>
          <w:rFonts w:ascii="Calibri" w:hAnsi="Calibri" w:cs="DIN Pro Regular"/>
          <w:sz w:val="20"/>
          <w:lang w:val="es-MX"/>
        </w:rPr>
      </w:pPr>
    </w:p>
    <w:p w:rsidR="00305AD4" w:rsidRPr="008A011E" w:rsidRDefault="00305AD4" w:rsidP="00540418">
      <w:pPr>
        <w:pStyle w:val="Texto"/>
        <w:spacing w:after="0" w:line="240" w:lineRule="exact"/>
        <w:rPr>
          <w:rFonts w:ascii="Calibri" w:hAnsi="Calibri" w:cs="DIN Pro Regular"/>
          <w:sz w:val="20"/>
          <w:lang w:val="es-MX"/>
        </w:rPr>
      </w:pPr>
    </w:p>
    <w:p w:rsidR="00540418" w:rsidRPr="008A011E" w:rsidRDefault="003D7B22" w:rsidP="003D7B22">
      <w:pPr>
        <w:pStyle w:val="INCISO"/>
        <w:spacing w:after="0" w:line="240" w:lineRule="exact"/>
        <w:ind w:left="426" w:hanging="426"/>
        <w:rPr>
          <w:rFonts w:ascii="Calibri" w:hAnsi="Calibri" w:cs="DIN Pro Regular"/>
          <w:b/>
          <w:smallCaps/>
          <w:sz w:val="20"/>
          <w:szCs w:val="20"/>
        </w:rPr>
      </w:pPr>
      <w:r w:rsidRPr="008A011E">
        <w:rPr>
          <w:rFonts w:ascii="Calibri" w:hAnsi="Calibri" w:cs="DIN Pro Regular"/>
          <w:b/>
          <w:smallCaps/>
          <w:sz w:val="20"/>
          <w:szCs w:val="20"/>
        </w:rPr>
        <w:t xml:space="preserve">I) </w:t>
      </w:r>
      <w:r w:rsidRPr="008A011E">
        <w:rPr>
          <w:rFonts w:ascii="Calibri" w:hAnsi="Calibri" w:cs="DIN Pro Regular"/>
          <w:b/>
          <w:smallCaps/>
          <w:sz w:val="20"/>
          <w:szCs w:val="20"/>
        </w:rPr>
        <w:tab/>
      </w:r>
      <w:r w:rsidR="00540418" w:rsidRPr="008A011E">
        <w:rPr>
          <w:rFonts w:ascii="Calibri" w:hAnsi="Calibri" w:cs="DIN Pro Regular"/>
          <w:b/>
          <w:smallCaps/>
          <w:sz w:val="20"/>
          <w:szCs w:val="20"/>
        </w:rPr>
        <w:t>Notas al Estado de Situación Financiera</w:t>
      </w:r>
    </w:p>
    <w:p w:rsidR="00540418" w:rsidRPr="008A011E" w:rsidRDefault="00540418" w:rsidP="00540418">
      <w:pPr>
        <w:pStyle w:val="Texto"/>
        <w:spacing w:after="0" w:line="240" w:lineRule="exact"/>
        <w:rPr>
          <w:rFonts w:ascii="Calibri" w:hAnsi="Calibri" w:cs="DIN Pro Regular"/>
          <w:sz w:val="20"/>
          <w:lang w:val="es-MX"/>
        </w:rPr>
      </w:pPr>
    </w:p>
    <w:p w:rsidR="00DF01DA" w:rsidRPr="008A011E" w:rsidRDefault="00DF01DA" w:rsidP="00540418">
      <w:pPr>
        <w:pStyle w:val="Texto"/>
        <w:spacing w:after="0" w:line="240" w:lineRule="exact"/>
        <w:rPr>
          <w:rFonts w:ascii="Calibri" w:hAnsi="Calibri" w:cs="DIN Pro Regular"/>
          <w:sz w:val="20"/>
          <w:lang w:val="es-MX"/>
        </w:rPr>
      </w:pPr>
    </w:p>
    <w:p w:rsidR="00451D35" w:rsidRPr="008A011E" w:rsidRDefault="00451D35" w:rsidP="00451D35">
      <w:pPr>
        <w:pStyle w:val="Texto"/>
        <w:spacing w:after="80" w:line="203" w:lineRule="exact"/>
        <w:rPr>
          <w:rFonts w:ascii="Calibri" w:hAnsi="Calibri" w:cs="DIN Pro Regular"/>
          <w:b/>
          <w:sz w:val="20"/>
          <w:lang w:val="es-MX"/>
        </w:rPr>
      </w:pPr>
      <w:r w:rsidRPr="008A011E">
        <w:rPr>
          <w:rFonts w:ascii="Calibri" w:hAnsi="Calibri" w:cs="DIN Pro Regular"/>
          <w:b/>
          <w:sz w:val="20"/>
          <w:lang w:val="es-MX"/>
        </w:rPr>
        <w:t>Activo</w:t>
      </w: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Efectivo y Equivalentes</w:t>
      </w:r>
    </w:p>
    <w:p w:rsidR="000B1F9C" w:rsidRDefault="000B1F9C" w:rsidP="00451D3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37</w:t>
      </w:r>
      <w:proofErr w:type="gramStart"/>
      <w:r>
        <w:rPr>
          <w:rFonts w:ascii="Calibri" w:hAnsi="Calibri" w:cs="DIN Pro Regular"/>
          <w:b/>
          <w:sz w:val="20"/>
          <w:lang w:val="es-MX"/>
        </w:rPr>
        <w:t>,861,698.75</w:t>
      </w:r>
      <w:proofErr w:type="gramEnd"/>
      <w:r>
        <w:rPr>
          <w:rFonts w:ascii="Calibri" w:hAnsi="Calibri" w:cs="DIN Pro Regular"/>
          <w:b/>
          <w:sz w:val="20"/>
          <w:lang w:val="es-MX"/>
        </w:rPr>
        <w:t xml:space="preserve"> no existen fondos de afectación especifica.</w:t>
      </w:r>
    </w:p>
    <w:p w:rsidR="000B1F9C" w:rsidRPr="008A011E" w:rsidRDefault="000B1F9C" w:rsidP="00451D3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 xml:space="preserve"> </w:t>
      </w: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Derechos a recibir Efectivo y Equivalentes y Bienes o Servicios a Recibir</w:t>
      </w:r>
    </w:p>
    <w:tbl>
      <w:tblPr>
        <w:tblStyle w:val="Tablaconcuadrcula"/>
        <w:tblW w:w="0" w:type="auto"/>
        <w:tblInd w:w="624" w:type="dxa"/>
        <w:tblLook w:val="04A0" w:firstRow="1" w:lastRow="0" w:firstColumn="1" w:lastColumn="0" w:noHBand="0" w:noVBand="1"/>
      </w:tblPr>
      <w:tblGrid>
        <w:gridCol w:w="4476"/>
        <w:gridCol w:w="4476"/>
      </w:tblGrid>
      <w:tr w:rsidR="000B1F9C" w:rsidRPr="000A40B5" w:rsidTr="000B1F9C">
        <w:tc>
          <w:tcPr>
            <w:tcW w:w="4750" w:type="dxa"/>
          </w:tcPr>
          <w:p w:rsidR="000B1F9C" w:rsidRPr="000A40B5" w:rsidRDefault="000B1F9C" w:rsidP="00451D35">
            <w:pPr>
              <w:pStyle w:val="Texto"/>
              <w:spacing w:after="80" w:line="203" w:lineRule="exact"/>
              <w:ind w:firstLine="0"/>
              <w:rPr>
                <w:rFonts w:ascii="Calibri" w:hAnsi="Calibri" w:cs="DIN Pro Regular"/>
                <w:b/>
                <w:sz w:val="20"/>
                <w:lang w:val="es-MX"/>
              </w:rPr>
            </w:pPr>
            <w:r w:rsidRPr="000A40B5">
              <w:rPr>
                <w:rFonts w:ascii="Calibri" w:hAnsi="Calibri" w:cs="DIN Pro Regular"/>
                <w:b/>
                <w:sz w:val="20"/>
                <w:lang w:val="es-MX"/>
              </w:rPr>
              <w:t>En esta cuenta traemos los siguientes saldos</w:t>
            </w:r>
          </w:p>
        </w:tc>
        <w:tc>
          <w:tcPr>
            <w:tcW w:w="4750" w:type="dxa"/>
          </w:tcPr>
          <w:p w:rsidR="000B1F9C" w:rsidRPr="000A40B5" w:rsidRDefault="000B1F9C" w:rsidP="00451D35">
            <w:pPr>
              <w:pStyle w:val="Texto"/>
              <w:spacing w:after="80" w:line="203" w:lineRule="exact"/>
              <w:ind w:firstLine="0"/>
              <w:rPr>
                <w:rFonts w:ascii="Calibri" w:hAnsi="Calibri" w:cs="DIN Pro Regular"/>
                <w:b/>
                <w:sz w:val="20"/>
                <w:lang w:val="es-MX"/>
              </w:rPr>
            </w:pPr>
          </w:p>
        </w:tc>
      </w:tr>
      <w:tr w:rsidR="000B1F9C" w:rsidRPr="000A40B5" w:rsidTr="000B1F9C">
        <w:tc>
          <w:tcPr>
            <w:tcW w:w="4750" w:type="dxa"/>
          </w:tcPr>
          <w:p w:rsidR="000B1F9C" w:rsidRPr="000A40B5" w:rsidRDefault="000B1F9C" w:rsidP="00451D35">
            <w:pPr>
              <w:pStyle w:val="Texto"/>
              <w:spacing w:after="80" w:line="203" w:lineRule="exact"/>
              <w:ind w:firstLine="0"/>
              <w:rPr>
                <w:rFonts w:ascii="Calibri" w:hAnsi="Calibri" w:cs="DIN Pro Regular"/>
                <w:b/>
                <w:sz w:val="20"/>
                <w:lang w:val="es-MX"/>
              </w:rPr>
            </w:pPr>
            <w:r w:rsidRPr="000A40B5">
              <w:rPr>
                <w:rFonts w:ascii="Calibri" w:hAnsi="Calibri" w:cs="DIN Pro Regular"/>
                <w:b/>
                <w:sz w:val="20"/>
                <w:lang w:val="es-MX"/>
              </w:rPr>
              <w:t>Cuentas por cobrar a corto plazo</w:t>
            </w:r>
          </w:p>
        </w:tc>
        <w:tc>
          <w:tcPr>
            <w:tcW w:w="4750" w:type="dxa"/>
          </w:tcPr>
          <w:p w:rsidR="000B1F9C" w:rsidRPr="000A40B5" w:rsidRDefault="000B1F9C" w:rsidP="000B1F9C">
            <w:pPr>
              <w:pStyle w:val="Texto"/>
              <w:spacing w:after="80" w:line="203" w:lineRule="exact"/>
              <w:ind w:firstLine="0"/>
              <w:jc w:val="right"/>
              <w:rPr>
                <w:rFonts w:ascii="Calibri" w:hAnsi="Calibri" w:cs="DIN Pro Regular"/>
                <w:b/>
                <w:sz w:val="20"/>
                <w:lang w:val="es-MX"/>
              </w:rPr>
            </w:pPr>
            <w:r w:rsidRPr="000A40B5">
              <w:rPr>
                <w:rFonts w:ascii="Calibri" w:hAnsi="Calibri" w:cs="DIN Pro Regular"/>
                <w:b/>
                <w:sz w:val="20"/>
                <w:lang w:val="es-MX"/>
              </w:rPr>
              <w:t>175,062.00</w:t>
            </w:r>
          </w:p>
        </w:tc>
      </w:tr>
      <w:tr w:rsidR="000B1F9C" w:rsidRPr="000A40B5" w:rsidTr="000B1F9C">
        <w:tc>
          <w:tcPr>
            <w:tcW w:w="4750" w:type="dxa"/>
          </w:tcPr>
          <w:p w:rsidR="000B1F9C" w:rsidRPr="000A40B5" w:rsidRDefault="000B1F9C" w:rsidP="00451D35">
            <w:pPr>
              <w:pStyle w:val="Texto"/>
              <w:spacing w:after="80" w:line="203" w:lineRule="exact"/>
              <w:ind w:firstLine="0"/>
              <w:rPr>
                <w:rFonts w:ascii="Calibri" w:hAnsi="Calibri" w:cs="DIN Pro Regular"/>
                <w:b/>
                <w:sz w:val="20"/>
                <w:lang w:val="es-MX"/>
              </w:rPr>
            </w:pPr>
            <w:r w:rsidRPr="000A40B5">
              <w:rPr>
                <w:rFonts w:ascii="Calibri" w:hAnsi="Calibri" w:cs="DIN Pro Regular"/>
                <w:b/>
                <w:sz w:val="20"/>
                <w:lang w:val="es-MX"/>
              </w:rPr>
              <w:t>Deudores Diversos por Cobrar a Corto Plazo</w:t>
            </w:r>
          </w:p>
        </w:tc>
        <w:tc>
          <w:tcPr>
            <w:tcW w:w="4750" w:type="dxa"/>
          </w:tcPr>
          <w:p w:rsidR="000B1F9C" w:rsidRPr="000A40B5" w:rsidRDefault="000B1F9C" w:rsidP="000B1F9C">
            <w:pPr>
              <w:pStyle w:val="Texto"/>
              <w:spacing w:after="80" w:line="203" w:lineRule="exact"/>
              <w:ind w:firstLine="0"/>
              <w:jc w:val="right"/>
              <w:rPr>
                <w:rFonts w:ascii="Calibri" w:hAnsi="Calibri" w:cs="DIN Pro Regular"/>
                <w:b/>
                <w:sz w:val="20"/>
                <w:lang w:val="es-MX"/>
              </w:rPr>
            </w:pPr>
            <w:r w:rsidRPr="000A40B5">
              <w:rPr>
                <w:rFonts w:ascii="Calibri" w:hAnsi="Calibri" w:cs="DIN Pro Regular"/>
                <w:b/>
                <w:sz w:val="20"/>
                <w:lang w:val="es-MX"/>
              </w:rPr>
              <w:t>954,491.02</w:t>
            </w:r>
          </w:p>
        </w:tc>
      </w:tr>
      <w:tr w:rsidR="000B1F9C" w:rsidRPr="000A40B5" w:rsidTr="000B1F9C">
        <w:tc>
          <w:tcPr>
            <w:tcW w:w="4750" w:type="dxa"/>
          </w:tcPr>
          <w:p w:rsidR="000B1F9C" w:rsidRPr="000A40B5" w:rsidRDefault="000B1F9C" w:rsidP="00451D35">
            <w:pPr>
              <w:pStyle w:val="Texto"/>
              <w:spacing w:after="80" w:line="203" w:lineRule="exact"/>
              <w:ind w:firstLine="0"/>
              <w:rPr>
                <w:rFonts w:ascii="Calibri" w:hAnsi="Calibri" w:cs="DIN Pro Regular"/>
                <w:b/>
                <w:sz w:val="20"/>
                <w:lang w:val="es-MX"/>
              </w:rPr>
            </w:pPr>
            <w:r w:rsidRPr="000A40B5">
              <w:rPr>
                <w:rFonts w:ascii="Calibri" w:hAnsi="Calibri" w:cs="DIN Pro Regular"/>
                <w:b/>
                <w:sz w:val="20"/>
                <w:lang w:val="es-MX"/>
              </w:rPr>
              <w:t>Otros Derechos a Recibir Efectivo</w:t>
            </w:r>
          </w:p>
        </w:tc>
        <w:tc>
          <w:tcPr>
            <w:tcW w:w="4750" w:type="dxa"/>
          </w:tcPr>
          <w:p w:rsidR="000B1F9C" w:rsidRPr="000A40B5" w:rsidRDefault="000B1F9C" w:rsidP="000B1F9C">
            <w:pPr>
              <w:pStyle w:val="Texto"/>
              <w:spacing w:after="80" w:line="203" w:lineRule="exact"/>
              <w:ind w:firstLine="0"/>
              <w:jc w:val="right"/>
              <w:rPr>
                <w:rFonts w:ascii="Calibri" w:hAnsi="Calibri" w:cs="DIN Pro Regular"/>
                <w:b/>
                <w:sz w:val="20"/>
                <w:lang w:val="es-MX"/>
              </w:rPr>
            </w:pPr>
            <w:r w:rsidRPr="000A40B5">
              <w:rPr>
                <w:rFonts w:ascii="Calibri" w:hAnsi="Calibri" w:cs="DIN Pro Regular"/>
                <w:b/>
                <w:sz w:val="20"/>
                <w:lang w:val="es-MX"/>
              </w:rPr>
              <w:t>.22</w:t>
            </w:r>
          </w:p>
        </w:tc>
      </w:tr>
      <w:tr w:rsidR="000B1F9C" w:rsidRPr="000A40B5" w:rsidTr="000B1F9C">
        <w:tc>
          <w:tcPr>
            <w:tcW w:w="4750" w:type="dxa"/>
          </w:tcPr>
          <w:p w:rsidR="000B1F9C" w:rsidRPr="000A40B5" w:rsidRDefault="000B1F9C" w:rsidP="00451D35">
            <w:pPr>
              <w:pStyle w:val="Texto"/>
              <w:spacing w:after="80" w:line="203" w:lineRule="exact"/>
              <w:ind w:firstLine="0"/>
              <w:rPr>
                <w:rFonts w:ascii="Calibri" w:hAnsi="Calibri" w:cs="DIN Pro Regular"/>
                <w:b/>
                <w:sz w:val="20"/>
                <w:lang w:val="es-MX"/>
              </w:rPr>
            </w:pPr>
            <w:r w:rsidRPr="000A40B5">
              <w:rPr>
                <w:rFonts w:ascii="Calibri" w:hAnsi="Calibri" w:cs="DIN Pro Regular"/>
                <w:b/>
                <w:sz w:val="20"/>
                <w:lang w:val="es-MX"/>
              </w:rPr>
              <w:t xml:space="preserve">Total de Derechos a Recibir </w:t>
            </w:r>
            <w:r w:rsidR="0051373A" w:rsidRPr="000A40B5">
              <w:rPr>
                <w:rFonts w:ascii="Calibri" w:hAnsi="Calibri" w:cs="DIN Pro Regular"/>
                <w:b/>
                <w:sz w:val="20"/>
                <w:lang w:val="es-MX"/>
              </w:rPr>
              <w:t>Efectivo y Equivalentes</w:t>
            </w:r>
          </w:p>
        </w:tc>
        <w:tc>
          <w:tcPr>
            <w:tcW w:w="4750" w:type="dxa"/>
          </w:tcPr>
          <w:p w:rsidR="000B1F9C" w:rsidRPr="000A40B5" w:rsidRDefault="0051373A" w:rsidP="0051373A">
            <w:pPr>
              <w:pStyle w:val="Texto"/>
              <w:spacing w:after="80" w:line="203" w:lineRule="exact"/>
              <w:ind w:firstLine="0"/>
              <w:jc w:val="right"/>
              <w:rPr>
                <w:rFonts w:ascii="Calibri" w:hAnsi="Calibri" w:cs="DIN Pro Regular"/>
                <w:b/>
                <w:sz w:val="20"/>
                <w:lang w:val="es-MX"/>
              </w:rPr>
            </w:pPr>
            <w:r w:rsidRPr="000A40B5">
              <w:rPr>
                <w:rFonts w:ascii="Calibri" w:hAnsi="Calibri" w:cs="DIN Pro Regular"/>
                <w:b/>
                <w:sz w:val="20"/>
                <w:lang w:val="es-MX"/>
              </w:rPr>
              <w:t>1,129,553.24</w:t>
            </w:r>
          </w:p>
        </w:tc>
      </w:tr>
    </w:tbl>
    <w:p w:rsidR="00451D35" w:rsidRPr="000A40B5" w:rsidRDefault="00451D35" w:rsidP="00F91B61">
      <w:pPr>
        <w:pStyle w:val="Texto"/>
        <w:spacing w:after="80" w:line="203" w:lineRule="exact"/>
        <w:ind w:firstLine="0"/>
        <w:rPr>
          <w:rFonts w:ascii="Calibri" w:hAnsi="Calibri" w:cs="DIN Pro Regular"/>
          <w:b/>
          <w:sz w:val="20"/>
          <w:lang w:val="es-MX"/>
        </w:rPr>
      </w:pPr>
    </w:p>
    <w:p w:rsidR="00451D35" w:rsidRPr="000A40B5" w:rsidRDefault="00451D35" w:rsidP="00451D35">
      <w:pPr>
        <w:pStyle w:val="Texto"/>
        <w:spacing w:after="80" w:line="203" w:lineRule="exact"/>
        <w:ind w:left="624" w:firstLine="0"/>
        <w:rPr>
          <w:rFonts w:ascii="Calibri" w:hAnsi="Calibri" w:cs="DIN Pro Regular"/>
          <w:b/>
          <w:sz w:val="20"/>
          <w:lang w:val="es-MX"/>
        </w:rPr>
      </w:pPr>
    </w:p>
    <w:p w:rsidR="00451D35" w:rsidRPr="000A40B5" w:rsidRDefault="00451D35" w:rsidP="00451D35">
      <w:pPr>
        <w:pStyle w:val="Texto"/>
        <w:spacing w:after="80" w:line="203" w:lineRule="exact"/>
        <w:ind w:left="624" w:firstLine="0"/>
        <w:rPr>
          <w:rFonts w:ascii="Calibri" w:hAnsi="Calibri" w:cs="DIN Pro Regular"/>
          <w:b/>
          <w:sz w:val="20"/>
          <w:lang w:val="es-MX"/>
        </w:rPr>
      </w:pPr>
      <w:r w:rsidRPr="000A40B5">
        <w:rPr>
          <w:rFonts w:ascii="Calibri" w:hAnsi="Calibri" w:cs="DIN Pro Regular"/>
          <w:b/>
          <w:sz w:val="20"/>
          <w:lang w:val="es-MX"/>
        </w:rPr>
        <w:t>Bienes Muebles, Inmuebles e Intangibles</w:t>
      </w:r>
    </w:p>
    <w:p w:rsidR="00F91B61" w:rsidRDefault="00F91B61" w:rsidP="00451D3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En esta cuenta existe un saldo de 152</w:t>
      </w:r>
      <w:proofErr w:type="gramStart"/>
      <w:r>
        <w:rPr>
          <w:rFonts w:ascii="Calibri" w:hAnsi="Calibri" w:cs="DIN Pro Regular"/>
          <w:b/>
          <w:sz w:val="20"/>
          <w:lang w:val="es-MX"/>
        </w:rPr>
        <w:t>,169,989.87</w:t>
      </w:r>
      <w:proofErr w:type="gramEnd"/>
      <w:r w:rsidR="000B413C">
        <w:rPr>
          <w:rFonts w:ascii="Calibri" w:hAnsi="Calibri" w:cs="DIN Pro Regular"/>
          <w:b/>
          <w:sz w:val="20"/>
          <w:lang w:val="es-MX"/>
        </w:rPr>
        <w:t xml:space="preserve"> que actualmente registra una depreciación de 183,460</w:t>
      </w:r>
    </w:p>
    <w:p w:rsidR="00451D35" w:rsidRPr="008A011E" w:rsidRDefault="00451D35" w:rsidP="000B413C">
      <w:pPr>
        <w:pStyle w:val="Texto"/>
        <w:spacing w:after="80" w:line="203" w:lineRule="exact"/>
        <w:ind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Otros Activos</w:t>
      </w:r>
    </w:p>
    <w:p w:rsidR="00DF01DA" w:rsidRPr="008A011E" w:rsidRDefault="000B413C" w:rsidP="000B413C">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En la cuenta de Activos Intangibles tenemos un saldo de 519,718.29y en el periodo no se adquirieron Activos de este tipo</w:t>
      </w:r>
    </w:p>
    <w:p w:rsidR="000B413C" w:rsidRDefault="000B413C" w:rsidP="00451D35">
      <w:pPr>
        <w:pStyle w:val="Texto"/>
        <w:spacing w:after="80" w:line="203" w:lineRule="exact"/>
        <w:ind w:left="624" w:firstLine="0"/>
        <w:rPr>
          <w:rFonts w:ascii="Calibri" w:hAnsi="Calibri" w:cs="DIN Pro Regular"/>
          <w:b/>
          <w:sz w:val="20"/>
          <w:lang w:val="es-MX"/>
        </w:rPr>
      </w:pPr>
    </w:p>
    <w:p w:rsidR="000B413C" w:rsidRPr="008A011E" w:rsidRDefault="000B413C" w:rsidP="00451D35">
      <w:pPr>
        <w:pStyle w:val="Texto"/>
        <w:spacing w:after="80" w:line="203" w:lineRule="exact"/>
        <w:ind w:left="624" w:firstLine="0"/>
        <w:rPr>
          <w:rFonts w:ascii="Calibri" w:hAnsi="Calibri" w:cs="DIN Pro Regular"/>
          <w:b/>
          <w:sz w:val="20"/>
          <w:lang w:val="es-MX"/>
        </w:rPr>
      </w:pPr>
    </w:p>
    <w:p w:rsidR="00540418" w:rsidRPr="008A011E" w:rsidRDefault="003D7B22" w:rsidP="00540418">
      <w:pPr>
        <w:pStyle w:val="ROMANOS"/>
        <w:spacing w:after="0" w:line="240" w:lineRule="exact"/>
        <w:ind w:left="432"/>
        <w:rPr>
          <w:rFonts w:ascii="Calibri" w:hAnsi="Calibri" w:cs="DIN Pro Regular"/>
          <w:b/>
          <w:sz w:val="20"/>
          <w:szCs w:val="20"/>
          <w:lang w:val="es-MX"/>
        </w:rPr>
      </w:pPr>
      <w:r w:rsidRPr="008A011E">
        <w:rPr>
          <w:rFonts w:ascii="Calibri" w:hAnsi="Calibri" w:cs="DIN Pro Regular"/>
          <w:b/>
          <w:sz w:val="20"/>
          <w:szCs w:val="20"/>
          <w:lang w:val="es-MX"/>
        </w:rPr>
        <w:t xml:space="preserve">      </w:t>
      </w:r>
      <w:r w:rsidR="00540418" w:rsidRPr="008A011E">
        <w:rPr>
          <w:rFonts w:ascii="Calibri" w:hAnsi="Calibri" w:cs="DIN Pro Regular"/>
          <w:b/>
          <w:sz w:val="20"/>
          <w:szCs w:val="20"/>
          <w:lang w:val="es-MX"/>
        </w:rPr>
        <w:t>Pasivo</w:t>
      </w:r>
    </w:p>
    <w:p w:rsidR="00540418" w:rsidRPr="008A011E" w:rsidRDefault="00375BBC" w:rsidP="00375BBC">
      <w:pPr>
        <w:pStyle w:val="ROMANOS"/>
        <w:spacing w:after="0" w:line="240" w:lineRule="exact"/>
        <w:ind w:left="0" w:firstLine="0"/>
        <w:rPr>
          <w:rFonts w:ascii="Calibri" w:hAnsi="Calibri" w:cs="DIN Pro Regular"/>
          <w:sz w:val="20"/>
          <w:szCs w:val="20"/>
          <w:lang w:val="es-MX"/>
        </w:rPr>
      </w:pPr>
      <w:r w:rsidRPr="008A011E">
        <w:rPr>
          <w:rFonts w:ascii="Calibri" w:hAnsi="Calibri" w:cs="DIN Pro Regular"/>
          <w:sz w:val="20"/>
          <w:szCs w:val="20"/>
          <w:lang w:val="es-MX"/>
        </w:rPr>
        <w:t xml:space="preserve">  </w:t>
      </w:r>
      <w:r w:rsidRPr="008A011E">
        <w:rPr>
          <w:rFonts w:ascii="Calibri" w:hAnsi="Calibri" w:cs="DIN Pro Regular"/>
          <w:sz w:val="20"/>
          <w:szCs w:val="20"/>
          <w:lang w:val="es-MX"/>
        </w:rPr>
        <w:tab/>
      </w:r>
    </w:p>
    <w:p w:rsidR="00375BBC"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 Cuentas por pa</w:t>
      </w:r>
      <w:r w:rsidR="007006CA" w:rsidRPr="008A011E">
        <w:rPr>
          <w:rFonts w:ascii="Calibri" w:hAnsi="Calibri" w:cs="DIN Pro Regular"/>
          <w:sz w:val="20"/>
          <w:szCs w:val="20"/>
          <w:lang w:val="es-MX"/>
        </w:rPr>
        <w:t>gar, por fecha de vencimiento (</w:t>
      </w:r>
      <w:r w:rsidRPr="008A011E">
        <w:rPr>
          <w:rFonts w:ascii="Calibri" w:hAnsi="Calibri" w:cs="DIN Pro Regular"/>
          <w:sz w:val="20"/>
          <w:szCs w:val="20"/>
          <w:lang w:val="es-MX"/>
        </w:rPr>
        <w:t>a corto y a largo plazo)</w:t>
      </w:r>
      <w:r w:rsidR="007006CA" w:rsidRPr="008A011E">
        <w:rPr>
          <w:rFonts w:ascii="Calibri" w:hAnsi="Calibri" w:cs="DIN Pro Regular"/>
          <w:sz w:val="20"/>
          <w:szCs w:val="20"/>
          <w:lang w:val="es-MX"/>
        </w:rPr>
        <w:t>.</w:t>
      </w:r>
    </w:p>
    <w:p w:rsidR="000B413C" w:rsidRDefault="000B413C" w:rsidP="000B413C">
      <w:pPr>
        <w:pStyle w:val="ROMANOS"/>
        <w:spacing w:after="0" w:line="240" w:lineRule="exact"/>
        <w:ind w:left="1083" w:firstLine="0"/>
        <w:rPr>
          <w:rFonts w:ascii="Calibri" w:hAnsi="Calibri" w:cs="DIN Pro Regular"/>
          <w:sz w:val="20"/>
          <w:szCs w:val="20"/>
          <w:lang w:val="es-MX"/>
        </w:rPr>
      </w:pPr>
    </w:p>
    <w:tbl>
      <w:tblPr>
        <w:tblStyle w:val="Tablaconcuadrcula"/>
        <w:tblW w:w="0" w:type="auto"/>
        <w:tblInd w:w="1083" w:type="dxa"/>
        <w:tblLook w:val="04A0" w:firstRow="1" w:lastRow="0" w:firstColumn="1" w:lastColumn="0" w:noHBand="0" w:noVBand="1"/>
      </w:tblPr>
      <w:tblGrid>
        <w:gridCol w:w="4260"/>
        <w:gridCol w:w="4233"/>
      </w:tblGrid>
      <w:tr w:rsidR="000B413C" w:rsidRPr="000A40B5" w:rsidTr="000B413C">
        <w:tc>
          <w:tcPr>
            <w:tcW w:w="4750" w:type="dxa"/>
          </w:tcPr>
          <w:p w:rsidR="000B413C" w:rsidRPr="000A40B5" w:rsidRDefault="000B413C" w:rsidP="000B413C">
            <w:pPr>
              <w:pStyle w:val="ROMANOS"/>
              <w:spacing w:after="0" w:line="240" w:lineRule="exact"/>
              <w:ind w:left="0" w:firstLine="0"/>
              <w:rPr>
                <w:rFonts w:ascii="Calibri" w:hAnsi="Calibri" w:cs="DIN Pro Regular"/>
                <w:b/>
                <w:sz w:val="20"/>
                <w:szCs w:val="20"/>
                <w:lang w:val="es-MX"/>
              </w:rPr>
            </w:pPr>
            <w:r w:rsidRPr="000A40B5">
              <w:rPr>
                <w:rFonts w:ascii="Calibri" w:hAnsi="Calibri" w:cs="DIN Pro Regular"/>
                <w:b/>
                <w:sz w:val="20"/>
                <w:szCs w:val="20"/>
                <w:lang w:val="es-MX"/>
              </w:rPr>
              <w:t>Servicios Personales por Pagar a Corto Plazo</w:t>
            </w:r>
          </w:p>
        </w:tc>
        <w:tc>
          <w:tcPr>
            <w:tcW w:w="4750" w:type="dxa"/>
          </w:tcPr>
          <w:p w:rsidR="000B413C" w:rsidRPr="000A40B5" w:rsidRDefault="000B413C" w:rsidP="00A34AB5">
            <w:pPr>
              <w:pStyle w:val="ROMANOS"/>
              <w:spacing w:after="0" w:line="240" w:lineRule="exact"/>
              <w:ind w:left="0" w:firstLine="0"/>
              <w:jc w:val="right"/>
              <w:rPr>
                <w:rFonts w:ascii="Calibri" w:hAnsi="Calibri" w:cs="DIN Pro Regular"/>
                <w:b/>
                <w:sz w:val="20"/>
                <w:szCs w:val="20"/>
                <w:lang w:val="es-MX"/>
              </w:rPr>
            </w:pPr>
            <w:r w:rsidRPr="000A40B5">
              <w:rPr>
                <w:rFonts w:ascii="Calibri" w:hAnsi="Calibri" w:cs="DIN Pro Regular"/>
                <w:b/>
                <w:sz w:val="20"/>
                <w:szCs w:val="20"/>
                <w:lang w:val="es-MX"/>
              </w:rPr>
              <w:t>180,724.97</w:t>
            </w:r>
          </w:p>
        </w:tc>
      </w:tr>
      <w:tr w:rsidR="000B413C" w:rsidRPr="000A40B5" w:rsidTr="000B413C">
        <w:tc>
          <w:tcPr>
            <w:tcW w:w="4750" w:type="dxa"/>
          </w:tcPr>
          <w:p w:rsidR="000B413C" w:rsidRPr="000A40B5" w:rsidRDefault="000B413C" w:rsidP="000B413C">
            <w:pPr>
              <w:pStyle w:val="ROMANOS"/>
              <w:spacing w:after="0" w:line="240" w:lineRule="exact"/>
              <w:ind w:left="0" w:firstLine="0"/>
              <w:rPr>
                <w:rFonts w:ascii="Calibri" w:hAnsi="Calibri" w:cs="DIN Pro Regular"/>
                <w:b/>
                <w:sz w:val="20"/>
                <w:szCs w:val="20"/>
                <w:lang w:val="es-MX"/>
              </w:rPr>
            </w:pPr>
            <w:r w:rsidRPr="000A40B5">
              <w:rPr>
                <w:rFonts w:ascii="Calibri" w:hAnsi="Calibri" w:cs="DIN Pro Regular"/>
                <w:b/>
                <w:sz w:val="20"/>
                <w:szCs w:val="20"/>
                <w:lang w:val="es-MX"/>
              </w:rPr>
              <w:t>Proveedores por Pagar a Corto Plazo</w:t>
            </w:r>
          </w:p>
        </w:tc>
        <w:tc>
          <w:tcPr>
            <w:tcW w:w="4750" w:type="dxa"/>
          </w:tcPr>
          <w:p w:rsidR="000B413C" w:rsidRPr="000A40B5" w:rsidRDefault="000B413C" w:rsidP="00A34AB5">
            <w:pPr>
              <w:pStyle w:val="ROMANOS"/>
              <w:spacing w:after="0" w:line="240" w:lineRule="exact"/>
              <w:ind w:left="0" w:firstLine="0"/>
              <w:jc w:val="right"/>
              <w:rPr>
                <w:rFonts w:ascii="Calibri" w:hAnsi="Calibri" w:cs="DIN Pro Regular"/>
                <w:b/>
                <w:sz w:val="20"/>
                <w:szCs w:val="20"/>
                <w:lang w:val="es-MX"/>
              </w:rPr>
            </w:pPr>
            <w:r w:rsidRPr="000A40B5">
              <w:rPr>
                <w:rFonts w:ascii="Calibri" w:hAnsi="Calibri" w:cs="DIN Pro Regular"/>
                <w:b/>
                <w:sz w:val="20"/>
                <w:szCs w:val="20"/>
                <w:lang w:val="es-MX"/>
              </w:rPr>
              <w:t>6,218,873.54</w:t>
            </w:r>
          </w:p>
        </w:tc>
      </w:tr>
      <w:tr w:rsidR="000B413C" w:rsidRPr="000A40B5" w:rsidTr="000B413C">
        <w:tc>
          <w:tcPr>
            <w:tcW w:w="4750" w:type="dxa"/>
          </w:tcPr>
          <w:p w:rsidR="000B413C" w:rsidRPr="000A40B5" w:rsidRDefault="000B413C" w:rsidP="000B413C">
            <w:pPr>
              <w:pStyle w:val="ROMANOS"/>
              <w:spacing w:after="0" w:line="240" w:lineRule="exact"/>
              <w:ind w:left="0" w:firstLine="0"/>
              <w:rPr>
                <w:rFonts w:ascii="Calibri" w:hAnsi="Calibri" w:cs="DIN Pro Regular"/>
                <w:b/>
                <w:sz w:val="20"/>
                <w:szCs w:val="20"/>
                <w:lang w:val="es-MX"/>
              </w:rPr>
            </w:pPr>
            <w:r w:rsidRPr="000A40B5">
              <w:rPr>
                <w:rFonts w:ascii="Calibri" w:hAnsi="Calibri" w:cs="DIN Pro Regular"/>
                <w:b/>
                <w:sz w:val="20"/>
                <w:szCs w:val="20"/>
                <w:lang w:val="es-MX"/>
              </w:rPr>
              <w:t xml:space="preserve">Retenciones y Contribuciones </w:t>
            </w:r>
          </w:p>
        </w:tc>
        <w:tc>
          <w:tcPr>
            <w:tcW w:w="4750" w:type="dxa"/>
          </w:tcPr>
          <w:p w:rsidR="000B413C" w:rsidRPr="000A40B5" w:rsidRDefault="00A34AB5" w:rsidP="00A34AB5">
            <w:pPr>
              <w:pStyle w:val="ROMANOS"/>
              <w:spacing w:after="0" w:line="240" w:lineRule="exact"/>
              <w:ind w:left="0" w:firstLine="0"/>
              <w:jc w:val="right"/>
              <w:rPr>
                <w:rFonts w:ascii="Calibri" w:hAnsi="Calibri" w:cs="DIN Pro Regular"/>
                <w:b/>
                <w:sz w:val="20"/>
                <w:szCs w:val="20"/>
                <w:lang w:val="es-MX"/>
              </w:rPr>
            </w:pPr>
            <w:r w:rsidRPr="000A40B5">
              <w:rPr>
                <w:rFonts w:ascii="Calibri" w:hAnsi="Calibri" w:cs="DIN Pro Regular"/>
                <w:b/>
                <w:sz w:val="20"/>
                <w:szCs w:val="20"/>
                <w:lang w:val="es-MX"/>
              </w:rPr>
              <w:t>2,188,367.12</w:t>
            </w:r>
          </w:p>
        </w:tc>
      </w:tr>
      <w:tr w:rsidR="000B413C" w:rsidRPr="000A40B5" w:rsidTr="000B413C">
        <w:tc>
          <w:tcPr>
            <w:tcW w:w="4750" w:type="dxa"/>
          </w:tcPr>
          <w:p w:rsidR="000B413C" w:rsidRPr="000A40B5" w:rsidRDefault="00A34AB5" w:rsidP="000B413C">
            <w:pPr>
              <w:pStyle w:val="ROMANOS"/>
              <w:spacing w:after="0" w:line="240" w:lineRule="exact"/>
              <w:ind w:left="0" w:firstLine="0"/>
              <w:rPr>
                <w:rFonts w:ascii="Calibri" w:hAnsi="Calibri" w:cs="DIN Pro Regular"/>
                <w:b/>
                <w:sz w:val="20"/>
                <w:szCs w:val="20"/>
                <w:lang w:val="es-MX"/>
              </w:rPr>
            </w:pPr>
            <w:r w:rsidRPr="000A40B5">
              <w:rPr>
                <w:rFonts w:ascii="Calibri" w:hAnsi="Calibri" w:cs="DIN Pro Regular"/>
                <w:b/>
                <w:sz w:val="20"/>
                <w:szCs w:val="20"/>
                <w:lang w:val="es-MX"/>
              </w:rPr>
              <w:t>Total del Pasivo</w:t>
            </w:r>
          </w:p>
        </w:tc>
        <w:tc>
          <w:tcPr>
            <w:tcW w:w="4750" w:type="dxa"/>
          </w:tcPr>
          <w:p w:rsidR="000B413C" w:rsidRPr="000A40B5" w:rsidRDefault="00A34AB5" w:rsidP="00A34AB5">
            <w:pPr>
              <w:pStyle w:val="ROMANOS"/>
              <w:spacing w:after="0" w:line="240" w:lineRule="exact"/>
              <w:ind w:left="0" w:firstLine="0"/>
              <w:jc w:val="right"/>
              <w:rPr>
                <w:rFonts w:ascii="Calibri" w:hAnsi="Calibri" w:cs="DIN Pro Regular"/>
                <w:b/>
                <w:sz w:val="20"/>
                <w:szCs w:val="20"/>
                <w:lang w:val="es-MX"/>
              </w:rPr>
            </w:pPr>
            <w:r w:rsidRPr="000A40B5">
              <w:rPr>
                <w:rFonts w:ascii="Calibri" w:hAnsi="Calibri" w:cs="DIN Pro Regular"/>
                <w:b/>
                <w:sz w:val="20"/>
                <w:szCs w:val="20"/>
                <w:lang w:val="es-MX"/>
              </w:rPr>
              <w:t>8,587,965.63</w:t>
            </w:r>
          </w:p>
        </w:tc>
      </w:tr>
    </w:tbl>
    <w:p w:rsidR="000B413C" w:rsidRPr="000A40B5" w:rsidRDefault="000B413C" w:rsidP="000B413C">
      <w:pPr>
        <w:pStyle w:val="ROMANOS"/>
        <w:spacing w:after="0" w:line="240" w:lineRule="exact"/>
        <w:ind w:left="1083" w:firstLine="0"/>
        <w:rPr>
          <w:rFonts w:ascii="Calibri" w:hAnsi="Calibri" w:cs="DIN Pro Regular"/>
          <w:b/>
          <w:sz w:val="20"/>
          <w:szCs w:val="20"/>
          <w:lang w:val="es-MX"/>
        </w:rPr>
      </w:pPr>
    </w:p>
    <w:p w:rsidR="00DF01DA" w:rsidRDefault="00DF01DA" w:rsidP="00D0796B">
      <w:pPr>
        <w:pStyle w:val="ROMANOS"/>
        <w:spacing w:after="0" w:line="240" w:lineRule="exact"/>
        <w:ind w:left="0" w:firstLine="0"/>
        <w:rPr>
          <w:rFonts w:ascii="Calibri" w:hAnsi="Calibri" w:cs="DIN Pro Regular"/>
          <w:b/>
          <w:sz w:val="20"/>
          <w:szCs w:val="20"/>
          <w:lang w:val="es-MX"/>
        </w:rPr>
      </w:pPr>
    </w:p>
    <w:p w:rsidR="007560D3" w:rsidRPr="000A40B5" w:rsidRDefault="007560D3" w:rsidP="00D0796B">
      <w:pPr>
        <w:pStyle w:val="ROMANOS"/>
        <w:spacing w:after="0" w:line="240" w:lineRule="exact"/>
        <w:ind w:left="0" w:firstLine="0"/>
        <w:rPr>
          <w:rFonts w:ascii="Calibri" w:hAnsi="Calibri" w:cs="DIN Pro Regular"/>
          <w:b/>
          <w:sz w:val="20"/>
          <w:szCs w:val="20"/>
          <w:lang w:val="es-MX"/>
        </w:rPr>
      </w:pPr>
    </w:p>
    <w:p w:rsidR="00DF01DA" w:rsidRPr="008A011E" w:rsidRDefault="00DF01DA" w:rsidP="00DF01DA">
      <w:pPr>
        <w:pStyle w:val="ROMANOS"/>
        <w:spacing w:after="0" w:line="240" w:lineRule="exact"/>
        <w:rPr>
          <w:rFonts w:ascii="Calibri" w:hAnsi="Calibri" w:cs="DIN Pro Regular"/>
          <w:sz w:val="20"/>
          <w:szCs w:val="20"/>
          <w:lang w:val="es-MX"/>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II)</w:t>
      </w:r>
      <w:r w:rsidRPr="008A011E">
        <w:rPr>
          <w:rFonts w:ascii="Calibri" w:hAnsi="Calibri" w:cs="DIN Pro Regular"/>
          <w:b/>
          <w:smallCaps/>
          <w:sz w:val="20"/>
          <w:szCs w:val="20"/>
        </w:rPr>
        <w:tab/>
        <w:t>Notas al Estado de Actividades</w:t>
      </w:r>
    </w:p>
    <w:p w:rsidR="001C760F" w:rsidRPr="008A011E" w:rsidRDefault="001C760F" w:rsidP="000E6439">
      <w:pPr>
        <w:pStyle w:val="ROMANOS"/>
        <w:spacing w:after="0" w:line="240" w:lineRule="exact"/>
        <w:ind w:left="0" w:firstLine="0"/>
        <w:rPr>
          <w:rFonts w:ascii="Calibri" w:hAnsi="Calibri" w:cs="DIN Pro Regular"/>
          <w:sz w:val="20"/>
          <w:szCs w:val="20"/>
          <w:lang w:val="es-MX"/>
        </w:rPr>
      </w:pPr>
    </w:p>
    <w:p w:rsidR="001C760F"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Ingresos de Gestión</w:t>
      </w:r>
    </w:p>
    <w:p w:rsidR="00D0796B" w:rsidRDefault="00D0796B" w:rsidP="000E6439">
      <w:pPr>
        <w:pStyle w:val="ROMANOS"/>
        <w:spacing w:after="0" w:line="240" w:lineRule="exact"/>
        <w:ind w:left="1140"/>
        <w:rPr>
          <w:rFonts w:ascii="Calibri" w:hAnsi="Calibri" w:cs="DIN Pro Regular"/>
          <w:b/>
          <w:sz w:val="20"/>
          <w:szCs w:val="20"/>
          <w:lang w:val="es-MX"/>
        </w:rPr>
      </w:pPr>
    </w:p>
    <w:tbl>
      <w:tblPr>
        <w:tblStyle w:val="Tablaconcuadrcula"/>
        <w:tblW w:w="0" w:type="auto"/>
        <w:tblInd w:w="1140" w:type="dxa"/>
        <w:tblLook w:val="04A0" w:firstRow="1" w:lastRow="0" w:firstColumn="1" w:lastColumn="0" w:noHBand="0" w:noVBand="1"/>
      </w:tblPr>
      <w:tblGrid>
        <w:gridCol w:w="4221"/>
        <w:gridCol w:w="4215"/>
      </w:tblGrid>
      <w:tr w:rsidR="00D0796B" w:rsidTr="00D0796B">
        <w:tc>
          <w:tcPr>
            <w:tcW w:w="4750" w:type="dxa"/>
          </w:tcPr>
          <w:p w:rsidR="00D0796B" w:rsidRDefault="00D0796B" w:rsidP="000E6439">
            <w:pPr>
              <w:pStyle w:val="ROMANOS"/>
              <w:spacing w:after="0" w:line="240" w:lineRule="exact"/>
              <w:ind w:left="0" w:firstLine="0"/>
              <w:rPr>
                <w:rFonts w:ascii="Calibri" w:hAnsi="Calibri" w:cs="DIN Pro Regular"/>
                <w:b/>
                <w:sz w:val="20"/>
                <w:szCs w:val="20"/>
                <w:lang w:val="es-MX"/>
              </w:rPr>
            </w:pPr>
            <w:r>
              <w:rPr>
                <w:rFonts w:ascii="Calibri" w:hAnsi="Calibri" w:cs="DIN Pro Regular"/>
                <w:b/>
                <w:sz w:val="20"/>
                <w:szCs w:val="20"/>
                <w:lang w:val="es-MX"/>
              </w:rPr>
              <w:t>Ingresos por Venta de Bienes y Servicios</w:t>
            </w:r>
          </w:p>
        </w:tc>
        <w:tc>
          <w:tcPr>
            <w:tcW w:w="4750" w:type="dxa"/>
          </w:tcPr>
          <w:p w:rsidR="00D0796B" w:rsidRDefault="00D0796B" w:rsidP="00D0796B">
            <w:pPr>
              <w:pStyle w:val="ROMANOS"/>
              <w:spacing w:after="0" w:line="240" w:lineRule="exact"/>
              <w:ind w:left="0" w:firstLine="0"/>
              <w:jc w:val="right"/>
              <w:rPr>
                <w:rFonts w:ascii="Calibri" w:hAnsi="Calibri" w:cs="DIN Pro Regular"/>
                <w:b/>
                <w:sz w:val="20"/>
                <w:szCs w:val="20"/>
                <w:lang w:val="es-MX"/>
              </w:rPr>
            </w:pPr>
            <w:r>
              <w:rPr>
                <w:rFonts w:ascii="Calibri" w:hAnsi="Calibri" w:cs="DIN Pro Regular"/>
                <w:b/>
                <w:sz w:val="20"/>
                <w:szCs w:val="20"/>
                <w:lang w:val="es-MX"/>
              </w:rPr>
              <w:t>1,211,019.86</w:t>
            </w:r>
          </w:p>
        </w:tc>
      </w:tr>
      <w:tr w:rsidR="00D0796B" w:rsidTr="00D0796B">
        <w:tc>
          <w:tcPr>
            <w:tcW w:w="4750" w:type="dxa"/>
          </w:tcPr>
          <w:p w:rsidR="00D0796B" w:rsidRDefault="00D0796B" w:rsidP="00D0796B">
            <w:pPr>
              <w:pStyle w:val="ROMANOS"/>
              <w:spacing w:after="0" w:line="240" w:lineRule="exact"/>
              <w:ind w:left="0" w:firstLine="0"/>
              <w:rPr>
                <w:rFonts w:ascii="Calibri" w:hAnsi="Calibri" w:cs="DIN Pro Regular"/>
                <w:b/>
                <w:sz w:val="20"/>
                <w:szCs w:val="20"/>
                <w:lang w:val="es-MX"/>
              </w:rPr>
            </w:pPr>
            <w:r>
              <w:rPr>
                <w:rFonts w:ascii="Calibri" w:hAnsi="Calibri" w:cs="DIN Pro Regular"/>
                <w:b/>
                <w:sz w:val="20"/>
                <w:szCs w:val="20"/>
                <w:lang w:val="es-MX"/>
              </w:rPr>
              <w:t>Transferencias y Asignaciones</w:t>
            </w:r>
          </w:p>
        </w:tc>
        <w:tc>
          <w:tcPr>
            <w:tcW w:w="4750" w:type="dxa"/>
          </w:tcPr>
          <w:p w:rsidR="00D0796B" w:rsidRDefault="00D0796B" w:rsidP="00D0796B">
            <w:pPr>
              <w:pStyle w:val="ROMANOS"/>
              <w:spacing w:after="0" w:line="240" w:lineRule="exact"/>
              <w:ind w:left="0" w:firstLine="0"/>
              <w:jc w:val="right"/>
              <w:rPr>
                <w:rFonts w:ascii="Calibri" w:hAnsi="Calibri" w:cs="DIN Pro Regular"/>
                <w:b/>
                <w:sz w:val="20"/>
                <w:szCs w:val="20"/>
                <w:lang w:val="es-MX"/>
              </w:rPr>
            </w:pPr>
            <w:r>
              <w:rPr>
                <w:rFonts w:ascii="Calibri" w:hAnsi="Calibri" w:cs="DIN Pro Regular"/>
                <w:b/>
                <w:sz w:val="20"/>
                <w:szCs w:val="20"/>
                <w:lang w:val="es-MX"/>
              </w:rPr>
              <w:t>95,543,918.05</w:t>
            </w:r>
          </w:p>
        </w:tc>
      </w:tr>
      <w:tr w:rsidR="00D0796B" w:rsidTr="00D0796B">
        <w:tc>
          <w:tcPr>
            <w:tcW w:w="4750" w:type="dxa"/>
          </w:tcPr>
          <w:p w:rsidR="00D0796B" w:rsidRDefault="00D0796B" w:rsidP="000E6439">
            <w:pPr>
              <w:pStyle w:val="ROMANOS"/>
              <w:spacing w:after="0" w:line="240" w:lineRule="exact"/>
              <w:ind w:left="0" w:firstLine="0"/>
              <w:rPr>
                <w:rFonts w:ascii="Calibri" w:hAnsi="Calibri" w:cs="DIN Pro Regular"/>
                <w:b/>
                <w:sz w:val="20"/>
                <w:szCs w:val="20"/>
                <w:lang w:val="es-MX"/>
              </w:rPr>
            </w:pPr>
            <w:r>
              <w:rPr>
                <w:rFonts w:ascii="Calibri" w:hAnsi="Calibri" w:cs="DIN Pro Regular"/>
                <w:b/>
                <w:sz w:val="20"/>
                <w:szCs w:val="20"/>
                <w:lang w:val="es-MX"/>
              </w:rPr>
              <w:t>Productos Financieros</w:t>
            </w:r>
          </w:p>
        </w:tc>
        <w:tc>
          <w:tcPr>
            <w:tcW w:w="4750" w:type="dxa"/>
          </w:tcPr>
          <w:p w:rsidR="00D0796B" w:rsidRDefault="00D0796B" w:rsidP="00D0796B">
            <w:pPr>
              <w:pStyle w:val="ROMANOS"/>
              <w:spacing w:after="0" w:line="240" w:lineRule="exact"/>
              <w:ind w:left="0" w:firstLine="0"/>
              <w:jc w:val="right"/>
              <w:rPr>
                <w:rFonts w:ascii="Calibri" w:hAnsi="Calibri" w:cs="DIN Pro Regular"/>
                <w:b/>
                <w:sz w:val="20"/>
                <w:szCs w:val="20"/>
                <w:lang w:val="es-MX"/>
              </w:rPr>
            </w:pPr>
            <w:r>
              <w:rPr>
                <w:rFonts w:ascii="Calibri" w:hAnsi="Calibri" w:cs="DIN Pro Regular"/>
                <w:b/>
                <w:sz w:val="20"/>
                <w:szCs w:val="20"/>
                <w:lang w:val="es-MX"/>
              </w:rPr>
              <w:t>1,118,471.42</w:t>
            </w:r>
          </w:p>
        </w:tc>
      </w:tr>
      <w:tr w:rsidR="00D0796B" w:rsidTr="00D0796B">
        <w:tc>
          <w:tcPr>
            <w:tcW w:w="4750" w:type="dxa"/>
          </w:tcPr>
          <w:p w:rsidR="00D0796B" w:rsidRDefault="00D0796B" w:rsidP="000E6439">
            <w:pPr>
              <w:pStyle w:val="ROMANOS"/>
              <w:spacing w:after="0" w:line="240" w:lineRule="exact"/>
              <w:ind w:left="0" w:firstLine="0"/>
              <w:rPr>
                <w:rFonts w:ascii="Calibri" w:hAnsi="Calibri" w:cs="DIN Pro Regular"/>
                <w:b/>
                <w:sz w:val="20"/>
                <w:szCs w:val="20"/>
                <w:lang w:val="es-MX"/>
              </w:rPr>
            </w:pPr>
            <w:r>
              <w:rPr>
                <w:rFonts w:ascii="Calibri" w:hAnsi="Calibri" w:cs="DIN Pro Regular"/>
                <w:b/>
                <w:sz w:val="20"/>
                <w:szCs w:val="20"/>
                <w:lang w:val="es-MX"/>
              </w:rPr>
              <w:t xml:space="preserve">Total de Ingresos de </w:t>
            </w:r>
            <w:r w:rsidR="00442C28">
              <w:rPr>
                <w:rFonts w:ascii="Calibri" w:hAnsi="Calibri" w:cs="DIN Pro Regular"/>
                <w:b/>
                <w:sz w:val="20"/>
                <w:szCs w:val="20"/>
                <w:lang w:val="es-MX"/>
              </w:rPr>
              <w:t>Gestión</w:t>
            </w:r>
          </w:p>
        </w:tc>
        <w:tc>
          <w:tcPr>
            <w:tcW w:w="4750" w:type="dxa"/>
          </w:tcPr>
          <w:p w:rsidR="00D0796B" w:rsidRDefault="00D0796B" w:rsidP="00D0796B">
            <w:pPr>
              <w:pStyle w:val="ROMANOS"/>
              <w:spacing w:after="0" w:line="240" w:lineRule="exact"/>
              <w:ind w:left="0" w:firstLine="0"/>
              <w:jc w:val="right"/>
              <w:rPr>
                <w:rFonts w:ascii="Calibri" w:hAnsi="Calibri" w:cs="DIN Pro Regular"/>
                <w:b/>
                <w:sz w:val="20"/>
                <w:szCs w:val="20"/>
                <w:lang w:val="es-MX"/>
              </w:rPr>
            </w:pPr>
            <w:r>
              <w:rPr>
                <w:rFonts w:ascii="Calibri" w:hAnsi="Calibri" w:cs="DIN Pro Regular"/>
                <w:b/>
                <w:sz w:val="20"/>
                <w:szCs w:val="20"/>
                <w:lang w:val="es-MX"/>
              </w:rPr>
              <w:t>97,873,409.33</w:t>
            </w:r>
          </w:p>
        </w:tc>
      </w:tr>
    </w:tbl>
    <w:p w:rsidR="00D0796B" w:rsidRDefault="00B77335" w:rsidP="008B2FCF">
      <w:pPr>
        <w:pStyle w:val="ROMANOS"/>
        <w:spacing w:after="0" w:line="240" w:lineRule="exact"/>
        <w:ind w:left="1140"/>
        <w:jc w:val="left"/>
        <w:rPr>
          <w:rFonts w:ascii="Calibri" w:hAnsi="Calibri" w:cs="DIN Pro Regular"/>
          <w:sz w:val="20"/>
          <w:szCs w:val="20"/>
          <w:lang w:val="es-MX"/>
        </w:rPr>
      </w:pPr>
      <w:r w:rsidRPr="00C52B73">
        <w:rPr>
          <w:rFonts w:ascii="Calibri" w:hAnsi="Calibri" w:cs="DIN Pro Regular"/>
          <w:sz w:val="20"/>
          <w:szCs w:val="20"/>
          <w:lang w:val="es-MX"/>
        </w:rPr>
        <w:t xml:space="preserve">Durante el ejercicio se hicieron ampliaciones presupuestales a la cuenta de ingresos por venta de bienes y servicios por 212,298.28 en la cuenta subsidio estatal 1,651,930 para el pago del retroactivo 2022, en ingresos propios 1,910,487.76 por que se recaudó de </w:t>
      </w:r>
      <w:r w:rsidR="008B2FCF" w:rsidRPr="00C52B73">
        <w:rPr>
          <w:rFonts w:ascii="Calibri" w:hAnsi="Calibri" w:cs="DIN Pro Regular"/>
          <w:sz w:val="20"/>
          <w:szCs w:val="20"/>
          <w:lang w:val="es-MX"/>
        </w:rPr>
        <w:t>más</w:t>
      </w:r>
      <w:r w:rsidRPr="00C52B73">
        <w:rPr>
          <w:rFonts w:ascii="Calibri" w:hAnsi="Calibri" w:cs="DIN Pro Regular"/>
          <w:sz w:val="20"/>
          <w:szCs w:val="20"/>
          <w:lang w:val="es-MX"/>
        </w:rPr>
        <w:t xml:space="preserve"> </w:t>
      </w:r>
      <w:r w:rsidR="00442C28" w:rsidRPr="00C52B73">
        <w:rPr>
          <w:rFonts w:ascii="Calibri" w:hAnsi="Calibri" w:cs="DIN Pro Regular"/>
          <w:sz w:val="20"/>
          <w:szCs w:val="20"/>
          <w:lang w:val="es-MX"/>
        </w:rPr>
        <w:t>durante</w:t>
      </w:r>
      <w:r w:rsidRPr="00C52B73">
        <w:rPr>
          <w:rFonts w:ascii="Calibri" w:hAnsi="Calibri" w:cs="DIN Pro Regular"/>
          <w:sz w:val="20"/>
          <w:szCs w:val="20"/>
          <w:lang w:val="es-MX"/>
        </w:rPr>
        <w:t xml:space="preserve"> el ejercicio y en subsidio federal1,651,974.74 para el pago del retroactivo 2022 </w:t>
      </w:r>
    </w:p>
    <w:p w:rsidR="007560D3" w:rsidRDefault="007560D3" w:rsidP="008B2FCF">
      <w:pPr>
        <w:pStyle w:val="ROMANOS"/>
        <w:spacing w:after="0" w:line="240" w:lineRule="exact"/>
        <w:ind w:left="1140"/>
        <w:jc w:val="left"/>
        <w:rPr>
          <w:rFonts w:ascii="Calibri" w:hAnsi="Calibri" w:cs="DIN Pro Regular"/>
          <w:sz w:val="20"/>
          <w:szCs w:val="20"/>
          <w:lang w:val="es-MX"/>
        </w:rPr>
      </w:pPr>
    </w:p>
    <w:p w:rsidR="007560D3" w:rsidRDefault="007560D3" w:rsidP="008B2FCF">
      <w:pPr>
        <w:pStyle w:val="ROMANOS"/>
        <w:spacing w:after="0" w:line="240" w:lineRule="exact"/>
        <w:ind w:left="1140"/>
        <w:jc w:val="left"/>
        <w:rPr>
          <w:rFonts w:ascii="Calibri" w:hAnsi="Calibri" w:cs="DIN Pro Regular"/>
          <w:sz w:val="20"/>
          <w:szCs w:val="20"/>
          <w:lang w:val="es-MX"/>
        </w:rPr>
      </w:pPr>
    </w:p>
    <w:p w:rsidR="007560D3" w:rsidRPr="00C52B73" w:rsidRDefault="007560D3" w:rsidP="008B2FCF">
      <w:pPr>
        <w:pStyle w:val="ROMANOS"/>
        <w:spacing w:after="0" w:line="240" w:lineRule="exact"/>
        <w:ind w:left="1140"/>
        <w:jc w:val="left"/>
        <w:rPr>
          <w:rFonts w:ascii="Calibri" w:hAnsi="Calibri" w:cs="DIN Pro Regular"/>
          <w:sz w:val="20"/>
          <w:szCs w:val="20"/>
          <w:lang w:val="es-MX"/>
        </w:rPr>
      </w:pPr>
    </w:p>
    <w:p w:rsidR="003F39C5" w:rsidRPr="008A011E" w:rsidRDefault="003F39C5" w:rsidP="000E6439">
      <w:pPr>
        <w:pStyle w:val="ROMANOS"/>
        <w:spacing w:after="0" w:line="240" w:lineRule="exact"/>
        <w:ind w:left="1140"/>
        <w:rPr>
          <w:rFonts w:ascii="Calibri" w:hAnsi="Calibri" w:cs="DIN Pro Regular"/>
          <w:b/>
          <w:sz w:val="20"/>
          <w:szCs w:val="20"/>
          <w:lang w:val="es-MX"/>
        </w:rPr>
      </w:pPr>
    </w:p>
    <w:p w:rsidR="001C760F" w:rsidRPr="008A011E" w:rsidRDefault="00540418"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t>Gastos y Otras Pérdidas</w:t>
      </w:r>
      <w:r w:rsidRPr="008A011E">
        <w:rPr>
          <w:rFonts w:ascii="Calibri" w:hAnsi="Calibri" w:cs="DIN Pro Regular"/>
          <w:sz w:val="20"/>
          <w:szCs w:val="20"/>
          <w:lang w:val="es-MX"/>
        </w:rPr>
        <w:t>:</w:t>
      </w:r>
    </w:p>
    <w:p w:rsidR="00DF01DA" w:rsidRPr="008A011E" w:rsidRDefault="00DF01DA" w:rsidP="000E6439">
      <w:pPr>
        <w:pStyle w:val="ROMANOS"/>
        <w:spacing w:after="0" w:line="240" w:lineRule="exact"/>
        <w:ind w:left="1140"/>
        <w:rPr>
          <w:rFonts w:ascii="Calibri" w:hAnsi="Calibri" w:cs="DIN Pro Regular"/>
          <w:sz w:val="20"/>
          <w:szCs w:val="20"/>
          <w:lang w:val="es-MX"/>
        </w:rPr>
      </w:pPr>
    </w:p>
    <w:tbl>
      <w:tblPr>
        <w:tblStyle w:val="Tablaconcuadrcula"/>
        <w:tblW w:w="0" w:type="auto"/>
        <w:tblInd w:w="1140" w:type="dxa"/>
        <w:tblLook w:val="04A0" w:firstRow="1" w:lastRow="0" w:firstColumn="1" w:lastColumn="0" w:noHBand="0" w:noVBand="1"/>
      </w:tblPr>
      <w:tblGrid>
        <w:gridCol w:w="4203"/>
        <w:gridCol w:w="4233"/>
      </w:tblGrid>
      <w:tr w:rsidR="00442C28" w:rsidTr="00442C28">
        <w:tc>
          <w:tcPr>
            <w:tcW w:w="4750" w:type="dxa"/>
          </w:tcPr>
          <w:p w:rsidR="00442C28" w:rsidRPr="000A40B5" w:rsidRDefault="00442C28" w:rsidP="00442C28">
            <w:pPr>
              <w:pStyle w:val="ROMANOS"/>
              <w:spacing w:after="0" w:line="240" w:lineRule="exact"/>
              <w:ind w:left="0" w:firstLine="0"/>
              <w:rPr>
                <w:rFonts w:ascii="Calibri" w:hAnsi="Calibri" w:cs="DIN Pro Regular"/>
                <w:b/>
                <w:sz w:val="20"/>
                <w:szCs w:val="20"/>
                <w:lang w:val="es-MX"/>
              </w:rPr>
            </w:pPr>
            <w:r w:rsidRPr="000A40B5">
              <w:rPr>
                <w:rFonts w:ascii="Calibri" w:hAnsi="Calibri" w:cs="DIN Pro Regular"/>
                <w:b/>
                <w:sz w:val="20"/>
                <w:szCs w:val="20"/>
                <w:lang w:val="es-MX"/>
              </w:rPr>
              <w:t>Servicios Personales</w:t>
            </w:r>
          </w:p>
        </w:tc>
        <w:tc>
          <w:tcPr>
            <w:tcW w:w="4750" w:type="dxa"/>
          </w:tcPr>
          <w:p w:rsidR="00442C28" w:rsidRPr="000A40B5" w:rsidRDefault="00442C28" w:rsidP="00442C28">
            <w:pPr>
              <w:pStyle w:val="ROMANOS"/>
              <w:spacing w:after="0" w:line="240" w:lineRule="exact"/>
              <w:ind w:left="0" w:firstLine="0"/>
              <w:jc w:val="right"/>
              <w:rPr>
                <w:rFonts w:ascii="Calibri" w:hAnsi="Calibri" w:cs="DIN Pro Regular"/>
                <w:b/>
                <w:sz w:val="20"/>
                <w:szCs w:val="20"/>
                <w:lang w:val="es-MX"/>
              </w:rPr>
            </w:pPr>
            <w:r w:rsidRPr="000A40B5">
              <w:rPr>
                <w:rFonts w:ascii="Calibri" w:hAnsi="Calibri" w:cs="DIN Pro Regular"/>
                <w:b/>
                <w:sz w:val="20"/>
                <w:szCs w:val="20"/>
                <w:lang w:val="es-MX"/>
              </w:rPr>
              <w:t>66,451,027.97</w:t>
            </w:r>
          </w:p>
        </w:tc>
      </w:tr>
      <w:tr w:rsidR="00442C28" w:rsidTr="00442C28">
        <w:tc>
          <w:tcPr>
            <w:tcW w:w="4750" w:type="dxa"/>
          </w:tcPr>
          <w:p w:rsidR="00442C28" w:rsidRPr="000A40B5" w:rsidRDefault="00442C28" w:rsidP="000E6439">
            <w:pPr>
              <w:pStyle w:val="ROMANOS"/>
              <w:spacing w:after="0" w:line="240" w:lineRule="exact"/>
              <w:ind w:left="0" w:firstLine="0"/>
              <w:rPr>
                <w:rFonts w:ascii="Calibri" w:hAnsi="Calibri" w:cs="DIN Pro Regular"/>
                <w:b/>
                <w:sz w:val="20"/>
                <w:szCs w:val="20"/>
                <w:lang w:val="es-MX"/>
              </w:rPr>
            </w:pPr>
            <w:r w:rsidRPr="000A40B5">
              <w:rPr>
                <w:rFonts w:ascii="Calibri" w:hAnsi="Calibri" w:cs="DIN Pro Regular"/>
                <w:b/>
                <w:sz w:val="20"/>
                <w:szCs w:val="20"/>
                <w:lang w:val="es-MX"/>
              </w:rPr>
              <w:t>Materiales y Suministros</w:t>
            </w:r>
          </w:p>
        </w:tc>
        <w:tc>
          <w:tcPr>
            <w:tcW w:w="4750" w:type="dxa"/>
          </w:tcPr>
          <w:p w:rsidR="00442C28" w:rsidRPr="000A40B5" w:rsidRDefault="00442C28" w:rsidP="00442C28">
            <w:pPr>
              <w:pStyle w:val="ROMANOS"/>
              <w:spacing w:after="0" w:line="240" w:lineRule="exact"/>
              <w:ind w:left="0" w:firstLine="0"/>
              <w:jc w:val="right"/>
              <w:rPr>
                <w:rFonts w:ascii="Calibri" w:hAnsi="Calibri" w:cs="DIN Pro Regular"/>
                <w:b/>
                <w:sz w:val="20"/>
                <w:szCs w:val="20"/>
                <w:lang w:val="es-MX"/>
              </w:rPr>
            </w:pPr>
            <w:r w:rsidRPr="000A40B5">
              <w:rPr>
                <w:rFonts w:ascii="Calibri" w:hAnsi="Calibri" w:cs="DIN Pro Regular"/>
                <w:b/>
                <w:sz w:val="20"/>
                <w:szCs w:val="20"/>
                <w:lang w:val="es-MX"/>
              </w:rPr>
              <w:t>6,533,129.26</w:t>
            </w:r>
          </w:p>
        </w:tc>
      </w:tr>
      <w:tr w:rsidR="00442C28" w:rsidTr="00442C28">
        <w:tc>
          <w:tcPr>
            <w:tcW w:w="4750" w:type="dxa"/>
          </w:tcPr>
          <w:p w:rsidR="00442C28" w:rsidRPr="000A40B5" w:rsidRDefault="00442C28" w:rsidP="000E6439">
            <w:pPr>
              <w:pStyle w:val="ROMANOS"/>
              <w:spacing w:after="0" w:line="240" w:lineRule="exact"/>
              <w:ind w:left="0" w:firstLine="0"/>
              <w:rPr>
                <w:rFonts w:ascii="Calibri" w:hAnsi="Calibri" w:cs="DIN Pro Regular"/>
                <w:b/>
                <w:sz w:val="20"/>
                <w:szCs w:val="20"/>
                <w:lang w:val="es-MX"/>
              </w:rPr>
            </w:pPr>
            <w:r w:rsidRPr="000A40B5">
              <w:rPr>
                <w:rFonts w:ascii="Calibri" w:hAnsi="Calibri" w:cs="DIN Pro Regular"/>
                <w:b/>
                <w:sz w:val="20"/>
                <w:szCs w:val="20"/>
                <w:lang w:val="es-MX"/>
              </w:rPr>
              <w:t>Servicios Generales</w:t>
            </w:r>
          </w:p>
        </w:tc>
        <w:tc>
          <w:tcPr>
            <w:tcW w:w="4750" w:type="dxa"/>
          </w:tcPr>
          <w:p w:rsidR="00442C28" w:rsidRPr="000A40B5" w:rsidRDefault="00442C28" w:rsidP="00442C28">
            <w:pPr>
              <w:pStyle w:val="ROMANOS"/>
              <w:spacing w:after="0" w:line="240" w:lineRule="exact"/>
              <w:ind w:left="0" w:firstLine="0"/>
              <w:jc w:val="right"/>
              <w:rPr>
                <w:rFonts w:ascii="Calibri" w:hAnsi="Calibri" w:cs="DIN Pro Regular"/>
                <w:b/>
                <w:sz w:val="20"/>
                <w:szCs w:val="20"/>
                <w:lang w:val="es-MX"/>
              </w:rPr>
            </w:pPr>
            <w:r w:rsidRPr="000A40B5">
              <w:rPr>
                <w:rFonts w:ascii="Calibri" w:hAnsi="Calibri" w:cs="DIN Pro Regular"/>
                <w:b/>
                <w:sz w:val="20"/>
                <w:szCs w:val="20"/>
                <w:lang w:val="es-MX"/>
              </w:rPr>
              <w:t>24,111,334.00</w:t>
            </w:r>
          </w:p>
        </w:tc>
      </w:tr>
      <w:tr w:rsidR="00442C28" w:rsidTr="00442C28">
        <w:tc>
          <w:tcPr>
            <w:tcW w:w="4750" w:type="dxa"/>
          </w:tcPr>
          <w:p w:rsidR="00442C28" w:rsidRPr="000A40B5" w:rsidRDefault="00442C28" w:rsidP="000E6439">
            <w:pPr>
              <w:pStyle w:val="ROMANOS"/>
              <w:spacing w:after="0" w:line="240" w:lineRule="exact"/>
              <w:ind w:left="0" w:firstLine="0"/>
              <w:rPr>
                <w:rFonts w:ascii="Calibri" w:hAnsi="Calibri" w:cs="DIN Pro Regular"/>
                <w:b/>
                <w:sz w:val="20"/>
                <w:szCs w:val="20"/>
                <w:lang w:val="es-MX"/>
              </w:rPr>
            </w:pPr>
            <w:r w:rsidRPr="000A40B5">
              <w:rPr>
                <w:rFonts w:ascii="Calibri" w:hAnsi="Calibri" w:cs="DIN Pro Regular"/>
                <w:b/>
                <w:sz w:val="20"/>
                <w:szCs w:val="20"/>
                <w:lang w:val="es-MX"/>
              </w:rPr>
              <w:t>Total de Gastos y Otras Perdidas</w:t>
            </w:r>
          </w:p>
        </w:tc>
        <w:tc>
          <w:tcPr>
            <w:tcW w:w="4750" w:type="dxa"/>
          </w:tcPr>
          <w:p w:rsidR="00442C28" w:rsidRPr="000A40B5" w:rsidRDefault="00442C28" w:rsidP="00442C28">
            <w:pPr>
              <w:pStyle w:val="ROMANOS"/>
              <w:spacing w:after="0" w:line="240" w:lineRule="exact"/>
              <w:ind w:left="0" w:firstLine="0"/>
              <w:jc w:val="right"/>
              <w:rPr>
                <w:rFonts w:ascii="Calibri" w:hAnsi="Calibri" w:cs="DIN Pro Regular"/>
                <w:b/>
                <w:sz w:val="20"/>
                <w:szCs w:val="20"/>
                <w:lang w:val="es-MX"/>
              </w:rPr>
            </w:pPr>
            <w:r w:rsidRPr="000A40B5">
              <w:rPr>
                <w:rFonts w:ascii="Calibri" w:hAnsi="Calibri" w:cs="DIN Pro Regular"/>
                <w:b/>
                <w:sz w:val="20"/>
                <w:szCs w:val="20"/>
                <w:lang w:val="es-MX"/>
              </w:rPr>
              <w:t>97,095,491.23</w:t>
            </w:r>
          </w:p>
        </w:tc>
      </w:tr>
    </w:tbl>
    <w:p w:rsidR="007560D3" w:rsidRDefault="00442C28" w:rsidP="008B2FCF">
      <w:pPr>
        <w:pStyle w:val="ROMANOS"/>
        <w:spacing w:after="0" w:line="240" w:lineRule="exact"/>
        <w:ind w:left="1140"/>
        <w:jc w:val="left"/>
        <w:rPr>
          <w:rFonts w:ascii="Calibri" w:hAnsi="Calibri" w:cs="DIN Pro Regular"/>
          <w:sz w:val="20"/>
          <w:szCs w:val="20"/>
          <w:lang w:val="es-MX"/>
        </w:rPr>
      </w:pPr>
      <w:r>
        <w:rPr>
          <w:rFonts w:ascii="Calibri" w:hAnsi="Calibri" w:cs="DIN Pro Regular"/>
          <w:sz w:val="20"/>
          <w:szCs w:val="20"/>
          <w:lang w:val="es-MX"/>
        </w:rPr>
        <w:t xml:space="preserve">        </w:t>
      </w:r>
    </w:p>
    <w:p w:rsidR="007560D3" w:rsidRDefault="007560D3" w:rsidP="008B2FCF">
      <w:pPr>
        <w:pStyle w:val="ROMANOS"/>
        <w:spacing w:after="0" w:line="240" w:lineRule="exact"/>
        <w:ind w:left="1140"/>
        <w:jc w:val="left"/>
        <w:rPr>
          <w:rFonts w:ascii="Calibri" w:hAnsi="Calibri" w:cs="DIN Pro Regular"/>
          <w:sz w:val="20"/>
          <w:szCs w:val="20"/>
          <w:lang w:val="es-MX"/>
        </w:rPr>
      </w:pPr>
    </w:p>
    <w:p w:rsidR="007560D3" w:rsidRDefault="007560D3" w:rsidP="008B2FCF">
      <w:pPr>
        <w:pStyle w:val="ROMANOS"/>
        <w:spacing w:after="0" w:line="240" w:lineRule="exact"/>
        <w:ind w:left="1140"/>
        <w:jc w:val="left"/>
        <w:rPr>
          <w:rFonts w:ascii="Calibri" w:hAnsi="Calibri" w:cs="DIN Pro Regular"/>
          <w:sz w:val="20"/>
          <w:szCs w:val="20"/>
          <w:lang w:val="es-MX"/>
        </w:rPr>
      </w:pPr>
    </w:p>
    <w:p w:rsidR="00DF01DA" w:rsidRPr="008A011E" w:rsidRDefault="00442C28" w:rsidP="008B2FCF">
      <w:pPr>
        <w:pStyle w:val="ROMANOS"/>
        <w:spacing w:after="0" w:line="240" w:lineRule="exact"/>
        <w:ind w:left="1140"/>
        <w:jc w:val="left"/>
        <w:rPr>
          <w:rFonts w:ascii="Calibri" w:hAnsi="Calibri" w:cs="DIN Pro Regular"/>
          <w:sz w:val="20"/>
          <w:szCs w:val="20"/>
          <w:lang w:val="es-MX"/>
        </w:rPr>
      </w:pPr>
      <w:r>
        <w:rPr>
          <w:rFonts w:ascii="Calibri" w:hAnsi="Calibri" w:cs="DIN Pro Regular"/>
          <w:sz w:val="20"/>
          <w:szCs w:val="20"/>
          <w:lang w:val="es-MX"/>
        </w:rPr>
        <w:t xml:space="preserve">Durante el ejercicio se hicieron ampliaciones </w:t>
      </w:r>
      <w:r w:rsidR="00CC53D3">
        <w:rPr>
          <w:rFonts w:ascii="Calibri" w:hAnsi="Calibri" w:cs="DIN Pro Regular"/>
          <w:sz w:val="20"/>
          <w:szCs w:val="20"/>
          <w:lang w:val="es-MX"/>
        </w:rPr>
        <w:t xml:space="preserve">a las cuentas de Herramientas y Maquinas-Herramientas por 4,000,000 esto porque en el 2021 se recibió el recurso y no se </w:t>
      </w:r>
      <w:r w:rsidR="008B2FCF">
        <w:rPr>
          <w:rFonts w:ascii="Calibri" w:hAnsi="Calibri" w:cs="DIN Pro Regular"/>
          <w:sz w:val="20"/>
          <w:szCs w:val="20"/>
          <w:lang w:val="es-MX"/>
        </w:rPr>
        <w:t>ejerció</w:t>
      </w:r>
      <w:r w:rsidR="00CC53D3">
        <w:rPr>
          <w:rFonts w:ascii="Calibri" w:hAnsi="Calibri" w:cs="DIN Pro Regular"/>
          <w:sz w:val="20"/>
          <w:szCs w:val="20"/>
          <w:lang w:val="es-MX"/>
        </w:rPr>
        <w:t xml:space="preserve"> hasta el 2022, en vehículos  y equipo terrestre 1,215,700 para la compra de vehículos con recurso propio según acuerdo 007/LXIV/2022 DE ACTA DE CONSEJO, servicios de jardinería y fumigación por 674,301.51 para el sistema de riego con recurso propio según acuerdo 011/LIX/2020, así como a la cuenta mantenimiento menor de inmuebles por 532,440 para la reparación de </w:t>
      </w:r>
      <w:r w:rsidR="00C52B73">
        <w:rPr>
          <w:rFonts w:ascii="Calibri" w:hAnsi="Calibri" w:cs="DIN Pro Regular"/>
          <w:sz w:val="20"/>
          <w:szCs w:val="20"/>
          <w:lang w:val="es-MX"/>
        </w:rPr>
        <w:t xml:space="preserve">barda y malla ciclónica de esta institución el cual fue cubierto con recurso propio según acuerdo 006/LXIV/2022 </w:t>
      </w:r>
      <w:r>
        <w:rPr>
          <w:rFonts w:ascii="Calibri" w:hAnsi="Calibri" w:cs="DIN Pro Regular"/>
          <w:sz w:val="20"/>
          <w:szCs w:val="20"/>
          <w:lang w:val="es-MX"/>
        </w:rPr>
        <w:t xml:space="preserve">    </w:t>
      </w:r>
    </w:p>
    <w:p w:rsidR="00DF01DA" w:rsidRPr="008A011E" w:rsidRDefault="00DF01DA" w:rsidP="008B2FCF">
      <w:pPr>
        <w:pStyle w:val="ROMANOS"/>
        <w:spacing w:after="0" w:line="240" w:lineRule="exact"/>
        <w:ind w:left="1140"/>
        <w:jc w:val="left"/>
        <w:rPr>
          <w:rFonts w:ascii="Calibri" w:hAnsi="Calibri" w:cs="DIN Pro Regular"/>
          <w:sz w:val="20"/>
          <w:szCs w:val="20"/>
          <w:lang w:val="es-MX"/>
        </w:rPr>
      </w:pPr>
    </w:p>
    <w:p w:rsidR="00DF01DA" w:rsidRDefault="00DF01DA" w:rsidP="000E6439">
      <w:pPr>
        <w:pStyle w:val="ROMANOS"/>
        <w:spacing w:after="0" w:line="240" w:lineRule="exact"/>
        <w:ind w:left="1140"/>
        <w:rPr>
          <w:rFonts w:ascii="Calibri" w:hAnsi="Calibri" w:cs="DIN Pro Regular"/>
          <w:sz w:val="20"/>
          <w:szCs w:val="20"/>
          <w:lang w:val="es-MX"/>
        </w:rPr>
      </w:pPr>
    </w:p>
    <w:p w:rsidR="00C52B73" w:rsidRPr="008A011E" w:rsidRDefault="00C52B73" w:rsidP="000E6439">
      <w:pPr>
        <w:pStyle w:val="ROMANOS"/>
        <w:spacing w:after="0" w:line="240" w:lineRule="exact"/>
        <w:ind w:left="1140"/>
        <w:rPr>
          <w:rFonts w:ascii="Calibri" w:hAnsi="Calibri" w:cs="DIN Pro Regular"/>
          <w:sz w:val="20"/>
          <w:szCs w:val="20"/>
          <w:lang w:val="es-MX"/>
        </w:rPr>
      </w:pPr>
    </w:p>
    <w:p w:rsidR="00540418" w:rsidRPr="008A011E" w:rsidRDefault="00540418" w:rsidP="00540418">
      <w:pPr>
        <w:pStyle w:val="ROMANOS"/>
        <w:spacing w:after="0" w:line="240" w:lineRule="exact"/>
        <w:ind w:left="1008" w:firstLine="0"/>
        <w:rPr>
          <w:rFonts w:ascii="Calibri" w:hAnsi="Calibri" w:cs="DIN Pro Regular"/>
          <w:sz w:val="20"/>
          <w:szCs w:val="20"/>
          <w:lang w:val="es-MX"/>
        </w:rPr>
      </w:pPr>
    </w:p>
    <w:p w:rsidR="00540418"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III)</w:t>
      </w:r>
      <w:r w:rsidRPr="008A011E">
        <w:rPr>
          <w:rFonts w:ascii="Calibri" w:hAnsi="Calibri" w:cs="DIN Pro Regular"/>
          <w:b/>
          <w:smallCaps/>
          <w:sz w:val="20"/>
          <w:szCs w:val="20"/>
        </w:rPr>
        <w:tab/>
        <w:t>Notas al Estado de Variación en la Hacienda Pública</w:t>
      </w:r>
    </w:p>
    <w:p w:rsidR="00DF01DA" w:rsidRDefault="00015B72" w:rsidP="005A3FA6">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 xml:space="preserve">         </w:t>
      </w:r>
    </w:p>
    <w:p w:rsidR="007560D3" w:rsidRDefault="007560D3" w:rsidP="005A3FA6">
      <w:pPr>
        <w:pStyle w:val="INCISO"/>
        <w:spacing w:after="0" w:line="240" w:lineRule="exact"/>
        <w:ind w:left="360"/>
        <w:rPr>
          <w:rFonts w:ascii="Calibri" w:hAnsi="Calibri" w:cs="DIN Pro Regular"/>
          <w:b/>
          <w:smallCaps/>
          <w:sz w:val="20"/>
          <w:szCs w:val="20"/>
        </w:rPr>
      </w:pPr>
    </w:p>
    <w:p w:rsidR="007560D3" w:rsidRPr="008A011E" w:rsidRDefault="007560D3" w:rsidP="005A3FA6">
      <w:pPr>
        <w:pStyle w:val="INCISO"/>
        <w:spacing w:after="0" w:line="240" w:lineRule="exact"/>
        <w:ind w:left="360"/>
        <w:rPr>
          <w:rFonts w:ascii="Calibri" w:hAnsi="Calibri" w:cs="DIN Pro Regular"/>
          <w:b/>
          <w:smallCaps/>
          <w:sz w:val="20"/>
          <w:szCs w:val="20"/>
        </w:rPr>
      </w:pPr>
    </w:p>
    <w:p w:rsidR="001C760F" w:rsidRPr="005A3FA6" w:rsidRDefault="00015B72" w:rsidP="005A3FA6">
      <w:pPr>
        <w:pStyle w:val="ROMANOS"/>
        <w:spacing w:after="0" w:line="240" w:lineRule="exact"/>
        <w:ind w:left="0" w:firstLine="0"/>
        <w:rPr>
          <w:rFonts w:ascii="Calibri" w:hAnsi="Calibri" w:cs="DIN Pro Regular"/>
          <w:b/>
          <w:sz w:val="20"/>
          <w:szCs w:val="20"/>
          <w:lang w:val="es-MX"/>
        </w:rPr>
      </w:pPr>
      <w:r w:rsidRPr="005A3FA6">
        <w:rPr>
          <w:rFonts w:ascii="Calibri" w:hAnsi="Calibri" w:cs="DIN Pro Regular"/>
          <w:b/>
          <w:sz w:val="20"/>
          <w:szCs w:val="20"/>
          <w:lang w:val="es-MX"/>
        </w:rPr>
        <w:t xml:space="preserve">Durante el ejercicio 2022 La Hacienda Pública/Patrimonio Contribuido no sufrió alguna modificación </w:t>
      </w:r>
      <w:r w:rsidR="005A3FA6" w:rsidRPr="005A3FA6">
        <w:rPr>
          <w:rFonts w:ascii="Calibri" w:hAnsi="Calibri" w:cs="DIN Pro Regular"/>
          <w:b/>
          <w:sz w:val="20"/>
          <w:szCs w:val="20"/>
          <w:lang w:val="es-MX"/>
        </w:rPr>
        <w:t xml:space="preserve">quedando un monto de $113,234,092, en Hacienda Publica Patrimonio Generado se generó una variación de $20,983,774 derivado de la diferencia entre Resultados de Ejercicios Anteriores entre el 2021 y 2022, Durante el ejercicio 2022se genero un ahorro de 777,918.10 </w:t>
      </w:r>
      <w:r w:rsidRPr="005A3FA6">
        <w:rPr>
          <w:rFonts w:ascii="Calibri" w:hAnsi="Calibri" w:cs="DIN Pro Regular"/>
          <w:b/>
          <w:sz w:val="20"/>
          <w:szCs w:val="20"/>
          <w:lang w:val="es-MX"/>
        </w:rPr>
        <w:t xml:space="preserve"> </w:t>
      </w:r>
    </w:p>
    <w:p w:rsidR="00015B72" w:rsidRPr="005A3FA6" w:rsidRDefault="00015B72" w:rsidP="005A3FA6">
      <w:pPr>
        <w:pStyle w:val="ROMANOS"/>
        <w:spacing w:after="0" w:line="240" w:lineRule="exact"/>
        <w:ind w:left="0" w:firstLine="0"/>
        <w:rPr>
          <w:rFonts w:ascii="Calibri" w:hAnsi="Calibri" w:cs="DIN Pro Regular"/>
          <w:b/>
          <w:sz w:val="20"/>
          <w:szCs w:val="20"/>
          <w:lang w:val="es-MX"/>
        </w:rPr>
      </w:pPr>
    </w:p>
    <w:p w:rsidR="00015B72" w:rsidRDefault="00015B72" w:rsidP="000E6439">
      <w:pPr>
        <w:pStyle w:val="ROMANOS"/>
        <w:spacing w:after="0" w:line="240" w:lineRule="exact"/>
        <w:ind w:left="0" w:firstLine="0"/>
        <w:rPr>
          <w:rFonts w:ascii="Calibri" w:hAnsi="Calibri" w:cs="DIN Pro Regular"/>
          <w:sz w:val="20"/>
          <w:szCs w:val="20"/>
          <w:lang w:val="es-MX"/>
        </w:rPr>
      </w:pPr>
    </w:p>
    <w:p w:rsidR="007560D3" w:rsidRDefault="007560D3" w:rsidP="000E6439">
      <w:pPr>
        <w:pStyle w:val="ROMANOS"/>
        <w:spacing w:after="0" w:line="240" w:lineRule="exact"/>
        <w:ind w:left="0" w:firstLine="0"/>
        <w:rPr>
          <w:rFonts w:ascii="Calibri" w:hAnsi="Calibri" w:cs="DIN Pro Regular"/>
          <w:sz w:val="20"/>
          <w:szCs w:val="20"/>
          <w:lang w:val="es-MX"/>
        </w:rPr>
      </w:pPr>
    </w:p>
    <w:p w:rsidR="007560D3" w:rsidRPr="008A011E" w:rsidRDefault="007560D3" w:rsidP="000E6439">
      <w:pPr>
        <w:pStyle w:val="ROMANOS"/>
        <w:spacing w:after="0" w:line="240" w:lineRule="exact"/>
        <w:ind w:left="0" w:firstLine="0"/>
        <w:rPr>
          <w:rFonts w:ascii="Calibri" w:hAnsi="Calibri" w:cs="DIN Pro Regular"/>
          <w:sz w:val="20"/>
          <w:szCs w:val="20"/>
          <w:lang w:val="es-MX"/>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IV)</w:t>
      </w:r>
      <w:r w:rsidRPr="008A011E">
        <w:rPr>
          <w:rFonts w:ascii="Calibri" w:hAnsi="Calibri" w:cs="DIN Pro Regular"/>
          <w:b/>
          <w:smallCaps/>
          <w:sz w:val="20"/>
          <w:szCs w:val="20"/>
        </w:rPr>
        <w:tab/>
        <w:t xml:space="preserve">Notas al Estado de Flujos de Efectivo </w:t>
      </w:r>
    </w:p>
    <w:p w:rsidR="00DF01DA" w:rsidRPr="008A011E" w:rsidRDefault="00DF01DA" w:rsidP="00540418">
      <w:pPr>
        <w:pStyle w:val="INCISO"/>
        <w:spacing w:after="0" w:line="240" w:lineRule="exact"/>
        <w:ind w:left="360"/>
        <w:rPr>
          <w:rFonts w:ascii="Calibri" w:hAnsi="Calibri" w:cs="DIN Pro Regular"/>
          <w:b/>
          <w:smallCaps/>
          <w:sz w:val="20"/>
          <w:szCs w:val="20"/>
        </w:rPr>
      </w:pPr>
    </w:p>
    <w:p w:rsidR="00540418" w:rsidRPr="008A011E" w:rsidRDefault="00540418" w:rsidP="00540418">
      <w:pPr>
        <w:pStyle w:val="INCISO"/>
        <w:spacing w:after="0" w:line="240" w:lineRule="exact"/>
        <w:ind w:left="360"/>
        <w:rPr>
          <w:rFonts w:ascii="Calibri" w:hAnsi="Calibri" w:cs="DIN Pro Regular"/>
          <w:smallCaps/>
          <w:sz w:val="20"/>
          <w:szCs w:val="20"/>
        </w:rPr>
      </w:pPr>
    </w:p>
    <w:p w:rsidR="00540418" w:rsidRPr="008A011E"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Efectivo y equivalentes</w:t>
      </w:r>
    </w:p>
    <w:p w:rsidR="005774F0" w:rsidRPr="008A011E" w:rsidRDefault="003F39C5" w:rsidP="003F39C5">
      <w:pPr>
        <w:pStyle w:val="ROMANOS"/>
        <w:numPr>
          <w:ilvl w:val="0"/>
          <w:numId w:val="9"/>
        </w:numPr>
        <w:spacing w:after="0" w:line="240" w:lineRule="exact"/>
        <w:rPr>
          <w:rFonts w:ascii="Calibri" w:hAnsi="Calibri" w:cs="DIN Pro Regular"/>
          <w:b/>
          <w:sz w:val="20"/>
          <w:szCs w:val="20"/>
          <w:lang w:val="es-MX"/>
        </w:rPr>
      </w:pPr>
      <w:r w:rsidRPr="008A011E">
        <w:rPr>
          <w:rFonts w:ascii="Calibri" w:hAnsi="Calibri" w:cs="DIN Pro Regular"/>
          <w:sz w:val="20"/>
          <w:szCs w:val="20"/>
          <w:lang w:val="es-MX"/>
        </w:rPr>
        <w:t>El análisis de los saldos inicial y final, del Estado de Flujo de Efectivo en la cuenta de efectivo y equivalentes:</w:t>
      </w:r>
    </w:p>
    <w:p w:rsidR="00DF01DA" w:rsidRPr="008A011E" w:rsidRDefault="00DF01DA" w:rsidP="00DF01DA">
      <w:pPr>
        <w:pStyle w:val="ROMANOS"/>
        <w:spacing w:after="0" w:line="240" w:lineRule="exact"/>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3115"/>
        <w:gridCol w:w="1461"/>
        <w:gridCol w:w="1134"/>
      </w:tblGrid>
      <w:tr w:rsidR="005774F0" w:rsidRPr="008A011E" w:rsidTr="00925F8F">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5774F0" w:rsidRPr="00010BEF" w:rsidRDefault="005774F0" w:rsidP="003F39C5">
            <w:pPr>
              <w:spacing w:after="0" w:line="224" w:lineRule="exact"/>
              <w:jc w:val="both"/>
              <w:rPr>
                <w:rFonts w:ascii="Encode Sans" w:eastAsia="Times New Roman" w:hAnsi="Encode Sans" w:cs="DIN Pro Regular"/>
                <w:sz w:val="20"/>
                <w:szCs w:val="20"/>
                <w:lang w:eastAsia="es-ES"/>
              </w:rPr>
            </w:pPr>
          </w:p>
        </w:tc>
        <w:tc>
          <w:tcPr>
            <w:tcW w:w="1461" w:type="dxa"/>
            <w:tcBorders>
              <w:top w:val="single" w:sz="6" w:space="0" w:color="auto"/>
              <w:left w:val="single" w:sz="6" w:space="0" w:color="auto"/>
              <w:bottom w:val="single" w:sz="6" w:space="0" w:color="auto"/>
              <w:right w:val="single" w:sz="6" w:space="0" w:color="auto"/>
            </w:tcBorders>
            <w:shd w:val="clear" w:color="auto" w:fill="AB0033"/>
          </w:tcPr>
          <w:p w:rsidR="005774F0" w:rsidRPr="00C71B04" w:rsidRDefault="0050622C"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202</w:t>
            </w:r>
            <w:r w:rsidR="00DF01DA" w:rsidRPr="00C71B04">
              <w:rPr>
                <w:rFonts w:asciiTheme="minorHAnsi" w:eastAsia="Times New Roman" w:hAnsiTheme="minorHAnsi" w:cs="DIN Pro Regular"/>
                <w:b/>
                <w:color w:val="FFFFFF"/>
                <w:sz w:val="20"/>
                <w:szCs w:val="20"/>
                <w:lang w:eastAsia="es-ES"/>
              </w:rPr>
              <w:t>2</w:t>
            </w:r>
          </w:p>
        </w:tc>
        <w:tc>
          <w:tcPr>
            <w:tcW w:w="1134" w:type="dxa"/>
            <w:tcBorders>
              <w:top w:val="single" w:sz="6" w:space="0" w:color="auto"/>
              <w:left w:val="single" w:sz="6" w:space="0" w:color="auto"/>
              <w:bottom w:val="single" w:sz="6" w:space="0" w:color="auto"/>
              <w:right w:val="single" w:sz="6" w:space="0" w:color="auto"/>
            </w:tcBorders>
            <w:shd w:val="clear" w:color="auto" w:fill="AB0033"/>
          </w:tcPr>
          <w:p w:rsidR="00351DD9" w:rsidRPr="00C71B04" w:rsidRDefault="005774F0"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w:t>
            </w:r>
            <w:r w:rsidR="007075A0" w:rsidRPr="00C71B04">
              <w:rPr>
                <w:rFonts w:asciiTheme="minorHAnsi" w:eastAsia="Times New Roman" w:hAnsiTheme="minorHAnsi" w:cs="DIN Pro Regular"/>
                <w:b/>
                <w:color w:val="FFFFFF"/>
                <w:sz w:val="20"/>
                <w:szCs w:val="20"/>
                <w:lang w:eastAsia="es-ES"/>
              </w:rPr>
              <w:t>2</w:t>
            </w:r>
            <w:r w:rsidR="00DF01DA" w:rsidRPr="00C71B04">
              <w:rPr>
                <w:rFonts w:asciiTheme="minorHAnsi" w:eastAsia="Times New Roman" w:hAnsiTheme="minorHAnsi" w:cs="DIN Pro Regular"/>
                <w:b/>
                <w:color w:val="FFFFFF"/>
                <w:sz w:val="20"/>
                <w:szCs w:val="20"/>
                <w:lang w:eastAsia="es-ES"/>
              </w:rPr>
              <w:t>1</w:t>
            </w:r>
          </w:p>
        </w:tc>
      </w:tr>
      <w:tr w:rsidR="005774F0" w:rsidRPr="008A011E" w:rsidTr="00925F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0A40B5" w:rsidRDefault="0020554C" w:rsidP="005774F0">
            <w:pPr>
              <w:spacing w:after="101" w:line="224" w:lineRule="exact"/>
              <w:jc w:val="both"/>
              <w:rPr>
                <w:rFonts w:eastAsia="Times New Roman" w:cs="DIN Pro Regular"/>
                <w:b/>
                <w:sz w:val="20"/>
                <w:szCs w:val="20"/>
                <w:lang w:eastAsia="es-ES"/>
              </w:rPr>
            </w:pPr>
            <w:r w:rsidRPr="000A40B5">
              <w:rPr>
                <w:rFonts w:cs="DIN Pro Regular"/>
                <w:b/>
                <w:sz w:val="20"/>
                <w:szCs w:val="20"/>
              </w:rPr>
              <w:t xml:space="preserve">Efectivo </w:t>
            </w:r>
          </w:p>
        </w:tc>
        <w:tc>
          <w:tcPr>
            <w:tcW w:w="1461" w:type="dxa"/>
            <w:tcBorders>
              <w:top w:val="single" w:sz="6" w:space="0" w:color="auto"/>
              <w:left w:val="single" w:sz="6" w:space="0" w:color="auto"/>
              <w:bottom w:val="single" w:sz="6" w:space="0" w:color="auto"/>
              <w:right w:val="single" w:sz="6" w:space="0" w:color="auto"/>
            </w:tcBorders>
          </w:tcPr>
          <w:p w:rsidR="005774F0" w:rsidRPr="000A40B5" w:rsidRDefault="005774F0" w:rsidP="005774F0">
            <w:pPr>
              <w:spacing w:after="101" w:line="224" w:lineRule="exact"/>
              <w:jc w:val="center"/>
              <w:rPr>
                <w:rFonts w:eastAsia="Times New Roman" w:cs="DIN Pro Regular"/>
                <w:b/>
                <w:sz w:val="20"/>
                <w:szCs w:val="20"/>
                <w:lang w:eastAsia="es-ES"/>
              </w:rPr>
            </w:pPr>
          </w:p>
        </w:tc>
        <w:tc>
          <w:tcPr>
            <w:tcW w:w="1134" w:type="dxa"/>
            <w:tcBorders>
              <w:top w:val="single" w:sz="6" w:space="0" w:color="auto"/>
              <w:left w:val="single" w:sz="6" w:space="0" w:color="auto"/>
              <w:bottom w:val="single" w:sz="6" w:space="0" w:color="auto"/>
              <w:right w:val="single" w:sz="6" w:space="0" w:color="auto"/>
            </w:tcBorders>
          </w:tcPr>
          <w:p w:rsidR="005774F0" w:rsidRPr="000A40B5" w:rsidRDefault="005774F0" w:rsidP="005774F0">
            <w:pPr>
              <w:spacing w:after="101" w:line="224" w:lineRule="exact"/>
              <w:jc w:val="center"/>
              <w:rPr>
                <w:rFonts w:eastAsia="Times New Roman" w:cs="DIN Pro Regular"/>
                <w:b/>
                <w:sz w:val="20"/>
                <w:szCs w:val="20"/>
                <w:lang w:eastAsia="es-ES"/>
              </w:rPr>
            </w:pPr>
          </w:p>
        </w:tc>
      </w:tr>
      <w:tr w:rsidR="005774F0" w:rsidRPr="008A011E" w:rsidTr="00925F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0A40B5" w:rsidRDefault="0020554C" w:rsidP="005774F0">
            <w:pPr>
              <w:spacing w:after="101" w:line="224" w:lineRule="exact"/>
              <w:jc w:val="both"/>
              <w:rPr>
                <w:rFonts w:eastAsia="Times New Roman" w:cs="DIN Pro Regular"/>
                <w:b/>
                <w:sz w:val="20"/>
                <w:szCs w:val="20"/>
                <w:lang w:eastAsia="es-ES"/>
              </w:rPr>
            </w:pPr>
            <w:r w:rsidRPr="000A40B5">
              <w:rPr>
                <w:rFonts w:cs="DIN Pro Regular"/>
                <w:b/>
                <w:sz w:val="20"/>
                <w:szCs w:val="20"/>
              </w:rPr>
              <w:t xml:space="preserve">Bancos/Tesorería </w:t>
            </w:r>
          </w:p>
        </w:tc>
        <w:tc>
          <w:tcPr>
            <w:tcW w:w="1461" w:type="dxa"/>
            <w:tcBorders>
              <w:top w:val="single" w:sz="6" w:space="0" w:color="auto"/>
              <w:left w:val="single" w:sz="6" w:space="0" w:color="auto"/>
              <w:bottom w:val="single" w:sz="6" w:space="0" w:color="auto"/>
              <w:right w:val="single" w:sz="6" w:space="0" w:color="auto"/>
            </w:tcBorders>
          </w:tcPr>
          <w:p w:rsidR="005774F0" w:rsidRPr="000A40B5" w:rsidRDefault="00C52B73" w:rsidP="00D97892">
            <w:pPr>
              <w:spacing w:after="101" w:line="224" w:lineRule="exact"/>
              <w:jc w:val="center"/>
              <w:rPr>
                <w:rFonts w:eastAsia="Times New Roman" w:cs="DIN Pro Regular"/>
                <w:b/>
                <w:sz w:val="20"/>
                <w:szCs w:val="20"/>
                <w:lang w:eastAsia="es-ES"/>
              </w:rPr>
            </w:pPr>
            <w:r w:rsidRPr="000A40B5">
              <w:rPr>
                <w:rFonts w:eastAsia="Times New Roman" w:cs="DIN Pro Regular"/>
                <w:b/>
                <w:sz w:val="20"/>
                <w:szCs w:val="20"/>
                <w:lang w:eastAsia="es-ES"/>
              </w:rPr>
              <w:t>21,303,66</w:t>
            </w:r>
            <w:r w:rsidR="00D97892" w:rsidRPr="000A40B5">
              <w:rPr>
                <w:rFonts w:eastAsia="Times New Roman" w:cs="DIN Pro Regular"/>
                <w:b/>
                <w:sz w:val="20"/>
                <w:szCs w:val="20"/>
                <w:lang w:eastAsia="es-ES"/>
              </w:rPr>
              <w:t>2</w:t>
            </w:r>
          </w:p>
        </w:tc>
        <w:tc>
          <w:tcPr>
            <w:tcW w:w="1134" w:type="dxa"/>
            <w:tcBorders>
              <w:top w:val="single" w:sz="6" w:space="0" w:color="auto"/>
              <w:left w:val="single" w:sz="6" w:space="0" w:color="auto"/>
              <w:bottom w:val="single" w:sz="6" w:space="0" w:color="auto"/>
              <w:right w:val="single" w:sz="6" w:space="0" w:color="auto"/>
            </w:tcBorders>
          </w:tcPr>
          <w:p w:rsidR="005774F0" w:rsidRPr="000A40B5" w:rsidRDefault="00925F8F" w:rsidP="005774F0">
            <w:pPr>
              <w:spacing w:after="101" w:line="224" w:lineRule="exact"/>
              <w:jc w:val="center"/>
              <w:rPr>
                <w:rFonts w:eastAsia="Times New Roman" w:cs="DIN Pro Regular"/>
                <w:b/>
                <w:sz w:val="20"/>
                <w:szCs w:val="20"/>
                <w:lang w:eastAsia="es-ES"/>
              </w:rPr>
            </w:pPr>
            <w:r w:rsidRPr="000A40B5">
              <w:rPr>
                <w:rFonts w:eastAsia="Times New Roman" w:cs="DIN Pro Regular"/>
                <w:b/>
                <w:sz w:val="20"/>
                <w:szCs w:val="20"/>
                <w:lang w:eastAsia="es-ES"/>
              </w:rPr>
              <w:t>28,167,599</w:t>
            </w:r>
          </w:p>
        </w:tc>
      </w:tr>
      <w:tr w:rsidR="005774F0" w:rsidRPr="008A011E" w:rsidTr="00925F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0A40B5" w:rsidRDefault="0020554C" w:rsidP="005774F0">
            <w:pPr>
              <w:spacing w:after="101" w:line="224" w:lineRule="exact"/>
              <w:jc w:val="both"/>
              <w:rPr>
                <w:rFonts w:eastAsia="Times New Roman" w:cs="DIN Pro Regular"/>
                <w:b/>
                <w:sz w:val="20"/>
                <w:szCs w:val="20"/>
                <w:lang w:eastAsia="es-ES"/>
              </w:rPr>
            </w:pPr>
            <w:r w:rsidRPr="000A40B5">
              <w:rPr>
                <w:rFonts w:cs="DIN Pro Regular"/>
                <w:b/>
                <w:sz w:val="20"/>
                <w:szCs w:val="20"/>
              </w:rPr>
              <w:t>Bancos/Dependencias y Otros</w:t>
            </w:r>
          </w:p>
        </w:tc>
        <w:tc>
          <w:tcPr>
            <w:tcW w:w="1461" w:type="dxa"/>
            <w:tcBorders>
              <w:top w:val="single" w:sz="6" w:space="0" w:color="auto"/>
              <w:left w:val="single" w:sz="6" w:space="0" w:color="auto"/>
              <w:bottom w:val="single" w:sz="6" w:space="0" w:color="auto"/>
              <w:right w:val="single" w:sz="6" w:space="0" w:color="auto"/>
            </w:tcBorders>
          </w:tcPr>
          <w:p w:rsidR="005774F0" w:rsidRPr="000A40B5" w:rsidRDefault="005774F0" w:rsidP="005774F0">
            <w:pPr>
              <w:spacing w:after="101" w:line="224" w:lineRule="exact"/>
              <w:jc w:val="center"/>
              <w:rPr>
                <w:rFonts w:eastAsia="Times New Roman" w:cs="DIN Pro Regular"/>
                <w:b/>
                <w:sz w:val="20"/>
                <w:szCs w:val="20"/>
                <w:lang w:eastAsia="es-ES"/>
              </w:rPr>
            </w:pPr>
          </w:p>
        </w:tc>
        <w:tc>
          <w:tcPr>
            <w:tcW w:w="1134" w:type="dxa"/>
            <w:tcBorders>
              <w:top w:val="single" w:sz="6" w:space="0" w:color="auto"/>
              <w:left w:val="single" w:sz="6" w:space="0" w:color="auto"/>
              <w:bottom w:val="single" w:sz="6" w:space="0" w:color="auto"/>
              <w:right w:val="single" w:sz="6" w:space="0" w:color="auto"/>
            </w:tcBorders>
          </w:tcPr>
          <w:p w:rsidR="005774F0" w:rsidRPr="000A40B5" w:rsidRDefault="005774F0" w:rsidP="005774F0">
            <w:pPr>
              <w:spacing w:after="101" w:line="224" w:lineRule="exact"/>
              <w:jc w:val="center"/>
              <w:rPr>
                <w:rFonts w:eastAsia="Times New Roman" w:cs="DIN Pro Regular"/>
                <w:b/>
                <w:sz w:val="20"/>
                <w:szCs w:val="20"/>
                <w:lang w:eastAsia="es-ES"/>
              </w:rPr>
            </w:pPr>
          </w:p>
        </w:tc>
      </w:tr>
      <w:tr w:rsidR="004C09C1" w:rsidRPr="008A011E" w:rsidTr="00925F8F">
        <w:trPr>
          <w:cantSplit/>
          <w:jc w:val="center"/>
        </w:trPr>
        <w:tc>
          <w:tcPr>
            <w:tcW w:w="3115" w:type="dxa"/>
            <w:tcBorders>
              <w:top w:val="single" w:sz="6" w:space="0" w:color="auto"/>
              <w:left w:val="single" w:sz="6" w:space="0" w:color="auto"/>
              <w:bottom w:val="single" w:sz="6" w:space="0" w:color="auto"/>
              <w:right w:val="single" w:sz="6" w:space="0" w:color="auto"/>
            </w:tcBorders>
          </w:tcPr>
          <w:p w:rsidR="004C09C1" w:rsidRPr="000A40B5" w:rsidRDefault="004C09C1" w:rsidP="005774F0">
            <w:pPr>
              <w:spacing w:after="101" w:line="224" w:lineRule="exact"/>
              <w:jc w:val="both"/>
              <w:rPr>
                <w:rFonts w:eastAsia="Times New Roman" w:cs="DIN Pro Regular"/>
                <w:b/>
                <w:sz w:val="20"/>
                <w:szCs w:val="20"/>
                <w:lang w:eastAsia="es-ES"/>
              </w:rPr>
            </w:pPr>
            <w:r w:rsidRPr="000A40B5">
              <w:rPr>
                <w:rFonts w:eastAsia="Times New Roman" w:cs="DIN Pro Regular"/>
                <w:b/>
                <w:sz w:val="20"/>
                <w:szCs w:val="20"/>
                <w:lang w:eastAsia="es-ES"/>
              </w:rPr>
              <w:t>Inversiones Temporales (hasta 3 meses)</w:t>
            </w:r>
          </w:p>
        </w:tc>
        <w:tc>
          <w:tcPr>
            <w:tcW w:w="1461" w:type="dxa"/>
            <w:tcBorders>
              <w:top w:val="single" w:sz="6" w:space="0" w:color="auto"/>
              <w:left w:val="single" w:sz="6" w:space="0" w:color="auto"/>
              <w:bottom w:val="single" w:sz="6" w:space="0" w:color="auto"/>
              <w:right w:val="single" w:sz="6" w:space="0" w:color="auto"/>
            </w:tcBorders>
          </w:tcPr>
          <w:p w:rsidR="004C09C1" w:rsidRPr="000A40B5" w:rsidRDefault="00D12A03" w:rsidP="00D97892">
            <w:pPr>
              <w:spacing w:after="101" w:line="224" w:lineRule="exact"/>
              <w:jc w:val="center"/>
              <w:rPr>
                <w:rFonts w:eastAsia="Times New Roman" w:cs="DIN Pro Regular"/>
                <w:b/>
                <w:sz w:val="20"/>
                <w:szCs w:val="20"/>
                <w:lang w:eastAsia="es-ES"/>
              </w:rPr>
            </w:pPr>
            <w:r w:rsidRPr="000A40B5">
              <w:rPr>
                <w:rFonts w:eastAsia="Times New Roman" w:cs="DIN Pro Regular"/>
                <w:b/>
                <w:sz w:val="20"/>
                <w:szCs w:val="20"/>
                <w:lang w:eastAsia="es-ES"/>
              </w:rPr>
              <w:t>16,558,037</w:t>
            </w:r>
          </w:p>
        </w:tc>
        <w:tc>
          <w:tcPr>
            <w:tcW w:w="1134" w:type="dxa"/>
            <w:tcBorders>
              <w:top w:val="single" w:sz="6" w:space="0" w:color="auto"/>
              <w:left w:val="single" w:sz="6" w:space="0" w:color="auto"/>
              <w:bottom w:val="single" w:sz="6" w:space="0" w:color="auto"/>
              <w:right w:val="single" w:sz="6" w:space="0" w:color="auto"/>
            </w:tcBorders>
          </w:tcPr>
          <w:p w:rsidR="004C09C1" w:rsidRPr="000A40B5" w:rsidRDefault="00D12A03" w:rsidP="005774F0">
            <w:pPr>
              <w:spacing w:after="101" w:line="224" w:lineRule="exact"/>
              <w:jc w:val="center"/>
              <w:rPr>
                <w:rFonts w:eastAsia="Times New Roman" w:cs="DIN Pro Regular"/>
                <w:b/>
                <w:sz w:val="20"/>
                <w:szCs w:val="20"/>
                <w:lang w:eastAsia="es-ES"/>
              </w:rPr>
            </w:pPr>
            <w:r w:rsidRPr="000A40B5">
              <w:rPr>
                <w:rFonts w:eastAsia="Times New Roman" w:cs="DIN Pro Regular"/>
                <w:b/>
                <w:sz w:val="20"/>
                <w:szCs w:val="20"/>
                <w:lang w:eastAsia="es-ES"/>
              </w:rPr>
              <w:t>15,761,951</w:t>
            </w:r>
          </w:p>
        </w:tc>
      </w:tr>
      <w:tr w:rsidR="005774F0" w:rsidRPr="008A011E" w:rsidTr="00925F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0A40B5" w:rsidRDefault="005774F0" w:rsidP="005774F0">
            <w:pPr>
              <w:spacing w:after="101" w:line="224" w:lineRule="exact"/>
              <w:jc w:val="both"/>
              <w:rPr>
                <w:rFonts w:eastAsia="Times New Roman" w:cs="DIN Pro Regular"/>
                <w:b/>
                <w:sz w:val="20"/>
                <w:szCs w:val="20"/>
                <w:lang w:eastAsia="es-ES"/>
              </w:rPr>
            </w:pPr>
            <w:r w:rsidRPr="000A40B5">
              <w:rPr>
                <w:rFonts w:eastAsia="Times New Roman" w:cs="DIN Pro Regular"/>
                <w:b/>
                <w:sz w:val="20"/>
                <w:szCs w:val="20"/>
                <w:lang w:eastAsia="es-ES"/>
              </w:rPr>
              <w:t>Fondos con afectación específica</w:t>
            </w:r>
          </w:p>
        </w:tc>
        <w:tc>
          <w:tcPr>
            <w:tcW w:w="1461" w:type="dxa"/>
            <w:tcBorders>
              <w:top w:val="single" w:sz="6" w:space="0" w:color="auto"/>
              <w:left w:val="single" w:sz="6" w:space="0" w:color="auto"/>
              <w:bottom w:val="single" w:sz="6" w:space="0" w:color="auto"/>
              <w:right w:val="single" w:sz="6" w:space="0" w:color="auto"/>
            </w:tcBorders>
          </w:tcPr>
          <w:p w:rsidR="005774F0" w:rsidRPr="000A40B5" w:rsidRDefault="005774F0" w:rsidP="005774F0">
            <w:pPr>
              <w:spacing w:after="101" w:line="224" w:lineRule="exact"/>
              <w:jc w:val="center"/>
              <w:rPr>
                <w:rFonts w:eastAsia="Times New Roman" w:cs="DIN Pro Regular"/>
                <w:b/>
                <w:sz w:val="20"/>
                <w:szCs w:val="20"/>
                <w:lang w:eastAsia="es-ES"/>
              </w:rPr>
            </w:pPr>
          </w:p>
        </w:tc>
        <w:tc>
          <w:tcPr>
            <w:tcW w:w="1134" w:type="dxa"/>
            <w:tcBorders>
              <w:top w:val="single" w:sz="6" w:space="0" w:color="auto"/>
              <w:left w:val="single" w:sz="6" w:space="0" w:color="auto"/>
              <w:bottom w:val="single" w:sz="6" w:space="0" w:color="auto"/>
              <w:right w:val="single" w:sz="6" w:space="0" w:color="auto"/>
            </w:tcBorders>
          </w:tcPr>
          <w:p w:rsidR="005774F0" w:rsidRPr="000A40B5" w:rsidRDefault="005774F0" w:rsidP="005774F0">
            <w:pPr>
              <w:spacing w:after="101" w:line="224" w:lineRule="exact"/>
              <w:jc w:val="center"/>
              <w:rPr>
                <w:rFonts w:eastAsia="Times New Roman" w:cs="DIN Pro Regular"/>
                <w:b/>
                <w:sz w:val="20"/>
                <w:szCs w:val="20"/>
                <w:lang w:eastAsia="es-ES"/>
              </w:rPr>
            </w:pPr>
          </w:p>
        </w:tc>
      </w:tr>
      <w:tr w:rsidR="005774F0" w:rsidRPr="008A011E" w:rsidTr="00925F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0A40B5" w:rsidRDefault="00F4664C" w:rsidP="00F4664C">
            <w:pPr>
              <w:spacing w:after="101" w:line="224" w:lineRule="exact"/>
              <w:jc w:val="both"/>
              <w:rPr>
                <w:rFonts w:eastAsia="Times New Roman" w:cs="DIN Pro Regular"/>
                <w:b/>
                <w:sz w:val="20"/>
                <w:szCs w:val="20"/>
                <w:lang w:eastAsia="es-ES"/>
              </w:rPr>
            </w:pPr>
            <w:r w:rsidRPr="000A40B5">
              <w:rPr>
                <w:rFonts w:eastAsia="Times New Roman" w:cs="DIN Pro Regular"/>
                <w:b/>
                <w:sz w:val="20"/>
                <w:szCs w:val="20"/>
                <w:lang w:eastAsia="es-ES"/>
              </w:rPr>
              <w:t>Depósitos de fondos de terceros en Garantía y/o Administración</w:t>
            </w:r>
          </w:p>
        </w:tc>
        <w:tc>
          <w:tcPr>
            <w:tcW w:w="1461" w:type="dxa"/>
            <w:tcBorders>
              <w:top w:val="single" w:sz="6" w:space="0" w:color="auto"/>
              <w:left w:val="single" w:sz="6" w:space="0" w:color="auto"/>
              <w:bottom w:val="single" w:sz="6" w:space="0" w:color="auto"/>
              <w:right w:val="single" w:sz="6" w:space="0" w:color="auto"/>
            </w:tcBorders>
          </w:tcPr>
          <w:p w:rsidR="005774F0" w:rsidRPr="000A40B5" w:rsidRDefault="005774F0" w:rsidP="005774F0">
            <w:pPr>
              <w:spacing w:after="101" w:line="224" w:lineRule="exact"/>
              <w:jc w:val="center"/>
              <w:rPr>
                <w:rFonts w:eastAsia="Times New Roman" w:cs="DIN Pro Regular"/>
                <w:b/>
                <w:sz w:val="20"/>
                <w:szCs w:val="20"/>
                <w:lang w:eastAsia="es-ES"/>
              </w:rPr>
            </w:pPr>
          </w:p>
        </w:tc>
        <w:tc>
          <w:tcPr>
            <w:tcW w:w="1134" w:type="dxa"/>
            <w:tcBorders>
              <w:top w:val="single" w:sz="6" w:space="0" w:color="auto"/>
              <w:left w:val="single" w:sz="6" w:space="0" w:color="auto"/>
              <w:bottom w:val="single" w:sz="6" w:space="0" w:color="auto"/>
              <w:right w:val="single" w:sz="6" w:space="0" w:color="auto"/>
            </w:tcBorders>
          </w:tcPr>
          <w:p w:rsidR="005774F0" w:rsidRPr="000A40B5" w:rsidRDefault="005774F0" w:rsidP="005774F0">
            <w:pPr>
              <w:spacing w:after="101" w:line="224" w:lineRule="exact"/>
              <w:jc w:val="center"/>
              <w:rPr>
                <w:rFonts w:eastAsia="Times New Roman" w:cs="DIN Pro Regular"/>
                <w:b/>
                <w:sz w:val="20"/>
                <w:szCs w:val="20"/>
                <w:lang w:eastAsia="es-ES"/>
              </w:rPr>
            </w:pPr>
          </w:p>
        </w:tc>
      </w:tr>
      <w:tr w:rsidR="0020554C" w:rsidRPr="008A011E" w:rsidTr="00925F8F">
        <w:trPr>
          <w:cantSplit/>
          <w:trHeight w:val="299"/>
          <w:jc w:val="center"/>
        </w:trPr>
        <w:tc>
          <w:tcPr>
            <w:tcW w:w="3115" w:type="dxa"/>
            <w:tcBorders>
              <w:top w:val="single" w:sz="6" w:space="0" w:color="auto"/>
              <w:left w:val="single" w:sz="6" w:space="0" w:color="auto"/>
              <w:bottom w:val="single" w:sz="6" w:space="0" w:color="auto"/>
              <w:right w:val="single" w:sz="6" w:space="0" w:color="auto"/>
            </w:tcBorders>
          </w:tcPr>
          <w:p w:rsidR="0020554C" w:rsidRPr="000A40B5" w:rsidRDefault="0020554C">
            <w:pPr>
              <w:rPr>
                <w:rFonts w:cs="DIN Pro Regular"/>
                <w:b/>
                <w:sz w:val="20"/>
                <w:szCs w:val="20"/>
              </w:rPr>
            </w:pPr>
            <w:r w:rsidRPr="000A40B5">
              <w:rPr>
                <w:rFonts w:cs="DIN Pro Regular"/>
                <w:b/>
                <w:sz w:val="20"/>
                <w:szCs w:val="20"/>
              </w:rPr>
              <w:t xml:space="preserve">Otros Efectivos y Equivalentes </w:t>
            </w:r>
          </w:p>
        </w:tc>
        <w:tc>
          <w:tcPr>
            <w:tcW w:w="1461" w:type="dxa"/>
            <w:tcBorders>
              <w:top w:val="single" w:sz="6" w:space="0" w:color="auto"/>
              <w:left w:val="single" w:sz="6" w:space="0" w:color="auto"/>
              <w:bottom w:val="single" w:sz="6" w:space="0" w:color="auto"/>
              <w:right w:val="single" w:sz="6" w:space="0" w:color="auto"/>
            </w:tcBorders>
          </w:tcPr>
          <w:p w:rsidR="0020554C" w:rsidRPr="000A40B5" w:rsidRDefault="0020554C" w:rsidP="0020554C">
            <w:pPr>
              <w:jc w:val="center"/>
              <w:rPr>
                <w:rFonts w:cs="DIN Pro Regular"/>
                <w:b/>
                <w:sz w:val="20"/>
                <w:szCs w:val="20"/>
              </w:rPr>
            </w:pPr>
          </w:p>
        </w:tc>
        <w:tc>
          <w:tcPr>
            <w:tcW w:w="1134" w:type="dxa"/>
            <w:tcBorders>
              <w:top w:val="single" w:sz="6" w:space="0" w:color="auto"/>
              <w:left w:val="single" w:sz="6" w:space="0" w:color="auto"/>
              <w:bottom w:val="single" w:sz="6" w:space="0" w:color="auto"/>
              <w:right w:val="single" w:sz="6" w:space="0" w:color="auto"/>
            </w:tcBorders>
          </w:tcPr>
          <w:p w:rsidR="0020554C" w:rsidRPr="000A40B5" w:rsidRDefault="0020554C" w:rsidP="0020554C">
            <w:pPr>
              <w:jc w:val="center"/>
              <w:rPr>
                <w:rFonts w:cs="DIN Pro Regular"/>
                <w:b/>
                <w:sz w:val="20"/>
                <w:szCs w:val="20"/>
              </w:rPr>
            </w:pPr>
          </w:p>
        </w:tc>
      </w:tr>
      <w:tr w:rsidR="005774F0" w:rsidRPr="008A011E" w:rsidTr="00925F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0A40B5" w:rsidRDefault="005774F0" w:rsidP="005774F0">
            <w:pPr>
              <w:spacing w:after="101" w:line="224" w:lineRule="exact"/>
              <w:jc w:val="both"/>
              <w:rPr>
                <w:rFonts w:eastAsia="Times New Roman" w:cs="DIN Pro Regular"/>
                <w:b/>
                <w:sz w:val="20"/>
                <w:szCs w:val="20"/>
                <w:lang w:eastAsia="es-ES"/>
              </w:rPr>
            </w:pPr>
            <w:r w:rsidRPr="000A40B5">
              <w:rPr>
                <w:rFonts w:eastAsia="Times New Roman" w:cs="DIN Pro Regular"/>
                <w:b/>
                <w:sz w:val="20"/>
                <w:szCs w:val="20"/>
                <w:lang w:eastAsia="es-ES"/>
              </w:rPr>
              <w:t>Total de Efectivo y Equivalentes</w:t>
            </w:r>
          </w:p>
        </w:tc>
        <w:tc>
          <w:tcPr>
            <w:tcW w:w="1461" w:type="dxa"/>
            <w:tcBorders>
              <w:top w:val="single" w:sz="6" w:space="0" w:color="auto"/>
              <w:left w:val="single" w:sz="6" w:space="0" w:color="auto"/>
              <w:bottom w:val="single" w:sz="6" w:space="0" w:color="auto"/>
              <w:right w:val="single" w:sz="6" w:space="0" w:color="auto"/>
            </w:tcBorders>
          </w:tcPr>
          <w:p w:rsidR="005774F0" w:rsidRPr="000A40B5" w:rsidRDefault="00D12A03" w:rsidP="00D97892">
            <w:pPr>
              <w:spacing w:after="101" w:line="224" w:lineRule="exact"/>
              <w:jc w:val="center"/>
              <w:rPr>
                <w:rFonts w:eastAsia="Times New Roman" w:cs="DIN Pro Regular"/>
                <w:b/>
                <w:sz w:val="20"/>
                <w:szCs w:val="20"/>
                <w:lang w:eastAsia="es-ES"/>
              </w:rPr>
            </w:pPr>
            <w:r w:rsidRPr="000A40B5">
              <w:rPr>
                <w:rFonts w:eastAsia="Times New Roman" w:cs="DIN Pro Regular"/>
                <w:b/>
                <w:sz w:val="20"/>
                <w:szCs w:val="20"/>
                <w:lang w:eastAsia="es-ES"/>
              </w:rPr>
              <w:t>37,861,69</w:t>
            </w:r>
            <w:r w:rsidR="00D97892" w:rsidRPr="000A40B5">
              <w:rPr>
                <w:rFonts w:eastAsia="Times New Roman" w:cs="DIN Pro Regular"/>
                <w:b/>
                <w:sz w:val="20"/>
                <w:szCs w:val="20"/>
                <w:lang w:eastAsia="es-ES"/>
              </w:rPr>
              <w:t>9</w:t>
            </w:r>
          </w:p>
        </w:tc>
        <w:tc>
          <w:tcPr>
            <w:tcW w:w="1134" w:type="dxa"/>
            <w:tcBorders>
              <w:top w:val="single" w:sz="6" w:space="0" w:color="auto"/>
              <w:left w:val="single" w:sz="6" w:space="0" w:color="auto"/>
              <w:bottom w:val="single" w:sz="6" w:space="0" w:color="auto"/>
              <w:right w:val="single" w:sz="6" w:space="0" w:color="auto"/>
            </w:tcBorders>
          </w:tcPr>
          <w:p w:rsidR="005774F0" w:rsidRPr="000A40B5" w:rsidRDefault="00D12A03" w:rsidP="005774F0">
            <w:pPr>
              <w:spacing w:after="101" w:line="224" w:lineRule="exact"/>
              <w:jc w:val="center"/>
              <w:rPr>
                <w:rFonts w:eastAsia="Times New Roman" w:cs="DIN Pro Regular"/>
                <w:b/>
                <w:sz w:val="20"/>
                <w:szCs w:val="20"/>
                <w:lang w:eastAsia="es-ES"/>
              </w:rPr>
            </w:pPr>
            <w:r w:rsidRPr="000A40B5">
              <w:rPr>
                <w:rFonts w:eastAsia="Times New Roman" w:cs="DIN Pro Regular"/>
                <w:b/>
                <w:sz w:val="20"/>
                <w:szCs w:val="20"/>
                <w:lang w:eastAsia="es-ES"/>
              </w:rPr>
              <w:t>43,929,550</w:t>
            </w:r>
          </w:p>
        </w:tc>
      </w:tr>
    </w:tbl>
    <w:p w:rsidR="005774F0" w:rsidRPr="008A011E" w:rsidRDefault="005774F0" w:rsidP="000E6439">
      <w:pPr>
        <w:pStyle w:val="ROMANOS"/>
        <w:spacing w:after="0" w:line="240" w:lineRule="exact"/>
        <w:ind w:left="1140"/>
        <w:rPr>
          <w:rFonts w:ascii="Calibri" w:hAnsi="Calibri" w:cs="DIN Pro Regular"/>
          <w:b/>
          <w:sz w:val="20"/>
          <w:szCs w:val="20"/>
          <w:lang w:val="es-MX"/>
        </w:rPr>
      </w:pPr>
    </w:p>
    <w:p w:rsidR="00AE608D" w:rsidRDefault="00AE608D" w:rsidP="000E6439">
      <w:pPr>
        <w:pStyle w:val="ROMANOS"/>
        <w:spacing w:after="0" w:line="240" w:lineRule="exact"/>
        <w:ind w:left="1140"/>
        <w:rPr>
          <w:rFonts w:ascii="Calibri" w:hAnsi="Calibri" w:cs="DIN Pro Regular"/>
          <w:b/>
          <w:sz w:val="20"/>
          <w:szCs w:val="20"/>
          <w:lang w:val="es-MX"/>
        </w:rPr>
      </w:pPr>
    </w:p>
    <w:p w:rsidR="007560D3" w:rsidRDefault="007560D3" w:rsidP="000E6439">
      <w:pPr>
        <w:pStyle w:val="ROMANOS"/>
        <w:spacing w:after="0" w:line="240" w:lineRule="exact"/>
        <w:ind w:left="1140"/>
        <w:rPr>
          <w:rFonts w:ascii="Calibri" w:hAnsi="Calibri" w:cs="DIN Pro Regular"/>
          <w:b/>
          <w:sz w:val="20"/>
          <w:szCs w:val="20"/>
          <w:lang w:val="es-MX"/>
        </w:rPr>
      </w:pPr>
    </w:p>
    <w:p w:rsidR="007560D3" w:rsidRPr="008A011E" w:rsidRDefault="007560D3" w:rsidP="000E6439">
      <w:pPr>
        <w:pStyle w:val="ROMANOS"/>
        <w:spacing w:after="0" w:line="240" w:lineRule="exact"/>
        <w:ind w:left="1140"/>
        <w:rPr>
          <w:rFonts w:ascii="Calibri" w:hAnsi="Calibri" w:cs="DIN Pro Regular"/>
          <w:b/>
          <w:sz w:val="20"/>
          <w:szCs w:val="20"/>
          <w:lang w:val="es-MX"/>
        </w:rPr>
      </w:pPr>
    </w:p>
    <w:p w:rsidR="00AE608D" w:rsidRDefault="003F39C5" w:rsidP="00686B28">
      <w:pPr>
        <w:pStyle w:val="ROMANOS"/>
        <w:numPr>
          <w:ilvl w:val="0"/>
          <w:numId w:val="9"/>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Adquisiciones de bienes muebles e inmuebles con su monto global y porcentaje que se aplicó en el presupuesto Federal o Estatal según sea el caso:</w:t>
      </w:r>
    </w:p>
    <w:p w:rsidR="00686B28" w:rsidRPr="008A011E" w:rsidRDefault="00686B28" w:rsidP="00686B28">
      <w:pPr>
        <w:pStyle w:val="ROMANOS"/>
        <w:spacing w:after="0" w:line="240" w:lineRule="exact"/>
        <w:ind w:left="1068" w:firstLine="0"/>
        <w:rPr>
          <w:rFonts w:ascii="Calibri" w:hAnsi="Calibri" w:cs="DIN Pro Regular"/>
          <w:b/>
          <w:sz w:val="20"/>
          <w:szCs w:val="20"/>
          <w:lang w:val="es-MX"/>
        </w:rPr>
      </w:pPr>
      <w:r>
        <w:rPr>
          <w:rFonts w:ascii="Calibri" w:hAnsi="Calibri" w:cs="DIN Pro Regular"/>
          <w:sz w:val="20"/>
          <w:szCs w:val="20"/>
          <w:lang w:val="es-MX"/>
        </w:rPr>
        <w:t>El monto de las adquisiciones de Bienes Muebles e Inmuebles durante el ejercicio 2022 fue de 6</w:t>
      </w:r>
      <w:proofErr w:type="gramStart"/>
      <w:r>
        <w:rPr>
          <w:rFonts w:ascii="Calibri" w:hAnsi="Calibri" w:cs="DIN Pro Regular"/>
          <w:sz w:val="20"/>
          <w:szCs w:val="20"/>
          <w:lang w:val="es-MX"/>
        </w:rPr>
        <w:t>,565,572.58</w:t>
      </w:r>
      <w:proofErr w:type="gramEnd"/>
      <w:r>
        <w:rPr>
          <w:rFonts w:ascii="Calibri" w:hAnsi="Calibri" w:cs="DIN Pro Regular"/>
          <w:sz w:val="20"/>
          <w:szCs w:val="20"/>
          <w:lang w:val="es-MX"/>
        </w:rPr>
        <w:t xml:space="preserve"> de los cuales el 67% fue cubierto con </w:t>
      </w:r>
      <w:r w:rsidR="00BA7A96">
        <w:rPr>
          <w:rFonts w:ascii="Calibri" w:hAnsi="Calibri" w:cs="DIN Pro Regular"/>
          <w:sz w:val="20"/>
          <w:szCs w:val="20"/>
          <w:lang w:val="es-MX"/>
        </w:rPr>
        <w:t>R</w:t>
      </w:r>
      <w:r>
        <w:rPr>
          <w:rFonts w:ascii="Calibri" w:hAnsi="Calibri" w:cs="DIN Pro Regular"/>
          <w:sz w:val="20"/>
          <w:szCs w:val="20"/>
          <w:lang w:val="es-MX"/>
        </w:rPr>
        <w:t xml:space="preserve">ecurso </w:t>
      </w:r>
      <w:r w:rsidR="00BA7A96">
        <w:rPr>
          <w:rFonts w:ascii="Calibri" w:hAnsi="Calibri" w:cs="DIN Pro Regular"/>
          <w:sz w:val="20"/>
          <w:szCs w:val="20"/>
          <w:lang w:val="es-MX"/>
        </w:rPr>
        <w:t>F</w:t>
      </w:r>
      <w:r>
        <w:rPr>
          <w:rFonts w:ascii="Calibri" w:hAnsi="Calibri" w:cs="DIN Pro Regular"/>
          <w:sz w:val="20"/>
          <w:szCs w:val="20"/>
          <w:lang w:val="es-MX"/>
        </w:rPr>
        <w:t xml:space="preserve">ederal, el </w:t>
      </w:r>
      <w:r w:rsidR="00BA7A96">
        <w:rPr>
          <w:rFonts w:ascii="Calibri" w:hAnsi="Calibri" w:cs="DIN Pro Regular"/>
          <w:sz w:val="20"/>
          <w:szCs w:val="20"/>
          <w:lang w:val="es-MX"/>
        </w:rPr>
        <w:t>25% fue cubierto con Ingresos Propios y el 8% con Subsidio estatal</w:t>
      </w:r>
    </w:p>
    <w:p w:rsidR="00AE608D" w:rsidRPr="008A011E" w:rsidRDefault="00AE608D" w:rsidP="000E6439">
      <w:pPr>
        <w:pStyle w:val="ROMANOS"/>
        <w:spacing w:after="0" w:line="240" w:lineRule="exact"/>
        <w:ind w:left="1140"/>
        <w:rPr>
          <w:rFonts w:ascii="Calibri" w:hAnsi="Calibri" w:cs="DIN Pro Regular"/>
          <w:b/>
          <w:sz w:val="20"/>
          <w:szCs w:val="20"/>
          <w:lang w:val="es-MX"/>
        </w:rPr>
      </w:pPr>
    </w:p>
    <w:p w:rsidR="003F39C5" w:rsidRDefault="003F39C5" w:rsidP="000E6439">
      <w:pPr>
        <w:pStyle w:val="ROMANOS"/>
        <w:spacing w:after="0" w:line="240" w:lineRule="exact"/>
        <w:ind w:left="1140"/>
        <w:rPr>
          <w:rFonts w:ascii="Calibri" w:hAnsi="Calibri" w:cs="DIN Pro Regular"/>
          <w:b/>
          <w:sz w:val="20"/>
          <w:szCs w:val="20"/>
          <w:lang w:val="es-MX"/>
        </w:rPr>
      </w:pPr>
    </w:p>
    <w:p w:rsidR="007560D3" w:rsidRDefault="007560D3" w:rsidP="000E6439">
      <w:pPr>
        <w:pStyle w:val="ROMANOS"/>
        <w:spacing w:after="0" w:line="240" w:lineRule="exact"/>
        <w:ind w:left="1140"/>
        <w:rPr>
          <w:rFonts w:ascii="Calibri" w:hAnsi="Calibri" w:cs="DIN Pro Regular"/>
          <w:b/>
          <w:sz w:val="20"/>
          <w:szCs w:val="20"/>
          <w:lang w:val="es-MX"/>
        </w:rPr>
      </w:pPr>
    </w:p>
    <w:p w:rsidR="007560D3" w:rsidRPr="008A011E" w:rsidRDefault="007560D3" w:rsidP="000E6439">
      <w:pPr>
        <w:pStyle w:val="ROMANOS"/>
        <w:spacing w:after="0" w:line="240" w:lineRule="exact"/>
        <w:ind w:left="1140"/>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t xml:space="preserve">3.- </w:t>
      </w:r>
      <w:r w:rsidRPr="008A011E">
        <w:rPr>
          <w:rFonts w:ascii="Calibri" w:hAnsi="Calibri" w:cs="DIN Pro Regular"/>
          <w:sz w:val="20"/>
          <w:szCs w:val="20"/>
          <w:lang w:val="es-MX"/>
        </w:rPr>
        <w:t>Conciliación de los Flujos de Efectivo Netos de las Actividades de Operación y la cuenta de Ahorro/Desahorro antes de Rubros Extraordinarios:</w:t>
      </w: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6677"/>
        <w:gridCol w:w="1148"/>
        <w:gridCol w:w="1134"/>
      </w:tblGrid>
      <w:tr w:rsidR="003F39C5" w:rsidRPr="008A011E" w:rsidTr="00010BEF">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AB0033"/>
          </w:tcPr>
          <w:p w:rsidR="003F39C5" w:rsidRPr="008A011E" w:rsidRDefault="003F39C5" w:rsidP="00264F1F">
            <w:pPr>
              <w:pStyle w:val="Texto"/>
              <w:spacing w:after="0" w:line="240" w:lineRule="exact"/>
              <w:ind w:firstLine="0"/>
              <w:rPr>
                <w:rFonts w:ascii="Calibri" w:hAnsi="Calibri" w:cs="DIN Pro Regular"/>
                <w:b/>
                <w:color w:val="FFFFFF"/>
                <w:sz w:val="20"/>
                <w:lang w:val="es-MX"/>
              </w:rPr>
            </w:pPr>
          </w:p>
        </w:tc>
        <w:tc>
          <w:tcPr>
            <w:tcW w:w="1148"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50622C"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202</w:t>
            </w:r>
            <w:r w:rsidR="00DF01DA" w:rsidRPr="00C71B04">
              <w:rPr>
                <w:rFonts w:asciiTheme="minorHAnsi" w:hAnsiTheme="minorHAnsi" w:cs="DIN Pro Regular"/>
                <w:b/>
                <w:color w:val="FFFFFF"/>
                <w:sz w:val="20"/>
                <w:lang w:val="es-MX"/>
              </w:rPr>
              <w:t>2</w:t>
            </w:r>
          </w:p>
        </w:tc>
        <w:tc>
          <w:tcPr>
            <w:tcW w:w="1134"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3F39C5"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w:t>
            </w:r>
            <w:r w:rsidR="007075A0" w:rsidRPr="00C71B04">
              <w:rPr>
                <w:rFonts w:asciiTheme="minorHAnsi" w:hAnsiTheme="minorHAnsi" w:cs="DIN Pro Regular"/>
                <w:b/>
                <w:color w:val="FFFFFF"/>
                <w:sz w:val="20"/>
                <w:lang w:val="es-MX"/>
              </w:rPr>
              <w:t>2</w:t>
            </w:r>
            <w:r w:rsidR="00DF01DA" w:rsidRPr="00C71B04">
              <w:rPr>
                <w:rFonts w:asciiTheme="minorHAnsi" w:hAnsiTheme="minorHAnsi" w:cs="DIN Pro Regular"/>
                <w:b/>
                <w:color w:val="FFFFFF"/>
                <w:sz w:val="20"/>
                <w:lang w:val="es-MX"/>
              </w:rPr>
              <w:t>1</w:t>
            </w:r>
          </w:p>
        </w:tc>
      </w:tr>
      <w:tr w:rsidR="003F39C5" w:rsidRPr="008A011E"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Resultados del Ejercicio Ahorro/Desahorro </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8E44D5" w:rsidP="00B22D96">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777,918</w:t>
            </w: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8E44D5" w:rsidP="00264F1F">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22,295,132</w:t>
            </w:r>
          </w:p>
        </w:tc>
      </w:tr>
      <w:tr w:rsidR="003F39C5" w:rsidRPr="000A40B5"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rPr>
                <w:rFonts w:ascii="Calibri" w:hAnsi="Calibri" w:cs="DIN Pro Regular"/>
                <w:b/>
                <w:sz w:val="20"/>
                <w:lang w:val="es-MX"/>
              </w:rPr>
            </w:pPr>
            <w:r w:rsidRPr="000A40B5">
              <w:rPr>
                <w:rFonts w:ascii="Calibri" w:hAnsi="Calibri" w:cs="DIN Pro Regular"/>
                <w:b/>
                <w:sz w:val="20"/>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jc w:val="center"/>
              <w:rPr>
                <w:rFonts w:ascii="Calibri" w:hAnsi="Calibri" w:cs="DIN Pro Regular"/>
                <w:b/>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jc w:val="center"/>
              <w:rPr>
                <w:rFonts w:ascii="Calibri" w:hAnsi="Calibri" w:cs="DIN Pro Regular"/>
                <w:b/>
                <w:sz w:val="20"/>
                <w:lang w:val="es-MX"/>
              </w:rPr>
            </w:pPr>
          </w:p>
        </w:tc>
      </w:tr>
      <w:tr w:rsidR="003F39C5" w:rsidRPr="000A40B5"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rPr>
                <w:rFonts w:ascii="Calibri" w:hAnsi="Calibri" w:cs="DIN Pro Regular"/>
                <w:b/>
                <w:sz w:val="20"/>
                <w:lang w:val="es-MX"/>
              </w:rPr>
            </w:pPr>
            <w:r w:rsidRPr="000A40B5">
              <w:rPr>
                <w:rFonts w:ascii="Calibri" w:hAnsi="Calibri" w:cs="DIN Pro Regular"/>
                <w:b/>
                <w:sz w:val="20"/>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jc w:val="center"/>
              <w:rPr>
                <w:rFonts w:ascii="Calibri" w:hAnsi="Calibri" w:cs="DIN Pro Regular"/>
                <w:b/>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jc w:val="center"/>
              <w:rPr>
                <w:rFonts w:ascii="Calibri" w:hAnsi="Calibri" w:cs="DIN Pro Regular"/>
                <w:b/>
                <w:sz w:val="20"/>
                <w:lang w:val="es-MX"/>
              </w:rPr>
            </w:pPr>
          </w:p>
        </w:tc>
      </w:tr>
      <w:tr w:rsidR="003F39C5" w:rsidRPr="000A40B5"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rPr>
                <w:rFonts w:ascii="Calibri" w:hAnsi="Calibri" w:cs="DIN Pro Regular"/>
                <w:b/>
                <w:sz w:val="20"/>
                <w:lang w:val="es-MX"/>
              </w:rPr>
            </w:pPr>
            <w:r w:rsidRPr="000A40B5">
              <w:rPr>
                <w:rFonts w:ascii="Calibri" w:hAnsi="Calibri" w:cs="DIN Pro Regular"/>
                <w:b/>
                <w:sz w:val="20"/>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jc w:val="center"/>
              <w:rPr>
                <w:rFonts w:ascii="Calibri" w:hAnsi="Calibri" w:cs="DIN Pro Regular"/>
                <w:b/>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jc w:val="center"/>
              <w:rPr>
                <w:rFonts w:ascii="Calibri" w:hAnsi="Calibri" w:cs="DIN Pro Regular"/>
                <w:b/>
                <w:sz w:val="20"/>
                <w:lang w:val="es-MX"/>
              </w:rPr>
            </w:pPr>
          </w:p>
        </w:tc>
      </w:tr>
      <w:tr w:rsidR="003F39C5" w:rsidRPr="000A40B5"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rPr>
                <w:rFonts w:ascii="Calibri" w:hAnsi="Calibri" w:cs="DIN Pro Regular"/>
                <w:b/>
                <w:sz w:val="20"/>
                <w:lang w:val="es-MX"/>
              </w:rPr>
            </w:pPr>
            <w:r w:rsidRPr="000A40B5">
              <w:rPr>
                <w:rFonts w:ascii="Calibri" w:hAnsi="Calibri" w:cs="DIN Pro Regular"/>
                <w:b/>
                <w:sz w:val="20"/>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jc w:val="center"/>
              <w:rPr>
                <w:rFonts w:ascii="Calibri" w:hAnsi="Calibri" w:cs="DIN Pro Regular"/>
                <w:b/>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jc w:val="center"/>
              <w:rPr>
                <w:rFonts w:ascii="Calibri" w:hAnsi="Calibri" w:cs="DIN Pro Regular"/>
                <w:b/>
                <w:sz w:val="20"/>
                <w:lang w:val="es-MX"/>
              </w:rPr>
            </w:pPr>
          </w:p>
        </w:tc>
      </w:tr>
      <w:tr w:rsidR="003F39C5" w:rsidRPr="000A40B5" w:rsidTr="00264F1F">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rPr>
                <w:rFonts w:ascii="Calibri" w:hAnsi="Calibri" w:cs="DIN Pro Regular"/>
                <w:b/>
                <w:sz w:val="20"/>
                <w:lang w:val="es-MX"/>
              </w:rPr>
            </w:pPr>
            <w:r w:rsidRPr="000A40B5">
              <w:rPr>
                <w:rFonts w:ascii="Calibri" w:hAnsi="Calibri" w:cs="DIN Pro Regular"/>
                <w:b/>
                <w:sz w:val="20"/>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jc w:val="center"/>
              <w:rPr>
                <w:rFonts w:ascii="Calibri" w:hAnsi="Calibri" w:cs="DIN Pro Regular"/>
                <w:b/>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jc w:val="center"/>
              <w:rPr>
                <w:rFonts w:ascii="Calibri" w:hAnsi="Calibri" w:cs="DIN Pro Regular"/>
                <w:b/>
                <w:sz w:val="20"/>
                <w:lang w:val="es-MX"/>
              </w:rPr>
            </w:pPr>
          </w:p>
        </w:tc>
      </w:tr>
      <w:tr w:rsidR="003F39C5" w:rsidRPr="000A40B5" w:rsidTr="00264F1F">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3F39C5" w:rsidRPr="000A40B5" w:rsidRDefault="003D23FC" w:rsidP="00264F1F">
            <w:pPr>
              <w:pStyle w:val="Texto"/>
              <w:spacing w:after="0" w:line="240" w:lineRule="exact"/>
              <w:ind w:firstLine="0"/>
              <w:rPr>
                <w:rFonts w:ascii="Calibri" w:hAnsi="Calibri" w:cs="DIN Pro Regular"/>
                <w:b/>
                <w:sz w:val="20"/>
                <w:lang w:val="es-MX"/>
              </w:rPr>
            </w:pPr>
            <w:r w:rsidRPr="000A40B5">
              <w:rPr>
                <w:rFonts w:ascii="Calibri" w:hAnsi="Calibri" w:cs="DIN Pro Regular"/>
                <w:b/>
                <w:sz w:val="20"/>
              </w:rPr>
              <w:t xml:space="preserve">Ganancia/pérdida en venta de bienes muebles, inmuebles e intangibles </w:t>
            </w:r>
          </w:p>
        </w:tc>
        <w:tc>
          <w:tcPr>
            <w:tcW w:w="1148"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jc w:val="center"/>
              <w:rPr>
                <w:rFonts w:ascii="Calibri" w:hAnsi="Calibri" w:cs="DIN Pro Regular"/>
                <w:b/>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jc w:val="center"/>
              <w:rPr>
                <w:rFonts w:ascii="Calibri" w:hAnsi="Calibri" w:cs="DIN Pro Regular"/>
                <w:b/>
                <w:sz w:val="20"/>
                <w:lang w:val="es-MX"/>
              </w:rPr>
            </w:pPr>
          </w:p>
        </w:tc>
      </w:tr>
      <w:tr w:rsidR="003F39C5" w:rsidRPr="000A40B5" w:rsidTr="001C2F26">
        <w:trPr>
          <w:cantSplit/>
          <w:trHeight w:val="282"/>
          <w:jc w:val="center"/>
        </w:trPr>
        <w:tc>
          <w:tcPr>
            <w:tcW w:w="6677"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rPr>
                <w:rFonts w:ascii="Calibri" w:hAnsi="Calibri" w:cs="DIN Pro Regular"/>
                <w:b/>
                <w:sz w:val="20"/>
                <w:lang w:val="es-MX"/>
              </w:rPr>
            </w:pPr>
            <w:r w:rsidRPr="000A40B5">
              <w:rPr>
                <w:rFonts w:ascii="Calibri" w:hAnsi="Calibri" w:cs="DIN Pro Regular"/>
                <w:b/>
                <w:sz w:val="20"/>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jc w:val="center"/>
              <w:rPr>
                <w:rFonts w:ascii="Calibri" w:hAnsi="Calibri" w:cs="DIN Pro Regular"/>
                <w:b/>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3F39C5" w:rsidRPr="000A40B5" w:rsidRDefault="003F39C5" w:rsidP="00264F1F">
            <w:pPr>
              <w:pStyle w:val="Texto"/>
              <w:spacing w:after="0" w:line="240" w:lineRule="exact"/>
              <w:ind w:firstLine="0"/>
              <w:jc w:val="center"/>
              <w:rPr>
                <w:rFonts w:ascii="Calibri" w:hAnsi="Calibri" w:cs="DIN Pro Regular"/>
                <w:b/>
                <w:sz w:val="20"/>
                <w:lang w:val="es-MX"/>
              </w:rPr>
            </w:pPr>
          </w:p>
        </w:tc>
      </w:tr>
      <w:tr w:rsidR="003F39C5" w:rsidRPr="000A40B5"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0A40B5" w:rsidRDefault="003D23FC" w:rsidP="00264F1F">
            <w:pPr>
              <w:pStyle w:val="Texto"/>
              <w:spacing w:after="0" w:line="240" w:lineRule="exact"/>
              <w:ind w:firstLine="0"/>
              <w:rPr>
                <w:rFonts w:ascii="Calibri" w:hAnsi="Calibri" w:cs="DIN Pro Regular"/>
                <w:b/>
                <w:sz w:val="20"/>
                <w:lang w:val="es-MX"/>
              </w:rPr>
            </w:pPr>
            <w:r w:rsidRPr="000A40B5">
              <w:rPr>
                <w:rFonts w:ascii="Calibri" w:hAnsi="Calibri" w:cs="DIN Pro Regular"/>
                <w:b/>
                <w:sz w:val="20"/>
              </w:rPr>
              <w:t xml:space="preserve">Flujos de Efectivo Netos de las Actividades de Operación </w:t>
            </w:r>
          </w:p>
        </w:tc>
        <w:tc>
          <w:tcPr>
            <w:tcW w:w="1148" w:type="dxa"/>
            <w:tcBorders>
              <w:top w:val="single" w:sz="6" w:space="0" w:color="auto"/>
              <w:left w:val="single" w:sz="6" w:space="0" w:color="auto"/>
              <w:bottom w:val="single" w:sz="6" w:space="0" w:color="auto"/>
              <w:right w:val="single" w:sz="6" w:space="0" w:color="auto"/>
            </w:tcBorders>
          </w:tcPr>
          <w:p w:rsidR="003F39C5" w:rsidRPr="000A40B5" w:rsidRDefault="008E44D5" w:rsidP="00B22D96">
            <w:pPr>
              <w:pStyle w:val="Texto"/>
              <w:spacing w:after="0" w:line="240" w:lineRule="exact"/>
              <w:ind w:firstLine="0"/>
              <w:jc w:val="center"/>
              <w:rPr>
                <w:rFonts w:ascii="Calibri" w:hAnsi="Calibri" w:cs="DIN Pro Regular"/>
                <w:b/>
                <w:sz w:val="20"/>
                <w:lang w:val="es-MX"/>
              </w:rPr>
            </w:pPr>
            <w:r w:rsidRPr="000A40B5">
              <w:rPr>
                <w:rFonts w:ascii="Calibri" w:hAnsi="Calibri" w:cs="DIN Pro Regular"/>
                <w:b/>
                <w:sz w:val="20"/>
                <w:lang w:val="es-MX"/>
              </w:rPr>
              <w:t>777,918</w:t>
            </w:r>
          </w:p>
        </w:tc>
        <w:tc>
          <w:tcPr>
            <w:tcW w:w="1134" w:type="dxa"/>
            <w:tcBorders>
              <w:top w:val="single" w:sz="6" w:space="0" w:color="auto"/>
              <w:left w:val="single" w:sz="6" w:space="0" w:color="auto"/>
              <w:bottom w:val="single" w:sz="6" w:space="0" w:color="auto"/>
              <w:right w:val="single" w:sz="6" w:space="0" w:color="auto"/>
            </w:tcBorders>
          </w:tcPr>
          <w:p w:rsidR="003F39C5" w:rsidRPr="000A40B5" w:rsidRDefault="008E44D5" w:rsidP="00264F1F">
            <w:pPr>
              <w:pStyle w:val="Texto"/>
              <w:spacing w:after="0" w:line="240" w:lineRule="exact"/>
              <w:ind w:firstLine="0"/>
              <w:jc w:val="center"/>
              <w:rPr>
                <w:rFonts w:ascii="Calibri" w:hAnsi="Calibri" w:cs="DIN Pro Regular"/>
                <w:b/>
                <w:sz w:val="20"/>
                <w:lang w:val="es-MX"/>
              </w:rPr>
            </w:pPr>
            <w:r w:rsidRPr="000A40B5">
              <w:rPr>
                <w:rFonts w:ascii="Calibri" w:hAnsi="Calibri" w:cs="DIN Pro Regular"/>
                <w:b/>
                <w:sz w:val="20"/>
                <w:lang w:val="es-MX"/>
              </w:rPr>
              <w:t>22,295,132</w:t>
            </w:r>
          </w:p>
        </w:tc>
      </w:tr>
    </w:tbl>
    <w:p w:rsidR="00AE608D" w:rsidRPr="000A40B5" w:rsidRDefault="00AE608D" w:rsidP="000E6439">
      <w:pPr>
        <w:pStyle w:val="ROMANOS"/>
        <w:spacing w:after="0" w:line="240" w:lineRule="exact"/>
        <w:ind w:left="1140"/>
        <w:rPr>
          <w:rFonts w:ascii="Calibri" w:hAnsi="Calibri" w:cs="DIN Pro Regular"/>
          <w:b/>
          <w:sz w:val="20"/>
          <w:szCs w:val="20"/>
          <w:lang w:val="es-MX"/>
        </w:rPr>
      </w:pPr>
    </w:p>
    <w:p w:rsidR="00D846EF" w:rsidRPr="000A40B5" w:rsidRDefault="00D846EF" w:rsidP="000E6439">
      <w:pPr>
        <w:pStyle w:val="ROMANOS"/>
        <w:spacing w:after="0" w:line="240" w:lineRule="exact"/>
        <w:ind w:left="1140"/>
        <w:rPr>
          <w:rFonts w:ascii="Calibri" w:hAnsi="Calibri" w:cs="DIN Pro Regular"/>
          <w:b/>
          <w:sz w:val="20"/>
          <w:szCs w:val="20"/>
          <w:lang w:val="es-MX"/>
        </w:rPr>
      </w:pPr>
    </w:p>
    <w:p w:rsidR="00DF01DA" w:rsidRDefault="00DF01DA" w:rsidP="008E44D5">
      <w:pPr>
        <w:pStyle w:val="ROMANOS"/>
        <w:spacing w:after="0" w:line="240" w:lineRule="exact"/>
        <w:ind w:left="0" w:firstLine="0"/>
        <w:rPr>
          <w:rFonts w:ascii="Calibri" w:hAnsi="Calibri" w:cs="DIN Pro Regular"/>
          <w:b/>
          <w:sz w:val="20"/>
          <w:szCs w:val="20"/>
          <w:lang w:val="es-MX"/>
        </w:rPr>
      </w:pPr>
    </w:p>
    <w:p w:rsidR="007560D3" w:rsidRDefault="007560D3" w:rsidP="008E44D5">
      <w:pPr>
        <w:pStyle w:val="ROMANOS"/>
        <w:spacing w:after="0" w:line="240" w:lineRule="exact"/>
        <w:ind w:left="0" w:firstLine="0"/>
        <w:rPr>
          <w:rFonts w:ascii="Calibri" w:hAnsi="Calibri" w:cs="DIN Pro Regular"/>
          <w:b/>
          <w:sz w:val="20"/>
          <w:szCs w:val="20"/>
          <w:lang w:val="es-MX"/>
        </w:rPr>
      </w:pPr>
    </w:p>
    <w:p w:rsidR="007560D3" w:rsidRDefault="007560D3" w:rsidP="008E44D5">
      <w:pPr>
        <w:pStyle w:val="ROMANOS"/>
        <w:spacing w:after="0" w:line="240" w:lineRule="exact"/>
        <w:ind w:left="0" w:firstLine="0"/>
        <w:rPr>
          <w:rFonts w:ascii="Calibri" w:hAnsi="Calibri" w:cs="DIN Pro Regular"/>
          <w:b/>
          <w:sz w:val="20"/>
          <w:szCs w:val="20"/>
          <w:lang w:val="es-MX"/>
        </w:rPr>
      </w:pPr>
    </w:p>
    <w:p w:rsidR="007560D3" w:rsidRDefault="007560D3" w:rsidP="008E44D5">
      <w:pPr>
        <w:pStyle w:val="ROMANOS"/>
        <w:spacing w:after="0" w:line="240" w:lineRule="exact"/>
        <w:ind w:left="0" w:firstLine="0"/>
        <w:rPr>
          <w:rFonts w:ascii="Calibri" w:hAnsi="Calibri" w:cs="DIN Pro Regular"/>
          <w:b/>
          <w:sz w:val="20"/>
          <w:szCs w:val="20"/>
          <w:lang w:val="es-MX"/>
        </w:rPr>
      </w:pPr>
    </w:p>
    <w:p w:rsidR="007560D3" w:rsidRDefault="007560D3" w:rsidP="008E44D5">
      <w:pPr>
        <w:pStyle w:val="ROMANOS"/>
        <w:spacing w:after="0" w:line="240" w:lineRule="exact"/>
        <w:ind w:left="0" w:firstLine="0"/>
        <w:rPr>
          <w:rFonts w:ascii="Calibri" w:hAnsi="Calibri" w:cs="DIN Pro Regular"/>
          <w:b/>
          <w:sz w:val="20"/>
          <w:szCs w:val="20"/>
          <w:lang w:val="es-MX"/>
        </w:rPr>
      </w:pPr>
    </w:p>
    <w:p w:rsidR="007560D3" w:rsidRDefault="007560D3" w:rsidP="008E44D5">
      <w:pPr>
        <w:pStyle w:val="ROMANOS"/>
        <w:spacing w:after="0" w:line="240" w:lineRule="exact"/>
        <w:ind w:left="0" w:firstLine="0"/>
        <w:rPr>
          <w:rFonts w:ascii="Calibri" w:hAnsi="Calibri" w:cs="DIN Pro Regular"/>
          <w:b/>
          <w:sz w:val="20"/>
          <w:szCs w:val="20"/>
          <w:lang w:val="es-MX"/>
        </w:rPr>
      </w:pPr>
    </w:p>
    <w:p w:rsidR="007560D3" w:rsidRDefault="007560D3" w:rsidP="008E44D5">
      <w:pPr>
        <w:pStyle w:val="ROMANOS"/>
        <w:spacing w:after="0" w:line="240" w:lineRule="exact"/>
        <w:ind w:left="0" w:firstLine="0"/>
        <w:rPr>
          <w:rFonts w:ascii="Calibri" w:hAnsi="Calibri" w:cs="DIN Pro Regular"/>
          <w:b/>
          <w:sz w:val="20"/>
          <w:szCs w:val="20"/>
          <w:lang w:val="es-MX"/>
        </w:rPr>
      </w:pPr>
    </w:p>
    <w:p w:rsidR="007560D3" w:rsidRDefault="007560D3" w:rsidP="008E44D5">
      <w:pPr>
        <w:pStyle w:val="ROMANOS"/>
        <w:spacing w:after="0" w:line="240" w:lineRule="exact"/>
        <w:ind w:left="0" w:firstLine="0"/>
        <w:rPr>
          <w:rFonts w:ascii="Calibri" w:hAnsi="Calibri" w:cs="DIN Pro Regular"/>
          <w:b/>
          <w:sz w:val="20"/>
          <w:szCs w:val="20"/>
          <w:lang w:val="es-MX"/>
        </w:rPr>
      </w:pPr>
    </w:p>
    <w:p w:rsidR="007560D3" w:rsidRDefault="007560D3" w:rsidP="008E44D5">
      <w:pPr>
        <w:pStyle w:val="ROMANOS"/>
        <w:spacing w:after="0" w:line="240" w:lineRule="exact"/>
        <w:ind w:left="0" w:firstLine="0"/>
        <w:rPr>
          <w:rFonts w:ascii="Calibri" w:hAnsi="Calibri" w:cs="DIN Pro Regular"/>
          <w:b/>
          <w:sz w:val="20"/>
          <w:szCs w:val="20"/>
          <w:lang w:val="es-MX"/>
        </w:rPr>
      </w:pPr>
    </w:p>
    <w:p w:rsidR="007560D3" w:rsidRPr="000A40B5" w:rsidRDefault="007560D3" w:rsidP="008E44D5">
      <w:pPr>
        <w:pStyle w:val="ROMANOS"/>
        <w:spacing w:after="0" w:line="240" w:lineRule="exact"/>
        <w:ind w:left="0" w:firstLine="0"/>
        <w:rPr>
          <w:rFonts w:ascii="Calibri" w:hAnsi="Calibri" w:cs="DIN Pro Regular"/>
          <w:b/>
          <w:sz w:val="20"/>
          <w:szCs w:val="20"/>
          <w:lang w:val="es-MX"/>
        </w:rPr>
      </w:pPr>
    </w:p>
    <w:p w:rsidR="00DF01DA" w:rsidRPr="000A40B5" w:rsidRDefault="00DF01DA" w:rsidP="000E6439">
      <w:pPr>
        <w:pStyle w:val="ROMANOS"/>
        <w:spacing w:after="0" w:line="240" w:lineRule="exact"/>
        <w:ind w:left="1140"/>
        <w:rPr>
          <w:rFonts w:ascii="Calibri" w:hAnsi="Calibri" w:cs="DIN Pro Regular"/>
          <w:b/>
          <w:sz w:val="20"/>
          <w:szCs w:val="20"/>
          <w:lang w:val="es-MX"/>
        </w:rPr>
      </w:pPr>
    </w:p>
    <w:p w:rsidR="00540418" w:rsidRPr="008A011E" w:rsidRDefault="00540418" w:rsidP="002C576A">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V) Conciliación entre los ingresos presupuestarios y contables, así como entre los egresos presupuestarios y los gastos contables</w:t>
      </w:r>
      <w:r w:rsidR="00174108" w:rsidRPr="008A011E">
        <w:rPr>
          <w:rFonts w:ascii="Calibri" w:hAnsi="Calibri" w:cs="DIN Pro Regular"/>
          <w:b/>
          <w:smallCaps/>
          <w:sz w:val="20"/>
          <w:szCs w:val="20"/>
        </w:rPr>
        <w:t>:</w:t>
      </w:r>
    </w:p>
    <w:p w:rsidR="00174108" w:rsidRPr="008A011E" w:rsidRDefault="00174108" w:rsidP="002C576A">
      <w:pPr>
        <w:pStyle w:val="INCISO"/>
        <w:spacing w:after="0" w:line="240" w:lineRule="exact"/>
        <w:ind w:left="360"/>
        <w:rPr>
          <w:rFonts w:ascii="Calibri" w:hAnsi="Calibri" w:cs="DIN Pro Regular"/>
          <w:b/>
          <w:smallCaps/>
          <w:sz w:val="20"/>
          <w:szCs w:val="20"/>
        </w:rPr>
      </w:pP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2164CC"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rsidR="002164CC" w:rsidRPr="002164CC" w:rsidRDefault="008E44D5" w:rsidP="002164CC">
            <w:pPr>
              <w:spacing w:after="0" w:line="240" w:lineRule="auto"/>
              <w:jc w:val="center"/>
              <w:rPr>
                <w:rFonts w:asciiTheme="minorHAnsi" w:eastAsia="Times New Roman" w:hAnsiTheme="minorHAnsi" w:cs="DIN Pro Regular"/>
                <w:b/>
                <w:bCs/>
                <w:color w:val="FFFFFF"/>
                <w:sz w:val="20"/>
                <w:szCs w:val="20"/>
                <w:lang w:eastAsia="es-MX"/>
              </w:rPr>
            </w:pPr>
            <w:r>
              <w:rPr>
                <w:rFonts w:asciiTheme="minorHAnsi" w:eastAsia="Times New Roman" w:hAnsiTheme="minorHAnsi" w:cs="DIN Pro Regular"/>
                <w:b/>
                <w:bCs/>
                <w:color w:val="FFFFFF"/>
                <w:sz w:val="20"/>
                <w:szCs w:val="20"/>
                <w:lang w:eastAsia="es-MX"/>
              </w:rPr>
              <w:t>UNIVERSIDAD TECNOLÓGICA DE NUEVO LAREDO</w:t>
            </w:r>
          </w:p>
        </w:tc>
      </w:tr>
      <w:tr w:rsidR="002164CC" w:rsidRPr="002164CC"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Ingresos Presupuestarios y Contables</w:t>
            </w:r>
          </w:p>
        </w:tc>
      </w:tr>
      <w:tr w:rsidR="002164CC" w:rsidRPr="002164CC"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Correspondiente del 1 de Enero al 31 de Diciembre del 2022</w:t>
            </w:r>
          </w:p>
        </w:tc>
      </w:tr>
      <w:tr w:rsidR="002164CC" w:rsidRPr="002164CC"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2164CC"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rsidR="002164CC" w:rsidRPr="002164CC" w:rsidRDefault="00860E9C" w:rsidP="0052629F">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$ 96,754,938</w:t>
            </w: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860E9C" w:rsidP="0052629F">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$1,118,471</w:t>
            </w:r>
          </w:p>
        </w:tc>
      </w:tr>
      <w:tr w:rsidR="002164CC" w:rsidRPr="002164CC"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w:t>
            </w:r>
            <w:r w:rsidRPr="002164CC">
              <w:rPr>
                <w:rFonts w:asciiTheme="minorHAnsi" w:eastAsia="Times New Roman" w:hAnsiTheme="minorHAnsi" w:cs="DIN Pro Regular"/>
                <w:b/>
                <w:color w:val="000000"/>
                <w:sz w:val="20"/>
                <w:szCs w:val="20"/>
                <w:lang w:eastAsia="es-MX"/>
              </w:rPr>
              <w:t>.</w:t>
            </w:r>
            <w:r w:rsidRPr="002164CC">
              <w:rPr>
                <w:rFonts w:asciiTheme="minorHAnsi" w:eastAsia="Times New Roman" w:hAnsiTheme="minorHAnsi" w:cs="DIN Pro Regular"/>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rsidR="002164CC" w:rsidRPr="000A40B5" w:rsidRDefault="00860E9C" w:rsidP="0052629F">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$1,098,471</w:t>
            </w: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Incremento por variación de inventarios.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0A40B5" w:rsidRDefault="002164CC" w:rsidP="0052629F">
            <w:pPr>
              <w:spacing w:after="0" w:line="240" w:lineRule="auto"/>
              <w:jc w:val="right"/>
              <w:rPr>
                <w:rFonts w:asciiTheme="minorHAnsi" w:eastAsia="Times New Roman" w:hAnsiTheme="minorHAnsi" w:cs="DIN Pro Regular"/>
                <w:b/>
                <w:color w:val="000000"/>
                <w:sz w:val="20"/>
                <w:szCs w:val="20"/>
                <w:lang w:eastAsia="es-MX"/>
              </w:rPr>
            </w:pP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496"/>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estimaciones por pérdidas o deterioro u obsolescencia</w:t>
            </w:r>
          </w:p>
        </w:tc>
        <w:tc>
          <w:tcPr>
            <w:tcW w:w="2746" w:type="dxa"/>
            <w:tcBorders>
              <w:top w:val="nil"/>
              <w:left w:val="nil"/>
              <w:bottom w:val="single" w:sz="4" w:space="0" w:color="auto"/>
              <w:right w:val="single" w:sz="4" w:space="0" w:color="auto"/>
            </w:tcBorders>
            <w:shd w:val="clear" w:color="auto" w:fill="auto"/>
            <w:vAlign w:val="center"/>
            <w:hideMark/>
          </w:tcPr>
          <w:p w:rsidR="002164CC" w:rsidRPr="000A40B5" w:rsidRDefault="002164CC" w:rsidP="0052629F">
            <w:pPr>
              <w:spacing w:after="0" w:line="240" w:lineRule="auto"/>
              <w:jc w:val="right"/>
              <w:rPr>
                <w:rFonts w:asciiTheme="minorHAnsi" w:eastAsia="Times New Roman" w:hAnsiTheme="minorHAnsi" w:cs="DIN Pro Regular"/>
                <w:b/>
                <w:color w:val="000000"/>
                <w:sz w:val="20"/>
                <w:szCs w:val="20"/>
                <w:lang w:eastAsia="es-MX"/>
              </w:rPr>
            </w:pP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provisiones</w:t>
            </w:r>
          </w:p>
        </w:tc>
        <w:tc>
          <w:tcPr>
            <w:tcW w:w="2746" w:type="dxa"/>
            <w:tcBorders>
              <w:top w:val="nil"/>
              <w:left w:val="nil"/>
              <w:bottom w:val="single" w:sz="4" w:space="0" w:color="auto"/>
              <w:right w:val="single" w:sz="4" w:space="0" w:color="auto"/>
            </w:tcBorders>
            <w:shd w:val="clear" w:color="auto" w:fill="auto"/>
            <w:vAlign w:val="center"/>
            <w:hideMark/>
          </w:tcPr>
          <w:p w:rsidR="002164CC" w:rsidRPr="000A40B5" w:rsidRDefault="002164CC" w:rsidP="0052629F">
            <w:pPr>
              <w:spacing w:after="0" w:line="240" w:lineRule="auto"/>
              <w:jc w:val="right"/>
              <w:rPr>
                <w:rFonts w:asciiTheme="minorHAnsi" w:eastAsia="Times New Roman" w:hAnsiTheme="minorHAnsi" w:cs="DIN Pro Regular"/>
                <w:b/>
                <w:color w:val="000000"/>
                <w:sz w:val="20"/>
                <w:szCs w:val="20"/>
                <w:lang w:eastAsia="es-MX"/>
              </w:rPr>
            </w:pP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y beneficios varios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0A40B5" w:rsidRDefault="00860E9C" w:rsidP="0052629F">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$20,000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        2.6          Otros ingresos contables no presupuestarios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0A40B5" w:rsidRDefault="002164CC" w:rsidP="0052629F">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5076"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vAlign w:val="center"/>
            <w:hideMark/>
          </w:tcPr>
          <w:p w:rsidR="002164CC" w:rsidRPr="000A40B5" w:rsidRDefault="002164CC" w:rsidP="0052629F">
            <w:pPr>
              <w:spacing w:after="0" w:line="240" w:lineRule="auto"/>
              <w:jc w:val="right"/>
              <w:rPr>
                <w:rFonts w:asciiTheme="minorHAnsi" w:eastAsia="Times New Roman" w:hAnsiTheme="minorHAnsi" w:cs="DIN Pro Regular"/>
                <w:b/>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0A40B5" w:rsidRDefault="002164CC" w:rsidP="002164CC">
            <w:pPr>
              <w:spacing w:after="0" w:line="240" w:lineRule="auto"/>
              <w:jc w:val="center"/>
              <w:rPr>
                <w:rFonts w:asciiTheme="minorHAnsi" w:eastAsia="Times New Roman" w:hAnsiTheme="minorHAnsi" w:cs="DIN Pro Regular"/>
                <w:b/>
                <w:color w:val="000000"/>
                <w:sz w:val="20"/>
                <w:szCs w:val="20"/>
                <w:lang w:eastAsia="es-MX"/>
              </w:rPr>
            </w:pPr>
          </w:p>
        </w:tc>
      </w:tr>
      <w:tr w:rsidR="002164CC" w:rsidRPr="002164CC"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0A40B5" w:rsidRDefault="002164CC" w:rsidP="002164CC">
            <w:pPr>
              <w:spacing w:after="0" w:line="240" w:lineRule="auto"/>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 </w:t>
            </w: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rsidR="002164CC" w:rsidRPr="000A40B5" w:rsidRDefault="002164CC" w:rsidP="002164CC">
            <w:pPr>
              <w:spacing w:after="0" w:line="240" w:lineRule="auto"/>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presupuestarios no contables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0A40B5" w:rsidRDefault="002164CC" w:rsidP="002164CC">
            <w:pPr>
              <w:spacing w:after="0" w:line="240" w:lineRule="auto"/>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1" w:type="dxa"/>
          <w:trHeight w:val="334"/>
        </w:trPr>
        <w:tc>
          <w:tcPr>
            <w:tcW w:w="5685" w:type="dxa"/>
            <w:gridSpan w:val="2"/>
            <w:tcBorders>
              <w:top w:val="nil"/>
              <w:left w:val="nil"/>
              <w:bottom w:val="nil"/>
              <w:right w:val="nil"/>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rsidR="002164CC" w:rsidRPr="000A40B5" w:rsidRDefault="002164CC" w:rsidP="002164CC">
            <w:pPr>
              <w:spacing w:after="0" w:line="240" w:lineRule="auto"/>
              <w:rPr>
                <w:rFonts w:asciiTheme="minorHAnsi" w:eastAsia="Times New Roman" w:hAnsiTheme="minorHAnsi" w:cs="DIN Pro Regular"/>
                <w:b/>
                <w:color w:val="000000"/>
                <w:sz w:val="20"/>
                <w:szCs w:val="20"/>
                <w:lang w:eastAsia="es-MX"/>
              </w:rPr>
            </w:pPr>
          </w:p>
        </w:tc>
      </w:tr>
      <w:tr w:rsidR="002164CC" w:rsidRPr="002164CC" w:rsidTr="002164CC">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164CC" w:rsidRDefault="002164CC" w:rsidP="002164CC">
            <w:pPr>
              <w:spacing w:after="0" w:line="240" w:lineRule="auto"/>
              <w:jc w:val="both"/>
              <w:rPr>
                <w:rFonts w:asciiTheme="minorHAnsi" w:eastAsia="Times New Roman" w:hAnsiTheme="minorHAnsi" w:cs="DIN Pro Regular"/>
                <w:b/>
                <w:bCs/>
                <w:color w:val="FFFFFF"/>
                <w:sz w:val="20"/>
                <w:szCs w:val="20"/>
                <w:lang w:eastAsia="es-MX"/>
              </w:rPr>
            </w:pPr>
            <w:r w:rsidRPr="002164CC">
              <w:rPr>
                <w:rFonts w:asciiTheme="minorHAnsi" w:eastAsia="Times New Roman" w:hAnsiTheme="minorHAnsi" w:cs="DIN Pro Regular"/>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0A40B5" w:rsidRDefault="0052629F" w:rsidP="0052629F">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$97,873,409</w:t>
            </w:r>
          </w:p>
        </w:tc>
      </w:tr>
    </w:tbl>
    <w:p w:rsidR="007006CA" w:rsidRPr="008A011E" w:rsidRDefault="007075A0" w:rsidP="007006CA">
      <w:pPr>
        <w:spacing w:after="0"/>
        <w:rPr>
          <w:rFonts w:cs="DIN Pro Regular"/>
          <w:sz w:val="20"/>
          <w:szCs w:val="20"/>
        </w:rPr>
      </w:pPr>
      <w:r w:rsidRPr="008A011E">
        <w:rPr>
          <w:rFonts w:cs="DIN Pro Regular"/>
          <w:sz w:val="20"/>
          <w:szCs w:val="20"/>
        </w:rPr>
        <w:br w:type="textWrapping" w:clear="all"/>
      </w:r>
      <w:r w:rsidR="00C80DE1" w:rsidRPr="008A011E">
        <w:rPr>
          <w:rFonts w:cs="DIN Pro Regular"/>
          <w:sz w:val="20"/>
          <w:szCs w:val="20"/>
        </w:rPr>
        <w:t xml:space="preserve">                           </w:t>
      </w:r>
    </w:p>
    <w:p w:rsidR="000C7E64" w:rsidRPr="008A011E" w:rsidRDefault="000C7E64" w:rsidP="007006CA">
      <w:pPr>
        <w:spacing w:after="0"/>
        <w:rPr>
          <w:rFonts w:cs="DIN Pro Regular"/>
          <w:sz w:val="20"/>
          <w:szCs w:val="20"/>
        </w:rPr>
      </w:pPr>
    </w:p>
    <w:p w:rsidR="009C5C3A" w:rsidRDefault="007006CA" w:rsidP="007006CA">
      <w:pPr>
        <w:spacing w:after="0"/>
        <w:rPr>
          <w:rFonts w:cs="DIN Pro Regular"/>
          <w:sz w:val="20"/>
          <w:szCs w:val="20"/>
        </w:rPr>
      </w:pPr>
      <w:r w:rsidRPr="008A011E">
        <w:rPr>
          <w:rFonts w:cs="DIN Pro Regular"/>
          <w:sz w:val="20"/>
          <w:szCs w:val="20"/>
        </w:rPr>
        <w:t xml:space="preserve">                     </w:t>
      </w:r>
    </w:p>
    <w:p w:rsidR="0052629F" w:rsidRDefault="0052629F" w:rsidP="007006CA">
      <w:pPr>
        <w:spacing w:after="0"/>
        <w:rPr>
          <w:rFonts w:cs="DIN Pro Regular"/>
          <w:sz w:val="20"/>
          <w:szCs w:val="20"/>
        </w:rPr>
      </w:pPr>
    </w:p>
    <w:p w:rsidR="0052629F" w:rsidRDefault="0052629F" w:rsidP="007006CA">
      <w:pPr>
        <w:spacing w:after="0"/>
        <w:rPr>
          <w:rFonts w:cs="DIN Pro Regular"/>
          <w:sz w:val="20"/>
          <w:szCs w:val="20"/>
        </w:rPr>
      </w:pPr>
    </w:p>
    <w:p w:rsidR="0052629F" w:rsidRDefault="0052629F" w:rsidP="007006CA">
      <w:pPr>
        <w:spacing w:after="0"/>
        <w:rPr>
          <w:rFonts w:cs="DIN Pro Regular"/>
          <w:sz w:val="20"/>
          <w:szCs w:val="20"/>
        </w:rPr>
      </w:pPr>
    </w:p>
    <w:p w:rsidR="0052629F" w:rsidRDefault="0052629F" w:rsidP="007006CA">
      <w:pPr>
        <w:spacing w:after="0"/>
        <w:rPr>
          <w:rFonts w:cs="DIN Pro Regular"/>
          <w:sz w:val="20"/>
          <w:szCs w:val="20"/>
        </w:rPr>
      </w:pPr>
    </w:p>
    <w:p w:rsidR="0052629F" w:rsidRDefault="0052629F" w:rsidP="007006CA">
      <w:pPr>
        <w:spacing w:after="0"/>
        <w:rPr>
          <w:rFonts w:cs="DIN Pro Regular"/>
          <w:sz w:val="20"/>
          <w:szCs w:val="20"/>
        </w:rPr>
      </w:pPr>
    </w:p>
    <w:p w:rsidR="0052629F" w:rsidRDefault="0052629F" w:rsidP="007006CA">
      <w:pPr>
        <w:spacing w:after="0"/>
        <w:rPr>
          <w:rFonts w:cs="DIN Pro Regular"/>
          <w:sz w:val="20"/>
          <w:szCs w:val="20"/>
        </w:rPr>
      </w:pPr>
    </w:p>
    <w:p w:rsidR="0052629F" w:rsidRDefault="0052629F" w:rsidP="007006CA">
      <w:pPr>
        <w:spacing w:after="0"/>
        <w:rPr>
          <w:rFonts w:cs="DIN Pro Regular"/>
          <w:sz w:val="20"/>
          <w:szCs w:val="20"/>
        </w:rPr>
      </w:pPr>
    </w:p>
    <w:p w:rsidR="0052629F" w:rsidRDefault="0052629F" w:rsidP="007006CA">
      <w:pPr>
        <w:spacing w:after="0"/>
        <w:rPr>
          <w:rFonts w:cs="DIN Pro Regular"/>
          <w:sz w:val="20"/>
          <w:szCs w:val="20"/>
        </w:rPr>
      </w:pPr>
    </w:p>
    <w:p w:rsidR="0052629F" w:rsidRDefault="0052629F" w:rsidP="007006CA">
      <w:pPr>
        <w:spacing w:after="0"/>
        <w:rPr>
          <w:rFonts w:cs="DIN Pro Regular"/>
          <w:sz w:val="20"/>
          <w:szCs w:val="20"/>
        </w:rPr>
      </w:pPr>
    </w:p>
    <w:p w:rsidR="007560D3" w:rsidRPr="008A011E" w:rsidRDefault="007560D3" w:rsidP="007006CA">
      <w:pPr>
        <w:spacing w:after="0"/>
        <w:rPr>
          <w:rFonts w:cs="DIN Pro Regular"/>
          <w:sz w:val="20"/>
          <w:szCs w:val="20"/>
        </w:rPr>
      </w:pPr>
    </w:p>
    <w:p w:rsidR="00DF01DA" w:rsidRPr="008A011E" w:rsidRDefault="00DF01DA" w:rsidP="007006CA">
      <w:pPr>
        <w:spacing w:after="0"/>
        <w:rPr>
          <w:rFonts w:cs="DIN Pro Regular"/>
          <w:sz w:val="20"/>
          <w:szCs w:val="20"/>
        </w:rPr>
      </w:pPr>
    </w:p>
    <w:p w:rsidR="00DF01DA" w:rsidRDefault="00DF01DA" w:rsidP="007006CA">
      <w:pPr>
        <w:spacing w:after="0"/>
        <w:rPr>
          <w:rFonts w:cs="DIN Pro Regular"/>
          <w:sz w:val="20"/>
          <w:szCs w:val="20"/>
        </w:rPr>
      </w:pPr>
    </w:p>
    <w:p w:rsidR="007006CA" w:rsidRPr="008A011E" w:rsidRDefault="007006CA" w:rsidP="00AE777E">
      <w:pPr>
        <w:spacing w:after="0"/>
        <w:rPr>
          <w:rFonts w:cs="DIN Pro Regular"/>
          <w:sz w:val="20"/>
          <w:szCs w:val="20"/>
        </w:rPr>
      </w:pPr>
      <w:r w:rsidRPr="008A011E">
        <w:rPr>
          <w:rFonts w:cs="DIN Pro Regular"/>
          <w:sz w:val="20"/>
          <w:szCs w:val="20"/>
        </w:rPr>
        <w:lastRenderedPageBreak/>
        <w:t xml:space="preserve">                                                         </w:t>
      </w:r>
    </w:p>
    <w:tbl>
      <w:tblPr>
        <w:tblW w:w="6999" w:type="dxa"/>
        <w:jc w:val="center"/>
        <w:tblCellMar>
          <w:left w:w="70" w:type="dxa"/>
          <w:right w:w="70" w:type="dxa"/>
        </w:tblCellMar>
        <w:tblLook w:val="04A0" w:firstRow="1" w:lastRow="0" w:firstColumn="1" w:lastColumn="0" w:noHBand="0" w:noVBand="1"/>
      </w:tblPr>
      <w:tblGrid>
        <w:gridCol w:w="1040"/>
        <w:gridCol w:w="3660"/>
        <w:gridCol w:w="2139"/>
        <w:gridCol w:w="39"/>
        <w:gridCol w:w="121"/>
      </w:tblGrid>
      <w:tr w:rsidR="00174108" w:rsidRPr="002164CC" w:rsidTr="00010BEF">
        <w:trPr>
          <w:gridAfter w:val="1"/>
          <w:wAfter w:w="121" w:type="dxa"/>
          <w:trHeight w:val="300"/>
          <w:jc w:val="center"/>
        </w:trPr>
        <w:tc>
          <w:tcPr>
            <w:tcW w:w="6878" w:type="dxa"/>
            <w:gridSpan w:val="4"/>
            <w:tcBorders>
              <w:left w:val="single" w:sz="8" w:space="0" w:color="auto"/>
              <w:bottom w:val="nil"/>
              <w:right w:val="single" w:sz="8" w:space="0" w:color="000000"/>
            </w:tcBorders>
            <w:shd w:val="clear" w:color="auto" w:fill="AB0033"/>
            <w:vAlign w:val="center"/>
            <w:hideMark/>
          </w:tcPr>
          <w:p w:rsidR="00174108" w:rsidRPr="002164CC" w:rsidRDefault="00C80DE1" w:rsidP="00DF6363">
            <w:pPr>
              <w:spacing w:after="0" w:line="240" w:lineRule="auto"/>
              <w:jc w:val="center"/>
              <w:rPr>
                <w:rFonts w:asciiTheme="minorHAnsi" w:eastAsia="Times New Roman" w:hAnsiTheme="minorHAnsi" w:cs="DIN Pro Regular"/>
                <w:b/>
                <w:bCs/>
                <w:color w:val="FFFFFF"/>
                <w:sz w:val="20"/>
                <w:szCs w:val="20"/>
                <w:lang w:eastAsia="es-MX"/>
              </w:rPr>
            </w:pPr>
            <w:r w:rsidRPr="002164CC">
              <w:rPr>
                <w:rFonts w:asciiTheme="minorHAnsi" w:hAnsiTheme="minorHAnsi" w:cs="DIN Pro Regular"/>
                <w:sz w:val="20"/>
                <w:szCs w:val="20"/>
              </w:rPr>
              <w:t xml:space="preserve"> </w:t>
            </w:r>
            <w:r w:rsidR="0052629F">
              <w:rPr>
                <w:rFonts w:asciiTheme="minorHAnsi" w:eastAsia="Times New Roman" w:hAnsiTheme="minorHAnsi" w:cs="DIN Pro Regular"/>
                <w:b/>
                <w:bCs/>
                <w:color w:val="FFFFFF"/>
                <w:sz w:val="20"/>
                <w:szCs w:val="20"/>
                <w:lang w:eastAsia="es-MX"/>
              </w:rPr>
              <w:t>UNIVERSIDAD TECNOLÓGICA DE NUEVO LAREDO</w:t>
            </w:r>
          </w:p>
        </w:tc>
      </w:tr>
      <w:tr w:rsidR="00174108" w:rsidRPr="002164CC" w:rsidTr="00010BEF">
        <w:trPr>
          <w:gridAfter w:val="1"/>
          <w:wAfter w:w="121" w:type="dxa"/>
          <w:trHeight w:val="300"/>
          <w:jc w:val="center"/>
        </w:trPr>
        <w:tc>
          <w:tcPr>
            <w:tcW w:w="6878" w:type="dxa"/>
            <w:gridSpan w:val="4"/>
            <w:tcBorders>
              <w:top w:val="nil"/>
              <w:left w:val="single" w:sz="8" w:space="0" w:color="auto"/>
              <w:bottom w:val="nil"/>
              <w:right w:val="single" w:sz="8" w:space="0" w:color="000000"/>
            </w:tcBorders>
            <w:shd w:val="clear" w:color="auto" w:fill="AB0033"/>
            <w:vAlign w:val="center"/>
            <w:hideMark/>
          </w:tcPr>
          <w:p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Egresos Presupuestarios y los Gastos Contables</w:t>
            </w:r>
          </w:p>
        </w:tc>
      </w:tr>
      <w:tr w:rsidR="00174108" w:rsidRPr="002164CC" w:rsidTr="00010BEF">
        <w:trPr>
          <w:gridAfter w:val="1"/>
          <w:wAfter w:w="121" w:type="dxa"/>
          <w:trHeight w:val="300"/>
          <w:jc w:val="center"/>
        </w:trPr>
        <w:tc>
          <w:tcPr>
            <w:tcW w:w="6878" w:type="dxa"/>
            <w:gridSpan w:val="4"/>
            <w:tcBorders>
              <w:top w:val="nil"/>
              <w:left w:val="single" w:sz="8" w:space="0" w:color="auto"/>
              <w:bottom w:val="nil"/>
              <w:right w:val="single" w:sz="8" w:space="0" w:color="000000"/>
            </w:tcBorders>
            <w:shd w:val="clear" w:color="auto" w:fill="AB0033"/>
            <w:vAlign w:val="center"/>
            <w:hideMark/>
          </w:tcPr>
          <w:p w:rsidR="007075A0" w:rsidRPr="002164CC" w:rsidRDefault="00174108" w:rsidP="00DF01DA">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 xml:space="preserve">Correspondiente del 1 de </w:t>
            </w:r>
            <w:r w:rsidR="0050622C" w:rsidRPr="002164CC">
              <w:rPr>
                <w:rFonts w:asciiTheme="minorHAnsi" w:eastAsia="Times New Roman" w:hAnsiTheme="minorHAnsi" w:cs="DIN Pro Regular"/>
                <w:b/>
                <w:color w:val="FFFFFF"/>
                <w:sz w:val="20"/>
                <w:szCs w:val="20"/>
                <w:lang w:eastAsia="es-MX"/>
              </w:rPr>
              <w:t>Enero al 31 de Diciembre del 202</w:t>
            </w:r>
            <w:r w:rsidR="00DF01DA" w:rsidRPr="002164CC">
              <w:rPr>
                <w:rFonts w:asciiTheme="minorHAnsi" w:eastAsia="Times New Roman" w:hAnsiTheme="minorHAnsi" w:cs="DIN Pro Regular"/>
                <w:b/>
                <w:color w:val="FFFFFF"/>
                <w:sz w:val="20"/>
                <w:szCs w:val="20"/>
                <w:lang w:eastAsia="es-MX"/>
              </w:rPr>
              <w:t>2</w:t>
            </w:r>
          </w:p>
        </w:tc>
      </w:tr>
      <w:tr w:rsidR="00174108" w:rsidRPr="002164CC" w:rsidTr="00010BEF">
        <w:trPr>
          <w:gridAfter w:val="1"/>
          <w:wAfter w:w="121" w:type="dxa"/>
          <w:trHeight w:val="315"/>
          <w:jc w:val="center"/>
        </w:trPr>
        <w:tc>
          <w:tcPr>
            <w:tcW w:w="6878" w:type="dxa"/>
            <w:gridSpan w:val="4"/>
            <w:tcBorders>
              <w:top w:val="nil"/>
              <w:left w:val="single" w:sz="8" w:space="0" w:color="auto"/>
              <w:bottom w:val="single" w:sz="8" w:space="0" w:color="auto"/>
              <w:right w:val="single" w:sz="8" w:space="0" w:color="000000"/>
            </w:tcBorders>
            <w:shd w:val="clear" w:color="auto" w:fill="AB0033"/>
            <w:vAlign w:val="center"/>
            <w:hideMark/>
          </w:tcPr>
          <w:p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591EE2" w:rsidRPr="002164CC" w:rsidTr="006D41B9">
        <w:trPr>
          <w:gridAfter w:val="2"/>
          <w:wAfter w:w="160" w:type="dxa"/>
          <w:trHeight w:val="90"/>
          <w:jc w:val="center"/>
        </w:trPr>
        <w:tc>
          <w:tcPr>
            <w:tcW w:w="104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r>
      <w:tr w:rsidR="00591EE2" w:rsidRPr="002164CC" w:rsidTr="00010BEF">
        <w:trPr>
          <w:gridAfter w:val="2"/>
          <w:wAfter w:w="160" w:type="dxa"/>
          <w:trHeight w:val="30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2164CC" w:rsidRDefault="006D41B9" w:rsidP="006D41B9">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 xml:space="preserve">1.- Total de Egresos </w:t>
            </w:r>
            <w:r w:rsidR="00591EE2" w:rsidRPr="002164CC">
              <w:rPr>
                <w:rFonts w:asciiTheme="minorHAnsi" w:eastAsia="Times New Roman" w:hAnsiTheme="minorHAnsi" w:cs="DIN Pro Regular"/>
                <w:b/>
                <w:color w:val="FFFFFF" w:themeColor="background1"/>
                <w:sz w:val="20"/>
                <w:szCs w:val="20"/>
                <w:lang w:eastAsia="es-MX"/>
              </w:rPr>
              <w:t xml:space="preserve"> Presupuestarios </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EE2" w:rsidRPr="002164CC" w:rsidRDefault="0052629F" w:rsidP="00C33482">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$ 103,661,064</w:t>
            </w:r>
          </w:p>
        </w:tc>
      </w:tr>
      <w:tr w:rsidR="00591EE2" w:rsidRPr="002164CC" w:rsidTr="006D41B9">
        <w:trPr>
          <w:gridAfter w:val="2"/>
          <w:wAfter w:w="160" w:type="dxa"/>
          <w:trHeight w:val="135"/>
          <w:jc w:val="center"/>
        </w:trPr>
        <w:tc>
          <w:tcPr>
            <w:tcW w:w="104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r>
      <w:tr w:rsidR="00591EE2" w:rsidRPr="002164CC" w:rsidTr="00A40022">
        <w:trPr>
          <w:gridAfter w:val="2"/>
          <w:wAfter w:w="160" w:type="dxa"/>
          <w:trHeight w:val="30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2164CC" w:rsidRDefault="00591EE2" w:rsidP="00174108">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Menos egresos presupuestarios no contables</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591EE2" w:rsidRPr="002164CC" w:rsidRDefault="00C33482" w:rsidP="00A90A1D">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w:t>
            </w:r>
            <w:r w:rsidR="00A90A1D">
              <w:rPr>
                <w:rFonts w:asciiTheme="minorHAnsi" w:eastAsia="Times New Roman" w:hAnsiTheme="minorHAnsi" w:cs="DIN Pro Regular"/>
                <w:b/>
                <w:color w:val="000000"/>
                <w:sz w:val="20"/>
                <w:szCs w:val="20"/>
                <w:lang w:eastAsia="es-MX"/>
              </w:rPr>
              <w:t>6</w:t>
            </w:r>
            <w:r>
              <w:rPr>
                <w:rFonts w:asciiTheme="minorHAnsi" w:eastAsia="Times New Roman" w:hAnsiTheme="minorHAnsi" w:cs="DIN Pro Regular"/>
                <w:b/>
                <w:color w:val="000000"/>
                <w:sz w:val="20"/>
                <w:szCs w:val="20"/>
                <w:lang w:eastAsia="es-MX"/>
              </w:rPr>
              <w:t>,565,573</w:t>
            </w:r>
          </w:p>
        </w:tc>
      </w:tr>
      <w:tr w:rsidR="006D41B9"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Materias Primas y Materiales de Producción y Comercialización.</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6D41B9"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Materiales y Suministros</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6D41B9"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2.3</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dministración</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C33482" w:rsidP="00EB37D6">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$895,956</w:t>
            </w: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2.4</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ducacional y </w:t>
            </w:r>
            <w:r w:rsidR="006D41B9" w:rsidRPr="002164CC">
              <w:rPr>
                <w:rFonts w:asciiTheme="minorHAnsi" w:eastAsia="Times New Roman" w:hAnsiTheme="minorHAnsi" w:cs="DIN Pro Regular"/>
                <w:color w:val="000000"/>
                <w:sz w:val="20"/>
                <w:szCs w:val="20"/>
                <w:lang w:eastAsia="es-MX"/>
              </w:rPr>
              <w:t>R</w:t>
            </w:r>
            <w:r w:rsidRPr="002164CC">
              <w:rPr>
                <w:rFonts w:asciiTheme="minorHAnsi" w:eastAsia="Times New Roman" w:hAnsiTheme="minorHAnsi" w:cs="DIN Pro Regular"/>
                <w:color w:val="000000"/>
                <w:sz w:val="20"/>
                <w:szCs w:val="20"/>
                <w:lang w:eastAsia="es-MX"/>
              </w:rPr>
              <w:t>ecreativo</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C33482" w:rsidP="00EB37D6">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$185,626</w:t>
            </w: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2.5</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e </w:t>
            </w:r>
            <w:r w:rsidR="006D41B9"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nstrumental </w:t>
            </w:r>
            <w:r w:rsidR="006D41B9"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édico y de </w:t>
            </w:r>
            <w:r w:rsidR="006D41B9" w:rsidRPr="002164CC">
              <w:rPr>
                <w:rFonts w:asciiTheme="minorHAnsi" w:eastAsia="Times New Roman" w:hAnsiTheme="minorHAnsi" w:cs="DIN Pro Regular"/>
                <w:color w:val="000000"/>
                <w:sz w:val="20"/>
                <w:szCs w:val="20"/>
                <w:lang w:eastAsia="es-MX"/>
              </w:rPr>
              <w:t>L</w:t>
            </w:r>
            <w:r w:rsidRPr="002164CC">
              <w:rPr>
                <w:rFonts w:asciiTheme="minorHAnsi" w:eastAsia="Times New Roman" w:hAnsiTheme="minorHAnsi" w:cs="DIN Pro Regular"/>
                <w:color w:val="000000"/>
                <w:sz w:val="20"/>
                <w:szCs w:val="20"/>
                <w:lang w:eastAsia="es-MX"/>
              </w:rPr>
              <w:t>aboratorio</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C33482" w:rsidP="00EB37D6">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$19,710</w:t>
            </w: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2.6</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Vehículos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ransporte</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C33482" w:rsidP="00EB37D6">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$862,791</w:t>
            </w: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 </w:t>
            </w:r>
            <w:r w:rsidR="007460DF" w:rsidRPr="002164CC">
              <w:rPr>
                <w:rFonts w:asciiTheme="minorHAnsi" w:eastAsia="Times New Roman" w:hAnsiTheme="minorHAnsi" w:cs="DIN Pro Regular"/>
                <w:bCs/>
                <w:color w:val="000000"/>
                <w:sz w:val="20"/>
                <w:szCs w:val="20"/>
                <w:lang w:eastAsia="es-MX"/>
              </w:rPr>
              <w:t>2.7</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de </w:t>
            </w:r>
            <w:r w:rsidR="006D41B9"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efensa y </w:t>
            </w:r>
            <w:r w:rsidR="006D41B9" w:rsidRPr="002164CC">
              <w:rPr>
                <w:rFonts w:asciiTheme="minorHAnsi" w:eastAsia="Times New Roman" w:hAnsiTheme="minorHAnsi" w:cs="DIN Pro Regular"/>
                <w:color w:val="000000"/>
                <w:sz w:val="20"/>
                <w:szCs w:val="20"/>
                <w:lang w:eastAsia="es-MX"/>
              </w:rPr>
              <w:t>S</w:t>
            </w:r>
            <w:r w:rsidRPr="002164CC">
              <w:rPr>
                <w:rFonts w:asciiTheme="minorHAnsi" w:eastAsia="Times New Roman" w:hAnsiTheme="minorHAnsi" w:cs="DIN Pro Regular"/>
                <w:color w:val="000000"/>
                <w:sz w:val="20"/>
                <w:szCs w:val="20"/>
                <w:lang w:eastAsia="es-MX"/>
              </w:rPr>
              <w:t>eguridad</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2.8</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Maquinaria, </w:t>
            </w:r>
            <w:r w:rsidR="006D41B9"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quipos y </w:t>
            </w:r>
            <w:r w:rsidR="006D41B9" w:rsidRPr="002164CC">
              <w:rPr>
                <w:rFonts w:asciiTheme="minorHAnsi" w:eastAsia="Times New Roman" w:hAnsiTheme="minorHAnsi" w:cs="DIN Pro Regular"/>
                <w:color w:val="000000"/>
                <w:sz w:val="20"/>
                <w:szCs w:val="20"/>
                <w:lang w:eastAsia="es-MX"/>
              </w:rPr>
              <w:t>H</w:t>
            </w:r>
            <w:r w:rsidRPr="002164CC">
              <w:rPr>
                <w:rFonts w:asciiTheme="minorHAnsi" w:eastAsia="Times New Roman" w:hAnsiTheme="minorHAnsi" w:cs="DIN Pro Regular"/>
                <w:color w:val="000000"/>
                <w:sz w:val="20"/>
                <w:szCs w:val="20"/>
                <w:lang w:eastAsia="es-MX"/>
              </w:rPr>
              <w:t>erramientas</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C33482" w:rsidP="00EB37D6">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$4,601,490</w:t>
            </w: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2.9</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Biológicos</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2.10</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Bienes Inmuebles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2.11</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Intangibles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6D41B9"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2.12</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6D41B9"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Obra Pública en Bienes de Dominio Público</w:t>
            </w:r>
          </w:p>
        </w:tc>
        <w:tc>
          <w:tcPr>
            <w:tcW w:w="2139" w:type="dxa"/>
            <w:tcBorders>
              <w:top w:val="nil"/>
              <w:left w:val="nil"/>
              <w:bottom w:val="single" w:sz="4" w:space="0" w:color="auto"/>
              <w:right w:val="single" w:sz="4" w:space="0" w:color="auto"/>
            </w:tcBorders>
            <w:shd w:val="clear" w:color="auto" w:fill="auto"/>
            <w:vAlign w:val="center"/>
          </w:tcPr>
          <w:p w:rsidR="006D41B9" w:rsidRPr="000A40B5" w:rsidRDefault="006D41B9" w:rsidP="00EB37D6">
            <w:pPr>
              <w:spacing w:after="0" w:line="240" w:lineRule="auto"/>
              <w:jc w:val="right"/>
              <w:rPr>
                <w:rFonts w:asciiTheme="minorHAnsi" w:eastAsia="Times New Roman" w:hAnsiTheme="minorHAnsi" w:cs="DIN Pro Regular"/>
                <w:b/>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0A40B5" w:rsidRDefault="006D41B9"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2.13</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Obra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ública en </w:t>
            </w:r>
            <w:r w:rsidR="006D41B9" w:rsidRPr="002164CC">
              <w:rPr>
                <w:rFonts w:asciiTheme="minorHAnsi" w:eastAsia="Times New Roman" w:hAnsiTheme="minorHAnsi" w:cs="DIN Pro Regular"/>
                <w:color w:val="000000"/>
                <w:sz w:val="20"/>
                <w:szCs w:val="20"/>
                <w:lang w:eastAsia="es-MX"/>
              </w:rPr>
              <w:t>B</w:t>
            </w:r>
            <w:r w:rsidRPr="002164CC">
              <w:rPr>
                <w:rFonts w:asciiTheme="minorHAnsi" w:eastAsia="Times New Roman" w:hAnsiTheme="minorHAnsi" w:cs="DIN Pro Regular"/>
                <w:color w:val="000000"/>
                <w:sz w:val="20"/>
                <w:szCs w:val="20"/>
                <w:lang w:eastAsia="es-MX"/>
              </w:rPr>
              <w:t xml:space="preserve">ienes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ropios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2.14</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Acciones y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articipaciones de </w:t>
            </w:r>
            <w:r w:rsidR="006D41B9"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apital</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2.15</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Compra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 xml:space="preserve">ítulos y </w:t>
            </w:r>
            <w:r w:rsidR="006D41B9" w:rsidRPr="002164CC">
              <w:rPr>
                <w:rFonts w:asciiTheme="minorHAnsi" w:eastAsia="Times New Roman" w:hAnsiTheme="minorHAnsi" w:cs="DIN Pro Regular"/>
                <w:color w:val="000000"/>
                <w:sz w:val="20"/>
                <w:szCs w:val="20"/>
                <w:lang w:eastAsia="es-MX"/>
              </w:rPr>
              <w:t>V</w:t>
            </w:r>
            <w:r w:rsidRPr="002164CC">
              <w:rPr>
                <w:rFonts w:asciiTheme="minorHAnsi" w:eastAsia="Times New Roman" w:hAnsiTheme="minorHAnsi" w:cs="DIN Pro Regular"/>
                <w:color w:val="000000"/>
                <w:sz w:val="20"/>
                <w:szCs w:val="20"/>
                <w:lang w:eastAsia="es-MX"/>
              </w:rPr>
              <w:t>alores</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6D41B9" w:rsidRPr="000A40B5"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2.16</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2B3FDA" w:rsidP="00174108">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Concesión de Préstamos</w:t>
            </w:r>
          </w:p>
        </w:tc>
        <w:tc>
          <w:tcPr>
            <w:tcW w:w="2139" w:type="dxa"/>
            <w:tcBorders>
              <w:top w:val="nil"/>
              <w:left w:val="nil"/>
              <w:bottom w:val="single" w:sz="4" w:space="0" w:color="auto"/>
              <w:right w:val="single" w:sz="4" w:space="0" w:color="auto"/>
            </w:tcBorders>
            <w:shd w:val="clear" w:color="auto" w:fill="auto"/>
            <w:vAlign w:val="center"/>
          </w:tcPr>
          <w:p w:rsidR="006D41B9" w:rsidRPr="000A40B5" w:rsidRDefault="006D41B9" w:rsidP="00EB37D6">
            <w:pPr>
              <w:spacing w:after="0" w:line="240" w:lineRule="auto"/>
              <w:jc w:val="right"/>
              <w:rPr>
                <w:rFonts w:asciiTheme="minorHAnsi" w:eastAsia="Times New Roman" w:hAnsiTheme="minorHAnsi" w:cs="DIN Pro Regular"/>
                <w:b/>
                <w:bCs/>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0A40B5" w:rsidRDefault="006D41B9"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2.17</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B3FDA">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Inversiones en </w:t>
            </w:r>
            <w:r w:rsidR="002B3FDA" w:rsidRPr="002164CC">
              <w:rPr>
                <w:rFonts w:asciiTheme="minorHAnsi" w:eastAsia="Times New Roman" w:hAnsiTheme="minorHAnsi" w:cs="DIN Pro Regular"/>
                <w:color w:val="000000"/>
                <w:sz w:val="20"/>
                <w:szCs w:val="20"/>
                <w:lang w:eastAsia="es-MX"/>
              </w:rPr>
              <w:t>F</w:t>
            </w:r>
            <w:r w:rsidRPr="002164CC">
              <w:rPr>
                <w:rFonts w:asciiTheme="minorHAnsi" w:eastAsia="Times New Roman" w:hAnsiTheme="minorHAnsi" w:cs="DIN Pro Regular"/>
                <w:color w:val="000000"/>
                <w:sz w:val="20"/>
                <w:szCs w:val="20"/>
                <w:lang w:eastAsia="es-MX"/>
              </w:rPr>
              <w:t xml:space="preserve">ideicomisos. </w:t>
            </w:r>
            <w:r w:rsidR="002B3FDA"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andatos y </w:t>
            </w:r>
            <w:r w:rsidR="002B3FDA"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2B3FDA"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nálogos</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2.18</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Provisiones para </w:t>
            </w:r>
            <w:r w:rsidR="007460DF"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 xml:space="preserve">ontingencias y </w:t>
            </w:r>
            <w:r w:rsidR="007460DF"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tras </w:t>
            </w:r>
            <w:r w:rsidR="007460DF" w:rsidRPr="002164CC">
              <w:rPr>
                <w:rFonts w:asciiTheme="minorHAnsi" w:eastAsia="Times New Roman" w:hAnsiTheme="minorHAnsi" w:cs="DIN Pro Regular"/>
                <w:color w:val="000000"/>
                <w:sz w:val="20"/>
                <w:szCs w:val="20"/>
                <w:lang w:eastAsia="es-MX"/>
              </w:rPr>
              <w:t>Erogaciones E</w:t>
            </w:r>
            <w:r w:rsidRPr="002164CC">
              <w:rPr>
                <w:rFonts w:asciiTheme="minorHAnsi" w:eastAsia="Times New Roman" w:hAnsiTheme="minorHAnsi" w:cs="DIN Pro Regular"/>
                <w:color w:val="000000"/>
                <w:sz w:val="20"/>
                <w:szCs w:val="20"/>
                <w:lang w:eastAsia="es-MX"/>
              </w:rPr>
              <w:t>speciales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2.19</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Amortización de la </w:t>
            </w:r>
            <w:r w:rsidR="007460DF"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euda </w:t>
            </w:r>
            <w:r w:rsidR="007460DF"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ública</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2.20</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Adeudos de </w:t>
            </w:r>
            <w:r w:rsidR="007460DF"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jercicios </w:t>
            </w:r>
            <w:r w:rsidR="007460DF" w:rsidRPr="002164CC">
              <w:rPr>
                <w:rFonts w:asciiTheme="minorHAnsi" w:eastAsia="Times New Roman" w:hAnsiTheme="minorHAnsi" w:cs="DIN Pro Regular"/>
                <w:color w:val="000000"/>
                <w:sz w:val="20"/>
                <w:szCs w:val="20"/>
                <w:lang w:eastAsia="es-MX"/>
              </w:rPr>
              <w:t>Fiscales A</w:t>
            </w:r>
            <w:r w:rsidRPr="002164CC">
              <w:rPr>
                <w:rFonts w:asciiTheme="minorHAnsi" w:eastAsia="Times New Roman" w:hAnsiTheme="minorHAnsi" w:cs="DIN Pro Regular"/>
                <w:color w:val="000000"/>
                <w:sz w:val="20"/>
                <w:szCs w:val="20"/>
                <w:lang w:eastAsia="es-MX"/>
              </w:rPr>
              <w:t>nteriores (ADEFAS)</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7460DF"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2.21</w:t>
            </w:r>
          </w:p>
        </w:tc>
        <w:tc>
          <w:tcPr>
            <w:tcW w:w="3660" w:type="dxa"/>
            <w:tcBorders>
              <w:top w:val="nil"/>
              <w:left w:val="nil"/>
              <w:bottom w:val="single" w:sz="4" w:space="0" w:color="auto"/>
              <w:right w:val="single" w:sz="4" w:space="0" w:color="auto"/>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Egresos Presupuestales No Contables</w:t>
            </w:r>
          </w:p>
        </w:tc>
        <w:tc>
          <w:tcPr>
            <w:tcW w:w="2139" w:type="dxa"/>
            <w:tcBorders>
              <w:top w:val="nil"/>
              <w:left w:val="nil"/>
              <w:bottom w:val="single" w:sz="4" w:space="0" w:color="auto"/>
              <w:right w:val="single" w:sz="4" w:space="0" w:color="auto"/>
            </w:tcBorders>
            <w:shd w:val="clear" w:color="auto" w:fill="auto"/>
            <w:vAlign w:val="center"/>
          </w:tcPr>
          <w:p w:rsidR="007460DF" w:rsidRPr="000A40B5" w:rsidRDefault="007460DF" w:rsidP="00EB37D6">
            <w:pPr>
              <w:spacing w:after="0" w:line="240" w:lineRule="auto"/>
              <w:jc w:val="right"/>
              <w:rPr>
                <w:rFonts w:asciiTheme="minorHAnsi" w:eastAsia="Times New Roman" w:hAnsiTheme="minorHAnsi" w:cs="DIN Pro Regular"/>
                <w:b/>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7460DF" w:rsidRPr="000A40B5" w:rsidRDefault="007460DF" w:rsidP="002C3BA7">
            <w:pPr>
              <w:spacing w:after="0" w:line="240" w:lineRule="auto"/>
              <w:rPr>
                <w:rFonts w:asciiTheme="minorHAnsi" w:eastAsia="Times New Roman" w:hAnsiTheme="minorHAnsi" w:cs="DIN Pro Regular"/>
                <w:b/>
                <w:color w:val="000000"/>
                <w:sz w:val="20"/>
                <w:szCs w:val="20"/>
                <w:lang w:eastAsia="es-MX"/>
              </w:rPr>
            </w:pPr>
          </w:p>
        </w:tc>
      </w:tr>
      <w:tr w:rsidR="00591EE2" w:rsidRPr="000A40B5" w:rsidTr="00010BEF">
        <w:trPr>
          <w:gridAfter w:val="2"/>
          <w:wAfter w:w="160" w:type="dxa"/>
          <w:trHeight w:val="300"/>
          <w:jc w:val="center"/>
        </w:trPr>
        <w:tc>
          <w:tcPr>
            <w:tcW w:w="4700" w:type="dxa"/>
            <w:gridSpan w:val="2"/>
            <w:tcBorders>
              <w:top w:val="nil"/>
              <w:left w:val="single" w:sz="4" w:space="0" w:color="auto"/>
              <w:bottom w:val="single" w:sz="4" w:space="0" w:color="auto"/>
              <w:right w:val="single" w:sz="4" w:space="0" w:color="000000"/>
            </w:tcBorders>
            <w:shd w:val="clear" w:color="auto" w:fill="AB0033"/>
            <w:vAlign w:val="center"/>
            <w:hideMark/>
          </w:tcPr>
          <w:p w:rsidR="00591EE2" w:rsidRPr="002164CC" w:rsidRDefault="00591EE2" w:rsidP="00174108">
            <w:pPr>
              <w:spacing w:after="0" w:line="240" w:lineRule="auto"/>
              <w:rPr>
                <w:rFonts w:asciiTheme="minorHAnsi" w:eastAsia="Times New Roman" w:hAnsiTheme="minorHAnsi" w:cs="DIN Pro Regular"/>
                <w:b/>
                <w:bCs/>
                <w:color w:val="FFFFFF" w:themeColor="background1"/>
                <w:sz w:val="20"/>
                <w:szCs w:val="20"/>
                <w:lang w:eastAsia="es-MX"/>
              </w:rPr>
            </w:pPr>
            <w:r w:rsidRPr="002164CC">
              <w:rPr>
                <w:rFonts w:asciiTheme="minorHAnsi" w:eastAsia="Times New Roman" w:hAnsiTheme="minorHAnsi" w:cs="DIN Pro Regular"/>
                <w:b/>
                <w:bCs/>
                <w:color w:val="FFFFFF" w:themeColor="background1"/>
                <w:sz w:val="20"/>
                <w:szCs w:val="20"/>
                <w:lang w:eastAsia="es-MX"/>
              </w:rPr>
              <w:t>3. Más Gasto Contables No Presupuestales</w:t>
            </w:r>
          </w:p>
        </w:tc>
        <w:tc>
          <w:tcPr>
            <w:tcW w:w="2139" w:type="dxa"/>
            <w:tcBorders>
              <w:top w:val="nil"/>
              <w:left w:val="nil"/>
              <w:bottom w:val="single" w:sz="4" w:space="0" w:color="auto"/>
              <w:right w:val="single" w:sz="4" w:space="0" w:color="auto"/>
            </w:tcBorders>
            <w:shd w:val="clear" w:color="auto" w:fill="auto"/>
            <w:vAlign w:val="center"/>
            <w:hideMark/>
          </w:tcPr>
          <w:p w:rsidR="00591EE2" w:rsidRPr="000A40B5" w:rsidRDefault="00C33482" w:rsidP="00C33482">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0.00</w:t>
            </w:r>
          </w:p>
        </w:tc>
      </w:tr>
      <w:tr w:rsidR="00174108" w:rsidRPr="000A40B5"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Estimaciones, Depreciaciones y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eterioros,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bsolescencia y </w:t>
            </w:r>
            <w:r w:rsidR="002C7C1D"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mortizaciones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Provisiones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Disminución de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nventarios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3.4</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stimaciones por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érdida o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 u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bsolescencia</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3.5</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rovisiones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174108"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3.6</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w:t>
            </w:r>
          </w:p>
        </w:tc>
        <w:tc>
          <w:tcPr>
            <w:tcW w:w="2139" w:type="dxa"/>
            <w:tcBorders>
              <w:top w:val="nil"/>
              <w:left w:val="nil"/>
              <w:bottom w:val="single" w:sz="4" w:space="0" w:color="auto"/>
              <w:right w:val="single" w:sz="4" w:space="0" w:color="auto"/>
            </w:tcBorders>
            <w:shd w:val="clear" w:color="auto" w:fill="auto"/>
            <w:vAlign w:val="center"/>
            <w:hideMark/>
          </w:tcPr>
          <w:p w:rsidR="00174108" w:rsidRPr="000A40B5" w:rsidRDefault="00174108" w:rsidP="00EB37D6">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0A40B5" w:rsidRDefault="00174108" w:rsidP="002C3BA7">
            <w:pPr>
              <w:spacing w:after="0" w:line="240" w:lineRule="auto"/>
              <w:rPr>
                <w:rFonts w:asciiTheme="minorHAnsi" w:eastAsia="Times New Roman" w:hAnsiTheme="minorHAnsi" w:cs="DIN Pro Regular"/>
                <w:b/>
                <w:color w:val="000000"/>
                <w:sz w:val="20"/>
                <w:szCs w:val="20"/>
                <w:lang w:eastAsia="es-MX"/>
              </w:rPr>
            </w:pPr>
          </w:p>
        </w:tc>
      </w:tr>
      <w:tr w:rsidR="002C7C1D" w:rsidRPr="000A40B5"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2C7C1D"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3.7</w:t>
            </w:r>
          </w:p>
        </w:tc>
        <w:tc>
          <w:tcPr>
            <w:tcW w:w="3660" w:type="dxa"/>
            <w:tcBorders>
              <w:top w:val="nil"/>
              <w:left w:val="nil"/>
              <w:bottom w:val="single" w:sz="4" w:space="0" w:color="auto"/>
              <w:right w:val="single" w:sz="4" w:space="0" w:color="auto"/>
            </w:tcBorders>
            <w:shd w:val="clear" w:color="auto" w:fill="auto"/>
            <w:vAlign w:val="center"/>
          </w:tcPr>
          <w:p w:rsidR="002C7C1D" w:rsidRPr="002164CC" w:rsidRDefault="002C7C1D" w:rsidP="009B7FAD">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 Contables No Presupuestales</w:t>
            </w:r>
          </w:p>
        </w:tc>
        <w:tc>
          <w:tcPr>
            <w:tcW w:w="2139" w:type="dxa"/>
            <w:tcBorders>
              <w:top w:val="nil"/>
              <w:left w:val="nil"/>
              <w:bottom w:val="single" w:sz="4" w:space="0" w:color="auto"/>
              <w:right w:val="single" w:sz="4" w:space="0" w:color="auto"/>
            </w:tcBorders>
            <w:shd w:val="clear" w:color="auto" w:fill="auto"/>
            <w:vAlign w:val="center"/>
          </w:tcPr>
          <w:p w:rsidR="002C7C1D" w:rsidRPr="000A40B5" w:rsidRDefault="002C7C1D" w:rsidP="00EB37D6">
            <w:pPr>
              <w:spacing w:after="0" w:line="240" w:lineRule="auto"/>
              <w:jc w:val="right"/>
              <w:rPr>
                <w:rFonts w:asciiTheme="minorHAnsi" w:eastAsia="Times New Roman" w:hAnsiTheme="minorHAnsi" w:cs="DIN Pro Regular"/>
                <w:b/>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2C7C1D" w:rsidRPr="000A40B5" w:rsidRDefault="002C7C1D" w:rsidP="002C3BA7">
            <w:pPr>
              <w:spacing w:after="0" w:line="240" w:lineRule="auto"/>
              <w:rPr>
                <w:rFonts w:asciiTheme="minorHAnsi" w:eastAsia="Times New Roman" w:hAnsiTheme="minorHAnsi" w:cs="DIN Pro Regular"/>
                <w:b/>
                <w:color w:val="000000"/>
                <w:sz w:val="20"/>
                <w:szCs w:val="20"/>
                <w:lang w:eastAsia="es-MX"/>
              </w:rPr>
            </w:pPr>
          </w:p>
        </w:tc>
      </w:tr>
      <w:tr w:rsidR="002C7C1D" w:rsidRPr="000A40B5" w:rsidTr="006D41B9">
        <w:trPr>
          <w:trHeight w:val="150"/>
          <w:jc w:val="center"/>
        </w:trPr>
        <w:tc>
          <w:tcPr>
            <w:tcW w:w="1040"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2C7C1D" w:rsidRPr="000A40B5" w:rsidRDefault="002C7C1D" w:rsidP="00174108">
            <w:pPr>
              <w:spacing w:after="0" w:line="240" w:lineRule="auto"/>
              <w:rPr>
                <w:rFonts w:asciiTheme="minorHAnsi" w:eastAsia="Times New Roman" w:hAnsiTheme="minorHAnsi" w:cs="DIN Pro Regular"/>
                <w:b/>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2C7C1D" w:rsidRPr="000A40B5" w:rsidRDefault="002C7C1D" w:rsidP="00174108">
            <w:pPr>
              <w:spacing w:after="0" w:line="240" w:lineRule="auto"/>
              <w:rPr>
                <w:rFonts w:asciiTheme="minorHAnsi" w:eastAsia="Times New Roman" w:hAnsiTheme="minorHAnsi" w:cs="DIN Pro Regular"/>
                <w:b/>
                <w:color w:val="000000"/>
                <w:sz w:val="20"/>
                <w:szCs w:val="20"/>
                <w:lang w:eastAsia="es-MX"/>
              </w:rPr>
            </w:pPr>
          </w:p>
        </w:tc>
      </w:tr>
      <w:tr w:rsidR="002C7C1D" w:rsidRPr="000A40B5" w:rsidTr="00010BEF">
        <w:trPr>
          <w:gridAfter w:val="2"/>
          <w:wAfter w:w="160" w:type="dxa"/>
          <w:trHeight w:val="300"/>
          <w:jc w:val="center"/>
        </w:trPr>
        <w:tc>
          <w:tcPr>
            <w:tcW w:w="4700" w:type="dxa"/>
            <w:gridSpan w:val="2"/>
            <w:tcBorders>
              <w:top w:val="single" w:sz="4" w:space="0" w:color="auto"/>
              <w:left w:val="single" w:sz="4" w:space="0" w:color="auto"/>
              <w:bottom w:val="single" w:sz="4" w:space="0" w:color="auto"/>
              <w:right w:val="nil"/>
            </w:tcBorders>
            <w:shd w:val="clear" w:color="auto" w:fill="AB0033"/>
            <w:noWrap/>
            <w:vAlign w:val="bottom"/>
            <w:hideMark/>
          </w:tcPr>
          <w:p w:rsidR="002C7C1D" w:rsidRPr="002164CC" w:rsidRDefault="002C7C1D" w:rsidP="002C7C1D">
            <w:pPr>
              <w:spacing w:after="0" w:line="240" w:lineRule="auto"/>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4. Total de Gastos Contables</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C1D" w:rsidRPr="000A40B5" w:rsidRDefault="00C33482" w:rsidP="00A90A1D">
            <w:pPr>
              <w:spacing w:after="0" w:line="240" w:lineRule="auto"/>
              <w:jc w:val="right"/>
              <w:rPr>
                <w:rFonts w:asciiTheme="minorHAnsi" w:eastAsia="Times New Roman" w:hAnsiTheme="minorHAnsi" w:cs="DIN Pro Regular"/>
                <w:b/>
                <w:color w:val="000000"/>
                <w:sz w:val="20"/>
                <w:szCs w:val="20"/>
                <w:lang w:eastAsia="es-MX"/>
              </w:rPr>
            </w:pPr>
            <w:r w:rsidRPr="000A40B5">
              <w:rPr>
                <w:rFonts w:asciiTheme="minorHAnsi" w:eastAsia="Times New Roman" w:hAnsiTheme="minorHAnsi" w:cs="DIN Pro Regular"/>
                <w:b/>
                <w:color w:val="000000"/>
                <w:sz w:val="20"/>
                <w:szCs w:val="20"/>
                <w:lang w:eastAsia="es-MX"/>
              </w:rPr>
              <w:t>$9</w:t>
            </w:r>
            <w:r w:rsidR="00A90A1D" w:rsidRPr="000A40B5">
              <w:rPr>
                <w:rFonts w:asciiTheme="minorHAnsi" w:eastAsia="Times New Roman" w:hAnsiTheme="minorHAnsi" w:cs="DIN Pro Regular"/>
                <w:b/>
                <w:color w:val="000000"/>
                <w:sz w:val="20"/>
                <w:szCs w:val="20"/>
                <w:lang w:eastAsia="es-MX"/>
              </w:rPr>
              <w:t>7</w:t>
            </w:r>
            <w:r w:rsidRPr="000A40B5">
              <w:rPr>
                <w:rFonts w:asciiTheme="minorHAnsi" w:eastAsia="Times New Roman" w:hAnsiTheme="minorHAnsi" w:cs="DIN Pro Regular"/>
                <w:b/>
                <w:color w:val="000000"/>
                <w:sz w:val="20"/>
                <w:szCs w:val="20"/>
                <w:lang w:eastAsia="es-MX"/>
              </w:rPr>
              <w:t>,095,491</w:t>
            </w:r>
          </w:p>
        </w:tc>
      </w:tr>
    </w:tbl>
    <w:p w:rsidR="00006431" w:rsidRPr="008A011E" w:rsidRDefault="00006431" w:rsidP="002C576A">
      <w:pPr>
        <w:pStyle w:val="INCISO"/>
        <w:spacing w:after="0" w:line="240" w:lineRule="exact"/>
        <w:ind w:left="360"/>
        <w:rPr>
          <w:rFonts w:ascii="Calibri" w:hAnsi="Calibri" w:cs="DIN Pro Regular"/>
          <w:b/>
          <w:smallCaps/>
          <w:sz w:val="20"/>
          <w:szCs w:val="20"/>
        </w:rPr>
      </w:pP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B849EE" w:rsidRPr="00010BEF" w:rsidRDefault="00540418" w:rsidP="002C576A">
      <w:pPr>
        <w:pStyle w:val="Texto"/>
        <w:spacing w:after="0" w:line="240" w:lineRule="exact"/>
        <w:ind w:firstLine="0"/>
        <w:jc w:val="center"/>
        <w:rPr>
          <w:rFonts w:ascii="Encode Sans" w:hAnsi="Encode Sans" w:cs="DIN Pro Regular"/>
          <w:b/>
          <w:sz w:val="20"/>
          <w:lang w:val="es-MX"/>
        </w:rPr>
      </w:pPr>
      <w:r w:rsidRPr="008A011E">
        <w:rPr>
          <w:rFonts w:ascii="Calibri" w:hAnsi="Calibri" w:cs="DIN Pro Regular"/>
          <w:sz w:val="20"/>
        </w:rPr>
        <w:t xml:space="preserve"> </w:t>
      </w:r>
      <w:r w:rsidRPr="00010BEF">
        <w:rPr>
          <w:rFonts w:ascii="Encode Sans" w:hAnsi="Encode Sans" w:cs="DIN Pro Regular"/>
          <w:b/>
          <w:sz w:val="20"/>
        </w:rPr>
        <w:t>b)</w:t>
      </w:r>
      <w:r w:rsidRPr="00010BEF">
        <w:rPr>
          <w:rFonts w:ascii="Encode Sans" w:hAnsi="Encode Sans" w:cs="DIN Pro Regular"/>
          <w:sz w:val="20"/>
        </w:rPr>
        <w:t xml:space="preserve"> </w:t>
      </w:r>
      <w:r w:rsidRPr="00010BEF">
        <w:rPr>
          <w:rFonts w:ascii="Encode Sans" w:hAnsi="Encode Sans" w:cs="DIN Pro Regular"/>
          <w:b/>
          <w:sz w:val="20"/>
          <w:lang w:val="es-MX"/>
        </w:rPr>
        <w:t>NOTAS DE MEMORIA (CUENTAS DE ORDEN)</w:t>
      </w:r>
    </w:p>
    <w:p w:rsidR="00B849EE" w:rsidRPr="008A011E" w:rsidRDefault="00B849EE" w:rsidP="00540418">
      <w:pPr>
        <w:pStyle w:val="Texto"/>
        <w:spacing w:after="0" w:line="240" w:lineRule="exact"/>
        <w:rPr>
          <w:rFonts w:ascii="Calibri" w:hAnsi="Calibri" w:cs="DIN Pro Regular"/>
          <w:sz w:val="20"/>
          <w:lang w:val="es-MX"/>
        </w:rPr>
      </w:pPr>
    </w:p>
    <w:p w:rsidR="00290E6D" w:rsidRPr="008A011E" w:rsidRDefault="00290E6D" w:rsidP="00290E6D">
      <w:pPr>
        <w:pStyle w:val="Texto"/>
        <w:spacing w:after="0" w:line="240" w:lineRule="exact"/>
        <w:rPr>
          <w:rFonts w:ascii="Calibri" w:hAnsi="Calibri" w:cs="DIN Pro Regular"/>
          <w:b/>
          <w:sz w:val="20"/>
        </w:rPr>
      </w:pPr>
      <w:r w:rsidRPr="008A011E">
        <w:rPr>
          <w:rFonts w:ascii="Calibri" w:hAnsi="Calibri" w:cs="DIN Pro Regular"/>
          <w:b/>
          <w:sz w:val="20"/>
        </w:rPr>
        <w:t>Cuentas de Orden Contables y Presupuestarias:</w:t>
      </w:r>
    </w:p>
    <w:p w:rsidR="00290E6D" w:rsidRPr="008A011E" w:rsidRDefault="00290E6D" w:rsidP="00290E6D">
      <w:pPr>
        <w:pStyle w:val="Texto"/>
        <w:spacing w:after="0" w:line="240" w:lineRule="exact"/>
        <w:rPr>
          <w:rFonts w:ascii="Calibri" w:hAnsi="Calibri" w:cs="DIN Pro Regular"/>
          <w:b/>
          <w:sz w:val="20"/>
        </w:rPr>
      </w:pPr>
    </w:p>
    <w:p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Contables:</w:t>
      </w:r>
    </w:p>
    <w:p w:rsidR="00290E6D" w:rsidRPr="008A011E" w:rsidRDefault="00476A7B" w:rsidP="00476A7B">
      <w:pPr>
        <w:pStyle w:val="Texto"/>
        <w:spacing w:after="0" w:line="240" w:lineRule="exact"/>
        <w:rPr>
          <w:rFonts w:ascii="Calibri" w:hAnsi="Calibri" w:cs="DIN Pro Regular"/>
          <w:sz w:val="20"/>
        </w:rPr>
      </w:pPr>
      <w:r>
        <w:rPr>
          <w:rFonts w:ascii="Calibri" w:hAnsi="Calibri" w:cs="DIN Pro Regular"/>
          <w:sz w:val="20"/>
        </w:rPr>
        <w:t>En esta institución no han ocurrido eventos que deban registrase en cuentas de orden contables.</w:t>
      </w:r>
    </w:p>
    <w:p w:rsidR="00290E6D" w:rsidRPr="008A011E" w:rsidRDefault="00476A7B" w:rsidP="00290E6D">
      <w:pPr>
        <w:pStyle w:val="Texto"/>
        <w:spacing w:after="0" w:line="240" w:lineRule="exact"/>
        <w:ind w:left="2160" w:hanging="540"/>
        <w:rPr>
          <w:rFonts w:ascii="Calibri" w:hAnsi="Calibri" w:cs="DIN Pro Regular"/>
          <w:sz w:val="20"/>
        </w:rPr>
      </w:pPr>
      <w:r>
        <w:rPr>
          <w:rFonts w:ascii="Calibri" w:hAnsi="Calibri" w:cs="DIN Pro Regular"/>
          <w:sz w:val="20"/>
        </w:rPr>
        <w:tab/>
      </w:r>
    </w:p>
    <w:p w:rsidR="00290E6D" w:rsidRPr="008A011E" w:rsidRDefault="00290E6D" w:rsidP="00476A7B">
      <w:pPr>
        <w:pStyle w:val="Texto"/>
        <w:spacing w:after="0" w:line="240" w:lineRule="exact"/>
        <w:ind w:left="2160" w:hanging="540"/>
        <w:rPr>
          <w:rFonts w:ascii="Calibri" w:hAnsi="Calibri" w:cs="DIN Pro Regular"/>
          <w:sz w:val="20"/>
        </w:rPr>
      </w:pPr>
      <w:r w:rsidRPr="008A011E">
        <w:rPr>
          <w:rFonts w:ascii="Calibri" w:hAnsi="Calibri" w:cs="DIN Pro Regular"/>
          <w:sz w:val="20"/>
        </w:rPr>
        <w:tab/>
      </w:r>
    </w:p>
    <w:p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Presupuestarias:</w:t>
      </w:r>
    </w:p>
    <w:p w:rsidR="007006CA" w:rsidRPr="008A011E" w:rsidRDefault="00290E6D" w:rsidP="00476A7B">
      <w:pPr>
        <w:pStyle w:val="Texto"/>
        <w:spacing w:after="0" w:line="240" w:lineRule="exact"/>
        <w:ind w:left="2160" w:hanging="540"/>
        <w:rPr>
          <w:rFonts w:ascii="Calibri" w:hAnsi="Calibri" w:cs="DIN Pro Regular"/>
          <w:sz w:val="20"/>
        </w:rPr>
      </w:pPr>
      <w:r w:rsidRPr="008A011E">
        <w:rPr>
          <w:rFonts w:ascii="Calibri" w:hAnsi="Calibri" w:cs="DIN Pro Regular"/>
          <w:sz w:val="20"/>
        </w:rPr>
        <w:tab/>
      </w:r>
    </w:p>
    <w:p w:rsidR="00290E6D" w:rsidRDefault="00290E6D" w:rsidP="007006CA">
      <w:pPr>
        <w:pStyle w:val="Texto"/>
        <w:spacing w:after="0" w:line="240" w:lineRule="exact"/>
        <w:ind w:left="2160" w:hanging="36"/>
        <w:rPr>
          <w:rFonts w:ascii="Calibri" w:hAnsi="Calibri" w:cs="DIN Pro Regular"/>
          <w:sz w:val="20"/>
        </w:rPr>
      </w:pPr>
      <w:r w:rsidRPr="008A011E">
        <w:rPr>
          <w:rFonts w:ascii="Calibri" w:hAnsi="Calibri" w:cs="DIN Pro Regular"/>
          <w:sz w:val="20"/>
        </w:rPr>
        <w:t>Cuentas de ingresos</w:t>
      </w:r>
    </w:p>
    <w:tbl>
      <w:tblPr>
        <w:tblStyle w:val="Tablaconcuadrcula"/>
        <w:tblW w:w="0" w:type="auto"/>
        <w:tblInd w:w="2160" w:type="dxa"/>
        <w:tblLook w:val="04A0" w:firstRow="1" w:lastRow="0" w:firstColumn="1" w:lastColumn="0" w:noHBand="0" w:noVBand="1"/>
      </w:tblPr>
      <w:tblGrid>
        <w:gridCol w:w="5603"/>
        <w:gridCol w:w="1813"/>
      </w:tblGrid>
      <w:tr w:rsidR="00476A7B" w:rsidRPr="000A40B5" w:rsidTr="00476A7B">
        <w:tc>
          <w:tcPr>
            <w:tcW w:w="5603" w:type="dxa"/>
          </w:tcPr>
          <w:p w:rsidR="00476A7B" w:rsidRPr="000A40B5" w:rsidRDefault="00476A7B" w:rsidP="007006CA">
            <w:pPr>
              <w:pStyle w:val="Texto"/>
              <w:spacing w:after="0" w:line="240" w:lineRule="exact"/>
              <w:ind w:firstLine="0"/>
              <w:rPr>
                <w:rFonts w:ascii="Calibri" w:hAnsi="Calibri" w:cs="DIN Pro Regular"/>
                <w:b/>
                <w:sz w:val="20"/>
              </w:rPr>
            </w:pPr>
            <w:r w:rsidRPr="000A40B5">
              <w:rPr>
                <w:rFonts w:ascii="Calibri" w:hAnsi="Calibri" w:cs="DIN Pro Regular"/>
                <w:b/>
                <w:sz w:val="20"/>
              </w:rPr>
              <w:t xml:space="preserve">811 Ley de ingresos estimada </w:t>
            </w:r>
          </w:p>
        </w:tc>
        <w:tc>
          <w:tcPr>
            <w:tcW w:w="1813" w:type="dxa"/>
          </w:tcPr>
          <w:p w:rsidR="00476A7B" w:rsidRPr="000A40B5" w:rsidRDefault="00476A7B" w:rsidP="00476A7B">
            <w:pPr>
              <w:pStyle w:val="Texto"/>
              <w:spacing w:after="0" w:line="240" w:lineRule="exact"/>
              <w:ind w:firstLine="0"/>
              <w:jc w:val="right"/>
              <w:rPr>
                <w:rFonts w:ascii="Calibri" w:hAnsi="Calibri" w:cs="DIN Pro Regular"/>
                <w:b/>
                <w:sz w:val="20"/>
              </w:rPr>
            </w:pPr>
            <w:r w:rsidRPr="000A40B5">
              <w:rPr>
                <w:rFonts w:ascii="Calibri" w:hAnsi="Calibri" w:cs="DIN Pro Regular"/>
                <w:b/>
                <w:sz w:val="20"/>
              </w:rPr>
              <w:t>$92,510,000</w:t>
            </w:r>
          </w:p>
        </w:tc>
      </w:tr>
      <w:tr w:rsidR="00476A7B" w:rsidRPr="000A40B5" w:rsidTr="00476A7B">
        <w:tc>
          <w:tcPr>
            <w:tcW w:w="5603" w:type="dxa"/>
          </w:tcPr>
          <w:p w:rsidR="00476A7B" w:rsidRPr="000A40B5" w:rsidRDefault="00476A7B" w:rsidP="007006CA">
            <w:pPr>
              <w:pStyle w:val="Texto"/>
              <w:spacing w:after="0" w:line="240" w:lineRule="exact"/>
              <w:ind w:firstLine="0"/>
              <w:rPr>
                <w:rFonts w:ascii="Calibri" w:hAnsi="Calibri" w:cs="DIN Pro Regular"/>
                <w:b/>
                <w:sz w:val="20"/>
              </w:rPr>
            </w:pPr>
            <w:r w:rsidRPr="000A40B5">
              <w:rPr>
                <w:rFonts w:ascii="Calibri" w:hAnsi="Calibri" w:cs="DIN Pro Regular"/>
                <w:b/>
                <w:sz w:val="20"/>
              </w:rPr>
              <w:t>812 Ley de ingresos por ejecutar</w:t>
            </w:r>
          </w:p>
        </w:tc>
        <w:tc>
          <w:tcPr>
            <w:tcW w:w="1813" w:type="dxa"/>
          </w:tcPr>
          <w:p w:rsidR="00476A7B" w:rsidRPr="000A40B5" w:rsidRDefault="00476A7B" w:rsidP="00476A7B">
            <w:pPr>
              <w:pStyle w:val="Texto"/>
              <w:spacing w:after="0" w:line="240" w:lineRule="exact"/>
              <w:ind w:firstLine="0"/>
              <w:jc w:val="right"/>
              <w:rPr>
                <w:rFonts w:ascii="Calibri" w:hAnsi="Calibri" w:cs="DIN Pro Regular"/>
                <w:b/>
                <w:sz w:val="20"/>
              </w:rPr>
            </w:pPr>
            <w:r w:rsidRPr="000A40B5">
              <w:rPr>
                <w:rFonts w:ascii="Calibri" w:hAnsi="Calibri" w:cs="DIN Pro Regular"/>
                <w:b/>
                <w:sz w:val="20"/>
              </w:rPr>
              <w:t>$1,181,753</w:t>
            </w:r>
          </w:p>
        </w:tc>
      </w:tr>
      <w:tr w:rsidR="00476A7B" w:rsidRPr="000A40B5" w:rsidTr="00476A7B">
        <w:tc>
          <w:tcPr>
            <w:tcW w:w="5603" w:type="dxa"/>
          </w:tcPr>
          <w:p w:rsidR="00476A7B" w:rsidRPr="000A40B5" w:rsidRDefault="00476A7B" w:rsidP="007006CA">
            <w:pPr>
              <w:pStyle w:val="Texto"/>
              <w:spacing w:after="0" w:line="240" w:lineRule="exact"/>
              <w:ind w:firstLine="0"/>
              <w:rPr>
                <w:rFonts w:ascii="Calibri" w:hAnsi="Calibri" w:cs="DIN Pro Regular"/>
                <w:b/>
                <w:sz w:val="20"/>
                <w:lang w:val="es-MX"/>
              </w:rPr>
            </w:pPr>
            <w:r w:rsidRPr="000A40B5">
              <w:rPr>
                <w:rFonts w:ascii="Calibri" w:hAnsi="Calibri" w:cs="DIN Pro Regular"/>
                <w:b/>
                <w:sz w:val="20"/>
                <w:lang w:val="es-MX"/>
              </w:rPr>
              <w:t>813 Modificaciones a la ley de ingresos estimada</w:t>
            </w:r>
          </w:p>
        </w:tc>
        <w:tc>
          <w:tcPr>
            <w:tcW w:w="1813" w:type="dxa"/>
          </w:tcPr>
          <w:p w:rsidR="00476A7B" w:rsidRPr="000A40B5" w:rsidRDefault="00476A7B" w:rsidP="00476A7B">
            <w:pPr>
              <w:pStyle w:val="Texto"/>
              <w:spacing w:after="0" w:line="240" w:lineRule="exact"/>
              <w:ind w:firstLine="0"/>
              <w:jc w:val="right"/>
              <w:rPr>
                <w:rFonts w:ascii="Calibri" w:hAnsi="Calibri" w:cs="DIN Pro Regular"/>
                <w:b/>
                <w:sz w:val="20"/>
              </w:rPr>
            </w:pPr>
            <w:r w:rsidRPr="000A40B5">
              <w:rPr>
                <w:rFonts w:ascii="Calibri" w:hAnsi="Calibri" w:cs="DIN Pro Regular"/>
                <w:b/>
                <w:sz w:val="20"/>
              </w:rPr>
              <w:t>$5,426,691</w:t>
            </w:r>
          </w:p>
        </w:tc>
      </w:tr>
      <w:tr w:rsidR="00476A7B" w:rsidRPr="000A40B5" w:rsidTr="00476A7B">
        <w:tc>
          <w:tcPr>
            <w:tcW w:w="5603" w:type="dxa"/>
          </w:tcPr>
          <w:p w:rsidR="00476A7B" w:rsidRPr="000A40B5" w:rsidRDefault="00476A7B" w:rsidP="007006CA">
            <w:pPr>
              <w:pStyle w:val="Texto"/>
              <w:spacing w:after="0" w:line="240" w:lineRule="exact"/>
              <w:ind w:firstLine="0"/>
              <w:rPr>
                <w:rFonts w:ascii="Calibri" w:hAnsi="Calibri" w:cs="DIN Pro Regular"/>
                <w:b/>
                <w:sz w:val="20"/>
              </w:rPr>
            </w:pPr>
            <w:r w:rsidRPr="000A40B5">
              <w:rPr>
                <w:rFonts w:ascii="Calibri" w:hAnsi="Calibri" w:cs="DIN Pro Regular"/>
                <w:b/>
                <w:sz w:val="20"/>
              </w:rPr>
              <w:t>814 Ley de ingresos devengada</w:t>
            </w:r>
          </w:p>
        </w:tc>
        <w:tc>
          <w:tcPr>
            <w:tcW w:w="1813" w:type="dxa"/>
          </w:tcPr>
          <w:p w:rsidR="00476A7B" w:rsidRPr="000A40B5" w:rsidRDefault="00476A7B" w:rsidP="00476A7B">
            <w:pPr>
              <w:pStyle w:val="Texto"/>
              <w:spacing w:after="0" w:line="240" w:lineRule="exact"/>
              <w:ind w:firstLine="0"/>
              <w:jc w:val="right"/>
              <w:rPr>
                <w:rFonts w:ascii="Calibri" w:hAnsi="Calibri" w:cs="DIN Pro Regular"/>
                <w:b/>
                <w:sz w:val="20"/>
              </w:rPr>
            </w:pPr>
            <w:r w:rsidRPr="000A40B5">
              <w:rPr>
                <w:rFonts w:ascii="Calibri" w:hAnsi="Calibri" w:cs="DIN Pro Regular"/>
                <w:b/>
                <w:sz w:val="20"/>
              </w:rPr>
              <w:t>$0.00</w:t>
            </w:r>
          </w:p>
        </w:tc>
      </w:tr>
      <w:tr w:rsidR="00476A7B" w:rsidRPr="000A40B5" w:rsidTr="00476A7B">
        <w:tc>
          <w:tcPr>
            <w:tcW w:w="5603" w:type="dxa"/>
          </w:tcPr>
          <w:p w:rsidR="00476A7B" w:rsidRPr="000A40B5" w:rsidRDefault="00476A7B" w:rsidP="007006CA">
            <w:pPr>
              <w:pStyle w:val="Texto"/>
              <w:spacing w:after="0" w:line="240" w:lineRule="exact"/>
              <w:ind w:firstLine="0"/>
              <w:rPr>
                <w:rFonts w:ascii="Calibri" w:hAnsi="Calibri" w:cs="DIN Pro Regular"/>
                <w:b/>
                <w:sz w:val="20"/>
              </w:rPr>
            </w:pPr>
            <w:r w:rsidRPr="000A40B5">
              <w:rPr>
                <w:rFonts w:ascii="Calibri" w:hAnsi="Calibri" w:cs="DIN Pro Regular"/>
                <w:b/>
                <w:sz w:val="20"/>
              </w:rPr>
              <w:t>815 Ley de ingresos recaudada</w:t>
            </w:r>
          </w:p>
        </w:tc>
        <w:tc>
          <w:tcPr>
            <w:tcW w:w="1813" w:type="dxa"/>
          </w:tcPr>
          <w:p w:rsidR="00476A7B" w:rsidRPr="000A40B5" w:rsidRDefault="00476A7B" w:rsidP="00476A7B">
            <w:pPr>
              <w:pStyle w:val="Texto"/>
              <w:spacing w:after="0" w:line="240" w:lineRule="exact"/>
              <w:ind w:firstLine="0"/>
              <w:jc w:val="right"/>
              <w:rPr>
                <w:rFonts w:ascii="Calibri" w:hAnsi="Calibri" w:cs="DIN Pro Regular"/>
                <w:b/>
                <w:sz w:val="20"/>
              </w:rPr>
            </w:pPr>
            <w:r w:rsidRPr="000A40B5">
              <w:rPr>
                <w:rFonts w:ascii="Calibri" w:hAnsi="Calibri" w:cs="DIN Pro Regular"/>
                <w:b/>
                <w:sz w:val="20"/>
              </w:rPr>
              <w:t>$96,754,938</w:t>
            </w:r>
          </w:p>
        </w:tc>
      </w:tr>
    </w:tbl>
    <w:p w:rsidR="00476A7B" w:rsidRPr="000A40B5" w:rsidRDefault="00476A7B" w:rsidP="007006CA">
      <w:pPr>
        <w:pStyle w:val="Texto"/>
        <w:spacing w:after="0" w:line="240" w:lineRule="exact"/>
        <w:ind w:left="2160" w:hanging="36"/>
        <w:rPr>
          <w:rFonts w:ascii="Calibri" w:hAnsi="Calibri" w:cs="DIN Pro Regular"/>
          <w:b/>
          <w:sz w:val="20"/>
        </w:rPr>
      </w:pPr>
    </w:p>
    <w:p w:rsidR="007006CA" w:rsidRPr="000A40B5" w:rsidRDefault="007006CA" w:rsidP="00290E6D">
      <w:pPr>
        <w:pStyle w:val="Texto"/>
        <w:spacing w:after="0" w:line="240" w:lineRule="exact"/>
        <w:ind w:left="2160" w:hanging="540"/>
        <w:rPr>
          <w:rFonts w:ascii="Calibri" w:hAnsi="Calibri" w:cs="DIN Pro Regular"/>
          <w:b/>
          <w:sz w:val="20"/>
        </w:rPr>
      </w:pPr>
    </w:p>
    <w:p w:rsidR="007006CA" w:rsidRPr="008A011E" w:rsidRDefault="007006CA" w:rsidP="00290E6D">
      <w:pPr>
        <w:pStyle w:val="Texto"/>
        <w:spacing w:after="0" w:line="240" w:lineRule="exact"/>
        <w:ind w:left="2160" w:hanging="540"/>
        <w:rPr>
          <w:rFonts w:ascii="Calibri" w:hAnsi="Calibri" w:cs="DIN Pro Regular"/>
          <w:sz w:val="20"/>
        </w:rPr>
      </w:pPr>
    </w:p>
    <w:p w:rsidR="00290E6D"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Cuentas de egresos</w:t>
      </w:r>
    </w:p>
    <w:tbl>
      <w:tblPr>
        <w:tblStyle w:val="Tablaconcuadrcula"/>
        <w:tblW w:w="0" w:type="auto"/>
        <w:tblInd w:w="2160" w:type="dxa"/>
        <w:tblLook w:val="04A0" w:firstRow="1" w:lastRow="0" w:firstColumn="1" w:lastColumn="0" w:noHBand="0" w:noVBand="1"/>
      </w:tblPr>
      <w:tblGrid>
        <w:gridCol w:w="5603"/>
        <w:gridCol w:w="1813"/>
      </w:tblGrid>
      <w:tr w:rsidR="002E30DC" w:rsidRPr="000A40B5" w:rsidTr="002E30DC">
        <w:tc>
          <w:tcPr>
            <w:tcW w:w="5603" w:type="dxa"/>
          </w:tcPr>
          <w:p w:rsidR="002E30DC" w:rsidRPr="000A40B5" w:rsidRDefault="002E30DC" w:rsidP="00290E6D">
            <w:pPr>
              <w:pStyle w:val="Texto"/>
              <w:spacing w:after="0" w:line="240" w:lineRule="exact"/>
              <w:ind w:firstLine="0"/>
              <w:rPr>
                <w:rFonts w:ascii="Calibri" w:hAnsi="Calibri" w:cs="DIN Pro Regular"/>
                <w:b/>
                <w:sz w:val="20"/>
              </w:rPr>
            </w:pPr>
            <w:r w:rsidRPr="000A40B5">
              <w:rPr>
                <w:rFonts w:ascii="Calibri" w:hAnsi="Calibri" w:cs="DIN Pro Regular"/>
                <w:b/>
                <w:sz w:val="20"/>
              </w:rPr>
              <w:t>821 Presupuesto de egresos aprobado</w:t>
            </w:r>
          </w:p>
        </w:tc>
        <w:tc>
          <w:tcPr>
            <w:tcW w:w="1813" w:type="dxa"/>
          </w:tcPr>
          <w:p w:rsidR="002E30DC" w:rsidRPr="000A40B5" w:rsidRDefault="002E30DC" w:rsidP="00DE7155">
            <w:pPr>
              <w:pStyle w:val="Texto"/>
              <w:spacing w:after="0" w:line="240" w:lineRule="exact"/>
              <w:ind w:firstLine="0"/>
              <w:jc w:val="right"/>
              <w:rPr>
                <w:rFonts w:ascii="Calibri" w:hAnsi="Calibri" w:cs="DIN Pro Regular"/>
                <w:b/>
                <w:sz w:val="20"/>
              </w:rPr>
            </w:pPr>
            <w:r w:rsidRPr="000A40B5">
              <w:rPr>
                <w:rFonts w:ascii="Calibri" w:hAnsi="Calibri" w:cs="DIN Pro Regular"/>
                <w:b/>
                <w:sz w:val="20"/>
              </w:rPr>
              <w:t>$92,510,000</w:t>
            </w:r>
          </w:p>
        </w:tc>
      </w:tr>
      <w:tr w:rsidR="002E30DC" w:rsidRPr="000A40B5" w:rsidTr="002E30DC">
        <w:tc>
          <w:tcPr>
            <w:tcW w:w="5603" w:type="dxa"/>
          </w:tcPr>
          <w:p w:rsidR="002E30DC" w:rsidRPr="000A40B5" w:rsidRDefault="002E30DC" w:rsidP="00290E6D">
            <w:pPr>
              <w:pStyle w:val="Texto"/>
              <w:spacing w:after="0" w:line="240" w:lineRule="exact"/>
              <w:ind w:firstLine="0"/>
              <w:rPr>
                <w:rFonts w:ascii="Calibri" w:hAnsi="Calibri" w:cs="DIN Pro Regular"/>
                <w:b/>
                <w:sz w:val="20"/>
              </w:rPr>
            </w:pPr>
            <w:r w:rsidRPr="000A40B5">
              <w:rPr>
                <w:rFonts w:ascii="Calibri" w:hAnsi="Calibri" w:cs="DIN Pro Regular"/>
                <w:b/>
                <w:sz w:val="20"/>
              </w:rPr>
              <w:t>822 Presupuesto de egresos por ejercer</w:t>
            </w:r>
          </w:p>
        </w:tc>
        <w:tc>
          <w:tcPr>
            <w:tcW w:w="1813" w:type="dxa"/>
          </w:tcPr>
          <w:p w:rsidR="002E30DC" w:rsidRPr="000A40B5" w:rsidRDefault="002E30DC" w:rsidP="00DE7155">
            <w:pPr>
              <w:pStyle w:val="Texto"/>
              <w:spacing w:after="0" w:line="240" w:lineRule="exact"/>
              <w:ind w:firstLine="0"/>
              <w:jc w:val="right"/>
              <w:rPr>
                <w:rFonts w:ascii="Calibri" w:hAnsi="Calibri" w:cs="DIN Pro Regular"/>
                <w:b/>
                <w:sz w:val="20"/>
              </w:rPr>
            </w:pPr>
            <w:r w:rsidRPr="000A40B5">
              <w:rPr>
                <w:rFonts w:ascii="Calibri" w:hAnsi="Calibri" w:cs="DIN Pro Regular"/>
                <w:b/>
                <w:sz w:val="20"/>
              </w:rPr>
              <w:t>$2,792,444</w:t>
            </w:r>
          </w:p>
        </w:tc>
      </w:tr>
      <w:tr w:rsidR="002E30DC" w:rsidRPr="000A40B5" w:rsidTr="002E30DC">
        <w:tc>
          <w:tcPr>
            <w:tcW w:w="5603" w:type="dxa"/>
          </w:tcPr>
          <w:p w:rsidR="002E30DC" w:rsidRPr="000A40B5" w:rsidRDefault="002E30DC" w:rsidP="00290E6D">
            <w:pPr>
              <w:pStyle w:val="Texto"/>
              <w:spacing w:after="0" w:line="240" w:lineRule="exact"/>
              <w:ind w:firstLine="0"/>
              <w:rPr>
                <w:rFonts w:ascii="Calibri" w:hAnsi="Calibri" w:cs="DIN Pro Regular"/>
                <w:b/>
                <w:sz w:val="20"/>
              </w:rPr>
            </w:pPr>
            <w:r w:rsidRPr="000A40B5">
              <w:rPr>
                <w:rFonts w:ascii="Calibri" w:hAnsi="Calibri" w:cs="DIN Pro Regular"/>
                <w:b/>
                <w:sz w:val="20"/>
              </w:rPr>
              <w:t>823 Modificaciones al presupuesto de egresos</w:t>
            </w:r>
          </w:p>
        </w:tc>
        <w:tc>
          <w:tcPr>
            <w:tcW w:w="1813" w:type="dxa"/>
          </w:tcPr>
          <w:p w:rsidR="002E30DC" w:rsidRPr="000A40B5" w:rsidRDefault="009C5A08" w:rsidP="00DE7155">
            <w:pPr>
              <w:pStyle w:val="Texto"/>
              <w:spacing w:after="0" w:line="240" w:lineRule="exact"/>
              <w:ind w:firstLine="0"/>
              <w:jc w:val="right"/>
              <w:rPr>
                <w:rFonts w:ascii="Calibri" w:hAnsi="Calibri" w:cs="DIN Pro Regular"/>
                <w:b/>
                <w:sz w:val="20"/>
              </w:rPr>
            </w:pPr>
            <w:r w:rsidRPr="000A40B5">
              <w:rPr>
                <w:rFonts w:ascii="Calibri" w:hAnsi="Calibri" w:cs="DIN Pro Regular"/>
                <w:b/>
                <w:sz w:val="20"/>
              </w:rPr>
              <w:t>$5,426,846</w:t>
            </w:r>
          </w:p>
        </w:tc>
      </w:tr>
      <w:tr w:rsidR="002E30DC" w:rsidRPr="000A40B5" w:rsidTr="002E30DC">
        <w:tc>
          <w:tcPr>
            <w:tcW w:w="5603" w:type="dxa"/>
          </w:tcPr>
          <w:p w:rsidR="002E30DC" w:rsidRPr="000A40B5" w:rsidRDefault="002E30DC" w:rsidP="00290E6D">
            <w:pPr>
              <w:pStyle w:val="Texto"/>
              <w:spacing w:after="0" w:line="240" w:lineRule="exact"/>
              <w:ind w:firstLine="0"/>
              <w:rPr>
                <w:rFonts w:ascii="Calibri" w:hAnsi="Calibri" w:cs="DIN Pro Regular"/>
                <w:b/>
                <w:sz w:val="20"/>
              </w:rPr>
            </w:pPr>
            <w:r w:rsidRPr="000A40B5">
              <w:rPr>
                <w:rFonts w:ascii="Calibri" w:hAnsi="Calibri" w:cs="DIN Pro Regular"/>
                <w:b/>
                <w:sz w:val="20"/>
              </w:rPr>
              <w:t>824 Presupuesto de egresos comprometido</w:t>
            </w:r>
          </w:p>
        </w:tc>
        <w:tc>
          <w:tcPr>
            <w:tcW w:w="1813" w:type="dxa"/>
          </w:tcPr>
          <w:p w:rsidR="002E30DC" w:rsidRPr="000A40B5" w:rsidRDefault="009C5A08" w:rsidP="00DE7155">
            <w:pPr>
              <w:pStyle w:val="Texto"/>
              <w:spacing w:after="0" w:line="240" w:lineRule="exact"/>
              <w:ind w:firstLine="0"/>
              <w:jc w:val="right"/>
              <w:rPr>
                <w:rFonts w:ascii="Calibri" w:hAnsi="Calibri" w:cs="DIN Pro Regular"/>
                <w:b/>
                <w:sz w:val="20"/>
              </w:rPr>
            </w:pPr>
            <w:r w:rsidRPr="000A40B5">
              <w:rPr>
                <w:rFonts w:ascii="Calibri" w:hAnsi="Calibri" w:cs="DIN Pro Regular"/>
                <w:b/>
                <w:sz w:val="20"/>
              </w:rPr>
              <w:t>$-1,909,315</w:t>
            </w:r>
          </w:p>
        </w:tc>
      </w:tr>
      <w:tr w:rsidR="002E30DC" w:rsidRPr="000A40B5" w:rsidTr="002E30DC">
        <w:tc>
          <w:tcPr>
            <w:tcW w:w="5603" w:type="dxa"/>
          </w:tcPr>
          <w:p w:rsidR="002E30DC" w:rsidRPr="000A40B5" w:rsidRDefault="002E30DC" w:rsidP="00290E6D">
            <w:pPr>
              <w:pStyle w:val="Texto"/>
              <w:spacing w:after="0" w:line="240" w:lineRule="exact"/>
              <w:ind w:firstLine="0"/>
              <w:rPr>
                <w:rFonts w:ascii="Calibri" w:hAnsi="Calibri" w:cs="DIN Pro Regular"/>
                <w:b/>
                <w:sz w:val="20"/>
              </w:rPr>
            </w:pPr>
            <w:r w:rsidRPr="000A40B5">
              <w:rPr>
                <w:rFonts w:ascii="Calibri" w:hAnsi="Calibri" w:cs="DIN Pro Regular"/>
                <w:b/>
                <w:sz w:val="20"/>
              </w:rPr>
              <w:t>825 Presupuesto de egresos devengado</w:t>
            </w:r>
          </w:p>
        </w:tc>
        <w:tc>
          <w:tcPr>
            <w:tcW w:w="1813" w:type="dxa"/>
          </w:tcPr>
          <w:p w:rsidR="002E30DC" w:rsidRPr="000A40B5" w:rsidRDefault="009C5A08" w:rsidP="00DE7155">
            <w:pPr>
              <w:pStyle w:val="Texto"/>
              <w:spacing w:after="0" w:line="240" w:lineRule="exact"/>
              <w:ind w:firstLine="0"/>
              <w:jc w:val="right"/>
              <w:rPr>
                <w:rFonts w:ascii="Calibri" w:hAnsi="Calibri" w:cs="DIN Pro Regular"/>
                <w:b/>
                <w:sz w:val="20"/>
              </w:rPr>
            </w:pPr>
            <w:r w:rsidRPr="000A40B5">
              <w:rPr>
                <w:rFonts w:ascii="Calibri" w:hAnsi="Calibri" w:cs="DIN Pro Regular"/>
                <w:b/>
                <w:sz w:val="20"/>
              </w:rPr>
              <w:t>$0.00</w:t>
            </w:r>
          </w:p>
        </w:tc>
      </w:tr>
      <w:tr w:rsidR="002E30DC" w:rsidRPr="000A40B5" w:rsidTr="002E30DC">
        <w:tc>
          <w:tcPr>
            <w:tcW w:w="5603" w:type="dxa"/>
          </w:tcPr>
          <w:p w:rsidR="002E30DC" w:rsidRPr="000A40B5" w:rsidRDefault="002E30DC" w:rsidP="00290E6D">
            <w:pPr>
              <w:pStyle w:val="Texto"/>
              <w:spacing w:after="0" w:line="240" w:lineRule="exact"/>
              <w:ind w:firstLine="0"/>
              <w:rPr>
                <w:rFonts w:ascii="Calibri" w:hAnsi="Calibri" w:cs="DIN Pro Regular"/>
                <w:b/>
                <w:sz w:val="20"/>
              </w:rPr>
            </w:pPr>
            <w:r w:rsidRPr="000A40B5">
              <w:rPr>
                <w:rFonts w:ascii="Calibri" w:hAnsi="Calibri" w:cs="DIN Pro Regular"/>
                <w:b/>
                <w:sz w:val="20"/>
              </w:rPr>
              <w:t>826 Presupuesto de egresos ejercido</w:t>
            </w:r>
          </w:p>
        </w:tc>
        <w:tc>
          <w:tcPr>
            <w:tcW w:w="1813" w:type="dxa"/>
          </w:tcPr>
          <w:p w:rsidR="002E30DC" w:rsidRPr="000A40B5" w:rsidRDefault="009C5A08" w:rsidP="00DE7155">
            <w:pPr>
              <w:pStyle w:val="Texto"/>
              <w:spacing w:after="0" w:line="240" w:lineRule="exact"/>
              <w:ind w:firstLine="0"/>
              <w:jc w:val="right"/>
              <w:rPr>
                <w:rFonts w:ascii="Calibri" w:hAnsi="Calibri" w:cs="DIN Pro Regular"/>
                <w:b/>
                <w:sz w:val="20"/>
              </w:rPr>
            </w:pPr>
            <w:r w:rsidRPr="000A40B5">
              <w:rPr>
                <w:rFonts w:ascii="Calibri" w:hAnsi="Calibri" w:cs="DIN Pro Regular"/>
                <w:b/>
                <w:sz w:val="20"/>
              </w:rPr>
              <w:t>$0.00</w:t>
            </w:r>
          </w:p>
        </w:tc>
      </w:tr>
      <w:tr w:rsidR="002E30DC" w:rsidRPr="000A40B5" w:rsidTr="002E30DC">
        <w:tc>
          <w:tcPr>
            <w:tcW w:w="5603" w:type="dxa"/>
          </w:tcPr>
          <w:p w:rsidR="002E30DC" w:rsidRPr="000A40B5" w:rsidRDefault="002E30DC" w:rsidP="00290E6D">
            <w:pPr>
              <w:pStyle w:val="Texto"/>
              <w:spacing w:after="0" w:line="240" w:lineRule="exact"/>
              <w:ind w:firstLine="0"/>
              <w:rPr>
                <w:rFonts w:ascii="Calibri" w:hAnsi="Calibri" w:cs="DIN Pro Regular"/>
                <w:b/>
                <w:sz w:val="20"/>
              </w:rPr>
            </w:pPr>
            <w:r w:rsidRPr="000A40B5">
              <w:rPr>
                <w:rFonts w:ascii="Calibri" w:hAnsi="Calibri" w:cs="DIN Pro Regular"/>
                <w:b/>
                <w:sz w:val="20"/>
              </w:rPr>
              <w:t>827 Presupuesto de egresos pagado</w:t>
            </w:r>
          </w:p>
        </w:tc>
        <w:tc>
          <w:tcPr>
            <w:tcW w:w="1813" w:type="dxa"/>
          </w:tcPr>
          <w:p w:rsidR="002E30DC" w:rsidRPr="000A40B5" w:rsidRDefault="009C5A08" w:rsidP="00DE7155">
            <w:pPr>
              <w:pStyle w:val="Texto"/>
              <w:spacing w:after="0" w:line="240" w:lineRule="exact"/>
              <w:ind w:firstLine="0"/>
              <w:jc w:val="right"/>
              <w:rPr>
                <w:rFonts w:ascii="Calibri" w:hAnsi="Calibri" w:cs="DIN Pro Regular"/>
                <w:b/>
                <w:sz w:val="20"/>
              </w:rPr>
            </w:pPr>
            <w:r w:rsidRPr="000A40B5">
              <w:rPr>
                <w:rFonts w:ascii="Calibri" w:hAnsi="Calibri" w:cs="DIN Pro Regular"/>
                <w:b/>
                <w:sz w:val="20"/>
              </w:rPr>
              <w:t>$97,053,716</w:t>
            </w:r>
          </w:p>
        </w:tc>
      </w:tr>
    </w:tbl>
    <w:p w:rsidR="00476A7B" w:rsidRPr="000A40B5" w:rsidRDefault="00476A7B" w:rsidP="00290E6D">
      <w:pPr>
        <w:pStyle w:val="Texto"/>
        <w:spacing w:after="0" w:line="240" w:lineRule="exact"/>
        <w:ind w:left="2160" w:hanging="540"/>
        <w:rPr>
          <w:rFonts w:ascii="Calibri" w:hAnsi="Calibri" w:cs="DIN Pro Regular"/>
          <w:b/>
          <w:sz w:val="20"/>
        </w:rPr>
      </w:pPr>
    </w:p>
    <w:p w:rsidR="000D5EFE" w:rsidRPr="008A011E" w:rsidRDefault="000D5EFE" w:rsidP="00540418">
      <w:pPr>
        <w:pStyle w:val="Texto"/>
        <w:spacing w:after="0" w:line="240" w:lineRule="exact"/>
        <w:rPr>
          <w:rFonts w:ascii="Calibri" w:hAnsi="Calibri" w:cs="DIN Pro Regular"/>
          <w:sz w:val="20"/>
        </w:rPr>
      </w:pPr>
    </w:p>
    <w:p w:rsidR="00577E1A" w:rsidRDefault="00577E1A" w:rsidP="00540418">
      <w:pPr>
        <w:pStyle w:val="Texto"/>
        <w:spacing w:after="0" w:line="240" w:lineRule="exact"/>
        <w:rPr>
          <w:rFonts w:ascii="Calibri" w:hAnsi="Calibri" w:cs="DIN Pro Regular"/>
          <w:sz w:val="20"/>
        </w:rPr>
      </w:pPr>
    </w:p>
    <w:p w:rsidR="00EB37D6" w:rsidRPr="008A011E" w:rsidRDefault="00EB37D6" w:rsidP="00540418">
      <w:pPr>
        <w:pStyle w:val="Texto"/>
        <w:spacing w:after="0" w:line="240" w:lineRule="exact"/>
        <w:rPr>
          <w:rFonts w:ascii="Calibri" w:hAnsi="Calibri" w:cs="DIN Pro Regular"/>
          <w:sz w:val="20"/>
        </w:rPr>
      </w:pPr>
    </w:p>
    <w:p w:rsidR="00540418" w:rsidRPr="00010BEF" w:rsidRDefault="00540418" w:rsidP="00540418">
      <w:pPr>
        <w:pStyle w:val="Texto"/>
        <w:spacing w:after="0" w:line="240" w:lineRule="exact"/>
        <w:ind w:firstLine="0"/>
        <w:jc w:val="center"/>
        <w:rPr>
          <w:rFonts w:ascii="Encode Sans" w:hAnsi="Encode Sans" w:cs="DIN Pro Regular"/>
          <w:b/>
          <w:sz w:val="20"/>
          <w:lang w:val="es-MX"/>
        </w:rPr>
      </w:pPr>
      <w:r w:rsidRPr="00010BEF">
        <w:rPr>
          <w:rFonts w:ascii="Encode Sans" w:hAnsi="Encode Sans" w:cs="DIN Pro Regular"/>
          <w:b/>
          <w:sz w:val="20"/>
          <w:lang w:val="es-MX"/>
        </w:rPr>
        <w:t>c) NOTAS DE GESTIÓN ADMINISTRATIVA</w:t>
      </w:r>
    </w:p>
    <w:p w:rsidR="00540418" w:rsidRPr="00010BEF" w:rsidRDefault="00540418" w:rsidP="00540418">
      <w:pPr>
        <w:pStyle w:val="Texto"/>
        <w:spacing w:after="0" w:line="240" w:lineRule="exact"/>
        <w:ind w:firstLine="0"/>
        <w:jc w:val="left"/>
        <w:rPr>
          <w:rFonts w:ascii="Encode Sans" w:hAnsi="Encode Sans" w:cs="DIN Pro Regular"/>
          <w:b/>
          <w:sz w:val="20"/>
          <w:lang w:val="es-MX"/>
        </w:rPr>
      </w:pPr>
    </w:p>
    <w:p w:rsidR="009D76B8" w:rsidRPr="009D76B8" w:rsidRDefault="00540418" w:rsidP="009D76B8">
      <w:pPr>
        <w:pStyle w:val="Texto"/>
        <w:numPr>
          <w:ilvl w:val="0"/>
          <w:numId w:val="11"/>
        </w:numPr>
        <w:spacing w:after="0" w:line="240" w:lineRule="exact"/>
        <w:ind w:left="284"/>
        <w:rPr>
          <w:rFonts w:asciiTheme="minorHAnsi" w:hAnsiTheme="minorHAnsi" w:cs="DIN Pro Regular"/>
          <w:sz w:val="22"/>
          <w:szCs w:val="22"/>
          <w:lang w:val="es-MX"/>
        </w:rPr>
      </w:pPr>
      <w:r w:rsidRPr="008A011E">
        <w:rPr>
          <w:rFonts w:ascii="Calibri" w:hAnsi="Calibri" w:cs="DIN Pro Regular"/>
          <w:sz w:val="20"/>
          <w:lang w:val="es-MX"/>
        </w:rPr>
        <w:t>Introducción</w:t>
      </w:r>
      <w:r w:rsidR="009D76B8" w:rsidRPr="00553CFD">
        <w:rPr>
          <w:rFonts w:ascii="DINPro-Regular" w:hAnsi="DINPro-Regular" w:cs="DIN Pro Regular"/>
          <w:sz w:val="22"/>
          <w:szCs w:val="22"/>
          <w:lang w:val="es-MX"/>
        </w:rPr>
        <w:t xml:space="preserve">. </w:t>
      </w:r>
      <w:r w:rsidR="009D76B8" w:rsidRPr="009D76B8">
        <w:rPr>
          <w:rFonts w:ascii="Calibri" w:hAnsi="Calibri" w:cs="DIN Pro Regular"/>
          <w:sz w:val="20"/>
          <w:lang w:val="es-MX"/>
        </w:rPr>
        <w:t xml:space="preserve">La universidad tecnológica de nuevo </w:t>
      </w:r>
      <w:r w:rsidR="008B2FCF" w:rsidRPr="009D76B8">
        <w:rPr>
          <w:rFonts w:ascii="Calibri" w:hAnsi="Calibri" w:cs="DIN Pro Regular"/>
          <w:sz w:val="20"/>
          <w:lang w:val="es-MX"/>
        </w:rPr>
        <w:t>Laredo</w:t>
      </w:r>
      <w:r w:rsidR="009D76B8" w:rsidRPr="009D76B8">
        <w:rPr>
          <w:rFonts w:ascii="Calibri" w:hAnsi="Calibri" w:cs="DIN Pro Regular"/>
          <w:sz w:val="20"/>
          <w:lang w:val="es-MX"/>
        </w:rPr>
        <w:t xml:space="preserve"> fue fundada en base a un decreto de creación para una educación de calidad hacia los sectores </w:t>
      </w:r>
      <w:r w:rsidR="008B2FCF" w:rsidRPr="009D76B8">
        <w:rPr>
          <w:rFonts w:ascii="Calibri" w:hAnsi="Calibri" w:cs="DIN Pro Regular"/>
          <w:sz w:val="20"/>
          <w:lang w:val="es-MX"/>
        </w:rPr>
        <w:t>más</w:t>
      </w:r>
      <w:r w:rsidR="009D76B8" w:rsidRPr="009D76B8">
        <w:rPr>
          <w:rFonts w:ascii="Calibri" w:hAnsi="Calibri" w:cs="DIN Pro Regular"/>
          <w:sz w:val="20"/>
          <w:lang w:val="es-MX"/>
        </w:rPr>
        <w:t xml:space="preserve"> alejados de la ciudad, teniendo por objeto obtener mano de obra calificada requerida por los sectores empresariales de la ciudad.</w:t>
      </w:r>
    </w:p>
    <w:p w:rsidR="009D76B8" w:rsidRPr="008A011E" w:rsidRDefault="009D76B8" w:rsidP="009D76B8">
      <w:pPr>
        <w:pStyle w:val="Texto"/>
        <w:spacing w:after="0" w:line="240" w:lineRule="exact"/>
        <w:ind w:left="708" w:firstLine="0"/>
        <w:rPr>
          <w:rFonts w:ascii="Calibri" w:hAnsi="Calibri" w:cs="DIN Pro Regular"/>
          <w:sz w:val="20"/>
        </w:rPr>
      </w:pPr>
    </w:p>
    <w:p w:rsidR="00540418" w:rsidRDefault="00540418" w:rsidP="009D76B8">
      <w:pPr>
        <w:pStyle w:val="Texto"/>
        <w:numPr>
          <w:ilvl w:val="0"/>
          <w:numId w:val="11"/>
        </w:numPr>
        <w:spacing w:after="0" w:line="240" w:lineRule="exact"/>
        <w:ind w:left="284"/>
        <w:rPr>
          <w:rFonts w:ascii="Calibri" w:hAnsi="Calibri" w:cs="DIN Pro Regular"/>
          <w:sz w:val="20"/>
          <w:lang w:val="es-MX"/>
        </w:rPr>
      </w:pPr>
      <w:r w:rsidRPr="008A011E">
        <w:rPr>
          <w:rFonts w:ascii="Calibri" w:hAnsi="Calibri" w:cs="DIN Pro Regular"/>
          <w:sz w:val="20"/>
          <w:lang w:val="es-MX"/>
        </w:rPr>
        <w:t>Panorama Económico y Financiero</w:t>
      </w:r>
      <w:r w:rsidR="009D76B8">
        <w:rPr>
          <w:rFonts w:ascii="Calibri" w:hAnsi="Calibri" w:cs="DIN Pro Regular"/>
          <w:sz w:val="20"/>
          <w:lang w:val="es-MX"/>
        </w:rPr>
        <w:t xml:space="preserve">. </w:t>
      </w:r>
      <w:r w:rsidR="009D76B8" w:rsidRPr="009D76B8">
        <w:rPr>
          <w:rFonts w:ascii="Calibri" w:hAnsi="Calibri" w:cs="DIN Pro Regular"/>
          <w:sz w:val="20"/>
          <w:lang w:val="es-MX"/>
        </w:rPr>
        <w:t xml:space="preserve">Los objetos de la institución se cumplieron durante el ejercicio con Ingresos Propios, Ingresos Federales e Ingresos del Estado, a través de subsidios aprobados previamente por el consejo directivo mediante presupuesto. </w:t>
      </w:r>
    </w:p>
    <w:p w:rsidR="009D76B8" w:rsidRPr="009D76B8" w:rsidRDefault="009D76B8" w:rsidP="009D76B8">
      <w:pPr>
        <w:pStyle w:val="Texto"/>
        <w:spacing w:after="0" w:line="240" w:lineRule="exact"/>
        <w:ind w:firstLine="0"/>
        <w:rPr>
          <w:rFonts w:ascii="Calibri" w:hAnsi="Calibri" w:cs="DIN Pro Regular"/>
          <w:sz w:val="20"/>
          <w:lang w:val="es-MX"/>
        </w:rPr>
      </w:pPr>
    </w:p>
    <w:p w:rsidR="009D76B8" w:rsidRPr="009D76B8" w:rsidRDefault="00540418" w:rsidP="009D76B8">
      <w:pPr>
        <w:pStyle w:val="Texto"/>
        <w:numPr>
          <w:ilvl w:val="0"/>
          <w:numId w:val="11"/>
        </w:numPr>
        <w:spacing w:after="0" w:line="240" w:lineRule="exact"/>
        <w:ind w:left="284"/>
        <w:rPr>
          <w:rFonts w:ascii="Calibri" w:hAnsi="Calibri" w:cs="DIN Pro Regular"/>
          <w:sz w:val="20"/>
          <w:lang w:val="es-MX"/>
        </w:rPr>
      </w:pPr>
      <w:r w:rsidRPr="008A011E">
        <w:rPr>
          <w:rFonts w:ascii="Calibri" w:hAnsi="Calibri" w:cs="DIN Pro Regular"/>
          <w:sz w:val="20"/>
          <w:lang w:val="es-MX"/>
        </w:rPr>
        <w:tab/>
        <w:t>Autorización e Historia</w:t>
      </w:r>
      <w:r w:rsidR="009D76B8">
        <w:rPr>
          <w:rFonts w:ascii="Calibri" w:hAnsi="Calibri" w:cs="DIN Pro Regular"/>
          <w:sz w:val="20"/>
          <w:lang w:val="es-MX"/>
        </w:rPr>
        <w:t xml:space="preserve">. </w:t>
      </w:r>
      <w:r w:rsidR="009D76B8" w:rsidRPr="009D76B8">
        <w:rPr>
          <w:rFonts w:ascii="Calibri" w:hAnsi="Calibri" w:cs="DIN Pro Regular"/>
          <w:sz w:val="20"/>
          <w:lang w:val="es-MX"/>
        </w:rPr>
        <w:t xml:space="preserve">El 11 de Septiembre del 2002, el gobierno del Estado de Tamaulipas emitió decreto mediante el cual se aprobó la fundación de la Universidad Tecnológica de Nuevo Laredo, así mismo, existen dos reformas a su decreto de creación, siendo la primera el 23 de Noviembre del 2006 y la segunda el 5 de Noviembre de 2009, en el año 2007 la Universidad Tecnológica de Nuevo Laredo obtiene el nivel 1 del comité interinstitucional de evaluación de Educación Superior en las carreras de Clasificación Arancelaria y Despacho Aduanero, Administración de Auto Transporte y Logística, obteniendo el grado para la impartición del nivel de Licenciatura en Ingeniería en Logística Internacional. En 2009 las carreras de Técnico Superior Universitario en Mantenimiento Industrial, Electrónica y Automatización lograron la distinción de SIEES para lograr la continuidad de Ingeniero en Mantenimiento Industrial e Ingeniero en Mecatrónica   </w:t>
      </w:r>
    </w:p>
    <w:p w:rsidR="00540418" w:rsidRDefault="00540418" w:rsidP="002C576A">
      <w:pPr>
        <w:pStyle w:val="Texto"/>
        <w:spacing w:after="0" w:line="240" w:lineRule="exact"/>
        <w:rPr>
          <w:rFonts w:ascii="Calibri" w:hAnsi="Calibri" w:cs="DIN Pro Regular"/>
          <w:sz w:val="20"/>
          <w:lang w:val="es-MX"/>
        </w:rPr>
      </w:pPr>
    </w:p>
    <w:p w:rsidR="00630DC2" w:rsidRDefault="00630DC2" w:rsidP="00630DC2">
      <w:pPr>
        <w:spacing w:after="101" w:line="216" w:lineRule="exact"/>
        <w:ind w:left="288"/>
        <w:jc w:val="both"/>
        <w:rPr>
          <w:rFonts w:eastAsia="Times New Roman"/>
          <w:sz w:val="20"/>
          <w:szCs w:val="20"/>
          <w:lang w:val="es-ES" w:eastAsia="es-ES"/>
        </w:rPr>
      </w:pPr>
      <w:r>
        <w:rPr>
          <w:rFonts w:ascii="DINPro-Regular" w:eastAsia="Times New Roman" w:hAnsi="DINPro-Regular"/>
          <w:lang w:val="es-ES" w:eastAsia="es-ES"/>
        </w:rPr>
        <w:t xml:space="preserve">       </w:t>
      </w:r>
      <w:proofErr w:type="gramStart"/>
      <w:r w:rsidRPr="00630DC2">
        <w:rPr>
          <w:rFonts w:eastAsia="Times New Roman"/>
          <w:sz w:val="20"/>
          <w:szCs w:val="20"/>
          <w:lang w:val="es-ES" w:eastAsia="es-ES"/>
        </w:rPr>
        <w:t>en</w:t>
      </w:r>
      <w:proofErr w:type="gramEnd"/>
      <w:r w:rsidRPr="00630DC2">
        <w:rPr>
          <w:rFonts w:eastAsia="Times New Roman"/>
          <w:sz w:val="20"/>
          <w:szCs w:val="20"/>
          <w:lang w:val="es-ES" w:eastAsia="es-ES"/>
        </w:rPr>
        <w:t xml:space="preserve"> 2010 la carrera de comercialización y ventas en el área de mercadotecnia obtienen                                                                                                                                                                                                                                                                en el nivel 1 del </w:t>
      </w:r>
      <w:proofErr w:type="spellStart"/>
      <w:r w:rsidRPr="00630DC2">
        <w:rPr>
          <w:rFonts w:eastAsia="Times New Roman"/>
          <w:sz w:val="20"/>
          <w:szCs w:val="20"/>
          <w:lang w:val="es-ES" w:eastAsia="es-ES"/>
        </w:rPr>
        <w:t>ciees</w:t>
      </w:r>
      <w:proofErr w:type="spellEnd"/>
      <w:r w:rsidRPr="00630DC2">
        <w:rPr>
          <w:rFonts w:eastAsia="Times New Roman"/>
          <w:sz w:val="20"/>
          <w:szCs w:val="20"/>
          <w:lang w:val="es-ES" w:eastAsia="es-ES"/>
        </w:rPr>
        <w:t xml:space="preserve"> justificando la necesidad de la apertura de ingeniería en desarrollo                  de innovación empresarial.</w:t>
      </w:r>
    </w:p>
    <w:p w:rsidR="007560D3" w:rsidRDefault="007560D3" w:rsidP="00630DC2">
      <w:pPr>
        <w:spacing w:after="101" w:line="216" w:lineRule="exact"/>
        <w:ind w:left="288"/>
        <w:jc w:val="both"/>
        <w:rPr>
          <w:rFonts w:eastAsia="Times New Roman"/>
          <w:sz w:val="20"/>
          <w:szCs w:val="20"/>
          <w:lang w:val="es-ES" w:eastAsia="es-ES"/>
        </w:rPr>
      </w:pPr>
    </w:p>
    <w:p w:rsidR="00630DC2" w:rsidRPr="00630DC2" w:rsidRDefault="00630DC2" w:rsidP="00630DC2">
      <w:pPr>
        <w:spacing w:after="101" w:line="216" w:lineRule="exact"/>
        <w:ind w:left="288"/>
        <w:jc w:val="both"/>
        <w:rPr>
          <w:rFonts w:eastAsia="Times New Roman"/>
          <w:sz w:val="20"/>
          <w:szCs w:val="20"/>
          <w:lang w:val="es-ES" w:eastAsia="es-ES"/>
        </w:rPr>
      </w:pPr>
      <w:proofErr w:type="gramStart"/>
      <w:r w:rsidRPr="00630DC2">
        <w:rPr>
          <w:rFonts w:eastAsia="Times New Roman"/>
          <w:sz w:val="20"/>
          <w:szCs w:val="20"/>
          <w:lang w:val="es-ES" w:eastAsia="es-ES"/>
        </w:rPr>
        <w:t>en</w:t>
      </w:r>
      <w:proofErr w:type="gramEnd"/>
      <w:r w:rsidRPr="00630DC2">
        <w:rPr>
          <w:rFonts w:eastAsia="Times New Roman"/>
          <w:sz w:val="20"/>
          <w:szCs w:val="20"/>
          <w:lang w:val="es-ES" w:eastAsia="es-ES"/>
        </w:rPr>
        <w:t xml:space="preserve"> la actualidad, el título de técnico superior universitario se obtiene a los dos años, y para quienes continúan con la licenciatura, con un año y ocho meses más, se titulan como ingenieros.</w:t>
      </w:r>
    </w:p>
    <w:p w:rsidR="00630DC2" w:rsidRPr="00630DC2" w:rsidRDefault="00630DC2" w:rsidP="00630DC2">
      <w:pPr>
        <w:spacing w:after="101" w:line="216" w:lineRule="exact"/>
        <w:ind w:firstLine="288"/>
        <w:jc w:val="both"/>
        <w:rPr>
          <w:rFonts w:eastAsia="Times New Roman"/>
          <w:sz w:val="20"/>
          <w:szCs w:val="20"/>
          <w:lang w:val="es-ES" w:eastAsia="es-ES"/>
        </w:rPr>
      </w:pPr>
    </w:p>
    <w:p w:rsidR="00630DC2" w:rsidRPr="00630DC2" w:rsidRDefault="00630DC2" w:rsidP="00630DC2">
      <w:pPr>
        <w:spacing w:after="101" w:line="216" w:lineRule="exact"/>
        <w:ind w:left="288"/>
        <w:jc w:val="both"/>
        <w:rPr>
          <w:rFonts w:eastAsia="Times New Roman"/>
          <w:sz w:val="20"/>
          <w:szCs w:val="20"/>
          <w:lang w:val="es-ES" w:eastAsia="es-ES"/>
        </w:rPr>
      </w:pPr>
      <w:proofErr w:type="gramStart"/>
      <w:r w:rsidRPr="00630DC2">
        <w:rPr>
          <w:rFonts w:eastAsia="Times New Roman"/>
          <w:b/>
          <w:sz w:val="20"/>
          <w:szCs w:val="20"/>
          <w:lang w:val="es-ES" w:eastAsia="es-ES"/>
        </w:rPr>
        <w:t>implementación</w:t>
      </w:r>
      <w:proofErr w:type="gramEnd"/>
      <w:r w:rsidRPr="00630DC2">
        <w:rPr>
          <w:rFonts w:eastAsia="Times New Roman"/>
          <w:b/>
          <w:sz w:val="20"/>
          <w:szCs w:val="20"/>
          <w:lang w:val="es-ES" w:eastAsia="es-ES"/>
        </w:rPr>
        <w:t xml:space="preserve"> del modelo bilingüe, internacional y sustentable.</w:t>
      </w:r>
      <w:r w:rsidRPr="00630DC2">
        <w:rPr>
          <w:rFonts w:eastAsia="Times New Roman"/>
          <w:sz w:val="20"/>
          <w:szCs w:val="20"/>
          <w:lang w:val="es-ES" w:eastAsia="es-ES"/>
        </w:rPr>
        <w:t xml:space="preserve"> - se autorizó la implementación del modelo bis el 7 de agosto de 2018, con el oficio núm. 514.1.934/2018….</w:t>
      </w:r>
    </w:p>
    <w:p w:rsidR="00630DC2" w:rsidRPr="00630DC2" w:rsidRDefault="00630DC2" w:rsidP="00630DC2">
      <w:pPr>
        <w:spacing w:after="101" w:line="216" w:lineRule="exact"/>
        <w:ind w:left="288"/>
        <w:jc w:val="both"/>
        <w:rPr>
          <w:rFonts w:eastAsia="Times New Roman"/>
          <w:sz w:val="20"/>
          <w:szCs w:val="20"/>
          <w:lang w:val="es-ES" w:eastAsia="es-ES"/>
        </w:rPr>
      </w:pPr>
      <w:proofErr w:type="gramStart"/>
      <w:r w:rsidRPr="00630DC2">
        <w:rPr>
          <w:rFonts w:eastAsia="Times New Roman"/>
          <w:sz w:val="20"/>
          <w:szCs w:val="20"/>
          <w:lang w:val="es-ES" w:eastAsia="es-ES"/>
        </w:rPr>
        <w:t>el</w:t>
      </w:r>
      <w:proofErr w:type="gramEnd"/>
      <w:r w:rsidRPr="00630DC2">
        <w:rPr>
          <w:rFonts w:eastAsia="Times New Roman"/>
          <w:sz w:val="20"/>
          <w:szCs w:val="20"/>
          <w:lang w:val="es-ES" w:eastAsia="es-ES"/>
        </w:rPr>
        <w:t xml:space="preserve"> modelo de universidades bis, opera bajo un régimen pedagógico bilingüe inglés-español.</w:t>
      </w:r>
    </w:p>
    <w:p w:rsidR="00630DC2" w:rsidRPr="00630DC2" w:rsidRDefault="00630DC2" w:rsidP="00630DC2">
      <w:pPr>
        <w:spacing w:after="101" w:line="216" w:lineRule="exact"/>
        <w:ind w:left="288"/>
        <w:jc w:val="both"/>
        <w:rPr>
          <w:rFonts w:eastAsia="Times New Roman"/>
          <w:sz w:val="20"/>
          <w:szCs w:val="20"/>
          <w:lang w:val="es-ES" w:eastAsia="es-ES"/>
        </w:rPr>
      </w:pPr>
      <w:proofErr w:type="gramStart"/>
      <w:r w:rsidRPr="00630DC2">
        <w:rPr>
          <w:rFonts w:eastAsia="Times New Roman"/>
          <w:sz w:val="20"/>
          <w:szCs w:val="20"/>
          <w:lang w:val="es-ES" w:eastAsia="es-ES"/>
        </w:rPr>
        <w:t>los</w:t>
      </w:r>
      <w:proofErr w:type="gramEnd"/>
      <w:r w:rsidRPr="00630DC2">
        <w:rPr>
          <w:rFonts w:eastAsia="Times New Roman"/>
          <w:sz w:val="20"/>
          <w:szCs w:val="20"/>
          <w:lang w:val="es-ES" w:eastAsia="es-ES"/>
        </w:rPr>
        <w:t xml:space="preserve"> cursos son ofrecidos por personal docente calificado y certificado.</w:t>
      </w:r>
    </w:p>
    <w:p w:rsidR="00630DC2" w:rsidRPr="00630DC2" w:rsidRDefault="00630DC2" w:rsidP="00630DC2">
      <w:pPr>
        <w:spacing w:after="101" w:line="216" w:lineRule="exact"/>
        <w:ind w:left="288"/>
        <w:jc w:val="both"/>
        <w:rPr>
          <w:rFonts w:eastAsia="Times New Roman"/>
          <w:sz w:val="20"/>
          <w:szCs w:val="20"/>
          <w:lang w:val="es-ES" w:eastAsia="es-ES"/>
        </w:rPr>
      </w:pPr>
      <w:proofErr w:type="gramStart"/>
      <w:r w:rsidRPr="00630DC2">
        <w:rPr>
          <w:rFonts w:eastAsia="Times New Roman"/>
          <w:sz w:val="20"/>
          <w:szCs w:val="20"/>
          <w:lang w:val="es-ES" w:eastAsia="es-ES"/>
        </w:rPr>
        <w:t>los</w:t>
      </w:r>
      <w:proofErr w:type="gramEnd"/>
      <w:r w:rsidRPr="00630DC2">
        <w:rPr>
          <w:rFonts w:eastAsia="Times New Roman"/>
          <w:sz w:val="20"/>
          <w:szCs w:val="20"/>
          <w:lang w:val="es-ES" w:eastAsia="es-ES"/>
        </w:rPr>
        <w:t xml:space="preserve"> alumnos comienzan en el modelo bis con un cuatrimestre de inmersión, donde cursan 525 horas de inglés, donde se adquieren las funciones del idioma, como lo son la gramática y vocabulario, y al mismo tiempo, se desarrollan las habilidades como lo son la comprensión auditiva, lectura, escritura y expresión oral.</w:t>
      </w:r>
    </w:p>
    <w:p w:rsidR="00630DC2" w:rsidRPr="00630DC2" w:rsidRDefault="00630DC2" w:rsidP="00630DC2">
      <w:pPr>
        <w:spacing w:after="101" w:line="216" w:lineRule="exact"/>
        <w:ind w:left="288"/>
        <w:jc w:val="both"/>
        <w:rPr>
          <w:rFonts w:eastAsia="Times New Roman"/>
          <w:sz w:val="20"/>
          <w:szCs w:val="20"/>
          <w:lang w:val="es-ES" w:eastAsia="es-ES"/>
        </w:rPr>
      </w:pPr>
      <w:proofErr w:type="gramStart"/>
      <w:r w:rsidRPr="00630DC2">
        <w:rPr>
          <w:rFonts w:eastAsia="Times New Roman"/>
          <w:sz w:val="20"/>
          <w:szCs w:val="20"/>
          <w:lang w:val="es-ES" w:eastAsia="es-ES"/>
        </w:rPr>
        <w:t>al</w:t>
      </w:r>
      <w:proofErr w:type="gramEnd"/>
      <w:r w:rsidRPr="00630DC2">
        <w:rPr>
          <w:rFonts w:eastAsia="Times New Roman"/>
          <w:sz w:val="20"/>
          <w:szCs w:val="20"/>
          <w:lang w:val="es-ES" w:eastAsia="es-ES"/>
        </w:rPr>
        <w:t xml:space="preserve"> terminar el cuatrimestre de inmersión, los alumnos tendrán que acreditar el nivel a2, según el marco común europeo de referencia para las lenguas, con la certificación </w:t>
      </w:r>
      <w:proofErr w:type="spellStart"/>
      <w:r w:rsidRPr="00630DC2">
        <w:rPr>
          <w:rFonts w:eastAsia="Times New Roman"/>
          <w:sz w:val="20"/>
          <w:szCs w:val="20"/>
          <w:lang w:val="es-ES" w:eastAsia="es-ES"/>
        </w:rPr>
        <w:t>itep</w:t>
      </w:r>
      <w:proofErr w:type="spellEnd"/>
      <w:r w:rsidRPr="00630DC2">
        <w:rPr>
          <w:rFonts w:eastAsia="Times New Roman"/>
          <w:sz w:val="20"/>
          <w:szCs w:val="20"/>
          <w:lang w:val="es-ES" w:eastAsia="es-ES"/>
        </w:rPr>
        <w:t>.</w:t>
      </w:r>
    </w:p>
    <w:p w:rsidR="00630DC2" w:rsidRPr="00630DC2" w:rsidRDefault="00630DC2" w:rsidP="00630DC2">
      <w:pPr>
        <w:spacing w:after="101" w:line="216" w:lineRule="exact"/>
        <w:ind w:left="288"/>
        <w:jc w:val="both"/>
        <w:rPr>
          <w:rFonts w:eastAsia="Times New Roman"/>
          <w:sz w:val="20"/>
          <w:szCs w:val="20"/>
          <w:lang w:val="es-ES" w:eastAsia="es-ES"/>
        </w:rPr>
      </w:pPr>
      <w:proofErr w:type="gramStart"/>
      <w:r w:rsidRPr="00630DC2">
        <w:rPr>
          <w:rFonts w:eastAsia="Times New Roman"/>
          <w:sz w:val="20"/>
          <w:szCs w:val="20"/>
          <w:lang w:val="es-ES" w:eastAsia="es-ES"/>
        </w:rPr>
        <w:t>una</w:t>
      </w:r>
      <w:proofErr w:type="gramEnd"/>
      <w:r w:rsidRPr="00630DC2">
        <w:rPr>
          <w:rFonts w:eastAsia="Times New Roman"/>
          <w:sz w:val="20"/>
          <w:szCs w:val="20"/>
          <w:lang w:val="es-ES" w:eastAsia="es-ES"/>
        </w:rPr>
        <w:t xml:space="preserve"> vez que los alumnos obtienen el nivel a2 ingresan a primer cuatrimestre, en el cual cursarán dos asignaturas de especialidad de su carrera, en inglés. </w:t>
      </w:r>
      <w:proofErr w:type="gramStart"/>
      <w:r w:rsidRPr="00630DC2">
        <w:rPr>
          <w:rFonts w:eastAsia="Times New Roman"/>
          <w:sz w:val="20"/>
          <w:szCs w:val="20"/>
          <w:lang w:val="es-ES" w:eastAsia="es-ES"/>
        </w:rPr>
        <w:t>en</w:t>
      </w:r>
      <w:proofErr w:type="gramEnd"/>
      <w:r w:rsidRPr="00630DC2">
        <w:rPr>
          <w:rFonts w:eastAsia="Times New Roman"/>
          <w:sz w:val="20"/>
          <w:szCs w:val="20"/>
          <w:lang w:val="es-ES" w:eastAsia="es-ES"/>
        </w:rPr>
        <w:t xml:space="preserve"> segundo cuatrimestre </w:t>
      </w:r>
    </w:p>
    <w:p w:rsidR="00630DC2" w:rsidRPr="00630DC2" w:rsidRDefault="00630DC2" w:rsidP="00630DC2">
      <w:pPr>
        <w:spacing w:after="101" w:line="216" w:lineRule="exact"/>
        <w:ind w:left="288"/>
        <w:jc w:val="both"/>
        <w:rPr>
          <w:rFonts w:eastAsia="Times New Roman"/>
          <w:sz w:val="20"/>
          <w:szCs w:val="20"/>
          <w:lang w:val="es-ES" w:eastAsia="es-ES"/>
        </w:rPr>
      </w:pPr>
    </w:p>
    <w:p w:rsidR="00630DC2" w:rsidRDefault="00630DC2" w:rsidP="00630DC2">
      <w:pPr>
        <w:spacing w:after="101" w:line="216" w:lineRule="exact"/>
        <w:ind w:left="288"/>
        <w:jc w:val="both"/>
        <w:rPr>
          <w:rFonts w:eastAsia="Times New Roman"/>
          <w:sz w:val="20"/>
          <w:szCs w:val="20"/>
          <w:lang w:val="es-ES" w:eastAsia="es-ES"/>
        </w:rPr>
      </w:pPr>
      <w:proofErr w:type="gramStart"/>
      <w:r w:rsidRPr="00630DC2">
        <w:rPr>
          <w:rFonts w:eastAsia="Times New Roman"/>
          <w:sz w:val="20"/>
          <w:szCs w:val="20"/>
          <w:lang w:val="es-ES" w:eastAsia="es-ES"/>
        </w:rPr>
        <w:t>cursarán</w:t>
      </w:r>
      <w:proofErr w:type="gramEnd"/>
      <w:r w:rsidRPr="00630DC2">
        <w:rPr>
          <w:rFonts w:eastAsia="Times New Roman"/>
          <w:sz w:val="20"/>
          <w:szCs w:val="20"/>
          <w:lang w:val="es-ES" w:eastAsia="es-ES"/>
        </w:rPr>
        <w:t xml:space="preserve"> cuatro asignaturas en inglés y el resto en español, y así, sucesivamente las asignaturas de especialidad en el idioma ingles seguirán incrementando en cada cuatrimestre.</w:t>
      </w:r>
    </w:p>
    <w:p w:rsidR="00630DC2" w:rsidRPr="00630DC2" w:rsidRDefault="00630DC2" w:rsidP="00630DC2">
      <w:pPr>
        <w:spacing w:after="101" w:line="216" w:lineRule="exact"/>
        <w:ind w:left="288"/>
        <w:jc w:val="both"/>
        <w:rPr>
          <w:rFonts w:eastAsia="Times New Roman"/>
          <w:sz w:val="20"/>
          <w:szCs w:val="20"/>
          <w:lang w:val="es-ES" w:eastAsia="es-ES"/>
        </w:rPr>
      </w:pPr>
      <w:proofErr w:type="gramStart"/>
      <w:r w:rsidRPr="00630DC2">
        <w:rPr>
          <w:rFonts w:eastAsia="Times New Roman"/>
          <w:sz w:val="20"/>
          <w:szCs w:val="20"/>
          <w:lang w:val="es-ES" w:eastAsia="es-ES"/>
        </w:rPr>
        <w:t>el</w:t>
      </w:r>
      <w:proofErr w:type="gramEnd"/>
      <w:r w:rsidRPr="00630DC2">
        <w:rPr>
          <w:rFonts w:eastAsia="Times New Roman"/>
          <w:sz w:val="20"/>
          <w:szCs w:val="20"/>
          <w:lang w:val="es-ES" w:eastAsia="es-ES"/>
        </w:rPr>
        <w:t xml:space="preserve"> concepto de </w:t>
      </w:r>
      <w:r w:rsidRPr="00630DC2">
        <w:rPr>
          <w:rFonts w:eastAsia="Times New Roman"/>
          <w:b/>
          <w:sz w:val="20"/>
          <w:szCs w:val="20"/>
          <w:lang w:val="es-ES" w:eastAsia="es-ES"/>
        </w:rPr>
        <w:t>internacionalización</w:t>
      </w:r>
      <w:r w:rsidRPr="00630DC2">
        <w:rPr>
          <w:rFonts w:eastAsia="Times New Roman"/>
          <w:sz w:val="20"/>
          <w:szCs w:val="20"/>
          <w:lang w:val="es-ES" w:eastAsia="es-ES"/>
        </w:rPr>
        <w:t xml:space="preserve"> implica que los alumnos tengan la oportunidad de participar en intercambios con universidades de otros países, así como también la internacionalización en casa.</w:t>
      </w:r>
    </w:p>
    <w:p w:rsidR="00630DC2" w:rsidRPr="00630DC2" w:rsidRDefault="00630DC2" w:rsidP="00630DC2">
      <w:pPr>
        <w:spacing w:after="101" w:line="216" w:lineRule="exact"/>
        <w:ind w:firstLine="288"/>
        <w:jc w:val="both"/>
        <w:rPr>
          <w:rFonts w:eastAsia="Times New Roman"/>
          <w:sz w:val="20"/>
          <w:szCs w:val="20"/>
          <w:lang w:val="es-ES" w:eastAsia="es-ES"/>
        </w:rPr>
      </w:pPr>
    </w:p>
    <w:p w:rsidR="00630DC2" w:rsidRPr="003C58FF" w:rsidRDefault="00630DC2" w:rsidP="00630DC2">
      <w:pPr>
        <w:spacing w:after="101" w:line="216" w:lineRule="exact"/>
        <w:ind w:left="288"/>
        <w:jc w:val="both"/>
        <w:rPr>
          <w:rFonts w:ascii="DINPro-Regular" w:eastAsia="Times New Roman" w:hAnsi="DINPro-Regular"/>
          <w:lang w:val="es-ES" w:eastAsia="es-ES"/>
        </w:rPr>
      </w:pPr>
      <w:proofErr w:type="gramStart"/>
      <w:r w:rsidRPr="00630DC2">
        <w:rPr>
          <w:rFonts w:eastAsia="Times New Roman"/>
          <w:sz w:val="20"/>
          <w:szCs w:val="20"/>
          <w:lang w:val="es-ES" w:eastAsia="es-ES"/>
        </w:rPr>
        <w:t>otro</w:t>
      </w:r>
      <w:proofErr w:type="gramEnd"/>
      <w:r w:rsidRPr="00630DC2">
        <w:rPr>
          <w:rFonts w:eastAsia="Times New Roman"/>
          <w:sz w:val="20"/>
          <w:szCs w:val="20"/>
          <w:lang w:val="es-ES" w:eastAsia="es-ES"/>
        </w:rPr>
        <w:t xml:space="preserve"> eje rector de este modelo es la </w:t>
      </w:r>
      <w:r w:rsidRPr="00630DC2">
        <w:rPr>
          <w:rFonts w:eastAsia="Times New Roman"/>
          <w:b/>
          <w:sz w:val="20"/>
          <w:szCs w:val="20"/>
          <w:lang w:val="es-ES" w:eastAsia="es-ES"/>
        </w:rPr>
        <w:t>sustentabilidad,</w:t>
      </w:r>
      <w:r w:rsidRPr="00630DC2">
        <w:rPr>
          <w:rFonts w:eastAsia="Times New Roman"/>
          <w:sz w:val="20"/>
          <w:szCs w:val="20"/>
          <w:lang w:val="es-ES" w:eastAsia="es-ES"/>
        </w:rPr>
        <w:t xml:space="preserve"> donde los alumnos son concientizados en el cuidado del medio ambiente, las instalaciones de la universidad, así como involucrarse en la cultura de la comunid</w:t>
      </w:r>
      <w:r w:rsidR="005907C3">
        <w:rPr>
          <w:rFonts w:eastAsia="Times New Roman"/>
          <w:sz w:val="20"/>
          <w:szCs w:val="20"/>
          <w:lang w:val="es-ES" w:eastAsia="es-ES"/>
        </w:rPr>
        <w:t>ad</w:t>
      </w:r>
      <w:r w:rsidRPr="003C58FF">
        <w:rPr>
          <w:rFonts w:ascii="DINPro-Regular" w:eastAsia="Times New Roman" w:hAnsi="DINPro-Regular"/>
          <w:lang w:val="es-ES" w:eastAsia="es-ES"/>
        </w:rPr>
        <w:t xml:space="preserve">.  </w:t>
      </w:r>
    </w:p>
    <w:p w:rsidR="00630DC2" w:rsidRDefault="00630DC2" w:rsidP="00630DC2">
      <w:pPr>
        <w:spacing w:after="101" w:line="216" w:lineRule="exact"/>
        <w:ind w:left="288"/>
        <w:jc w:val="both"/>
        <w:rPr>
          <w:rFonts w:ascii="DINPro-Regular" w:eastAsia="Times New Roman" w:hAnsi="DINPro-Regular"/>
          <w:lang w:val="es-ES" w:eastAsia="es-ES"/>
        </w:rPr>
      </w:pPr>
    </w:p>
    <w:p w:rsidR="00630DC2" w:rsidRPr="00630DC2" w:rsidRDefault="00540418" w:rsidP="00630DC2">
      <w:pPr>
        <w:pStyle w:val="Prrafodelista"/>
        <w:numPr>
          <w:ilvl w:val="0"/>
          <w:numId w:val="11"/>
        </w:numPr>
        <w:spacing w:after="101" w:line="216" w:lineRule="exact"/>
        <w:ind w:left="284" w:hanging="568"/>
        <w:jc w:val="both"/>
        <w:rPr>
          <w:rFonts w:eastAsia="Times New Roman"/>
          <w:sz w:val="20"/>
          <w:szCs w:val="20"/>
          <w:lang w:val="es-ES" w:eastAsia="es-ES"/>
        </w:rPr>
      </w:pPr>
      <w:r w:rsidRPr="008A011E">
        <w:rPr>
          <w:rFonts w:cs="DIN Pro Regular"/>
          <w:sz w:val="20"/>
        </w:rPr>
        <w:t>Organización y Objeto Social</w:t>
      </w:r>
      <w:r w:rsidR="00630DC2">
        <w:rPr>
          <w:rFonts w:cs="DIN Pro Regular"/>
          <w:sz w:val="20"/>
        </w:rPr>
        <w:t xml:space="preserve">. </w:t>
      </w:r>
      <w:r w:rsidR="00630DC2" w:rsidRPr="00630DC2">
        <w:rPr>
          <w:rFonts w:eastAsia="Times New Roman"/>
          <w:sz w:val="20"/>
          <w:szCs w:val="20"/>
          <w:lang w:val="es-ES" w:eastAsia="es-ES"/>
        </w:rPr>
        <w:t xml:space="preserve">la universidad tendrá por objeto: ofrecer los programas de formación de técnicos superiores universitarios, de licenciaturas y de posgrado pertinentes y contribuir al desarrollo del sistema de educación superior del estado de </w:t>
      </w:r>
      <w:r w:rsidR="008B2FCF">
        <w:rPr>
          <w:rFonts w:eastAsia="Times New Roman"/>
          <w:sz w:val="20"/>
          <w:szCs w:val="20"/>
          <w:lang w:val="es-ES" w:eastAsia="es-ES"/>
        </w:rPr>
        <w:t xml:space="preserve">Tamaulipas, </w:t>
      </w:r>
      <w:r w:rsidR="008B2FCF" w:rsidRPr="00630DC2">
        <w:rPr>
          <w:rFonts w:eastAsia="Times New Roman"/>
          <w:sz w:val="20"/>
          <w:szCs w:val="20"/>
          <w:lang w:val="es-ES" w:eastAsia="es-ES"/>
        </w:rPr>
        <w:t>entre</w:t>
      </w:r>
      <w:r w:rsidR="00630DC2" w:rsidRPr="00630DC2">
        <w:rPr>
          <w:rFonts w:eastAsia="Times New Roman"/>
          <w:sz w:val="20"/>
          <w:szCs w:val="20"/>
          <w:lang w:val="es-ES" w:eastAsia="es-ES"/>
        </w:rPr>
        <w:t xml:space="preserve"> otros.</w:t>
      </w:r>
    </w:p>
    <w:p w:rsidR="00630DC2" w:rsidRPr="00630DC2" w:rsidRDefault="00630DC2" w:rsidP="00630DC2">
      <w:pPr>
        <w:spacing w:after="101" w:line="216" w:lineRule="exact"/>
        <w:ind w:firstLine="288"/>
        <w:jc w:val="both"/>
        <w:rPr>
          <w:rFonts w:eastAsia="Times New Roman"/>
          <w:sz w:val="20"/>
          <w:szCs w:val="20"/>
          <w:lang w:val="es-ES" w:eastAsia="es-ES"/>
        </w:rPr>
      </w:pPr>
    </w:p>
    <w:p w:rsidR="00630DC2" w:rsidRPr="00630DC2" w:rsidRDefault="00630DC2" w:rsidP="00630DC2">
      <w:pPr>
        <w:spacing w:after="101" w:line="216" w:lineRule="exact"/>
        <w:ind w:left="284"/>
        <w:jc w:val="both"/>
        <w:rPr>
          <w:rFonts w:eastAsia="Times New Roman"/>
          <w:sz w:val="20"/>
          <w:szCs w:val="20"/>
          <w:lang w:val="es-ES" w:eastAsia="es-ES"/>
        </w:rPr>
      </w:pPr>
      <w:proofErr w:type="gramStart"/>
      <w:r w:rsidRPr="00630DC2">
        <w:rPr>
          <w:rFonts w:eastAsia="Times New Roman"/>
          <w:sz w:val="20"/>
          <w:szCs w:val="20"/>
          <w:lang w:val="es-ES" w:eastAsia="es-ES"/>
        </w:rPr>
        <w:t>principal</w:t>
      </w:r>
      <w:proofErr w:type="gramEnd"/>
      <w:r w:rsidRPr="00630DC2">
        <w:rPr>
          <w:rFonts w:eastAsia="Times New Roman"/>
          <w:sz w:val="20"/>
          <w:szCs w:val="20"/>
          <w:lang w:val="es-ES" w:eastAsia="es-ES"/>
        </w:rPr>
        <w:t xml:space="preserve"> actividad: la formación de técnicos superiores universitarios e ingenieros para    proveer la mano de obra suficientemente calificada en las principales actividades económicas   de la región.</w:t>
      </w:r>
    </w:p>
    <w:p w:rsidR="00630DC2" w:rsidRPr="00630DC2" w:rsidRDefault="00630DC2" w:rsidP="00630DC2">
      <w:pPr>
        <w:spacing w:after="101" w:line="216" w:lineRule="exact"/>
        <w:jc w:val="both"/>
        <w:rPr>
          <w:rFonts w:eastAsia="Times New Roman"/>
          <w:sz w:val="20"/>
          <w:szCs w:val="20"/>
          <w:lang w:val="es-ES" w:eastAsia="es-ES"/>
        </w:rPr>
      </w:pPr>
    </w:p>
    <w:p w:rsidR="00630DC2" w:rsidRPr="00630DC2" w:rsidRDefault="00630DC2" w:rsidP="00630DC2">
      <w:pPr>
        <w:spacing w:after="101" w:line="216" w:lineRule="exact"/>
        <w:ind w:firstLine="288"/>
        <w:jc w:val="both"/>
        <w:rPr>
          <w:rFonts w:eastAsia="Times New Roman"/>
          <w:sz w:val="20"/>
          <w:szCs w:val="20"/>
          <w:lang w:val="es-ES" w:eastAsia="es-ES"/>
        </w:rPr>
      </w:pPr>
      <w:proofErr w:type="gramStart"/>
      <w:r w:rsidRPr="00630DC2">
        <w:rPr>
          <w:rFonts w:eastAsia="Times New Roman"/>
          <w:sz w:val="20"/>
          <w:szCs w:val="20"/>
          <w:lang w:val="es-ES" w:eastAsia="es-ES"/>
        </w:rPr>
        <w:t>ejercicio</w:t>
      </w:r>
      <w:proofErr w:type="gramEnd"/>
      <w:r w:rsidRPr="00630DC2">
        <w:rPr>
          <w:rFonts w:eastAsia="Times New Roman"/>
          <w:sz w:val="20"/>
          <w:szCs w:val="20"/>
          <w:lang w:val="es-ES" w:eastAsia="es-ES"/>
        </w:rPr>
        <w:t xml:space="preserve"> fiscal 202</w:t>
      </w:r>
      <w:r>
        <w:rPr>
          <w:rFonts w:eastAsia="Times New Roman"/>
          <w:sz w:val="20"/>
          <w:szCs w:val="20"/>
          <w:lang w:val="es-ES" w:eastAsia="es-ES"/>
        </w:rPr>
        <w:t>2</w:t>
      </w:r>
      <w:r w:rsidRPr="00630DC2">
        <w:rPr>
          <w:rFonts w:eastAsia="Times New Roman"/>
          <w:sz w:val="20"/>
          <w:szCs w:val="20"/>
          <w:lang w:val="es-ES" w:eastAsia="es-ES"/>
        </w:rPr>
        <w:t>.</w:t>
      </w:r>
    </w:p>
    <w:p w:rsidR="00630DC2" w:rsidRPr="00630DC2" w:rsidRDefault="00630DC2" w:rsidP="00630DC2">
      <w:pPr>
        <w:spacing w:after="101" w:line="216" w:lineRule="exact"/>
        <w:ind w:firstLine="288"/>
        <w:jc w:val="both"/>
        <w:rPr>
          <w:rFonts w:eastAsia="Times New Roman"/>
          <w:sz w:val="20"/>
          <w:szCs w:val="20"/>
          <w:lang w:val="es-ES" w:eastAsia="es-ES"/>
        </w:rPr>
      </w:pPr>
    </w:p>
    <w:p w:rsidR="00630DC2" w:rsidRPr="00630DC2" w:rsidRDefault="00630DC2" w:rsidP="00630DC2">
      <w:pPr>
        <w:spacing w:after="101" w:line="216" w:lineRule="exact"/>
        <w:ind w:firstLine="288"/>
        <w:jc w:val="both"/>
        <w:rPr>
          <w:rFonts w:eastAsia="Times New Roman"/>
          <w:sz w:val="20"/>
          <w:szCs w:val="20"/>
          <w:lang w:val="es-ES" w:eastAsia="es-ES"/>
        </w:rPr>
      </w:pPr>
      <w:proofErr w:type="gramStart"/>
      <w:r w:rsidRPr="00630DC2">
        <w:rPr>
          <w:rFonts w:eastAsia="Times New Roman"/>
          <w:sz w:val="20"/>
          <w:szCs w:val="20"/>
          <w:lang w:val="es-ES" w:eastAsia="es-ES"/>
        </w:rPr>
        <w:t>régimen</w:t>
      </w:r>
      <w:proofErr w:type="gramEnd"/>
      <w:r w:rsidRPr="00630DC2">
        <w:rPr>
          <w:rFonts w:eastAsia="Times New Roman"/>
          <w:sz w:val="20"/>
          <w:szCs w:val="20"/>
          <w:lang w:val="es-ES" w:eastAsia="es-ES"/>
        </w:rPr>
        <w:t xml:space="preserve"> jurídico: régimen federal y estatal.</w:t>
      </w:r>
    </w:p>
    <w:p w:rsidR="00630DC2" w:rsidRPr="00630DC2" w:rsidRDefault="00630DC2" w:rsidP="00630DC2">
      <w:pPr>
        <w:spacing w:after="101" w:line="216" w:lineRule="exact"/>
        <w:ind w:firstLine="288"/>
        <w:jc w:val="both"/>
        <w:rPr>
          <w:rFonts w:eastAsia="Times New Roman"/>
          <w:sz w:val="20"/>
          <w:szCs w:val="20"/>
          <w:lang w:val="es-ES" w:eastAsia="es-ES"/>
        </w:rPr>
      </w:pPr>
    </w:p>
    <w:p w:rsidR="00630DC2" w:rsidRPr="00630DC2" w:rsidRDefault="00630DC2" w:rsidP="00630DC2">
      <w:pPr>
        <w:spacing w:after="101" w:line="216" w:lineRule="exact"/>
        <w:ind w:left="284"/>
        <w:rPr>
          <w:rFonts w:eastAsia="Times New Roman"/>
          <w:sz w:val="20"/>
          <w:szCs w:val="20"/>
          <w:lang w:val="es-ES" w:eastAsia="es-ES"/>
        </w:rPr>
      </w:pPr>
      <w:proofErr w:type="gramStart"/>
      <w:r w:rsidRPr="00630DC2">
        <w:rPr>
          <w:rFonts w:eastAsia="Times New Roman"/>
          <w:sz w:val="20"/>
          <w:szCs w:val="20"/>
          <w:lang w:val="es-ES" w:eastAsia="es-ES"/>
        </w:rPr>
        <w:t>tipo</w:t>
      </w:r>
      <w:proofErr w:type="gramEnd"/>
      <w:r w:rsidRPr="00630DC2">
        <w:rPr>
          <w:rFonts w:eastAsia="Times New Roman"/>
          <w:sz w:val="20"/>
          <w:szCs w:val="20"/>
          <w:lang w:val="es-ES" w:eastAsia="es-ES"/>
        </w:rPr>
        <w:t xml:space="preserve"> de contribuciones: esta universidad está obligada al entero de retenciones del impuesto sobre la renta por salarios, honorarios y arrendamientos, así como de retenciones del impuesto al valor agregado por honorarios y arrendamientos.</w:t>
      </w:r>
    </w:p>
    <w:p w:rsidR="00630DC2" w:rsidRPr="00630DC2" w:rsidRDefault="00630DC2" w:rsidP="00630DC2">
      <w:pPr>
        <w:spacing w:after="101" w:line="216" w:lineRule="exact"/>
        <w:ind w:left="284"/>
        <w:rPr>
          <w:rFonts w:eastAsia="Times New Roman"/>
          <w:sz w:val="20"/>
          <w:szCs w:val="20"/>
          <w:lang w:val="es-ES" w:eastAsia="es-ES"/>
        </w:rPr>
      </w:pPr>
      <w:proofErr w:type="gramStart"/>
      <w:r w:rsidRPr="00630DC2">
        <w:rPr>
          <w:rFonts w:eastAsia="Times New Roman"/>
          <w:sz w:val="20"/>
          <w:szCs w:val="20"/>
          <w:lang w:val="es-ES" w:eastAsia="es-ES"/>
        </w:rPr>
        <w:t>así</w:t>
      </w:r>
      <w:proofErr w:type="gramEnd"/>
      <w:r w:rsidRPr="00630DC2">
        <w:rPr>
          <w:rFonts w:eastAsia="Times New Roman"/>
          <w:sz w:val="20"/>
          <w:szCs w:val="20"/>
          <w:lang w:val="es-ES" w:eastAsia="es-ES"/>
        </w:rPr>
        <w:t xml:space="preserve"> mismo, al entero del impuesto sobre nóminas al estado.</w:t>
      </w:r>
    </w:p>
    <w:p w:rsidR="00630DC2" w:rsidRPr="00630DC2" w:rsidRDefault="00630DC2" w:rsidP="00630DC2">
      <w:pPr>
        <w:spacing w:after="101" w:line="216" w:lineRule="exact"/>
        <w:ind w:left="284" w:firstLine="288"/>
        <w:jc w:val="both"/>
        <w:rPr>
          <w:rFonts w:eastAsia="Times New Roman"/>
          <w:sz w:val="20"/>
          <w:szCs w:val="20"/>
          <w:lang w:val="es-ES" w:eastAsia="es-ES"/>
        </w:rPr>
      </w:pPr>
    </w:p>
    <w:p w:rsidR="00630DC2" w:rsidRPr="00630DC2" w:rsidRDefault="00630DC2" w:rsidP="00630DC2">
      <w:pPr>
        <w:spacing w:after="101" w:line="216" w:lineRule="exact"/>
        <w:ind w:left="284"/>
        <w:jc w:val="both"/>
        <w:rPr>
          <w:rFonts w:eastAsia="Times New Roman"/>
          <w:sz w:val="20"/>
          <w:szCs w:val="20"/>
          <w:lang w:val="es-ES" w:eastAsia="es-ES"/>
        </w:rPr>
      </w:pPr>
      <w:proofErr w:type="gramStart"/>
      <w:r w:rsidRPr="00630DC2">
        <w:rPr>
          <w:rFonts w:eastAsia="Times New Roman"/>
          <w:sz w:val="20"/>
          <w:szCs w:val="20"/>
          <w:lang w:val="es-ES" w:eastAsia="es-ES"/>
        </w:rPr>
        <w:t>estructura</w:t>
      </w:r>
      <w:proofErr w:type="gramEnd"/>
      <w:r w:rsidRPr="00630DC2">
        <w:rPr>
          <w:rFonts w:eastAsia="Times New Roman"/>
          <w:sz w:val="20"/>
          <w:szCs w:val="20"/>
          <w:lang w:val="es-ES" w:eastAsia="es-ES"/>
        </w:rPr>
        <w:t xml:space="preserve"> organizacional básica. - esta universidad cuenta con un manual de organización y un estatuto orgánico que permiten coadyuvar en su funcionamiento, así también mejorar la formación profesional, de igual manera </w:t>
      </w:r>
    </w:p>
    <w:p w:rsidR="00630DC2" w:rsidRPr="00630DC2" w:rsidRDefault="00630DC2" w:rsidP="00630DC2">
      <w:pPr>
        <w:spacing w:after="101" w:line="216" w:lineRule="exact"/>
        <w:ind w:left="284" w:firstLine="288"/>
        <w:jc w:val="both"/>
        <w:rPr>
          <w:rFonts w:eastAsia="Times New Roman"/>
          <w:sz w:val="20"/>
          <w:szCs w:val="20"/>
          <w:lang w:val="es-ES" w:eastAsia="es-ES"/>
        </w:rPr>
      </w:pPr>
    </w:p>
    <w:p w:rsidR="00630DC2" w:rsidRPr="00630DC2" w:rsidRDefault="00630DC2" w:rsidP="00630DC2">
      <w:pPr>
        <w:spacing w:after="101" w:line="216" w:lineRule="exact"/>
        <w:ind w:left="284"/>
        <w:jc w:val="both"/>
        <w:rPr>
          <w:rFonts w:eastAsia="Times New Roman"/>
          <w:sz w:val="20"/>
          <w:szCs w:val="20"/>
          <w:lang w:val="es-ES" w:eastAsia="es-ES"/>
        </w:rPr>
      </w:pPr>
      <w:proofErr w:type="gramStart"/>
      <w:r w:rsidRPr="00630DC2">
        <w:rPr>
          <w:rFonts w:eastAsia="Times New Roman"/>
          <w:sz w:val="20"/>
          <w:szCs w:val="20"/>
          <w:lang w:val="es-ES" w:eastAsia="es-ES"/>
        </w:rPr>
        <w:t>estos</w:t>
      </w:r>
      <w:proofErr w:type="gramEnd"/>
      <w:r w:rsidRPr="00630DC2">
        <w:rPr>
          <w:rFonts w:eastAsia="Times New Roman"/>
          <w:sz w:val="20"/>
          <w:szCs w:val="20"/>
          <w:lang w:val="es-ES" w:eastAsia="es-ES"/>
        </w:rPr>
        <w:t xml:space="preserve"> manuales conjugan los puestos y funciones que permiten la interrelación entre personal de la universidad lo cual evita la duplicidad de funciones. </w:t>
      </w:r>
    </w:p>
    <w:p w:rsidR="00630DC2" w:rsidRPr="00630DC2" w:rsidRDefault="00630DC2" w:rsidP="00630DC2">
      <w:pPr>
        <w:spacing w:after="101" w:line="216" w:lineRule="exact"/>
        <w:ind w:left="284" w:firstLine="288"/>
        <w:jc w:val="both"/>
        <w:rPr>
          <w:rFonts w:eastAsia="Times New Roman"/>
          <w:sz w:val="20"/>
          <w:szCs w:val="20"/>
          <w:lang w:val="es-ES" w:eastAsia="es-ES"/>
        </w:rPr>
      </w:pPr>
    </w:p>
    <w:p w:rsidR="00540418" w:rsidRPr="00630DC2" w:rsidRDefault="00630DC2" w:rsidP="00630DC2">
      <w:pPr>
        <w:spacing w:after="101" w:line="216" w:lineRule="exact"/>
        <w:ind w:left="284"/>
        <w:jc w:val="both"/>
        <w:rPr>
          <w:rFonts w:ascii="DINPro-Regular" w:eastAsia="Times New Roman" w:hAnsi="DINPro-Regular"/>
          <w:lang w:val="es-ES" w:eastAsia="es-ES"/>
        </w:rPr>
      </w:pPr>
      <w:proofErr w:type="gramStart"/>
      <w:r w:rsidRPr="00630DC2">
        <w:rPr>
          <w:rFonts w:eastAsia="Times New Roman"/>
          <w:sz w:val="20"/>
          <w:szCs w:val="20"/>
          <w:lang w:val="es-ES" w:eastAsia="es-ES"/>
        </w:rPr>
        <w:t>esto</w:t>
      </w:r>
      <w:proofErr w:type="gramEnd"/>
      <w:r w:rsidRPr="00630DC2">
        <w:rPr>
          <w:rFonts w:eastAsia="Times New Roman"/>
          <w:sz w:val="20"/>
          <w:szCs w:val="20"/>
          <w:lang w:val="es-ES" w:eastAsia="es-ES"/>
        </w:rPr>
        <w:t xml:space="preserve"> para un mejor servicio educativo a la comunidad estudiantil.</w:t>
      </w:r>
      <w:r>
        <w:rPr>
          <w:rFonts w:ascii="DINPro-Regular" w:eastAsia="Times New Roman" w:hAnsi="DINPro-Regular"/>
          <w:lang w:val="es-ES" w:eastAsia="es-ES"/>
        </w:rPr>
        <w:t xml:space="preserve"> </w:t>
      </w:r>
      <w:r>
        <w:rPr>
          <w:rFonts w:cs="DIN Pro Regular"/>
          <w:sz w:val="20"/>
        </w:rPr>
        <w:t xml:space="preserve"> </w:t>
      </w:r>
    </w:p>
    <w:p w:rsidR="00630DC2" w:rsidRPr="00630DC2" w:rsidRDefault="00630DC2" w:rsidP="00630DC2">
      <w:pPr>
        <w:pStyle w:val="Texto"/>
        <w:spacing w:after="0" w:line="240" w:lineRule="exact"/>
        <w:ind w:left="708" w:firstLine="0"/>
        <w:rPr>
          <w:rFonts w:ascii="Calibri" w:hAnsi="Calibri" w:cs="DIN Pro Regular"/>
          <w:sz w:val="20"/>
        </w:rPr>
      </w:pPr>
    </w:p>
    <w:p w:rsidR="00630DC2" w:rsidRPr="00630DC2" w:rsidRDefault="00540418" w:rsidP="00630DC2">
      <w:pPr>
        <w:pStyle w:val="Prrafodelista"/>
        <w:numPr>
          <w:ilvl w:val="0"/>
          <w:numId w:val="11"/>
        </w:numPr>
        <w:spacing w:after="101" w:line="216" w:lineRule="exact"/>
        <w:ind w:left="284" w:hanging="568"/>
        <w:jc w:val="both"/>
        <w:rPr>
          <w:rFonts w:eastAsia="Times New Roman"/>
          <w:sz w:val="20"/>
          <w:szCs w:val="20"/>
          <w:lang w:val="es-ES" w:eastAsia="es-ES"/>
        </w:rPr>
      </w:pPr>
      <w:r w:rsidRPr="008A011E">
        <w:rPr>
          <w:rFonts w:cs="DIN Pro Regular"/>
          <w:sz w:val="20"/>
        </w:rPr>
        <w:t>Bases de Preparación de los Estados Financieros</w:t>
      </w:r>
      <w:r w:rsidR="00630DC2">
        <w:rPr>
          <w:rFonts w:cs="DIN Pro Regular"/>
          <w:sz w:val="20"/>
        </w:rPr>
        <w:t xml:space="preserve">. </w:t>
      </w:r>
      <w:r w:rsidR="00630DC2" w:rsidRPr="00630DC2">
        <w:rPr>
          <w:rFonts w:eastAsia="Times New Roman"/>
          <w:sz w:val="20"/>
          <w:szCs w:val="20"/>
          <w:lang w:val="es-ES" w:eastAsia="es-ES"/>
        </w:rPr>
        <w:t xml:space="preserve">base para la presentación de los estados financieros; se ha observado la normatividad emitida por el </w:t>
      </w:r>
      <w:proofErr w:type="spellStart"/>
      <w:r w:rsidR="00630DC2" w:rsidRPr="00630DC2">
        <w:rPr>
          <w:rFonts w:eastAsia="Times New Roman"/>
          <w:sz w:val="20"/>
          <w:szCs w:val="20"/>
          <w:lang w:val="es-ES" w:eastAsia="es-ES"/>
        </w:rPr>
        <w:t>conac</w:t>
      </w:r>
      <w:proofErr w:type="spellEnd"/>
      <w:r w:rsidR="00630DC2" w:rsidRPr="00630DC2">
        <w:rPr>
          <w:rFonts w:eastAsia="Times New Roman"/>
          <w:sz w:val="20"/>
          <w:szCs w:val="20"/>
          <w:lang w:val="es-ES" w:eastAsia="es-ES"/>
        </w:rPr>
        <w:t xml:space="preserve"> y las disposiciones legales aplicables.</w:t>
      </w:r>
    </w:p>
    <w:p w:rsidR="00630DC2" w:rsidRPr="00630DC2" w:rsidRDefault="00630DC2" w:rsidP="00630DC2">
      <w:pPr>
        <w:spacing w:after="101" w:line="216" w:lineRule="exact"/>
        <w:jc w:val="both"/>
        <w:rPr>
          <w:rFonts w:eastAsia="Times New Roman"/>
          <w:sz w:val="20"/>
          <w:szCs w:val="20"/>
          <w:lang w:val="es-ES" w:eastAsia="es-ES"/>
        </w:rPr>
      </w:pPr>
    </w:p>
    <w:p w:rsidR="001C760F" w:rsidRPr="00F83868" w:rsidRDefault="00630DC2" w:rsidP="00F83868">
      <w:pPr>
        <w:spacing w:after="101" w:line="216" w:lineRule="exact"/>
        <w:ind w:firstLine="288"/>
        <w:jc w:val="both"/>
        <w:rPr>
          <w:rFonts w:eastAsia="Times New Roman"/>
          <w:sz w:val="20"/>
          <w:szCs w:val="20"/>
          <w:lang w:val="es-ES" w:eastAsia="es-ES"/>
        </w:rPr>
      </w:pPr>
      <w:proofErr w:type="gramStart"/>
      <w:r w:rsidRPr="00630DC2">
        <w:rPr>
          <w:rFonts w:eastAsia="Times New Roman"/>
          <w:sz w:val="20"/>
          <w:szCs w:val="20"/>
          <w:lang w:val="es-ES" w:eastAsia="es-ES"/>
        </w:rPr>
        <w:t>postulados</w:t>
      </w:r>
      <w:proofErr w:type="gramEnd"/>
      <w:r w:rsidRPr="00630DC2">
        <w:rPr>
          <w:rFonts w:eastAsia="Times New Roman"/>
          <w:sz w:val="20"/>
          <w:szCs w:val="20"/>
          <w:lang w:val="es-ES" w:eastAsia="es-ES"/>
        </w:rPr>
        <w:t xml:space="preserve"> básicos; principios de conta</w:t>
      </w:r>
      <w:r w:rsidR="00F83868">
        <w:rPr>
          <w:rFonts w:eastAsia="Times New Roman"/>
          <w:sz w:val="20"/>
          <w:szCs w:val="20"/>
          <w:lang w:val="es-ES" w:eastAsia="es-ES"/>
        </w:rPr>
        <w:t>bilidad generalmente aceptados.</w:t>
      </w:r>
    </w:p>
    <w:p w:rsidR="00630DC2" w:rsidRPr="008A011E" w:rsidRDefault="00630DC2" w:rsidP="00630DC2">
      <w:pPr>
        <w:pStyle w:val="Texto"/>
        <w:spacing w:after="0" w:line="240" w:lineRule="exact"/>
        <w:ind w:left="288" w:firstLine="0"/>
        <w:rPr>
          <w:rFonts w:ascii="Calibri" w:hAnsi="Calibri" w:cs="DIN Pro Regular"/>
          <w:sz w:val="20"/>
          <w:lang w:val="es-MX"/>
        </w:rPr>
      </w:pPr>
    </w:p>
    <w:p w:rsidR="00540418" w:rsidRDefault="00540418" w:rsidP="00847210">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Políticas de Contabilidad Significativas</w:t>
      </w:r>
      <w:r w:rsidR="00847210">
        <w:rPr>
          <w:rFonts w:ascii="Calibri" w:hAnsi="Calibri" w:cs="DIN Pro Regular"/>
          <w:sz w:val="20"/>
          <w:lang w:val="es-MX"/>
        </w:rPr>
        <w:t xml:space="preserve">. No aplica  </w:t>
      </w:r>
    </w:p>
    <w:p w:rsidR="00847210" w:rsidRPr="008A011E" w:rsidRDefault="00847210" w:rsidP="00847210">
      <w:pPr>
        <w:pStyle w:val="Texto"/>
        <w:spacing w:after="0" w:line="240" w:lineRule="exact"/>
        <w:ind w:left="288" w:firstLine="0"/>
        <w:rPr>
          <w:rFonts w:ascii="Calibri" w:hAnsi="Calibri" w:cs="DIN Pro Regular"/>
          <w:sz w:val="20"/>
          <w:lang w:val="es-MX"/>
        </w:rPr>
      </w:pPr>
    </w:p>
    <w:p w:rsidR="00847210" w:rsidRDefault="00540418" w:rsidP="00847210">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Posición en Moneda Extranjera y Protección por Riesgo Cambiario</w:t>
      </w:r>
      <w:r w:rsidR="00847210">
        <w:rPr>
          <w:rFonts w:ascii="Calibri" w:hAnsi="Calibri" w:cs="DIN Pro Regular"/>
          <w:sz w:val="20"/>
          <w:lang w:val="es-MX"/>
        </w:rPr>
        <w:t xml:space="preserve">. No aplica </w:t>
      </w:r>
    </w:p>
    <w:p w:rsidR="00847210" w:rsidRPr="00847210" w:rsidRDefault="00847210" w:rsidP="00847210">
      <w:pPr>
        <w:pStyle w:val="Texto"/>
        <w:spacing w:after="0" w:line="240" w:lineRule="exact"/>
        <w:ind w:firstLine="0"/>
        <w:rPr>
          <w:rFonts w:ascii="Calibri" w:hAnsi="Calibri" w:cs="DIN Pro Regular"/>
          <w:sz w:val="20"/>
          <w:lang w:val="es-MX"/>
        </w:rPr>
      </w:pPr>
    </w:p>
    <w:p w:rsidR="00847210" w:rsidRPr="00847210" w:rsidRDefault="00847210" w:rsidP="00847210">
      <w:pPr>
        <w:pStyle w:val="Texto"/>
        <w:numPr>
          <w:ilvl w:val="0"/>
          <w:numId w:val="11"/>
        </w:numPr>
        <w:spacing w:after="0" w:line="240" w:lineRule="exact"/>
        <w:rPr>
          <w:rFonts w:ascii="Calibri" w:hAnsi="Calibri"/>
          <w:sz w:val="20"/>
        </w:rPr>
      </w:pPr>
      <w:r w:rsidRPr="00847210">
        <w:rPr>
          <w:rFonts w:ascii="Calibri" w:hAnsi="Calibri" w:cs="DIN Pro Regular"/>
          <w:sz w:val="20"/>
          <w:lang w:val="es-MX"/>
        </w:rPr>
        <w:t xml:space="preserve">reporte analítico del activo. </w:t>
      </w:r>
      <w:r w:rsidRPr="00847210">
        <w:rPr>
          <w:rFonts w:ascii="Calibri" w:hAnsi="Calibri"/>
          <w:sz w:val="20"/>
        </w:rPr>
        <w:t>a la fecha se han comenzado a aplicar las depreciaciones del activo fijo por un monto de 183,460.00 que se compone de la siguiente manera.</w:t>
      </w:r>
    </w:p>
    <w:p w:rsidR="00847210" w:rsidRPr="00847210" w:rsidRDefault="00847210" w:rsidP="00847210">
      <w:pPr>
        <w:pStyle w:val="Texto"/>
        <w:spacing w:after="0" w:line="240" w:lineRule="exact"/>
        <w:ind w:firstLine="0"/>
        <w:rPr>
          <w:rFonts w:ascii="Calibri" w:hAnsi="Calibri"/>
          <w:sz w:val="20"/>
        </w:rPr>
      </w:pPr>
    </w:p>
    <w:p w:rsidR="00847210" w:rsidRPr="00847210" w:rsidRDefault="00847210" w:rsidP="00847210">
      <w:pPr>
        <w:pStyle w:val="Texto"/>
        <w:spacing w:after="0" w:line="240" w:lineRule="exact"/>
        <w:ind w:firstLine="0"/>
        <w:rPr>
          <w:rFonts w:ascii="Calibri" w:hAnsi="Calibri"/>
          <w:sz w:val="20"/>
        </w:rPr>
      </w:pPr>
    </w:p>
    <w:tbl>
      <w:tblPr>
        <w:tblStyle w:val="Tablaconcuadrcula"/>
        <w:tblW w:w="0" w:type="auto"/>
        <w:tblLook w:val="04A0" w:firstRow="1" w:lastRow="0" w:firstColumn="1" w:lastColumn="0" w:noHBand="0" w:noVBand="1"/>
      </w:tblPr>
      <w:tblGrid>
        <w:gridCol w:w="3166"/>
        <w:gridCol w:w="3167"/>
        <w:gridCol w:w="3167"/>
      </w:tblGrid>
      <w:tr w:rsidR="00847210" w:rsidRPr="00847210" w:rsidTr="00A90A1D">
        <w:tc>
          <w:tcPr>
            <w:tcW w:w="3166" w:type="dxa"/>
          </w:tcPr>
          <w:p w:rsidR="00847210" w:rsidRPr="00847210" w:rsidRDefault="00847210" w:rsidP="00A90A1D">
            <w:pPr>
              <w:pStyle w:val="Texto"/>
              <w:spacing w:after="0" w:line="240" w:lineRule="exact"/>
              <w:ind w:firstLine="0"/>
              <w:jc w:val="center"/>
              <w:rPr>
                <w:rFonts w:ascii="Calibri" w:hAnsi="Calibri"/>
                <w:sz w:val="20"/>
              </w:rPr>
            </w:pPr>
            <w:r w:rsidRPr="00847210">
              <w:rPr>
                <w:rFonts w:ascii="Calibri" w:hAnsi="Calibri"/>
                <w:sz w:val="20"/>
              </w:rPr>
              <w:t>nombre de la cuenta</w:t>
            </w:r>
          </w:p>
        </w:tc>
        <w:tc>
          <w:tcPr>
            <w:tcW w:w="3167" w:type="dxa"/>
          </w:tcPr>
          <w:p w:rsidR="00847210" w:rsidRPr="00847210" w:rsidRDefault="00847210" w:rsidP="00A90A1D">
            <w:pPr>
              <w:pStyle w:val="Texto"/>
              <w:spacing w:after="0" w:line="240" w:lineRule="exact"/>
              <w:ind w:firstLine="0"/>
              <w:jc w:val="center"/>
              <w:rPr>
                <w:rFonts w:ascii="Calibri" w:hAnsi="Calibri"/>
                <w:sz w:val="20"/>
              </w:rPr>
            </w:pPr>
            <w:r w:rsidRPr="00847210">
              <w:rPr>
                <w:rFonts w:ascii="Calibri" w:hAnsi="Calibri"/>
                <w:sz w:val="20"/>
              </w:rPr>
              <w:t>monto depreciado</w:t>
            </w:r>
          </w:p>
        </w:tc>
        <w:tc>
          <w:tcPr>
            <w:tcW w:w="3167" w:type="dxa"/>
          </w:tcPr>
          <w:p w:rsidR="00847210" w:rsidRPr="00847210" w:rsidRDefault="00847210" w:rsidP="00A90A1D">
            <w:pPr>
              <w:pStyle w:val="Texto"/>
              <w:spacing w:after="0" w:line="240" w:lineRule="exact"/>
              <w:ind w:firstLine="0"/>
              <w:jc w:val="center"/>
              <w:rPr>
                <w:rFonts w:ascii="Calibri" w:hAnsi="Calibri"/>
                <w:sz w:val="20"/>
              </w:rPr>
            </w:pPr>
            <w:r w:rsidRPr="00847210">
              <w:rPr>
                <w:rFonts w:ascii="Calibri" w:hAnsi="Calibri"/>
                <w:sz w:val="20"/>
              </w:rPr>
              <w:t>porcentaje</w:t>
            </w:r>
          </w:p>
        </w:tc>
      </w:tr>
      <w:tr w:rsidR="00847210" w:rsidRPr="00847210" w:rsidTr="00A90A1D">
        <w:tc>
          <w:tcPr>
            <w:tcW w:w="3166" w:type="dxa"/>
          </w:tcPr>
          <w:p w:rsidR="00847210" w:rsidRPr="00847210" w:rsidRDefault="00847210" w:rsidP="00A90A1D">
            <w:pPr>
              <w:pStyle w:val="Texto"/>
              <w:spacing w:after="0" w:line="240" w:lineRule="exact"/>
              <w:ind w:firstLine="0"/>
              <w:rPr>
                <w:rFonts w:ascii="Calibri" w:hAnsi="Calibri"/>
                <w:sz w:val="20"/>
              </w:rPr>
            </w:pPr>
          </w:p>
        </w:tc>
        <w:tc>
          <w:tcPr>
            <w:tcW w:w="3167" w:type="dxa"/>
          </w:tcPr>
          <w:p w:rsidR="00847210" w:rsidRPr="00847210" w:rsidRDefault="00847210" w:rsidP="00A90A1D">
            <w:pPr>
              <w:pStyle w:val="Texto"/>
              <w:spacing w:after="0" w:line="240" w:lineRule="exact"/>
              <w:ind w:firstLine="0"/>
              <w:rPr>
                <w:rFonts w:ascii="Calibri" w:hAnsi="Calibri"/>
                <w:sz w:val="20"/>
              </w:rPr>
            </w:pPr>
          </w:p>
        </w:tc>
        <w:tc>
          <w:tcPr>
            <w:tcW w:w="3167" w:type="dxa"/>
          </w:tcPr>
          <w:p w:rsidR="00847210" w:rsidRPr="00847210" w:rsidRDefault="00847210" w:rsidP="00A90A1D">
            <w:pPr>
              <w:pStyle w:val="Texto"/>
              <w:spacing w:after="0" w:line="240" w:lineRule="exact"/>
              <w:ind w:firstLine="0"/>
              <w:rPr>
                <w:rFonts w:ascii="Calibri" w:hAnsi="Calibri"/>
                <w:sz w:val="20"/>
              </w:rPr>
            </w:pPr>
          </w:p>
        </w:tc>
      </w:tr>
      <w:tr w:rsidR="00847210" w:rsidRPr="00847210" w:rsidTr="00A90A1D">
        <w:tc>
          <w:tcPr>
            <w:tcW w:w="3166" w:type="dxa"/>
          </w:tcPr>
          <w:p w:rsidR="00847210" w:rsidRPr="00847210" w:rsidRDefault="00847210" w:rsidP="00A90A1D">
            <w:pPr>
              <w:pStyle w:val="Texto"/>
              <w:spacing w:after="0" w:line="240" w:lineRule="exact"/>
              <w:ind w:firstLine="0"/>
              <w:rPr>
                <w:rFonts w:ascii="Calibri" w:hAnsi="Calibri"/>
                <w:sz w:val="20"/>
              </w:rPr>
            </w:pPr>
            <w:r w:rsidRPr="00847210">
              <w:rPr>
                <w:rFonts w:ascii="Calibri" w:hAnsi="Calibri"/>
                <w:sz w:val="20"/>
              </w:rPr>
              <w:t>mobiliario y equipo de administración</w:t>
            </w:r>
          </w:p>
        </w:tc>
        <w:tc>
          <w:tcPr>
            <w:tcW w:w="3167" w:type="dxa"/>
          </w:tcPr>
          <w:p w:rsidR="00847210" w:rsidRPr="00847210" w:rsidRDefault="00847210" w:rsidP="00A90A1D">
            <w:pPr>
              <w:pStyle w:val="Texto"/>
              <w:spacing w:after="0" w:line="240" w:lineRule="exact"/>
              <w:ind w:firstLine="0"/>
              <w:jc w:val="right"/>
              <w:rPr>
                <w:rFonts w:ascii="Calibri" w:hAnsi="Calibri"/>
                <w:sz w:val="20"/>
              </w:rPr>
            </w:pPr>
            <w:r w:rsidRPr="00847210">
              <w:rPr>
                <w:rFonts w:ascii="Calibri" w:hAnsi="Calibri"/>
                <w:sz w:val="20"/>
              </w:rPr>
              <w:t>34,034.89</w:t>
            </w:r>
          </w:p>
        </w:tc>
        <w:tc>
          <w:tcPr>
            <w:tcW w:w="3167" w:type="dxa"/>
          </w:tcPr>
          <w:p w:rsidR="00847210" w:rsidRPr="00847210" w:rsidRDefault="00847210" w:rsidP="00A90A1D">
            <w:pPr>
              <w:pStyle w:val="Texto"/>
              <w:spacing w:after="0" w:line="240" w:lineRule="exact"/>
              <w:ind w:firstLine="0"/>
              <w:jc w:val="right"/>
              <w:rPr>
                <w:rFonts w:ascii="Calibri" w:hAnsi="Calibri"/>
                <w:sz w:val="20"/>
              </w:rPr>
            </w:pPr>
            <w:r w:rsidRPr="00847210">
              <w:rPr>
                <w:rFonts w:ascii="Calibri" w:hAnsi="Calibri"/>
                <w:sz w:val="20"/>
              </w:rPr>
              <w:t>3 %</w:t>
            </w:r>
          </w:p>
        </w:tc>
      </w:tr>
      <w:tr w:rsidR="00847210" w:rsidRPr="00847210" w:rsidTr="00A90A1D">
        <w:tc>
          <w:tcPr>
            <w:tcW w:w="3166" w:type="dxa"/>
          </w:tcPr>
          <w:p w:rsidR="00847210" w:rsidRPr="00847210" w:rsidRDefault="00847210" w:rsidP="00A90A1D">
            <w:pPr>
              <w:pStyle w:val="Texto"/>
              <w:spacing w:after="0" w:line="240" w:lineRule="exact"/>
              <w:ind w:firstLine="0"/>
              <w:rPr>
                <w:rFonts w:ascii="Calibri" w:hAnsi="Calibri"/>
                <w:sz w:val="20"/>
                <w:lang w:val="es-MX"/>
              </w:rPr>
            </w:pPr>
            <w:r w:rsidRPr="00847210">
              <w:rPr>
                <w:rFonts w:ascii="Calibri" w:hAnsi="Calibri"/>
                <w:sz w:val="20"/>
                <w:lang w:val="es-MX"/>
              </w:rPr>
              <w:t>mobiliario y equipo educacional y recreativo</w:t>
            </w:r>
          </w:p>
        </w:tc>
        <w:tc>
          <w:tcPr>
            <w:tcW w:w="3167" w:type="dxa"/>
          </w:tcPr>
          <w:p w:rsidR="00847210" w:rsidRPr="00847210" w:rsidRDefault="00847210" w:rsidP="00A90A1D">
            <w:pPr>
              <w:pStyle w:val="Texto"/>
              <w:spacing w:after="0" w:line="240" w:lineRule="exact"/>
              <w:ind w:firstLine="0"/>
              <w:jc w:val="right"/>
              <w:rPr>
                <w:rFonts w:ascii="Calibri" w:hAnsi="Calibri"/>
                <w:sz w:val="20"/>
              </w:rPr>
            </w:pPr>
            <w:r w:rsidRPr="00847210">
              <w:rPr>
                <w:rFonts w:ascii="Calibri" w:hAnsi="Calibri"/>
                <w:sz w:val="20"/>
              </w:rPr>
              <w:t>97,852.63</w:t>
            </w:r>
          </w:p>
        </w:tc>
        <w:tc>
          <w:tcPr>
            <w:tcW w:w="3167" w:type="dxa"/>
          </w:tcPr>
          <w:p w:rsidR="00847210" w:rsidRPr="00847210" w:rsidRDefault="00847210" w:rsidP="00A90A1D">
            <w:pPr>
              <w:pStyle w:val="Texto"/>
              <w:spacing w:after="0" w:line="240" w:lineRule="exact"/>
              <w:ind w:firstLine="0"/>
              <w:jc w:val="right"/>
              <w:rPr>
                <w:rFonts w:ascii="Calibri" w:hAnsi="Calibri"/>
                <w:sz w:val="20"/>
              </w:rPr>
            </w:pPr>
            <w:r w:rsidRPr="00847210">
              <w:rPr>
                <w:rFonts w:ascii="Calibri" w:hAnsi="Calibri"/>
                <w:sz w:val="20"/>
              </w:rPr>
              <w:t>42 %</w:t>
            </w:r>
          </w:p>
        </w:tc>
      </w:tr>
      <w:tr w:rsidR="00847210" w:rsidRPr="00847210" w:rsidTr="00A90A1D">
        <w:tc>
          <w:tcPr>
            <w:tcW w:w="3166" w:type="dxa"/>
          </w:tcPr>
          <w:p w:rsidR="00847210" w:rsidRPr="00847210" w:rsidRDefault="00847210" w:rsidP="00A90A1D">
            <w:pPr>
              <w:pStyle w:val="Texto"/>
              <w:spacing w:after="0" w:line="240" w:lineRule="exact"/>
              <w:ind w:firstLine="0"/>
              <w:rPr>
                <w:rFonts w:ascii="Calibri" w:hAnsi="Calibri"/>
                <w:sz w:val="20"/>
                <w:lang w:val="es-MX"/>
              </w:rPr>
            </w:pPr>
            <w:r w:rsidRPr="00847210">
              <w:rPr>
                <w:rFonts w:ascii="Calibri" w:hAnsi="Calibri"/>
                <w:sz w:val="20"/>
                <w:lang w:val="es-MX"/>
              </w:rPr>
              <w:t>maquinaria, otros equipos y herramientas</w:t>
            </w:r>
          </w:p>
        </w:tc>
        <w:tc>
          <w:tcPr>
            <w:tcW w:w="3167" w:type="dxa"/>
          </w:tcPr>
          <w:p w:rsidR="00847210" w:rsidRPr="00847210" w:rsidRDefault="00847210" w:rsidP="00A90A1D">
            <w:pPr>
              <w:pStyle w:val="Texto"/>
              <w:spacing w:after="0" w:line="240" w:lineRule="exact"/>
              <w:ind w:firstLine="0"/>
              <w:jc w:val="right"/>
              <w:rPr>
                <w:rFonts w:ascii="Calibri" w:hAnsi="Calibri"/>
                <w:sz w:val="20"/>
              </w:rPr>
            </w:pPr>
            <w:r w:rsidRPr="00847210">
              <w:rPr>
                <w:rFonts w:ascii="Calibri" w:hAnsi="Calibri"/>
                <w:sz w:val="20"/>
              </w:rPr>
              <w:t>51,572.48</w:t>
            </w:r>
          </w:p>
        </w:tc>
        <w:tc>
          <w:tcPr>
            <w:tcW w:w="3167" w:type="dxa"/>
          </w:tcPr>
          <w:p w:rsidR="00847210" w:rsidRPr="00847210" w:rsidRDefault="00847210" w:rsidP="00A90A1D">
            <w:pPr>
              <w:pStyle w:val="Texto"/>
              <w:spacing w:after="0" w:line="240" w:lineRule="exact"/>
              <w:ind w:firstLine="0"/>
              <w:jc w:val="right"/>
              <w:rPr>
                <w:rFonts w:ascii="Calibri" w:hAnsi="Calibri"/>
                <w:sz w:val="20"/>
              </w:rPr>
            </w:pPr>
            <w:r w:rsidRPr="00847210">
              <w:rPr>
                <w:rFonts w:ascii="Calibri" w:hAnsi="Calibri"/>
                <w:sz w:val="20"/>
              </w:rPr>
              <w:t>36 %</w:t>
            </w:r>
          </w:p>
        </w:tc>
      </w:tr>
      <w:tr w:rsidR="00847210" w:rsidRPr="00847210" w:rsidTr="00A90A1D">
        <w:tc>
          <w:tcPr>
            <w:tcW w:w="3166" w:type="dxa"/>
          </w:tcPr>
          <w:p w:rsidR="00847210" w:rsidRPr="00847210" w:rsidRDefault="00847210" w:rsidP="00A90A1D">
            <w:pPr>
              <w:pStyle w:val="Texto"/>
              <w:spacing w:after="0" w:line="240" w:lineRule="exact"/>
              <w:ind w:firstLine="0"/>
              <w:rPr>
                <w:rFonts w:ascii="Calibri" w:hAnsi="Calibri"/>
                <w:sz w:val="20"/>
                <w:lang w:val="es-MX"/>
              </w:rPr>
            </w:pPr>
            <w:r w:rsidRPr="00847210">
              <w:rPr>
                <w:rFonts w:ascii="Calibri" w:hAnsi="Calibri"/>
                <w:sz w:val="20"/>
                <w:lang w:val="es-MX"/>
              </w:rPr>
              <w:t>Total</w:t>
            </w:r>
          </w:p>
        </w:tc>
        <w:tc>
          <w:tcPr>
            <w:tcW w:w="3167" w:type="dxa"/>
          </w:tcPr>
          <w:p w:rsidR="00847210" w:rsidRPr="00847210" w:rsidRDefault="00847210" w:rsidP="00A90A1D">
            <w:pPr>
              <w:pStyle w:val="Texto"/>
              <w:spacing w:after="0" w:line="240" w:lineRule="exact"/>
              <w:ind w:firstLine="0"/>
              <w:jc w:val="right"/>
              <w:rPr>
                <w:rFonts w:ascii="Calibri" w:hAnsi="Calibri"/>
                <w:sz w:val="20"/>
              </w:rPr>
            </w:pPr>
            <w:r w:rsidRPr="00847210">
              <w:rPr>
                <w:rFonts w:ascii="Calibri" w:hAnsi="Calibri"/>
                <w:sz w:val="20"/>
              </w:rPr>
              <w:t>183,460.00</w:t>
            </w:r>
          </w:p>
        </w:tc>
        <w:tc>
          <w:tcPr>
            <w:tcW w:w="3167" w:type="dxa"/>
          </w:tcPr>
          <w:p w:rsidR="00847210" w:rsidRPr="00847210" w:rsidRDefault="00847210" w:rsidP="00B976B5">
            <w:pPr>
              <w:pStyle w:val="Texto"/>
              <w:spacing w:after="0" w:line="240" w:lineRule="exact"/>
              <w:ind w:firstLine="0"/>
              <w:jc w:val="right"/>
              <w:rPr>
                <w:rFonts w:ascii="Calibri" w:hAnsi="Calibri"/>
                <w:sz w:val="20"/>
              </w:rPr>
            </w:pPr>
            <w:r w:rsidRPr="00847210">
              <w:rPr>
                <w:rFonts w:ascii="Calibri" w:hAnsi="Calibri"/>
                <w:sz w:val="20"/>
              </w:rPr>
              <w:t xml:space="preserve">                                            81 %</w:t>
            </w:r>
          </w:p>
        </w:tc>
      </w:tr>
    </w:tbl>
    <w:p w:rsidR="00847210" w:rsidRDefault="00847210" w:rsidP="00847210">
      <w:pPr>
        <w:pStyle w:val="Texto"/>
        <w:spacing w:after="0" w:line="240" w:lineRule="exact"/>
        <w:rPr>
          <w:rFonts w:ascii="Calibri" w:hAnsi="Calibri" w:cs="DIN Pro Regular"/>
          <w:sz w:val="20"/>
          <w:lang w:val="es-MX"/>
        </w:rPr>
      </w:pPr>
    </w:p>
    <w:p w:rsidR="001C760F" w:rsidRDefault="00847210" w:rsidP="00847210">
      <w:pPr>
        <w:pStyle w:val="Texto"/>
        <w:spacing w:after="0" w:line="240" w:lineRule="exact"/>
        <w:rPr>
          <w:rFonts w:ascii="Calibri" w:hAnsi="Calibri" w:cs="DIN Pro Regular"/>
          <w:sz w:val="20"/>
          <w:lang w:val="es-MX"/>
        </w:rPr>
      </w:pPr>
      <w:r>
        <w:rPr>
          <w:rFonts w:ascii="Calibri" w:hAnsi="Calibri" w:cs="DIN Pro Regular"/>
          <w:sz w:val="20"/>
          <w:lang w:val="es-MX"/>
        </w:rPr>
        <w:t xml:space="preserve"> </w:t>
      </w:r>
    </w:p>
    <w:p w:rsidR="00847210" w:rsidRPr="008A011E" w:rsidRDefault="00847210" w:rsidP="00847210">
      <w:pPr>
        <w:pStyle w:val="Texto"/>
        <w:spacing w:after="0" w:line="240" w:lineRule="exact"/>
        <w:ind w:firstLine="0"/>
        <w:rPr>
          <w:rFonts w:ascii="Calibri" w:hAnsi="Calibri" w:cs="DIN Pro Regular"/>
          <w:sz w:val="20"/>
          <w:lang w:val="es-MX"/>
        </w:rPr>
      </w:pPr>
    </w:p>
    <w:p w:rsidR="00540418" w:rsidRDefault="00540418" w:rsidP="00847210">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Fideicomisos, Mandatos y Análogos</w:t>
      </w:r>
      <w:r w:rsidR="00847210">
        <w:rPr>
          <w:rFonts w:ascii="Calibri" w:hAnsi="Calibri" w:cs="DIN Pro Regular"/>
          <w:sz w:val="20"/>
          <w:lang w:val="es-MX"/>
        </w:rPr>
        <w:t xml:space="preserve">. No aplica  </w:t>
      </w:r>
    </w:p>
    <w:p w:rsidR="00847210" w:rsidRPr="008A011E" w:rsidRDefault="00847210" w:rsidP="00847210">
      <w:pPr>
        <w:pStyle w:val="Texto"/>
        <w:spacing w:after="0" w:line="240" w:lineRule="exact"/>
        <w:ind w:left="708" w:firstLine="0"/>
        <w:rPr>
          <w:rFonts w:ascii="Calibri" w:hAnsi="Calibri" w:cs="DIN Pro Regular"/>
          <w:sz w:val="20"/>
          <w:lang w:val="es-MX"/>
        </w:rPr>
      </w:pPr>
    </w:p>
    <w:p w:rsidR="00847210" w:rsidRPr="00847210" w:rsidRDefault="00540418" w:rsidP="00847210">
      <w:pPr>
        <w:pStyle w:val="Prrafodelista"/>
        <w:numPr>
          <w:ilvl w:val="0"/>
          <w:numId w:val="11"/>
        </w:numPr>
        <w:spacing w:after="101" w:line="216" w:lineRule="exact"/>
        <w:jc w:val="both"/>
        <w:rPr>
          <w:rFonts w:eastAsia="Times New Roman"/>
          <w:sz w:val="20"/>
          <w:szCs w:val="20"/>
          <w:lang w:val="es-ES" w:eastAsia="es-ES"/>
        </w:rPr>
      </w:pPr>
      <w:r w:rsidRPr="00847210">
        <w:rPr>
          <w:rFonts w:cs="DIN Pro Regular"/>
          <w:sz w:val="20"/>
        </w:rPr>
        <w:t>Reporte de la Recaudación</w:t>
      </w:r>
      <w:r w:rsidR="00847210" w:rsidRPr="00847210">
        <w:rPr>
          <w:rFonts w:cs="DIN Pro Regular"/>
          <w:sz w:val="20"/>
        </w:rPr>
        <w:t xml:space="preserve">. </w:t>
      </w:r>
      <w:r w:rsidR="00847210" w:rsidRPr="00847210">
        <w:rPr>
          <w:rFonts w:eastAsia="Times New Roman"/>
          <w:sz w:val="20"/>
          <w:szCs w:val="20"/>
          <w:lang w:val="es-ES" w:eastAsia="es-ES"/>
        </w:rPr>
        <w:t>los ingresos de la institución se obtienen mediante subsidios otorgados por el gobierno del estado, así como el gobierno federal para sufragar los gastos de operación de la misma.</w:t>
      </w:r>
    </w:p>
    <w:p w:rsidR="00847210" w:rsidRPr="00847210" w:rsidRDefault="00847210" w:rsidP="00847210">
      <w:pPr>
        <w:spacing w:after="101" w:line="216" w:lineRule="exact"/>
        <w:ind w:firstLine="288"/>
        <w:jc w:val="both"/>
        <w:rPr>
          <w:rFonts w:eastAsia="Times New Roman"/>
          <w:sz w:val="20"/>
          <w:szCs w:val="20"/>
          <w:lang w:val="es-ES" w:eastAsia="es-ES"/>
        </w:rPr>
      </w:pPr>
      <w:r w:rsidRPr="00847210">
        <w:rPr>
          <w:rFonts w:eastAsia="Times New Roman"/>
          <w:sz w:val="20"/>
          <w:szCs w:val="20"/>
          <w:lang w:val="es-ES" w:eastAsia="es-ES"/>
        </w:rPr>
        <w:t xml:space="preserve">        </w:t>
      </w:r>
    </w:p>
    <w:tbl>
      <w:tblPr>
        <w:tblStyle w:val="Tablaconcuadrcula"/>
        <w:tblW w:w="0" w:type="auto"/>
        <w:tblLook w:val="04A0" w:firstRow="1" w:lastRow="0" w:firstColumn="1" w:lastColumn="0" w:noHBand="0" w:noVBand="1"/>
      </w:tblPr>
      <w:tblGrid>
        <w:gridCol w:w="7196"/>
        <w:gridCol w:w="2304"/>
      </w:tblGrid>
      <w:tr w:rsidR="00847210" w:rsidRPr="00847210" w:rsidTr="00A90A1D">
        <w:tc>
          <w:tcPr>
            <w:tcW w:w="7196" w:type="dxa"/>
          </w:tcPr>
          <w:p w:rsidR="00847210" w:rsidRPr="00847210" w:rsidRDefault="00847210" w:rsidP="00A90A1D">
            <w:pPr>
              <w:spacing w:after="101" w:line="216" w:lineRule="exact"/>
              <w:jc w:val="both"/>
              <w:rPr>
                <w:rFonts w:eastAsia="Times New Roman"/>
                <w:sz w:val="20"/>
                <w:szCs w:val="20"/>
                <w:lang w:val="es-ES" w:eastAsia="es-ES"/>
              </w:rPr>
            </w:pPr>
            <w:r w:rsidRPr="00847210">
              <w:rPr>
                <w:rFonts w:eastAsia="Times New Roman"/>
                <w:sz w:val="20"/>
                <w:szCs w:val="20"/>
                <w:lang w:val="es-ES" w:eastAsia="es-ES"/>
              </w:rPr>
              <w:t>subsidio estatal recaudado</w:t>
            </w:r>
          </w:p>
        </w:tc>
        <w:tc>
          <w:tcPr>
            <w:tcW w:w="2304" w:type="dxa"/>
          </w:tcPr>
          <w:p w:rsidR="00847210" w:rsidRPr="00847210" w:rsidRDefault="00847210" w:rsidP="00A90A1D">
            <w:pPr>
              <w:spacing w:after="101" w:line="216" w:lineRule="exact"/>
              <w:ind w:firstLine="288"/>
              <w:jc w:val="right"/>
              <w:rPr>
                <w:rFonts w:eastAsia="Times New Roman"/>
                <w:sz w:val="20"/>
                <w:szCs w:val="20"/>
                <w:lang w:val="es-ES" w:eastAsia="es-ES"/>
              </w:rPr>
            </w:pPr>
            <w:r>
              <w:rPr>
                <w:rFonts w:eastAsia="Times New Roman"/>
                <w:sz w:val="20"/>
                <w:szCs w:val="20"/>
                <w:lang w:val="es-ES" w:eastAsia="es-ES"/>
              </w:rPr>
              <w:t>$56,548,968</w:t>
            </w:r>
          </w:p>
        </w:tc>
      </w:tr>
      <w:tr w:rsidR="00847210" w:rsidRPr="00847210" w:rsidTr="00A90A1D">
        <w:tc>
          <w:tcPr>
            <w:tcW w:w="7196" w:type="dxa"/>
          </w:tcPr>
          <w:p w:rsidR="00847210" w:rsidRPr="00847210" w:rsidRDefault="00847210" w:rsidP="00A90A1D">
            <w:pPr>
              <w:spacing w:after="101" w:line="216" w:lineRule="exact"/>
              <w:jc w:val="both"/>
              <w:rPr>
                <w:rFonts w:eastAsia="Times New Roman"/>
                <w:sz w:val="20"/>
                <w:szCs w:val="20"/>
                <w:lang w:val="es-ES" w:eastAsia="es-ES"/>
              </w:rPr>
            </w:pPr>
            <w:r w:rsidRPr="00847210">
              <w:rPr>
                <w:rFonts w:eastAsia="Times New Roman"/>
                <w:sz w:val="20"/>
                <w:szCs w:val="20"/>
                <w:lang w:val="es-ES" w:eastAsia="es-ES"/>
              </w:rPr>
              <w:t>subsidio federal recaudado</w:t>
            </w:r>
          </w:p>
        </w:tc>
        <w:tc>
          <w:tcPr>
            <w:tcW w:w="2304" w:type="dxa"/>
          </w:tcPr>
          <w:p w:rsidR="00847210" w:rsidRPr="00847210" w:rsidRDefault="00847210" w:rsidP="00847210">
            <w:pPr>
              <w:spacing w:after="101" w:line="216" w:lineRule="exact"/>
              <w:jc w:val="right"/>
              <w:rPr>
                <w:rFonts w:eastAsia="Times New Roman"/>
                <w:sz w:val="20"/>
                <w:szCs w:val="20"/>
                <w:lang w:val="es-ES" w:eastAsia="es-ES"/>
              </w:rPr>
            </w:pPr>
            <w:r>
              <w:rPr>
                <w:rFonts w:eastAsia="Times New Roman"/>
                <w:sz w:val="20"/>
                <w:szCs w:val="20"/>
                <w:lang w:val="es-ES" w:eastAsia="es-ES"/>
              </w:rPr>
              <w:t>$38,994,950</w:t>
            </w:r>
            <w:r w:rsidRPr="00847210">
              <w:rPr>
                <w:rFonts w:eastAsia="Times New Roman"/>
                <w:sz w:val="20"/>
                <w:szCs w:val="20"/>
                <w:lang w:val="es-ES" w:eastAsia="es-ES"/>
              </w:rPr>
              <w:t xml:space="preserve">     </w:t>
            </w:r>
          </w:p>
        </w:tc>
      </w:tr>
      <w:tr w:rsidR="00847210" w:rsidRPr="00847210" w:rsidTr="00A90A1D">
        <w:tc>
          <w:tcPr>
            <w:tcW w:w="7196" w:type="dxa"/>
          </w:tcPr>
          <w:p w:rsidR="00847210" w:rsidRPr="00847210" w:rsidRDefault="00847210" w:rsidP="00A90A1D">
            <w:pPr>
              <w:spacing w:after="101" w:line="216" w:lineRule="exact"/>
              <w:jc w:val="both"/>
              <w:rPr>
                <w:rFonts w:eastAsia="Times New Roman"/>
                <w:sz w:val="20"/>
                <w:szCs w:val="20"/>
                <w:lang w:val="es-ES" w:eastAsia="es-ES"/>
              </w:rPr>
            </w:pPr>
            <w:r w:rsidRPr="00847210">
              <w:rPr>
                <w:rFonts w:eastAsia="Times New Roman"/>
                <w:sz w:val="20"/>
                <w:szCs w:val="20"/>
                <w:lang w:val="es-ES" w:eastAsia="es-ES"/>
              </w:rPr>
              <w:t>total, transferencias del gobierno</w:t>
            </w:r>
          </w:p>
        </w:tc>
        <w:tc>
          <w:tcPr>
            <w:tcW w:w="2304" w:type="dxa"/>
          </w:tcPr>
          <w:p w:rsidR="00847210" w:rsidRPr="00847210" w:rsidRDefault="00847210" w:rsidP="00847210">
            <w:pPr>
              <w:spacing w:after="101" w:line="216" w:lineRule="exact"/>
              <w:jc w:val="right"/>
              <w:rPr>
                <w:rFonts w:eastAsia="Times New Roman"/>
                <w:sz w:val="20"/>
                <w:szCs w:val="20"/>
                <w:lang w:val="es-ES" w:eastAsia="es-ES"/>
              </w:rPr>
            </w:pPr>
            <w:r w:rsidRPr="00847210">
              <w:rPr>
                <w:rFonts w:eastAsia="Times New Roman"/>
                <w:sz w:val="20"/>
                <w:szCs w:val="20"/>
                <w:lang w:val="es-ES" w:eastAsia="es-ES"/>
              </w:rPr>
              <w:t xml:space="preserve">     </w:t>
            </w:r>
            <w:r>
              <w:rPr>
                <w:rFonts w:eastAsia="Times New Roman"/>
                <w:sz w:val="20"/>
                <w:szCs w:val="20"/>
                <w:lang w:val="es-ES" w:eastAsia="es-ES"/>
              </w:rPr>
              <w:t>$95,543,918</w:t>
            </w:r>
          </w:p>
        </w:tc>
      </w:tr>
      <w:tr w:rsidR="00847210" w:rsidRPr="00847210" w:rsidTr="00A90A1D">
        <w:tc>
          <w:tcPr>
            <w:tcW w:w="7196" w:type="dxa"/>
          </w:tcPr>
          <w:p w:rsidR="00847210" w:rsidRPr="00847210" w:rsidRDefault="00847210" w:rsidP="00A90A1D">
            <w:pPr>
              <w:spacing w:after="101" w:line="216" w:lineRule="exact"/>
              <w:jc w:val="both"/>
              <w:rPr>
                <w:rFonts w:eastAsia="Times New Roman"/>
                <w:sz w:val="20"/>
                <w:szCs w:val="20"/>
                <w:lang w:val="es-ES" w:eastAsia="es-ES"/>
              </w:rPr>
            </w:pPr>
            <w:r w:rsidRPr="00847210">
              <w:rPr>
                <w:rFonts w:eastAsia="Times New Roman"/>
                <w:sz w:val="20"/>
                <w:szCs w:val="20"/>
                <w:lang w:val="es-ES" w:eastAsia="es-ES"/>
              </w:rPr>
              <w:t xml:space="preserve">ingresos propios por venta de bienes  y servicios                                                </w:t>
            </w:r>
          </w:p>
        </w:tc>
        <w:tc>
          <w:tcPr>
            <w:tcW w:w="2304" w:type="dxa"/>
          </w:tcPr>
          <w:p w:rsidR="00847210" w:rsidRPr="00847210" w:rsidRDefault="0084002B" w:rsidP="00A90A1D">
            <w:pPr>
              <w:spacing w:after="101" w:line="216" w:lineRule="exact"/>
              <w:jc w:val="right"/>
              <w:rPr>
                <w:rFonts w:eastAsia="Times New Roman"/>
                <w:sz w:val="20"/>
                <w:szCs w:val="20"/>
                <w:lang w:val="es-ES" w:eastAsia="es-ES"/>
              </w:rPr>
            </w:pPr>
            <w:r>
              <w:rPr>
                <w:rFonts w:eastAsia="Times New Roman"/>
                <w:sz w:val="20"/>
                <w:szCs w:val="20"/>
                <w:lang w:val="es-ES" w:eastAsia="es-ES"/>
              </w:rPr>
              <w:t xml:space="preserve">       $1,211,020</w:t>
            </w:r>
          </w:p>
        </w:tc>
      </w:tr>
      <w:tr w:rsidR="00847210" w:rsidRPr="00847210" w:rsidTr="00A90A1D">
        <w:tc>
          <w:tcPr>
            <w:tcW w:w="7196" w:type="dxa"/>
          </w:tcPr>
          <w:p w:rsidR="00847210" w:rsidRPr="00847210" w:rsidRDefault="00847210" w:rsidP="00A90A1D">
            <w:pPr>
              <w:spacing w:after="101" w:line="216" w:lineRule="exact"/>
              <w:jc w:val="both"/>
              <w:rPr>
                <w:rFonts w:eastAsia="Times New Roman"/>
                <w:sz w:val="20"/>
                <w:szCs w:val="20"/>
                <w:lang w:val="es-ES" w:eastAsia="es-ES"/>
              </w:rPr>
            </w:pPr>
            <w:r w:rsidRPr="00847210">
              <w:rPr>
                <w:rFonts w:eastAsia="Times New Roman"/>
                <w:sz w:val="20"/>
                <w:szCs w:val="20"/>
                <w:lang w:val="es-ES" w:eastAsia="es-ES"/>
              </w:rPr>
              <w:t>total, recaudado por la institución</w:t>
            </w:r>
          </w:p>
        </w:tc>
        <w:tc>
          <w:tcPr>
            <w:tcW w:w="2304" w:type="dxa"/>
          </w:tcPr>
          <w:p w:rsidR="00847210" w:rsidRPr="00847210" w:rsidRDefault="00654B89" w:rsidP="00A90A1D">
            <w:pPr>
              <w:spacing w:after="101" w:line="216" w:lineRule="exact"/>
              <w:jc w:val="right"/>
              <w:rPr>
                <w:rFonts w:eastAsia="Times New Roman"/>
                <w:sz w:val="20"/>
                <w:szCs w:val="20"/>
                <w:lang w:val="es-ES" w:eastAsia="es-ES"/>
              </w:rPr>
            </w:pPr>
            <w:r>
              <w:rPr>
                <w:rFonts w:eastAsia="Times New Roman"/>
                <w:sz w:val="20"/>
                <w:szCs w:val="20"/>
                <w:lang w:val="es-ES" w:eastAsia="es-ES"/>
              </w:rPr>
              <w:t xml:space="preserve">     $96,754,938</w:t>
            </w:r>
          </w:p>
        </w:tc>
      </w:tr>
    </w:tbl>
    <w:p w:rsidR="00540418" w:rsidRPr="00847210" w:rsidRDefault="00540418" w:rsidP="00847210">
      <w:pPr>
        <w:pStyle w:val="Texto"/>
        <w:spacing w:after="0" w:line="240" w:lineRule="exact"/>
        <w:rPr>
          <w:rFonts w:ascii="Calibri" w:hAnsi="Calibri" w:cs="DIN Pro Regular"/>
          <w:sz w:val="20"/>
          <w:lang w:val="es-MX"/>
        </w:rPr>
      </w:pPr>
    </w:p>
    <w:p w:rsidR="00847210" w:rsidRPr="008A011E" w:rsidRDefault="00847210" w:rsidP="00847210">
      <w:pPr>
        <w:pStyle w:val="Texto"/>
        <w:spacing w:after="0" w:line="240" w:lineRule="exact"/>
        <w:ind w:firstLine="0"/>
        <w:rPr>
          <w:rFonts w:ascii="Calibri" w:hAnsi="Calibri" w:cs="DIN Pro Regular"/>
          <w:sz w:val="20"/>
          <w:lang w:val="es-MX"/>
        </w:rPr>
      </w:pPr>
    </w:p>
    <w:p w:rsidR="00540418" w:rsidRDefault="00540418" w:rsidP="006112BE">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Información sobre la Deuda y el Reporte Analítico de la Deuda</w:t>
      </w:r>
      <w:r w:rsidR="006112BE">
        <w:rPr>
          <w:rFonts w:ascii="Calibri" w:hAnsi="Calibri" w:cs="DIN Pro Regular"/>
          <w:sz w:val="20"/>
          <w:lang w:val="es-MX"/>
        </w:rPr>
        <w:t xml:space="preserve">. No aplica </w:t>
      </w:r>
    </w:p>
    <w:p w:rsidR="006112BE" w:rsidRPr="008A011E" w:rsidRDefault="006112BE" w:rsidP="006112BE">
      <w:pPr>
        <w:pStyle w:val="Texto"/>
        <w:spacing w:after="0" w:line="240" w:lineRule="exact"/>
        <w:ind w:left="288" w:firstLine="0"/>
        <w:rPr>
          <w:rFonts w:ascii="Calibri" w:hAnsi="Calibri" w:cs="DIN Pro Regular"/>
          <w:sz w:val="20"/>
          <w:lang w:val="es-MX"/>
        </w:rPr>
      </w:pPr>
    </w:p>
    <w:p w:rsidR="00396AE2" w:rsidRDefault="00540418" w:rsidP="00396AE2">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Calificaciones otorgadas</w:t>
      </w:r>
      <w:r w:rsidR="006112BE">
        <w:rPr>
          <w:rFonts w:ascii="Calibri" w:hAnsi="Calibri" w:cs="DIN Pro Regular"/>
          <w:sz w:val="20"/>
          <w:lang w:val="es-MX"/>
        </w:rPr>
        <w:t>. No aplica</w:t>
      </w:r>
    </w:p>
    <w:p w:rsidR="00540418" w:rsidRPr="008A011E" w:rsidRDefault="006112BE" w:rsidP="00396AE2">
      <w:pPr>
        <w:pStyle w:val="Texto"/>
        <w:spacing w:after="0" w:line="240" w:lineRule="exact"/>
        <w:ind w:firstLine="0"/>
        <w:rPr>
          <w:rFonts w:ascii="Calibri" w:hAnsi="Calibri" w:cs="DIN Pro Regular"/>
          <w:sz w:val="20"/>
          <w:lang w:val="es-MX"/>
        </w:rPr>
      </w:pPr>
      <w:r>
        <w:rPr>
          <w:rFonts w:ascii="Calibri" w:hAnsi="Calibri" w:cs="DIN Pro Regular"/>
          <w:sz w:val="20"/>
          <w:lang w:val="es-MX"/>
        </w:rPr>
        <w:t xml:space="preserve"> </w:t>
      </w:r>
    </w:p>
    <w:p w:rsidR="008B2FCF" w:rsidRPr="008B2FCF" w:rsidRDefault="00540418" w:rsidP="008B2FCF">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Proceso de Mejora</w:t>
      </w:r>
      <w:r w:rsidR="00396AE2">
        <w:rPr>
          <w:rFonts w:ascii="Calibri" w:hAnsi="Calibri" w:cs="DIN Pro Regular"/>
          <w:sz w:val="20"/>
          <w:lang w:val="es-MX"/>
        </w:rPr>
        <w:t>.</w:t>
      </w:r>
      <w:r w:rsidR="008B2FCF" w:rsidRPr="008B2FCF">
        <w:rPr>
          <w:rFonts w:ascii="DINPro-Regular" w:hAnsi="DINPro-Regular"/>
          <w:sz w:val="22"/>
          <w:szCs w:val="22"/>
        </w:rPr>
        <w:t xml:space="preserve"> </w:t>
      </w:r>
      <w:r w:rsidR="008B2FCF" w:rsidRPr="008B2FCF">
        <w:rPr>
          <w:rFonts w:ascii="Calibri" w:hAnsi="Calibri"/>
          <w:sz w:val="20"/>
        </w:rPr>
        <w:t>en esta institución se está trabajando continuamente en la                                                         actualización del personal docente para el mejoramiento en la impartición de las materias        asignadas a cada uno de ellos atendiendo las siguientes estrategias</w:t>
      </w:r>
    </w:p>
    <w:p w:rsidR="008B2FCF" w:rsidRPr="008B2FCF" w:rsidRDefault="008B2FCF" w:rsidP="008B2FCF">
      <w:pPr>
        <w:spacing w:after="101" w:line="216" w:lineRule="exact"/>
        <w:ind w:firstLine="288"/>
        <w:jc w:val="both"/>
        <w:rPr>
          <w:sz w:val="20"/>
          <w:szCs w:val="20"/>
        </w:rPr>
      </w:pPr>
    </w:p>
    <w:p w:rsidR="008B2FCF" w:rsidRPr="008B2FCF" w:rsidRDefault="008B2FCF" w:rsidP="008B2FCF">
      <w:pPr>
        <w:numPr>
          <w:ilvl w:val="0"/>
          <w:numId w:val="13"/>
        </w:numPr>
        <w:spacing w:after="101" w:line="216" w:lineRule="exact"/>
        <w:ind w:left="426"/>
        <w:jc w:val="both"/>
        <w:rPr>
          <w:rFonts w:eastAsia="Times New Roman"/>
          <w:sz w:val="20"/>
          <w:szCs w:val="20"/>
          <w:lang w:val="es-ES" w:eastAsia="es-ES"/>
        </w:rPr>
      </w:pPr>
      <w:r w:rsidRPr="008B2FCF">
        <w:rPr>
          <w:rFonts w:eastAsia="Times New Roman"/>
          <w:sz w:val="20"/>
          <w:szCs w:val="20"/>
          <w:lang w:val="es-ES" w:eastAsia="es-ES"/>
        </w:rPr>
        <w:t>ampliar las oportunidades y servicios educativos con una visión vinculada al desarrollo humano, social y económico.</w:t>
      </w:r>
    </w:p>
    <w:p w:rsidR="008B2FCF" w:rsidRPr="008B2FCF" w:rsidRDefault="008B2FCF" w:rsidP="008B2FCF">
      <w:pPr>
        <w:numPr>
          <w:ilvl w:val="0"/>
          <w:numId w:val="13"/>
        </w:numPr>
        <w:spacing w:after="101" w:line="216" w:lineRule="exact"/>
        <w:ind w:left="426"/>
        <w:jc w:val="both"/>
        <w:rPr>
          <w:rFonts w:eastAsia="Times New Roman"/>
          <w:sz w:val="20"/>
          <w:szCs w:val="20"/>
          <w:lang w:val="es-ES" w:eastAsia="es-ES"/>
        </w:rPr>
      </w:pPr>
      <w:r w:rsidRPr="008B2FCF">
        <w:rPr>
          <w:rFonts w:eastAsia="Times New Roman"/>
          <w:sz w:val="20"/>
          <w:szCs w:val="20"/>
          <w:lang w:val="es-ES" w:eastAsia="es-ES"/>
        </w:rPr>
        <w:t>colocar al maestro en el centro de la transformación del sistema educativo con acciones que mejoren su práctica profesional y los resultados de aprendizaje de los alumnos mediante el proceso de calidad en la selección, actualización, desempeño y evaluación de competencias didácticas, científicas y humanas.</w:t>
      </w:r>
    </w:p>
    <w:p w:rsidR="008B2FCF" w:rsidRDefault="008B2FCF" w:rsidP="008B2FCF">
      <w:pPr>
        <w:spacing w:after="101" w:line="216" w:lineRule="exact"/>
        <w:jc w:val="both"/>
        <w:rPr>
          <w:rFonts w:eastAsia="Times New Roman"/>
          <w:sz w:val="20"/>
          <w:szCs w:val="20"/>
          <w:lang w:val="es-ES" w:eastAsia="es-ES"/>
        </w:rPr>
      </w:pPr>
    </w:p>
    <w:p w:rsidR="007560D3" w:rsidRPr="008B2FCF" w:rsidRDefault="007560D3" w:rsidP="008B2FCF">
      <w:pPr>
        <w:spacing w:after="101" w:line="216" w:lineRule="exact"/>
        <w:jc w:val="both"/>
        <w:rPr>
          <w:rFonts w:eastAsia="Times New Roman"/>
          <w:sz w:val="20"/>
          <w:szCs w:val="20"/>
          <w:lang w:val="es-ES" w:eastAsia="es-ES"/>
        </w:rPr>
      </w:pPr>
      <w:bookmarkStart w:id="0" w:name="_GoBack"/>
      <w:bookmarkEnd w:id="0"/>
    </w:p>
    <w:p w:rsidR="008B2FCF" w:rsidRPr="008B2FCF" w:rsidRDefault="008B2FCF" w:rsidP="008B2FCF">
      <w:pPr>
        <w:numPr>
          <w:ilvl w:val="0"/>
          <w:numId w:val="13"/>
        </w:numPr>
        <w:spacing w:after="101" w:line="216" w:lineRule="exact"/>
        <w:ind w:left="426"/>
        <w:jc w:val="both"/>
        <w:rPr>
          <w:rFonts w:eastAsia="Times New Roman"/>
          <w:sz w:val="20"/>
          <w:szCs w:val="20"/>
          <w:lang w:val="es-ES" w:eastAsia="es-ES"/>
        </w:rPr>
      </w:pPr>
      <w:r w:rsidRPr="008B2FCF">
        <w:rPr>
          <w:rFonts w:eastAsia="Times New Roman"/>
          <w:sz w:val="20"/>
          <w:szCs w:val="20"/>
          <w:lang w:val="es-ES" w:eastAsia="es-ES"/>
        </w:rPr>
        <w:t>impulsar la coordinación con la federación del sistema educativo para la atención a la demanda y cobertura, la actualización de los contenidos académicos y la gestión de calidad, equidad y pertinencia en la educación.</w:t>
      </w:r>
    </w:p>
    <w:p w:rsidR="008B2FCF" w:rsidRPr="008B2FCF" w:rsidRDefault="008B2FCF" w:rsidP="008B2FCF">
      <w:pPr>
        <w:numPr>
          <w:ilvl w:val="0"/>
          <w:numId w:val="13"/>
        </w:numPr>
        <w:spacing w:after="101" w:line="216" w:lineRule="exact"/>
        <w:ind w:left="426"/>
        <w:jc w:val="both"/>
        <w:rPr>
          <w:rFonts w:eastAsia="Times New Roman"/>
          <w:sz w:val="20"/>
          <w:szCs w:val="20"/>
          <w:lang w:val="es-ES" w:eastAsia="es-ES"/>
        </w:rPr>
      </w:pPr>
    </w:p>
    <w:p w:rsidR="008B2FCF" w:rsidRPr="008B2FCF" w:rsidRDefault="008B2FCF" w:rsidP="008B2FCF">
      <w:pPr>
        <w:numPr>
          <w:ilvl w:val="0"/>
          <w:numId w:val="13"/>
        </w:numPr>
        <w:spacing w:after="101" w:line="216" w:lineRule="exact"/>
        <w:ind w:left="426"/>
        <w:jc w:val="both"/>
        <w:rPr>
          <w:rFonts w:eastAsia="Times New Roman"/>
          <w:sz w:val="20"/>
          <w:szCs w:val="20"/>
          <w:lang w:val="es-ES" w:eastAsia="es-ES"/>
        </w:rPr>
      </w:pPr>
      <w:r w:rsidRPr="008B2FCF">
        <w:rPr>
          <w:rFonts w:eastAsia="Times New Roman"/>
          <w:sz w:val="20"/>
          <w:szCs w:val="20"/>
          <w:lang w:val="es-ES" w:eastAsia="es-ES"/>
        </w:rPr>
        <w:t xml:space="preserve">promover la corresponsabilidad de padres de familia, organismos de la sociedad civil, sectores productivos y de los consejos estatales, municipales y de participación social </w:t>
      </w:r>
    </w:p>
    <w:p w:rsidR="008B2FCF" w:rsidRPr="008B2FCF" w:rsidRDefault="008B2FCF" w:rsidP="008B2FCF">
      <w:pPr>
        <w:spacing w:after="101" w:line="216" w:lineRule="exact"/>
        <w:ind w:left="426"/>
        <w:jc w:val="both"/>
        <w:rPr>
          <w:rFonts w:eastAsia="Times New Roman"/>
          <w:sz w:val="20"/>
          <w:szCs w:val="20"/>
          <w:lang w:val="es-ES" w:eastAsia="es-ES"/>
        </w:rPr>
      </w:pPr>
    </w:p>
    <w:p w:rsidR="008B2FCF" w:rsidRPr="008B2FCF" w:rsidRDefault="008B2FCF" w:rsidP="008B2FCF">
      <w:pPr>
        <w:numPr>
          <w:ilvl w:val="0"/>
          <w:numId w:val="13"/>
        </w:numPr>
        <w:spacing w:after="101" w:line="216" w:lineRule="exact"/>
        <w:ind w:left="426"/>
        <w:jc w:val="both"/>
        <w:rPr>
          <w:rFonts w:eastAsia="Times New Roman"/>
          <w:sz w:val="20"/>
          <w:szCs w:val="20"/>
          <w:lang w:val="es-ES" w:eastAsia="es-ES"/>
        </w:rPr>
      </w:pPr>
      <w:r w:rsidRPr="008B2FCF">
        <w:rPr>
          <w:rFonts w:eastAsia="Times New Roman"/>
          <w:sz w:val="20"/>
          <w:szCs w:val="20"/>
          <w:lang w:val="es-ES" w:eastAsia="es-ES"/>
        </w:rPr>
        <w:t>de los planteles educativos en los programas de gestión escolar, y en la creación, modernización, conservación y mantenimiento de infraestructuras.</w:t>
      </w:r>
    </w:p>
    <w:p w:rsidR="008B2FCF" w:rsidRPr="008B2FCF" w:rsidRDefault="008B2FCF" w:rsidP="008B2FCF">
      <w:pPr>
        <w:spacing w:after="101" w:line="216" w:lineRule="exact"/>
        <w:jc w:val="both"/>
        <w:rPr>
          <w:rFonts w:eastAsia="Times New Roman"/>
          <w:sz w:val="20"/>
          <w:szCs w:val="20"/>
          <w:lang w:val="es-ES" w:eastAsia="es-ES"/>
        </w:rPr>
      </w:pPr>
    </w:p>
    <w:p w:rsidR="008B2FCF" w:rsidRPr="008B2FCF" w:rsidRDefault="008B2FCF" w:rsidP="008B2FCF">
      <w:pPr>
        <w:numPr>
          <w:ilvl w:val="0"/>
          <w:numId w:val="13"/>
        </w:numPr>
        <w:spacing w:after="101" w:line="216" w:lineRule="exact"/>
        <w:ind w:left="426"/>
        <w:jc w:val="both"/>
        <w:rPr>
          <w:rFonts w:eastAsia="Times New Roman"/>
          <w:sz w:val="20"/>
          <w:szCs w:val="20"/>
          <w:lang w:val="es-ES" w:eastAsia="es-ES"/>
        </w:rPr>
      </w:pPr>
      <w:r w:rsidRPr="008B2FCF">
        <w:rPr>
          <w:rFonts w:eastAsia="Times New Roman"/>
          <w:sz w:val="20"/>
          <w:szCs w:val="20"/>
          <w:lang w:val="es-ES" w:eastAsia="es-ES"/>
        </w:rPr>
        <w:t>ampliar la cobertura educativa en razón de las necesidades de atención a los segmentos poblacionales en edad escolar y a las necesidades de desarrollo estatal, con suficiencia, oportunidad y calidad de los servicios del sistema educativo.</w:t>
      </w:r>
    </w:p>
    <w:p w:rsidR="008B2FCF" w:rsidRPr="008B2FCF" w:rsidRDefault="008B2FCF" w:rsidP="008B2FCF">
      <w:pPr>
        <w:spacing w:after="101" w:line="216" w:lineRule="exact"/>
        <w:jc w:val="both"/>
        <w:rPr>
          <w:rFonts w:eastAsia="Times New Roman"/>
          <w:sz w:val="20"/>
          <w:szCs w:val="20"/>
          <w:lang w:val="es-ES" w:eastAsia="es-ES"/>
        </w:rPr>
      </w:pPr>
    </w:p>
    <w:p w:rsidR="008B2FCF" w:rsidRPr="008B2FCF" w:rsidRDefault="008B2FCF" w:rsidP="008B2FCF">
      <w:pPr>
        <w:numPr>
          <w:ilvl w:val="0"/>
          <w:numId w:val="13"/>
        </w:numPr>
        <w:spacing w:after="101" w:line="216" w:lineRule="exact"/>
        <w:ind w:left="426"/>
        <w:jc w:val="both"/>
        <w:rPr>
          <w:rFonts w:eastAsia="Times New Roman"/>
          <w:sz w:val="20"/>
          <w:szCs w:val="20"/>
          <w:lang w:val="es-ES" w:eastAsia="es-ES"/>
        </w:rPr>
      </w:pPr>
      <w:r w:rsidRPr="008B2FCF">
        <w:rPr>
          <w:rFonts w:eastAsia="Times New Roman"/>
          <w:sz w:val="20"/>
          <w:szCs w:val="20"/>
          <w:lang w:val="es-ES" w:eastAsia="es-ES"/>
        </w:rPr>
        <w:t>impulsar la vinculación estratégica entre educación, ciencia y tecnología, que fortalezca la innovación e investigación tecnológica en todas las áreas del conocimiento y la pertinencia de la formación profesional.</w:t>
      </w:r>
    </w:p>
    <w:p w:rsidR="008B2FCF" w:rsidRPr="008B2FCF" w:rsidRDefault="008B2FCF" w:rsidP="008B2FCF">
      <w:pPr>
        <w:numPr>
          <w:ilvl w:val="0"/>
          <w:numId w:val="13"/>
        </w:numPr>
        <w:spacing w:after="101" w:line="216" w:lineRule="exact"/>
        <w:ind w:left="426"/>
        <w:jc w:val="both"/>
        <w:rPr>
          <w:rFonts w:eastAsia="Times New Roman"/>
          <w:sz w:val="20"/>
          <w:szCs w:val="20"/>
          <w:lang w:val="es-ES" w:eastAsia="es-ES"/>
        </w:rPr>
      </w:pPr>
      <w:r w:rsidRPr="008B2FCF">
        <w:rPr>
          <w:rFonts w:eastAsia="Times New Roman"/>
          <w:sz w:val="20"/>
          <w:szCs w:val="20"/>
          <w:lang w:val="es-ES" w:eastAsia="es-ES"/>
        </w:rPr>
        <w:t>fortalecer las instituciones culturales mediante programas académicos para la formación artística, la creación de un inventario estatal de manifestaciones artísticas en el fomento de la participación privada de organismos de la sociedad civil en programas culturales en la preservación del patrimonio histórico, artístico y cultural.</w:t>
      </w:r>
    </w:p>
    <w:p w:rsidR="008B2FCF" w:rsidRPr="008B2FCF" w:rsidRDefault="008B2FCF" w:rsidP="008B2FCF">
      <w:pPr>
        <w:spacing w:after="101" w:line="216" w:lineRule="exact"/>
        <w:ind w:left="720"/>
        <w:jc w:val="both"/>
        <w:rPr>
          <w:rFonts w:eastAsia="Times New Roman"/>
          <w:sz w:val="20"/>
          <w:szCs w:val="20"/>
          <w:lang w:val="es-ES" w:eastAsia="es-ES"/>
        </w:rPr>
      </w:pPr>
    </w:p>
    <w:p w:rsidR="008B2FCF" w:rsidRPr="008B2FCF" w:rsidRDefault="008B2FCF" w:rsidP="008B2FCF">
      <w:pPr>
        <w:numPr>
          <w:ilvl w:val="0"/>
          <w:numId w:val="13"/>
        </w:numPr>
        <w:spacing w:after="101" w:line="216" w:lineRule="exact"/>
        <w:ind w:left="426"/>
        <w:jc w:val="both"/>
        <w:rPr>
          <w:rFonts w:eastAsia="Times New Roman"/>
          <w:sz w:val="20"/>
          <w:szCs w:val="20"/>
          <w:lang w:val="es-ES" w:eastAsia="es-ES"/>
        </w:rPr>
      </w:pPr>
      <w:r w:rsidRPr="008B2FCF">
        <w:rPr>
          <w:rFonts w:eastAsia="Times New Roman"/>
          <w:sz w:val="20"/>
          <w:szCs w:val="20"/>
          <w:lang w:val="es-ES" w:eastAsia="es-ES"/>
        </w:rPr>
        <w:t>orientar las decisiones de la política educativa con base en sistemas de información como medición y análisis del desempeño, de la gestión educativa y el aprovechamiento académico.</w:t>
      </w:r>
    </w:p>
    <w:p w:rsidR="008B2FCF" w:rsidRPr="008B2FCF" w:rsidRDefault="008B2FCF" w:rsidP="008B2FCF">
      <w:pPr>
        <w:spacing w:after="101" w:line="216" w:lineRule="exact"/>
        <w:ind w:left="720"/>
        <w:jc w:val="both"/>
        <w:rPr>
          <w:rFonts w:eastAsia="Times New Roman"/>
          <w:sz w:val="20"/>
          <w:szCs w:val="20"/>
          <w:lang w:val="es-ES" w:eastAsia="es-ES"/>
        </w:rPr>
      </w:pPr>
    </w:p>
    <w:p w:rsidR="008B2FCF" w:rsidRPr="008B2FCF" w:rsidRDefault="008B2FCF" w:rsidP="008B2FCF">
      <w:pPr>
        <w:numPr>
          <w:ilvl w:val="0"/>
          <w:numId w:val="13"/>
        </w:numPr>
        <w:spacing w:after="101" w:line="216" w:lineRule="exact"/>
        <w:ind w:left="426"/>
        <w:jc w:val="both"/>
        <w:rPr>
          <w:rFonts w:eastAsia="Times New Roman"/>
          <w:sz w:val="20"/>
          <w:szCs w:val="20"/>
          <w:lang w:val="es-ES" w:eastAsia="es-ES"/>
        </w:rPr>
      </w:pPr>
      <w:r w:rsidRPr="008B2FCF">
        <w:rPr>
          <w:rFonts w:eastAsia="Times New Roman"/>
          <w:sz w:val="20"/>
          <w:szCs w:val="20"/>
          <w:lang w:val="es-ES" w:eastAsia="es-ES"/>
        </w:rPr>
        <w:t>implementar métodos de enseñanza pertinentes que proporcionen al alumno los conocimientos útiles para la vida, que le permitan aprender y orientar su conducta con base en valores cívicos, éticos y de responsabilidad social.</w:t>
      </w:r>
    </w:p>
    <w:p w:rsidR="008B2FCF" w:rsidRPr="008B2FCF" w:rsidRDefault="008B2FCF" w:rsidP="008B2FCF">
      <w:pPr>
        <w:numPr>
          <w:ilvl w:val="0"/>
          <w:numId w:val="13"/>
        </w:numPr>
        <w:spacing w:after="101" w:line="216" w:lineRule="exact"/>
        <w:ind w:left="426"/>
        <w:jc w:val="both"/>
        <w:rPr>
          <w:rFonts w:eastAsia="Times New Roman"/>
          <w:sz w:val="20"/>
          <w:szCs w:val="20"/>
          <w:lang w:val="es-ES" w:eastAsia="es-ES"/>
        </w:rPr>
      </w:pPr>
      <w:r w:rsidRPr="008B2FCF">
        <w:rPr>
          <w:rFonts w:eastAsia="Times New Roman"/>
          <w:sz w:val="20"/>
          <w:szCs w:val="20"/>
          <w:lang w:val="es-ES" w:eastAsia="es-ES"/>
        </w:rPr>
        <w:t>aplicar las bases de los beneficiados para la permanencia y excelencia educativa, mediante un proceso de integración del sistema nacional de becas, estímulos y créditos educativos.</w:t>
      </w:r>
    </w:p>
    <w:p w:rsidR="008B2FCF" w:rsidRPr="008B2FCF" w:rsidRDefault="008B2FCF" w:rsidP="008B2FCF">
      <w:pPr>
        <w:numPr>
          <w:ilvl w:val="0"/>
          <w:numId w:val="13"/>
        </w:numPr>
        <w:spacing w:after="101" w:line="216" w:lineRule="exact"/>
        <w:ind w:left="426" w:hanging="349"/>
        <w:jc w:val="both"/>
        <w:rPr>
          <w:rFonts w:eastAsia="Times New Roman"/>
          <w:sz w:val="20"/>
          <w:szCs w:val="20"/>
          <w:lang w:val="es-ES" w:eastAsia="es-ES"/>
        </w:rPr>
      </w:pPr>
      <w:r w:rsidRPr="008B2FCF">
        <w:rPr>
          <w:rFonts w:eastAsia="Times New Roman"/>
          <w:sz w:val="20"/>
          <w:szCs w:val="20"/>
          <w:lang w:val="es-ES" w:eastAsia="es-ES"/>
        </w:rPr>
        <w:t>multiplicar la capacidad creativa del arte y la cultura con actividades de formación desde la educación básica hasta los estudios superiores.</w:t>
      </w:r>
    </w:p>
    <w:p w:rsidR="008B2FCF" w:rsidRPr="008B2FCF" w:rsidRDefault="008B2FCF" w:rsidP="008B2FCF">
      <w:pPr>
        <w:numPr>
          <w:ilvl w:val="0"/>
          <w:numId w:val="13"/>
        </w:numPr>
        <w:spacing w:after="101" w:line="216" w:lineRule="exact"/>
        <w:ind w:left="426"/>
        <w:jc w:val="both"/>
        <w:rPr>
          <w:rFonts w:eastAsia="Times New Roman"/>
          <w:sz w:val="20"/>
          <w:szCs w:val="20"/>
          <w:lang w:val="es-ES" w:eastAsia="es-ES"/>
        </w:rPr>
      </w:pPr>
      <w:r w:rsidRPr="008B2FCF">
        <w:rPr>
          <w:rFonts w:eastAsia="Times New Roman"/>
          <w:sz w:val="20"/>
          <w:szCs w:val="20"/>
          <w:lang w:val="es-ES" w:eastAsia="es-ES"/>
        </w:rPr>
        <w:t>impulsar y transformar el desarrollo institucional del deporte que promueva la actividad física y la práctica del deporte en todos los segmentos de la población</w:t>
      </w:r>
    </w:p>
    <w:p w:rsidR="00396AE2" w:rsidRPr="008A011E" w:rsidRDefault="00396AE2" w:rsidP="008B2FCF">
      <w:pPr>
        <w:pStyle w:val="Texto"/>
        <w:spacing w:after="0" w:line="240" w:lineRule="exact"/>
        <w:rPr>
          <w:rFonts w:ascii="Calibri" w:hAnsi="Calibri" w:cs="DIN Pro Regular"/>
          <w:sz w:val="20"/>
          <w:lang w:val="es-MX"/>
        </w:rPr>
      </w:pPr>
      <w:r>
        <w:rPr>
          <w:rFonts w:ascii="Calibri" w:hAnsi="Calibri" w:cs="DIN Pro Regular"/>
          <w:sz w:val="20"/>
          <w:lang w:val="es-MX"/>
        </w:rPr>
        <w:t xml:space="preserve"> </w:t>
      </w:r>
    </w:p>
    <w:p w:rsidR="00540418" w:rsidRDefault="00540418" w:rsidP="008B2FCF">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Información por Segmentos</w:t>
      </w:r>
      <w:r w:rsidR="008B2FCF">
        <w:rPr>
          <w:rFonts w:ascii="Calibri" w:hAnsi="Calibri" w:cs="DIN Pro Regular"/>
          <w:sz w:val="20"/>
          <w:lang w:val="es-MX"/>
        </w:rPr>
        <w:t xml:space="preserve">. No aplica </w:t>
      </w:r>
    </w:p>
    <w:p w:rsidR="008B2FCF" w:rsidRPr="008A011E" w:rsidRDefault="008B2FCF" w:rsidP="008B2FCF">
      <w:pPr>
        <w:pStyle w:val="Texto"/>
        <w:spacing w:after="0" w:line="240" w:lineRule="exact"/>
        <w:ind w:left="708" w:firstLine="0"/>
        <w:rPr>
          <w:rFonts w:ascii="Calibri" w:hAnsi="Calibri" w:cs="DIN Pro Regular"/>
          <w:sz w:val="20"/>
          <w:lang w:val="es-MX"/>
        </w:rPr>
      </w:pPr>
    </w:p>
    <w:p w:rsidR="00540418" w:rsidRDefault="00540418" w:rsidP="008B2FCF">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Eventos Posteriores al Cierre</w:t>
      </w:r>
      <w:r w:rsidR="008B2FCF">
        <w:rPr>
          <w:rFonts w:ascii="Calibri" w:hAnsi="Calibri" w:cs="DIN Pro Regular"/>
          <w:sz w:val="20"/>
          <w:lang w:val="es-MX"/>
        </w:rPr>
        <w:t>. No aplica</w:t>
      </w:r>
    </w:p>
    <w:p w:rsidR="008B2FCF" w:rsidRPr="008A011E" w:rsidRDefault="008B2FCF" w:rsidP="008B2FCF">
      <w:pPr>
        <w:pStyle w:val="Texto"/>
        <w:spacing w:after="0" w:line="240" w:lineRule="exact"/>
        <w:ind w:firstLine="0"/>
        <w:rPr>
          <w:rFonts w:ascii="Calibri" w:hAnsi="Calibri" w:cs="DIN Pro Regular"/>
          <w:sz w:val="20"/>
          <w:lang w:val="es-MX"/>
        </w:rPr>
      </w:pPr>
    </w:p>
    <w:p w:rsidR="00540418" w:rsidRPr="008A011E" w:rsidRDefault="00540418" w:rsidP="00540418">
      <w:pPr>
        <w:pStyle w:val="Texto"/>
        <w:spacing w:after="0" w:line="240" w:lineRule="exact"/>
        <w:rPr>
          <w:rFonts w:ascii="Calibri" w:hAnsi="Calibri" w:cs="DIN Pro Regular"/>
          <w:sz w:val="20"/>
          <w:lang w:val="es-MX"/>
        </w:rPr>
      </w:pPr>
      <w:r w:rsidRPr="008A011E">
        <w:rPr>
          <w:rFonts w:ascii="Calibri" w:hAnsi="Calibri" w:cs="DIN Pro Regular"/>
          <w:sz w:val="20"/>
          <w:lang w:val="es-MX"/>
        </w:rPr>
        <w:t>16.</w:t>
      </w:r>
      <w:r w:rsidRPr="008A011E">
        <w:rPr>
          <w:rFonts w:ascii="Calibri" w:hAnsi="Calibri" w:cs="DIN Pro Regular"/>
          <w:sz w:val="20"/>
          <w:lang w:val="es-MX"/>
        </w:rPr>
        <w:tab/>
        <w:t>Partes Relacionadas</w:t>
      </w:r>
      <w:r w:rsidR="008B2FCF">
        <w:rPr>
          <w:rFonts w:ascii="Calibri" w:hAnsi="Calibri" w:cs="DIN Pro Regular"/>
          <w:sz w:val="20"/>
          <w:lang w:val="es-MX"/>
        </w:rPr>
        <w:t>. No aplica</w:t>
      </w:r>
    </w:p>
    <w:p w:rsidR="000E6439" w:rsidRPr="008A011E" w:rsidRDefault="000E6439" w:rsidP="000D5EFE">
      <w:pPr>
        <w:pStyle w:val="Texto"/>
        <w:spacing w:after="0" w:line="240" w:lineRule="exact"/>
        <w:ind w:firstLine="0"/>
        <w:rPr>
          <w:rFonts w:ascii="Calibri" w:hAnsi="Calibri" w:cs="DIN Pro Regular"/>
          <w:sz w:val="20"/>
        </w:rPr>
      </w:pPr>
    </w:p>
    <w:p w:rsidR="000E6439" w:rsidRPr="008A011E" w:rsidRDefault="000E6439" w:rsidP="000D5EFE">
      <w:pPr>
        <w:pStyle w:val="Texto"/>
        <w:spacing w:after="0" w:line="240" w:lineRule="exact"/>
        <w:ind w:firstLine="0"/>
        <w:rPr>
          <w:rFonts w:ascii="Calibri" w:hAnsi="Calibri" w:cs="DIN Pro Regular"/>
          <w:sz w:val="20"/>
        </w:rPr>
      </w:pPr>
    </w:p>
    <w:p w:rsidR="000E6439" w:rsidRPr="008A011E" w:rsidRDefault="000E6439" w:rsidP="000D5EFE">
      <w:pPr>
        <w:pStyle w:val="Texto"/>
        <w:spacing w:after="0" w:line="240" w:lineRule="exact"/>
        <w:ind w:firstLine="0"/>
        <w:rPr>
          <w:rFonts w:ascii="Calibri" w:hAnsi="Calibri" w:cs="DIN Pro Regular"/>
          <w:sz w:val="20"/>
        </w:rPr>
      </w:pPr>
    </w:p>
    <w:p w:rsidR="000E6439" w:rsidRPr="008A011E" w:rsidRDefault="000E6439" w:rsidP="000D5EFE">
      <w:pPr>
        <w:pStyle w:val="Texto"/>
        <w:spacing w:after="0" w:line="240" w:lineRule="exact"/>
        <w:ind w:firstLine="0"/>
        <w:rPr>
          <w:rFonts w:ascii="Calibri" w:hAnsi="Calibri" w:cs="DIN Pro Regular"/>
          <w:sz w:val="20"/>
        </w:rPr>
      </w:pPr>
    </w:p>
    <w:sectPr w:rsidR="000E6439" w:rsidRPr="008A011E" w:rsidSect="002C3BA7">
      <w:headerReference w:type="even" r:id="rId9"/>
      <w:headerReference w:type="default" r:id="rId10"/>
      <w:footerReference w:type="even" r:id="rId11"/>
      <w:footerReference w:type="default" r:id="rId12"/>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EFF" w:rsidRDefault="00A32EFF" w:rsidP="00EA5418">
      <w:pPr>
        <w:spacing w:after="0" w:line="240" w:lineRule="auto"/>
      </w:pPr>
      <w:r>
        <w:separator/>
      </w:r>
    </w:p>
  </w:endnote>
  <w:endnote w:type="continuationSeparator" w:id="0">
    <w:p w:rsidR="00A32EFF" w:rsidRDefault="00A32EF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code Sans">
    <w:altName w:val="Times New Roman"/>
    <w:panose1 w:val="00000000000000000000"/>
    <w:charset w:val="00"/>
    <w:family w:val="auto"/>
    <w:pitch w:val="variable"/>
    <w:sig w:usb0="A00000FF" w:usb1="4000207B" w:usb2="00000000" w:usb3="00000000" w:csb0="00000193" w:csb1="00000000"/>
  </w:font>
  <w:font w:name="DIN Pro Regular">
    <w:panose1 w:val="020B0504020101020102"/>
    <w:charset w:val="00"/>
    <w:family w:val="swiss"/>
    <w:pitch w:val="variable"/>
    <w:sig w:usb0="A00002BF" w:usb1="4000207B" w:usb2="00000008" w:usb3="00000000" w:csb0="0000009F" w:csb1="00000000"/>
  </w:font>
  <w:font w:name="DINPro-Regular">
    <w:panose1 w:val="00000000000000000000"/>
    <w:charset w:val="00"/>
    <w:family w:val="modern"/>
    <w:notTrueType/>
    <w:pitch w:val="variable"/>
    <w:sig w:usb0="800002AF" w:usb1="4000206A"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72" w:rsidRPr="00241D8F" w:rsidRDefault="00015B72"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58752" behindDoc="0" locked="0" layoutInCell="1" allowOverlap="1">
              <wp:simplePos x="0" y="0"/>
              <wp:positionH relativeFrom="column">
                <wp:posOffset>-1864360</wp:posOffset>
              </wp:positionH>
              <wp:positionV relativeFrom="paragraph">
                <wp:posOffset>-19050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62E576" id="12 Conector recto"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8pt,-1.5pt" to="6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" strokecolor="#c00000"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7560D3" w:rsidRPr="007560D3">
      <w:rPr>
        <w:rFonts w:ascii="Arial" w:hAnsi="Arial" w:cs="Arial"/>
        <w:noProof/>
        <w:lang w:val="es-ES"/>
      </w:rPr>
      <w:t>2</w:t>
    </w:r>
    <w:r w:rsidRPr="00241D8F">
      <w:rPr>
        <w:rFonts w:ascii="Arial" w:hAnsi="Arial" w:cs="Arial"/>
      </w:rPr>
      <w:fldChar w:fldCharType="end"/>
    </w:r>
  </w:p>
  <w:p w:rsidR="00015B72" w:rsidRDefault="00015B7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72" w:rsidRPr="007818C6" w:rsidRDefault="00015B72" w:rsidP="008E3652">
    <w:pPr>
      <w:pStyle w:val="Piedepgina"/>
      <w:jc w:val="center"/>
      <w:rPr>
        <w:rFonts w:ascii="Helvetica" w:hAnsi="Helvetica" w:cs="Arial"/>
      </w:rPr>
    </w:pPr>
    <w:r w:rsidRPr="007818C6">
      <w:rPr>
        <w:rFonts w:ascii="Helvetica" w:hAnsi="Helvetica"/>
        <w:noProof/>
        <w:lang w:eastAsia="es-MX"/>
      </w:rPr>
      <mc:AlternateContent>
        <mc:Choice Requires="wps">
          <w:drawing>
            <wp:anchor distT="0" distB="0" distL="114300" distR="114300" simplePos="0" relativeHeight="251655680" behindDoc="0" locked="0" layoutInCell="1" allowOverlap="1">
              <wp:simplePos x="0" y="0"/>
              <wp:positionH relativeFrom="column">
                <wp:posOffset>-5486400</wp:posOffset>
              </wp:positionH>
              <wp:positionV relativeFrom="paragraph">
                <wp:posOffset>-37466</wp:posOffset>
              </wp:positionV>
              <wp:extent cx="14306550" cy="0"/>
              <wp:effectExtent l="0" t="0" r="19050"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306550" cy="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1BA790" id="3 Conector recto"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in,-2.95pt" to="6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" strokecolor="#c00000" strokeweight="1.5pt">
              <o:lock v:ext="edit" shapetype="f"/>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7560D3" w:rsidRPr="007560D3">
      <w:rPr>
        <w:rFonts w:ascii="Helvetica" w:hAnsi="Helvetica" w:cs="Arial"/>
        <w:noProof/>
        <w:lang w:val="es-ES"/>
      </w:rPr>
      <w:t>1</w:t>
    </w:r>
    <w:r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EFF" w:rsidRDefault="00A32EFF" w:rsidP="00EA5418">
      <w:pPr>
        <w:spacing w:after="0" w:line="240" w:lineRule="auto"/>
      </w:pPr>
      <w:r>
        <w:separator/>
      </w:r>
    </w:p>
  </w:footnote>
  <w:footnote w:type="continuationSeparator" w:id="0">
    <w:p w:rsidR="00A32EFF" w:rsidRDefault="00A32EF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72" w:rsidRDefault="00015B72">
    <w:pPr>
      <w:pStyle w:val="Encabezado"/>
    </w:pPr>
    <w:r>
      <w:rPr>
        <w:noProof/>
        <w:lang w:eastAsia="es-MX"/>
      </w:rPr>
      <mc:AlternateContent>
        <mc:Choice Requires="wps">
          <w:drawing>
            <wp:anchor distT="0" distB="0" distL="114300" distR="114300" simplePos="0" relativeHeight="251653632" behindDoc="0" locked="0" layoutInCell="1" allowOverlap="1" wp14:anchorId="18CA6F99" wp14:editId="29280FA2">
              <wp:simplePos x="0" y="0"/>
              <wp:positionH relativeFrom="column">
                <wp:posOffset>-1524000</wp:posOffset>
              </wp:positionH>
              <wp:positionV relativeFrom="paragraph">
                <wp:posOffset>234315</wp:posOffset>
              </wp:positionV>
              <wp:extent cx="10083800" cy="16510"/>
              <wp:effectExtent l="0" t="0" r="31750" b="21590"/>
              <wp:wrapNone/>
              <wp:docPr id="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075A6F" id="4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pt,18.45pt" to="67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" strokecolor="#c00000" strokeweight="1.5pt">
              <o:lock v:ext="edit" shapetype="f"/>
            </v:line>
          </w:pict>
        </mc:Fallback>
      </mc:AlternateContent>
    </w:r>
    <w:r>
      <w:rPr>
        <w:noProof/>
        <w:lang w:eastAsia="es-MX"/>
      </w:rPr>
      <mc:AlternateContent>
        <mc:Choice Requires="wpg">
          <w:drawing>
            <wp:anchor distT="0" distB="0" distL="114300" distR="114300" simplePos="0" relativeHeight="251654656" behindDoc="0" locked="0" layoutInCell="1" allowOverlap="1" wp14:anchorId="078A6E1A" wp14:editId="64AE9657">
              <wp:simplePos x="0" y="0"/>
              <wp:positionH relativeFrom="column">
                <wp:posOffset>3533775</wp:posOffset>
              </wp:positionH>
              <wp:positionV relativeFrom="paragraph">
                <wp:posOffset>-297180</wp:posOffset>
              </wp:positionV>
              <wp:extent cx="3210561" cy="458272"/>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1" cy="458272"/>
                        <a:chOff x="0" y="0"/>
                        <a:chExt cx="3210483" cy="431597"/>
                      </a:xfrm>
                    </wpg:grpSpPr>
                    <wps:wsp>
                      <wps:cNvPr id="10" name="Cuadro de texto 5"/>
                      <wps:cNvSpPr txBox="1">
                        <a:spLocks noChangeArrowheads="1"/>
                      </wps:cNvSpPr>
                      <wps:spPr bwMode="auto">
                        <a:xfrm>
                          <a:off x="0" y="44852"/>
                          <a:ext cx="2289175"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5B72" w:rsidRPr="008A011E" w:rsidRDefault="00015B72" w:rsidP="00040466">
                            <w:pPr>
                              <w:spacing w:after="120"/>
                              <w:jc w:val="right"/>
                              <w:rPr>
                                <w:rFonts w:cs="Arial"/>
                                <w:color w:val="808080"/>
                                <w:sz w:val="32"/>
                                <w:szCs w:val="32"/>
                              </w:rPr>
                            </w:pPr>
                            <w:r w:rsidRPr="008A011E">
                              <w:rPr>
                                <w:rFonts w:cs="Arial"/>
                                <w:color w:val="808080"/>
                                <w:sz w:val="32"/>
                                <w:szCs w:val="32"/>
                              </w:rPr>
                              <w:t>CUENTA PÚBLICA</w:t>
                            </w:r>
                          </w:p>
                          <w:p w:rsidR="00015B72" w:rsidRPr="00DF6363" w:rsidRDefault="00015B72"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g:grpSp>
                      <wpg:cNvPr id="11" name="9 Grupo"/>
                      <wpg:cNvGrpSpPr>
                        <a:grpSpLocks/>
                      </wpg:cNvGrpSpPr>
                      <wpg:grpSpPr bwMode="auto">
                        <a:xfrm>
                          <a:off x="2289657" y="0"/>
                          <a:ext cx="920826" cy="431597"/>
                          <a:chOff x="0" y="0"/>
                          <a:chExt cx="920826" cy="431597"/>
                        </a:xfrm>
                      </wpg:grpSpPr>
                      <pic:pic xmlns:pic="http://schemas.openxmlformats.org/drawingml/2006/picture">
                        <pic:nvPicPr>
                          <pic:cNvPr id="13"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98" cy="43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Cuadro de texto 5"/>
                        <wps:cNvSpPr txBox="1">
                          <a:spLocks noChangeArrowheads="1"/>
                        </wps:cNvSpPr>
                        <wps:spPr bwMode="auto">
                          <a:xfrm>
                            <a:off x="34387"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5B72" w:rsidRPr="008A011E" w:rsidRDefault="00015B72" w:rsidP="00040466">
                              <w:pPr>
                                <w:jc w:val="both"/>
                                <w:rPr>
                                  <w:rFonts w:cs="Arial"/>
                                  <w:color w:val="808080"/>
                                  <w:sz w:val="42"/>
                                  <w:szCs w:val="42"/>
                                </w:rPr>
                              </w:pPr>
                              <w:r w:rsidRPr="008A011E">
                                <w:rPr>
                                  <w:rFonts w:cs="Arial"/>
                                  <w:color w:val="808080"/>
                                  <w:sz w:val="42"/>
                                  <w:szCs w:val="42"/>
                                </w:rPr>
                                <w:t>2022</w:t>
                              </w:r>
                            </w:p>
                            <w:p w:rsidR="00015B72" w:rsidRDefault="00015B72" w:rsidP="00040466">
                              <w:pPr>
                                <w:jc w:val="both"/>
                                <w:rPr>
                                  <w:rFonts w:ascii="Helvetica" w:hAnsi="Helvetica" w:cs="Arial"/>
                                  <w:color w:val="808080"/>
                                  <w:sz w:val="42"/>
                                  <w:szCs w:val="42"/>
                                </w:rPr>
                              </w:pPr>
                            </w:p>
                            <w:p w:rsidR="00015B72" w:rsidRDefault="00015B72" w:rsidP="00040466">
                              <w:pPr>
                                <w:jc w:val="both"/>
                                <w:rPr>
                                  <w:rFonts w:ascii="Helvetica" w:hAnsi="Helvetica" w:cs="Arial"/>
                                  <w:color w:val="808080"/>
                                  <w:sz w:val="42"/>
                                  <w:szCs w:val="42"/>
                                </w:rPr>
                              </w:pPr>
                            </w:p>
                            <w:p w:rsidR="00015B72" w:rsidRPr="00DC53C5" w:rsidRDefault="00015B72" w:rsidP="00040466">
                              <w:pPr>
                                <w:jc w:val="both"/>
                                <w:rPr>
                                  <w:rFonts w:ascii="Arial" w:hAnsi="Arial" w:cs="Arial"/>
                                  <w:color w:val="808080"/>
                                  <w:sz w:val="42"/>
                                  <w:szCs w:val="42"/>
                                </w:rPr>
                              </w:pPr>
                            </w:p>
                            <w:p w:rsidR="00015B72" w:rsidRPr="00DC53C5" w:rsidRDefault="00015B72"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78A6E1A" id="6 Grupo" o:spid="_x0000_s1026" style="position:absolute;margin-left:278.25pt;margin-top:-23.4pt;width:252.8pt;height:36.1pt;z-index:251654656" coordsize="3210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">
              <v:shapetype id="_x0000_t202" coordsize="21600,21600" o:spt="202" path="m,l,21600r21600,l21600,xe">
                <v:stroke joinstyle="miter"/>
                <v:path gradientshapeok="t" o:connecttype="rect"/>
              </v:shapetype>
              <v:shape id="Cuadro de texto 5" o:spid="_x0000_s1027" type="#_x0000_t202" style="position:absolute;top:448;width:22891;height:3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015B72" w:rsidRPr="008A011E" w:rsidRDefault="00015B72" w:rsidP="00040466">
                      <w:pPr>
                        <w:spacing w:after="120"/>
                        <w:jc w:val="right"/>
                        <w:rPr>
                          <w:rFonts w:cs="Arial"/>
                          <w:color w:val="808080"/>
                          <w:sz w:val="32"/>
                          <w:szCs w:val="32"/>
                        </w:rPr>
                      </w:pPr>
                      <w:r w:rsidRPr="008A011E">
                        <w:rPr>
                          <w:rFonts w:cs="Arial"/>
                          <w:color w:val="808080"/>
                          <w:sz w:val="32"/>
                          <w:szCs w:val="32"/>
                        </w:rPr>
                        <w:t>CUENTA PÚBLICA</w:t>
                      </w:r>
                    </w:p>
                    <w:p w:rsidR="00015B72" w:rsidRPr="00DF6363" w:rsidRDefault="00015B72" w:rsidP="00040466">
                      <w:pPr>
                        <w:jc w:val="right"/>
                        <w:rPr>
                          <w:rFonts w:ascii="DIN Pro Regular" w:hAnsi="DIN Pro Regular" w:cs="DIN Pro Regular"/>
                          <w:color w:val="808080"/>
                          <w:sz w:val="36"/>
                          <w:szCs w:val="36"/>
                        </w:rPr>
                      </w:pPr>
                    </w:p>
                  </w:txbxContent>
                </v:textbox>
              </v:shape>
              <v:group id="9 Grupo" o:spid="_x0000_s1028" style="position:absolute;left:22896;width:9208;height:4315" coordsize="920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">
                  <v:imagedata r:id="rId2" o:title="" croptop="4055f" cropbottom="57131f" cropleft="36353f" cropright="28433f"/>
                  <v:path arrowok="t"/>
                </v:shape>
                <v:shape id="Cuadro de texto 5" o:spid="_x0000_s1030" type="#_x0000_t202" style="position:absolute;left:343;width:8865;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015B72" w:rsidRPr="008A011E" w:rsidRDefault="00015B72" w:rsidP="00040466">
                        <w:pPr>
                          <w:jc w:val="both"/>
                          <w:rPr>
                            <w:rFonts w:cs="Arial"/>
                            <w:color w:val="808080"/>
                            <w:sz w:val="42"/>
                            <w:szCs w:val="42"/>
                          </w:rPr>
                        </w:pPr>
                        <w:r w:rsidRPr="008A011E">
                          <w:rPr>
                            <w:rFonts w:cs="Arial"/>
                            <w:color w:val="808080"/>
                            <w:sz w:val="42"/>
                            <w:szCs w:val="42"/>
                          </w:rPr>
                          <w:t>2022</w:t>
                        </w:r>
                      </w:p>
                      <w:p w:rsidR="00015B72" w:rsidRDefault="00015B72" w:rsidP="00040466">
                        <w:pPr>
                          <w:jc w:val="both"/>
                          <w:rPr>
                            <w:rFonts w:ascii="Helvetica" w:hAnsi="Helvetica" w:cs="Arial"/>
                            <w:color w:val="808080"/>
                            <w:sz w:val="42"/>
                            <w:szCs w:val="42"/>
                          </w:rPr>
                        </w:pPr>
                      </w:p>
                      <w:p w:rsidR="00015B72" w:rsidRDefault="00015B72" w:rsidP="00040466">
                        <w:pPr>
                          <w:jc w:val="both"/>
                          <w:rPr>
                            <w:rFonts w:ascii="Helvetica" w:hAnsi="Helvetica" w:cs="Arial"/>
                            <w:color w:val="808080"/>
                            <w:sz w:val="42"/>
                            <w:szCs w:val="42"/>
                          </w:rPr>
                        </w:pPr>
                      </w:p>
                      <w:p w:rsidR="00015B72" w:rsidRPr="00DC53C5" w:rsidRDefault="00015B72" w:rsidP="00040466">
                        <w:pPr>
                          <w:jc w:val="both"/>
                          <w:rPr>
                            <w:rFonts w:ascii="Arial" w:hAnsi="Arial" w:cs="Arial"/>
                            <w:color w:val="808080"/>
                            <w:sz w:val="42"/>
                            <w:szCs w:val="42"/>
                          </w:rPr>
                        </w:pPr>
                      </w:p>
                      <w:p w:rsidR="00015B72" w:rsidRPr="00DC53C5" w:rsidRDefault="00015B72" w:rsidP="00040466">
                        <w:pPr>
                          <w:jc w:val="both"/>
                          <w:rPr>
                            <w:rFonts w:ascii="Arial" w:hAnsi="Arial" w:cs="Arial"/>
                            <w:color w:val="8080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72" w:rsidRDefault="00015B72" w:rsidP="00961E75">
    <w:pPr>
      <w:pStyle w:val="Encabezado"/>
      <w:tabs>
        <w:tab w:val="clear" w:pos="8838"/>
        <w:tab w:val="left" w:pos="7965"/>
      </w:tabs>
      <w:rPr>
        <w:rFonts w:ascii="Arial" w:hAnsi="Arial" w:cs="Arial"/>
      </w:rPr>
    </w:pPr>
    <w:r>
      <w:rPr>
        <w:noProof/>
        <w:lang w:eastAsia="es-MX"/>
      </w:rPr>
      <w:drawing>
        <wp:anchor distT="0" distB="0" distL="114300" distR="114300" simplePos="0" relativeHeight="251666432" behindDoc="0" locked="0" layoutInCell="1" allowOverlap="1">
          <wp:simplePos x="0" y="0"/>
          <wp:positionH relativeFrom="margin">
            <wp:posOffset>5210175</wp:posOffset>
          </wp:positionH>
          <wp:positionV relativeFrom="margin">
            <wp:posOffset>-631190</wp:posOffset>
          </wp:positionV>
          <wp:extent cx="1162050" cy="550545"/>
          <wp:effectExtent l="0" t="0" r="0" b="1905"/>
          <wp:wrapSquare wrapText="bothSides"/>
          <wp:docPr id="4" name="Imagen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93C4193-4343-44CB-81E9-91754CED0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93C4193-4343-44CB-81E9-91754CED042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550545"/>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687DEB4B" wp14:editId="41B879C2">
          <wp:simplePos x="0" y="0"/>
          <wp:positionH relativeFrom="column">
            <wp:posOffset>-295275</wp:posOffset>
          </wp:positionH>
          <wp:positionV relativeFrom="paragraph">
            <wp:posOffset>-335280</wp:posOffset>
          </wp:positionV>
          <wp:extent cx="1285875" cy="571500"/>
          <wp:effectExtent l="0" t="0" r="9525" b="0"/>
          <wp:wrapTopAndBottom/>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285875" cy="571500"/>
                  </a:xfrm>
                  <a:prstGeom prst="rect">
                    <a:avLst/>
                  </a:prstGeom>
                </pic:spPr>
              </pic:pic>
            </a:graphicData>
          </a:graphic>
          <wp14:sizeRelH relativeFrom="page">
            <wp14:pctWidth>0</wp14:pctWidth>
          </wp14:sizeRelH>
          <wp14:sizeRelV relativeFrom="page">
            <wp14:pctHeight>0</wp14:pctHeight>
          </wp14:sizeRelV>
        </wp:anchor>
      </w:drawing>
    </w:r>
    <w:r w:rsidRPr="00375C20">
      <w:rPr>
        <w:rFonts w:ascii="Arial" w:hAnsi="Arial" w:cs="Arial"/>
        <w:noProof/>
        <w:lang w:eastAsia="es-MX"/>
      </w:rPr>
      <mc:AlternateContent>
        <mc:Choice Requires="wps">
          <w:drawing>
            <wp:anchor distT="45720" distB="45720" distL="114300" distR="114300" simplePos="0" relativeHeight="251656192" behindDoc="0" locked="0" layoutInCell="1" allowOverlap="1" wp14:anchorId="284AFECB" wp14:editId="601D8B82">
              <wp:simplePos x="0" y="0"/>
              <wp:positionH relativeFrom="column">
                <wp:posOffset>4867275</wp:posOffset>
              </wp:positionH>
              <wp:positionV relativeFrom="paragraph">
                <wp:posOffset>-449580</wp:posOffset>
              </wp:positionV>
              <wp:extent cx="1333500" cy="7239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23900"/>
                      </a:xfrm>
                      <a:prstGeom prst="rect">
                        <a:avLst/>
                      </a:prstGeom>
                      <a:solidFill>
                        <a:srgbClr val="FFFFFF"/>
                      </a:solidFill>
                      <a:ln w="9525">
                        <a:noFill/>
                        <a:miter lim="800000"/>
                        <a:headEnd/>
                        <a:tailEnd/>
                      </a:ln>
                    </wps:spPr>
                    <wps:txbx>
                      <w:txbxContent>
                        <w:p w:rsidR="00015B72" w:rsidRPr="00010BEF" w:rsidRDefault="00015B72" w:rsidP="00860E9C">
                          <w:pPr>
                            <w:rPr>
                              <w:rFonts w:ascii="Encode Sans" w:hAnsi="Encode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84AFECB" id="_x0000_t202" coordsize="21600,21600" o:spt="202" path="m,l,21600r21600,l21600,xe">
              <v:stroke joinstyle="miter"/>
              <v:path gradientshapeok="t" o:connecttype="rect"/>
            </v:shapetype>
            <v:shape id="Cuadro de texto 2" o:spid="_x0000_s1031" type="#_x0000_t202" style="position:absolute;margin-left:383.25pt;margin-top:-35.4pt;width:105pt;height:5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" stroked="f">
              <v:textbox>
                <w:txbxContent>
                  <w:p w:rsidR="00015B72" w:rsidRPr="00010BEF" w:rsidRDefault="00015B72" w:rsidP="00860E9C">
                    <w:pPr>
                      <w:rPr>
                        <w:rFonts w:ascii="Encode Sans" w:hAnsi="Encode Sans"/>
                      </w:rPr>
                    </w:pPr>
                  </w:p>
                </w:txbxContent>
              </v:textbox>
              <w10:wrap type="square"/>
            </v:shape>
          </w:pict>
        </mc:Fallback>
      </mc:AlternateContent>
    </w:r>
  </w:p>
  <w:p w:rsidR="00015B72" w:rsidRPr="00010BEF" w:rsidRDefault="00015B72" w:rsidP="002164CC">
    <w:pPr>
      <w:pStyle w:val="Encabezado"/>
      <w:tabs>
        <w:tab w:val="clear" w:pos="8838"/>
        <w:tab w:val="left" w:pos="7965"/>
      </w:tabs>
      <w:jc w:val="center"/>
      <w:rPr>
        <w:rFonts w:ascii="Encode Sans" w:hAnsi="Encode Sans" w:cs="Arial"/>
        <w:b/>
      </w:rPr>
    </w:pPr>
    <w:r>
      <w:rPr>
        <w:rFonts w:ascii="Encode Sans" w:hAnsi="Encode Sans" w:cs="Arial"/>
        <w:b/>
      </w:rPr>
      <w:t>UNIVERSIDAD TECNOLÓGICA DE NUEVO LAREDO</w:t>
    </w:r>
    <w:r w:rsidRPr="00010BEF">
      <w:rPr>
        <w:rFonts w:ascii="Encode Sans" w:hAnsi="Encode Sans"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230883"/>
    <w:multiLevelType w:val="hybridMultilevel"/>
    <w:tmpl w:val="EEA487FE"/>
    <w:lvl w:ilvl="0" w:tplc="DC3C982A">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AE5027F"/>
    <w:multiLevelType w:val="hybridMultilevel"/>
    <w:tmpl w:val="A9F25C78"/>
    <w:lvl w:ilvl="0" w:tplc="080A0001">
      <w:start w:val="13"/>
      <w:numFmt w:val="bullet"/>
      <w:lvlText w:val=""/>
      <w:lvlJc w:val="left"/>
      <w:pPr>
        <w:ind w:left="720" w:hanging="360"/>
      </w:pPr>
      <w:rPr>
        <w:rFonts w:ascii="Symbol" w:eastAsia="Times New Roman"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92C3026"/>
    <w:multiLevelType w:val="hybridMultilevel"/>
    <w:tmpl w:val="82963156"/>
    <w:lvl w:ilvl="0" w:tplc="398C24DC">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5CC110A4"/>
    <w:multiLevelType w:val="hybridMultilevel"/>
    <w:tmpl w:val="E1F4F20A"/>
    <w:lvl w:ilvl="0" w:tplc="1F14BB1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8"/>
  </w:num>
  <w:num w:numId="4">
    <w:abstractNumId w:val="5"/>
  </w:num>
  <w:num w:numId="5">
    <w:abstractNumId w:val="1"/>
  </w:num>
  <w:num w:numId="6">
    <w:abstractNumId w:val="4"/>
  </w:num>
  <w:num w:numId="7">
    <w:abstractNumId w:val="9"/>
  </w:num>
  <w:num w:numId="8">
    <w:abstractNumId w:val="7"/>
  </w:num>
  <w:num w:numId="9">
    <w:abstractNumId w:val="6"/>
  </w:num>
  <w:num w:numId="10">
    <w:abstractNumId w:val="11"/>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097">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52AF"/>
    <w:rsid w:val="00006431"/>
    <w:rsid w:val="00010BEF"/>
    <w:rsid w:val="000113AB"/>
    <w:rsid w:val="00015B72"/>
    <w:rsid w:val="00040466"/>
    <w:rsid w:val="0004649B"/>
    <w:rsid w:val="00050441"/>
    <w:rsid w:val="00067F40"/>
    <w:rsid w:val="000803D2"/>
    <w:rsid w:val="000860D8"/>
    <w:rsid w:val="00093161"/>
    <w:rsid w:val="000931E9"/>
    <w:rsid w:val="000A40B5"/>
    <w:rsid w:val="000A6616"/>
    <w:rsid w:val="000B1F9C"/>
    <w:rsid w:val="000B3006"/>
    <w:rsid w:val="000B413C"/>
    <w:rsid w:val="000C7E64"/>
    <w:rsid w:val="000D5EFE"/>
    <w:rsid w:val="000E6439"/>
    <w:rsid w:val="0010480C"/>
    <w:rsid w:val="0013011C"/>
    <w:rsid w:val="00145173"/>
    <w:rsid w:val="00163D6C"/>
    <w:rsid w:val="00174108"/>
    <w:rsid w:val="001819BD"/>
    <w:rsid w:val="00185224"/>
    <w:rsid w:val="00186C07"/>
    <w:rsid w:val="001954E6"/>
    <w:rsid w:val="001B1B72"/>
    <w:rsid w:val="001B3965"/>
    <w:rsid w:val="001B6AFE"/>
    <w:rsid w:val="001C2F26"/>
    <w:rsid w:val="001C3CA6"/>
    <w:rsid w:val="001C6FD8"/>
    <w:rsid w:val="001C760F"/>
    <w:rsid w:val="001D7F5B"/>
    <w:rsid w:val="001E2701"/>
    <w:rsid w:val="00204156"/>
    <w:rsid w:val="002052B5"/>
    <w:rsid w:val="0020554C"/>
    <w:rsid w:val="002164CC"/>
    <w:rsid w:val="00227368"/>
    <w:rsid w:val="00236391"/>
    <w:rsid w:val="00241D8F"/>
    <w:rsid w:val="002437CF"/>
    <w:rsid w:val="0024446D"/>
    <w:rsid w:val="00264F1F"/>
    <w:rsid w:val="0027220A"/>
    <w:rsid w:val="00290E6D"/>
    <w:rsid w:val="002A70B3"/>
    <w:rsid w:val="002B3FDA"/>
    <w:rsid w:val="002C3BA7"/>
    <w:rsid w:val="002C576A"/>
    <w:rsid w:val="002C7C1D"/>
    <w:rsid w:val="002D015C"/>
    <w:rsid w:val="002D497C"/>
    <w:rsid w:val="002D7A6B"/>
    <w:rsid w:val="002E30DC"/>
    <w:rsid w:val="002E7518"/>
    <w:rsid w:val="00305AD4"/>
    <w:rsid w:val="00306E20"/>
    <w:rsid w:val="00351DD9"/>
    <w:rsid w:val="00372F40"/>
    <w:rsid w:val="00375BBC"/>
    <w:rsid w:val="00375C20"/>
    <w:rsid w:val="0039289D"/>
    <w:rsid w:val="00396AE2"/>
    <w:rsid w:val="003A0303"/>
    <w:rsid w:val="003C1806"/>
    <w:rsid w:val="003C5274"/>
    <w:rsid w:val="003D23FC"/>
    <w:rsid w:val="003D5DBF"/>
    <w:rsid w:val="003D7B22"/>
    <w:rsid w:val="003E46AF"/>
    <w:rsid w:val="003E46D2"/>
    <w:rsid w:val="003E7FD0"/>
    <w:rsid w:val="003F39C5"/>
    <w:rsid w:val="004152B3"/>
    <w:rsid w:val="0044253C"/>
    <w:rsid w:val="00442C28"/>
    <w:rsid w:val="00442E5F"/>
    <w:rsid w:val="00451D35"/>
    <w:rsid w:val="00460462"/>
    <w:rsid w:val="00476A7B"/>
    <w:rsid w:val="00484C0D"/>
    <w:rsid w:val="00493508"/>
    <w:rsid w:val="00497203"/>
    <w:rsid w:val="00497D8B"/>
    <w:rsid w:val="004C09C1"/>
    <w:rsid w:val="004C1FD4"/>
    <w:rsid w:val="004D41B8"/>
    <w:rsid w:val="004E5129"/>
    <w:rsid w:val="0050622C"/>
    <w:rsid w:val="00507A76"/>
    <w:rsid w:val="0051373A"/>
    <w:rsid w:val="00522632"/>
    <w:rsid w:val="00522ECA"/>
    <w:rsid w:val="0052629F"/>
    <w:rsid w:val="00540418"/>
    <w:rsid w:val="005655B2"/>
    <w:rsid w:val="005774F0"/>
    <w:rsid w:val="00577E1A"/>
    <w:rsid w:val="005907C3"/>
    <w:rsid w:val="00591EE2"/>
    <w:rsid w:val="005A137F"/>
    <w:rsid w:val="005A3FA6"/>
    <w:rsid w:val="005B24BE"/>
    <w:rsid w:val="005B6E3C"/>
    <w:rsid w:val="005E5C36"/>
    <w:rsid w:val="006112BE"/>
    <w:rsid w:val="00630DC2"/>
    <w:rsid w:val="006426D0"/>
    <w:rsid w:val="00642DDE"/>
    <w:rsid w:val="00654B89"/>
    <w:rsid w:val="00655E50"/>
    <w:rsid w:val="00677336"/>
    <w:rsid w:val="00686B28"/>
    <w:rsid w:val="00692CDF"/>
    <w:rsid w:val="006A30B4"/>
    <w:rsid w:val="006C0871"/>
    <w:rsid w:val="006C4132"/>
    <w:rsid w:val="006D41B9"/>
    <w:rsid w:val="006D5564"/>
    <w:rsid w:val="006E4041"/>
    <w:rsid w:val="006E77DD"/>
    <w:rsid w:val="007006CA"/>
    <w:rsid w:val="0070709C"/>
    <w:rsid w:val="007075A0"/>
    <w:rsid w:val="00725F56"/>
    <w:rsid w:val="007460DF"/>
    <w:rsid w:val="00752D60"/>
    <w:rsid w:val="007560D3"/>
    <w:rsid w:val="007658CB"/>
    <w:rsid w:val="007818C6"/>
    <w:rsid w:val="0079582C"/>
    <w:rsid w:val="007A5B39"/>
    <w:rsid w:val="007B5517"/>
    <w:rsid w:val="007D6E9A"/>
    <w:rsid w:val="007E4A53"/>
    <w:rsid w:val="007F08FA"/>
    <w:rsid w:val="00811DAC"/>
    <w:rsid w:val="00820190"/>
    <w:rsid w:val="0084002B"/>
    <w:rsid w:val="00845CB5"/>
    <w:rsid w:val="00847210"/>
    <w:rsid w:val="00847907"/>
    <w:rsid w:val="00847B0D"/>
    <w:rsid w:val="0085677D"/>
    <w:rsid w:val="00860E9C"/>
    <w:rsid w:val="00862A0D"/>
    <w:rsid w:val="00876FA6"/>
    <w:rsid w:val="00890055"/>
    <w:rsid w:val="008A011E"/>
    <w:rsid w:val="008A120B"/>
    <w:rsid w:val="008A6E4D"/>
    <w:rsid w:val="008B0017"/>
    <w:rsid w:val="008B2FCF"/>
    <w:rsid w:val="008B3251"/>
    <w:rsid w:val="008B41CF"/>
    <w:rsid w:val="008E3652"/>
    <w:rsid w:val="008E44D5"/>
    <w:rsid w:val="008F6D58"/>
    <w:rsid w:val="00910AF6"/>
    <w:rsid w:val="00925F8F"/>
    <w:rsid w:val="009426AC"/>
    <w:rsid w:val="00961E75"/>
    <w:rsid w:val="009915EB"/>
    <w:rsid w:val="00994738"/>
    <w:rsid w:val="0099621D"/>
    <w:rsid w:val="009B7FAD"/>
    <w:rsid w:val="009C5A08"/>
    <w:rsid w:val="009C5C3A"/>
    <w:rsid w:val="009D76B8"/>
    <w:rsid w:val="00A10572"/>
    <w:rsid w:val="00A32EFF"/>
    <w:rsid w:val="00A34AB5"/>
    <w:rsid w:val="00A35095"/>
    <w:rsid w:val="00A40022"/>
    <w:rsid w:val="00A44A26"/>
    <w:rsid w:val="00A63036"/>
    <w:rsid w:val="00A74F12"/>
    <w:rsid w:val="00A752B2"/>
    <w:rsid w:val="00A90A1D"/>
    <w:rsid w:val="00AD6B30"/>
    <w:rsid w:val="00AE608D"/>
    <w:rsid w:val="00AE777E"/>
    <w:rsid w:val="00AF2F48"/>
    <w:rsid w:val="00AF50E1"/>
    <w:rsid w:val="00AF7996"/>
    <w:rsid w:val="00B10695"/>
    <w:rsid w:val="00B22D96"/>
    <w:rsid w:val="00B26248"/>
    <w:rsid w:val="00B368BA"/>
    <w:rsid w:val="00B52D5D"/>
    <w:rsid w:val="00B60517"/>
    <w:rsid w:val="00B73DF3"/>
    <w:rsid w:val="00B77335"/>
    <w:rsid w:val="00B849EE"/>
    <w:rsid w:val="00B91395"/>
    <w:rsid w:val="00B976B5"/>
    <w:rsid w:val="00BA2940"/>
    <w:rsid w:val="00BA648B"/>
    <w:rsid w:val="00BA7A96"/>
    <w:rsid w:val="00BD394C"/>
    <w:rsid w:val="00BD6292"/>
    <w:rsid w:val="00BE6581"/>
    <w:rsid w:val="00C07D59"/>
    <w:rsid w:val="00C11164"/>
    <w:rsid w:val="00C24E4A"/>
    <w:rsid w:val="00C2567A"/>
    <w:rsid w:val="00C33482"/>
    <w:rsid w:val="00C52B73"/>
    <w:rsid w:val="00C60343"/>
    <w:rsid w:val="00C71B04"/>
    <w:rsid w:val="00C7736C"/>
    <w:rsid w:val="00C80663"/>
    <w:rsid w:val="00C80DE1"/>
    <w:rsid w:val="00C9777A"/>
    <w:rsid w:val="00CC2371"/>
    <w:rsid w:val="00CC53D3"/>
    <w:rsid w:val="00CD0037"/>
    <w:rsid w:val="00D0206A"/>
    <w:rsid w:val="00D055EC"/>
    <w:rsid w:val="00D0796B"/>
    <w:rsid w:val="00D10273"/>
    <w:rsid w:val="00D12A03"/>
    <w:rsid w:val="00D7539C"/>
    <w:rsid w:val="00D846EF"/>
    <w:rsid w:val="00D85F71"/>
    <w:rsid w:val="00D9138F"/>
    <w:rsid w:val="00D97892"/>
    <w:rsid w:val="00DC53C5"/>
    <w:rsid w:val="00DD227C"/>
    <w:rsid w:val="00DE07C5"/>
    <w:rsid w:val="00DE0B18"/>
    <w:rsid w:val="00DE7155"/>
    <w:rsid w:val="00DF01DA"/>
    <w:rsid w:val="00DF166B"/>
    <w:rsid w:val="00DF6363"/>
    <w:rsid w:val="00E07C35"/>
    <w:rsid w:val="00E32708"/>
    <w:rsid w:val="00E71540"/>
    <w:rsid w:val="00E75E3C"/>
    <w:rsid w:val="00EA5418"/>
    <w:rsid w:val="00EB26B0"/>
    <w:rsid w:val="00EB37D6"/>
    <w:rsid w:val="00EB4758"/>
    <w:rsid w:val="00ED118F"/>
    <w:rsid w:val="00EF2D81"/>
    <w:rsid w:val="00F45C83"/>
    <w:rsid w:val="00F4664C"/>
    <w:rsid w:val="00F83868"/>
    <w:rsid w:val="00F91B61"/>
    <w:rsid w:val="00FA6823"/>
    <w:rsid w:val="00FB1010"/>
    <w:rsid w:val="00FD2B3A"/>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40b4e5,#005cb9,#95d600,#0064a7,#97c93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DC5E5-50D2-4F28-A9F2-D8451464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Pages>
  <Words>2833</Words>
  <Characters>15585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Jose Antonio Torres Gonzalez</cp:lastModifiedBy>
  <cp:revision>45</cp:revision>
  <cp:lastPrinted>2023-01-25T18:03:00Z</cp:lastPrinted>
  <dcterms:created xsi:type="dcterms:W3CDTF">2023-01-17T17:53:00Z</dcterms:created>
  <dcterms:modified xsi:type="dcterms:W3CDTF">2023-04-26T21:05:00Z</dcterms:modified>
</cp:coreProperties>
</file>