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95" w:rsidRPr="00CF63D6" w:rsidRDefault="00CF63D6" w:rsidP="008A011B">
      <w:pPr>
        <w:ind w:left="4248" w:firstLine="708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614442" w:rsidRPr="003B6D74" w:rsidRDefault="00614442" w:rsidP="00614442">
      <w:pPr>
        <w:jc w:val="center"/>
        <w:rPr>
          <w:rFonts w:ascii="DIN Pro Regular" w:hAnsi="DIN Pro Regular" w:cs="DIN Pro Regular"/>
          <w:b/>
          <w:sz w:val="18"/>
          <w:szCs w:val="18"/>
        </w:rPr>
      </w:pPr>
      <w:r w:rsidRPr="003B6D74">
        <w:rPr>
          <w:rFonts w:ascii="DIN Pro Regular" w:hAnsi="DIN Pro Regular" w:cs="DIN Pro Regular"/>
          <w:b/>
          <w:sz w:val="18"/>
          <w:szCs w:val="18"/>
        </w:rPr>
        <w:t>INDICADORES DE RESULTADOS</w:t>
      </w:r>
      <w:r>
        <w:rPr>
          <w:rFonts w:ascii="DIN Pro Regular" w:hAnsi="DIN Pro Regular" w:cs="DIN Pro Regular"/>
          <w:b/>
          <w:sz w:val="18"/>
          <w:szCs w:val="18"/>
        </w:rPr>
        <w:t xml:space="preserve"> AL 31 DE DICIEMBRE DE 2022</w:t>
      </w:r>
    </w:p>
    <w:tbl>
      <w:tblPr>
        <w:tblW w:w="13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340"/>
        <w:gridCol w:w="2920"/>
        <w:gridCol w:w="2198"/>
        <w:gridCol w:w="1240"/>
      </w:tblGrid>
      <w:tr w:rsidR="00614442" w:rsidRPr="00BF7DD1" w:rsidTr="001F23F8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Nombre del Indicador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Meta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Objetivo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Factor de Medición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Resultado</w:t>
            </w:r>
          </w:p>
        </w:tc>
      </w:tr>
      <w:tr w:rsidR="00614442" w:rsidRPr="00BF7DD1" w:rsidTr="001F23F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614442" w:rsidRPr="00BF7DD1" w:rsidTr="001F23F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4442" w:rsidRPr="00BF7DD1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b/>
                <w:bCs/>
                <w:color w:val="000000"/>
                <w:lang w:val="es-ES" w:eastAsia="es-ES"/>
              </w:rPr>
              <w:t>Académicos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BF7DD1" w:rsidRDefault="00614442" w:rsidP="001F23F8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BF7DD1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614442" w:rsidRPr="00024FDB" w:rsidTr="00614442">
        <w:trPr>
          <w:trHeight w:val="128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Orientación alumnos de nuevo ingreso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Curso propedéutico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Que el alumno conozca todos los instrumentos y así escoja el más adecuado.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Alumnos que terminaron propedéutico/alumnos inscritos propedéutico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Mejorar la formación académica de los Maestros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Realizar conferencias, clases magistrales y talleres para maestros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Que los docentes musicales de la institución obtengan un enriquecimiento académico musical.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Maestros capacitados/ maestros música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Mejorar la formación académica de los Alumnos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Realizar conferencias, clases magistrales y talleres para alumnos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Que los alumnos de la institución obtengan un enriquecimiento académico musical.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Alumnos beneficiados/ Alumnos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1152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Contar con una programación para la evaluación de los alumnos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Elaboración calendario de exámenes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Que el alumno y padre de familia tengan el conocimiento oportuno de su situación académica.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Padres beneficiados/Total padres de familia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864"/>
        </w:trPr>
        <w:tc>
          <w:tcPr>
            <w:tcW w:w="4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Disminución de índice deserción alumnos bajos recursos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Otorgamiento de becas de excelencia y por servicio académico.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Que los alumnos con problemas económicos puedan terminar con sus estudios.</w:t>
            </w:r>
          </w:p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Alumnos becados/ alumnos problemas económicos X 100 =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92%</w:t>
            </w:r>
          </w:p>
        </w:tc>
      </w:tr>
      <w:tr w:rsidR="00614442" w:rsidRPr="00024FDB" w:rsidTr="001F23F8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</w:tr>
      <w:tr w:rsidR="00614442" w:rsidRPr="00024FDB" w:rsidTr="001F23F8">
        <w:trPr>
          <w:trHeight w:val="4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24FDB">
              <w:rPr>
                <w:rFonts w:eastAsia="Times New Roman"/>
                <w:b/>
                <w:bCs/>
                <w:color w:val="000000"/>
                <w:lang w:val="es-ES" w:eastAsia="es-ES"/>
              </w:rPr>
              <w:lastRenderedPageBreak/>
              <w:t>Culturales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</w:tr>
      <w:tr w:rsidR="00614442" w:rsidRPr="00024FDB" w:rsidTr="001F23F8">
        <w:trPr>
          <w:trHeight w:val="144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Programación de Recitales y Conciertos permanentes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Creación Música en Cartelera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Difundir una cultura de apreciación a la música, así como promover ensambles, talleres y artistas del Colegio de San Juan Siglo XXI.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Programa Efectuado/Evento programado X 100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1728"/>
        </w:trPr>
        <w:tc>
          <w:tcPr>
            <w:tcW w:w="4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Programación de Recitales y Conciertos didácticos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Conciertos Didácticos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Difundir y promover los géneros y estilos musicales en el sector educativo de nuestra comunidad.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Conciertos Didácticos Efectuados/Conciertos Didácticos Programados X 100 =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  <w:tr w:rsidR="00614442" w:rsidRPr="00024FDB" w:rsidTr="001F23F8">
        <w:trPr>
          <w:trHeight w:val="1152"/>
        </w:trPr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Difusión a nivel Municipal</w:t>
            </w: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Participación en el Festival Internacional de Otoño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Difundir y promover nuestra Institución en la localidad.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Conciertos Efectuados/Conciertos programados X 100 =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0%</w:t>
            </w:r>
          </w:p>
        </w:tc>
      </w:tr>
      <w:tr w:rsidR="00614442" w:rsidRPr="00024FDB" w:rsidTr="003436C0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</w:tr>
      <w:tr w:rsidR="00614442" w:rsidRPr="00024FDB" w:rsidTr="000F7B43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024FDB">
              <w:rPr>
                <w:rFonts w:eastAsia="Times New Roman"/>
                <w:b/>
                <w:bCs/>
                <w:color w:val="000000"/>
                <w:lang w:val="es-ES" w:eastAsia="es-ES"/>
              </w:rPr>
              <w:t>Financieros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</w:tc>
      </w:tr>
      <w:tr w:rsidR="00614442" w:rsidRPr="00024FDB" w:rsidTr="000F7B43">
        <w:trPr>
          <w:trHeight w:val="864"/>
        </w:trPr>
        <w:tc>
          <w:tcPr>
            <w:tcW w:w="4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Seguimiento Presupuesto Ingresos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Recaudar el presupuesto de Ingresos Autorizado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Utilizar el Ingreso Recaudado para poder ejercer el presupuesto de Egresos.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Ingresos Recaudado/Ingresos Autorizado X 100 =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EA2CD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>
              <w:rPr>
                <w:rFonts w:ascii="DIN Pro Regular" w:hAnsi="DIN Pro Regular" w:cs="DIN Pro Regular"/>
                <w:sz w:val="18"/>
                <w:szCs w:val="18"/>
              </w:rPr>
              <w:t>94</w:t>
            </w:r>
            <w:r w:rsidR="00614442" w:rsidRPr="00024FDB">
              <w:rPr>
                <w:rFonts w:ascii="DIN Pro Regular" w:hAnsi="DIN Pro Regular" w:cs="DIN Pro Regular"/>
                <w:sz w:val="18"/>
                <w:szCs w:val="18"/>
              </w:rPr>
              <w:t>%</w:t>
            </w:r>
          </w:p>
        </w:tc>
      </w:tr>
      <w:tr w:rsidR="00614442" w:rsidRPr="00024FDB" w:rsidTr="003436C0">
        <w:trPr>
          <w:trHeight w:val="864"/>
        </w:trPr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Seguimiento Presupuesto de Egresos</w:t>
            </w:r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Ejercer el presupuesto de Egresos Autorizado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Cumplir con el plan de trabajo para el Ejercicio 2021.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Egresos ejercido/Egresos Autorizado X 100 =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B17E2C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>
              <w:rPr>
                <w:rFonts w:ascii="DIN Pro Regular" w:hAnsi="DIN Pro Regular" w:cs="DIN Pro Regular"/>
                <w:sz w:val="18"/>
                <w:szCs w:val="18"/>
              </w:rPr>
              <w:t>93</w:t>
            </w:r>
            <w:r w:rsidR="00614442" w:rsidRPr="00024FDB">
              <w:rPr>
                <w:rFonts w:ascii="DIN Pro Regular" w:hAnsi="DIN Pro Regular" w:cs="DIN Pro Regular"/>
                <w:sz w:val="18"/>
                <w:szCs w:val="18"/>
              </w:rPr>
              <w:t>%</w:t>
            </w:r>
          </w:p>
        </w:tc>
      </w:tr>
      <w:tr w:rsidR="00614442" w:rsidRPr="00024FDB" w:rsidTr="003436C0">
        <w:trPr>
          <w:trHeight w:val="254"/>
        </w:trPr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Juntas Directivas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0F7B43" w:rsidRPr="00024FDB" w:rsidRDefault="000F7B43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Presentación de Informes y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Solicitudes de Acuerdos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 xml:space="preserve">Mantener informado al 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Consejo Directivo del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Funcionamiento de la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Institución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 xml:space="preserve">Juntas 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Efectuadas/Juntas al año X 100 =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</w:tr>
      <w:tr w:rsidR="00614442" w:rsidRPr="00024FDB" w:rsidTr="003436C0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A" w:rsidRDefault="00EA5AFA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3436C0" w:rsidRDefault="00614442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  <w:r w:rsidR="003436C0" w:rsidRPr="00024FDB">
              <w:rPr>
                <w:rFonts w:ascii="DIN Pro Regular" w:hAnsi="DIN Pro Regular" w:cs="DIN Pro Regular"/>
                <w:sz w:val="18"/>
                <w:szCs w:val="18"/>
              </w:rPr>
              <w:t>Informes Financieros</w:t>
            </w:r>
          </w:p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A" w:rsidRDefault="00EA5AFA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614442" w:rsidRDefault="003436C0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Elaboración de Informes Financieros Trimestralmente</w:t>
            </w:r>
          </w:p>
          <w:p w:rsidR="00EA5AFA" w:rsidRPr="00024FDB" w:rsidRDefault="00EA5AFA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AFA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</w:p>
          <w:p w:rsidR="00614442" w:rsidRPr="00024FDB" w:rsidRDefault="003436C0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Tener la Información Financiera al corriente y oportunamente.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FA" w:rsidRDefault="00EA5AFA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  <w:p w:rsidR="003436C0" w:rsidRPr="00024FDB" w:rsidRDefault="00614442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  <w:r w:rsidR="003436C0" w:rsidRPr="00024FDB">
              <w:rPr>
                <w:rFonts w:ascii="DIN Pro Regular" w:hAnsi="DIN Pro Regular" w:cs="DIN Pro Regular"/>
                <w:sz w:val="18"/>
                <w:szCs w:val="18"/>
              </w:rPr>
              <w:t>Informes Financieros/</w:t>
            </w:r>
          </w:p>
          <w:p w:rsidR="003436C0" w:rsidRPr="00024FDB" w:rsidRDefault="003436C0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Informes entregados</w:t>
            </w:r>
          </w:p>
          <w:p w:rsidR="00614442" w:rsidRDefault="003436C0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X 100 =</w:t>
            </w:r>
          </w:p>
          <w:p w:rsidR="00EA5AFA" w:rsidRPr="00024FDB" w:rsidRDefault="00EA5AFA" w:rsidP="003436C0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2" w:rsidRPr="00024FDB" w:rsidRDefault="00614442" w:rsidP="001F23F8">
            <w:pPr>
              <w:spacing w:after="0" w:line="240" w:lineRule="auto"/>
              <w:rPr>
                <w:rFonts w:ascii="DIN Pro Regular" w:hAnsi="DIN Pro Regular" w:cs="DIN Pro Regular"/>
                <w:sz w:val="18"/>
                <w:szCs w:val="18"/>
              </w:rPr>
            </w:pPr>
            <w:r w:rsidRPr="00024FDB">
              <w:rPr>
                <w:rFonts w:ascii="DIN Pro Regular" w:hAnsi="DIN Pro Regular" w:cs="DIN Pro Regular"/>
                <w:sz w:val="18"/>
                <w:szCs w:val="18"/>
              </w:rPr>
              <w:t> </w:t>
            </w:r>
            <w:r w:rsidR="003436C0" w:rsidRPr="00024FDB">
              <w:rPr>
                <w:rFonts w:ascii="DIN Pro Regular" w:hAnsi="DIN Pro Regular" w:cs="DIN Pro Regular"/>
                <w:sz w:val="18"/>
                <w:szCs w:val="18"/>
              </w:rPr>
              <w:t>100%</w:t>
            </w:r>
          </w:p>
        </w:tc>
      </w:tr>
    </w:tbl>
    <w:p w:rsidR="00614442" w:rsidRPr="00024FDB" w:rsidRDefault="00614442" w:rsidP="00614442">
      <w:pPr>
        <w:spacing w:after="0" w:line="240" w:lineRule="auto"/>
        <w:rPr>
          <w:rFonts w:ascii="DIN Pro Regular" w:hAnsi="DIN Pro Regular" w:cs="DIN Pro Regular"/>
          <w:sz w:val="18"/>
          <w:szCs w:val="18"/>
        </w:rPr>
      </w:pPr>
    </w:p>
    <w:p w:rsidR="00EA5AFA" w:rsidRDefault="00EA5AFA" w:rsidP="00614442">
      <w:pPr>
        <w:pStyle w:val="Texto"/>
        <w:spacing w:after="0" w:line="240" w:lineRule="exact"/>
        <w:jc w:val="center"/>
        <w:rPr>
          <w:rFonts w:ascii="DIN Pro Regular" w:hAnsi="DIN Pro Regular" w:cs="DIN Pro Regular"/>
          <w:szCs w:val="18"/>
        </w:rPr>
      </w:pPr>
    </w:p>
    <w:p w:rsidR="009E4C72" w:rsidRPr="00614442" w:rsidRDefault="00614442" w:rsidP="00614442">
      <w:pPr>
        <w:pStyle w:val="Texto"/>
        <w:spacing w:after="0" w:line="240" w:lineRule="exact"/>
        <w:jc w:val="center"/>
        <w:rPr>
          <w:rFonts w:ascii="DIN Pro Regular" w:hAnsi="DIN Pro Regular" w:cs="DIN Pro Regular"/>
          <w:szCs w:val="18"/>
        </w:rPr>
      </w:pPr>
      <w:r>
        <w:rPr>
          <w:rFonts w:ascii="DIN Pro Regular" w:hAnsi="DIN Pro Regular" w:cs="DIN Pro Regular"/>
          <w:szCs w:val="18"/>
        </w:rPr>
        <w:t xml:space="preserve">                  </w:t>
      </w:r>
      <w:r w:rsidRPr="003B6D74">
        <w:rPr>
          <w:rFonts w:ascii="DIN Pro Regular" w:hAnsi="DIN Pro Regular" w:cs="DIN Pro Regular"/>
          <w:szCs w:val="18"/>
        </w:rPr>
        <w:t xml:space="preserve">                                             </w:t>
      </w:r>
      <w:r>
        <w:rPr>
          <w:rFonts w:ascii="DIN Pro Regular" w:hAnsi="DIN Pro Regular" w:cs="DIN Pro Regular"/>
          <w:szCs w:val="18"/>
        </w:rPr>
        <w:t xml:space="preserve">                </w:t>
      </w:r>
      <w:r w:rsidRPr="003B6D74">
        <w:rPr>
          <w:rFonts w:ascii="DIN Pro Regular" w:hAnsi="DIN Pro Regular" w:cs="DIN Pro Regular"/>
          <w:szCs w:val="18"/>
        </w:rPr>
        <w:t xml:space="preserve">     </w: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43" w:rsidRDefault="00633043" w:rsidP="00EA5418">
      <w:pPr>
        <w:spacing w:after="0" w:line="240" w:lineRule="auto"/>
      </w:pPr>
      <w:r>
        <w:separator/>
      </w:r>
    </w:p>
  </w:endnote>
  <w:endnote w:type="continuationSeparator" w:id="0">
    <w:p w:rsidR="00633043" w:rsidRDefault="006330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BA1407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FA" w:rsidRDefault="00EA5AFA" w:rsidP="008E3652">
    <w:pPr>
      <w:pStyle w:val="Piedepgina"/>
      <w:jc w:val="center"/>
      <w:rPr>
        <w:rFonts w:ascii="Arial" w:hAnsi="Arial" w:cs="Arial"/>
      </w:rPr>
    </w:pPr>
  </w:p>
  <w:p w:rsidR="00EA5AFA" w:rsidRDefault="00EA5AFA" w:rsidP="008E3652">
    <w:pPr>
      <w:pStyle w:val="Piedepgina"/>
      <w:jc w:val="center"/>
      <w:rPr>
        <w:rFonts w:ascii="Arial" w:hAnsi="Arial" w:cs="Arial"/>
      </w:rPr>
    </w:pPr>
  </w:p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AD16DB7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B03D8F" w:rsidRPr="00B03D8F">
      <w:rPr>
        <w:rFonts w:ascii="Arial" w:hAnsi="Arial" w:cs="Arial"/>
        <w:noProof/>
        <w:lang w:val="es-ES"/>
      </w:rPr>
      <w:t>2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43" w:rsidRDefault="00633043" w:rsidP="00EA5418">
      <w:pPr>
        <w:spacing w:after="0" w:line="240" w:lineRule="auto"/>
      </w:pPr>
      <w:r>
        <w:separator/>
      </w:r>
    </w:p>
  </w:footnote>
  <w:footnote w:type="continuationSeparator" w:id="0">
    <w:p w:rsidR="00633043" w:rsidRDefault="006330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9E538D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61444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EDE8A7A" wp14:editId="7A733AB7">
          <wp:simplePos x="0" y="0"/>
          <wp:positionH relativeFrom="column">
            <wp:posOffset>7103745</wp:posOffset>
          </wp:positionH>
          <wp:positionV relativeFrom="paragraph">
            <wp:posOffset>-221615</wp:posOffset>
          </wp:positionV>
          <wp:extent cx="1112377" cy="1118870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121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166DDC2F" wp14:editId="0FA4C321">
          <wp:simplePos x="0" y="0"/>
          <wp:positionH relativeFrom="margin">
            <wp:posOffset>0</wp:posOffset>
          </wp:positionH>
          <wp:positionV relativeFrom="margin">
            <wp:posOffset>-719455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63D6" w:rsidRPr="008A011B" w:rsidRDefault="00614442" w:rsidP="00442023">
    <w:pPr>
      <w:pStyle w:val="Encabezado"/>
      <w:jc w:val="center"/>
      <w:rPr>
        <w:rFonts w:ascii="Arial" w:hAnsi="Arial" w:cs="Arial"/>
        <w:b/>
      </w:rPr>
    </w:pPr>
    <w:r w:rsidRPr="008A011B">
      <w:rPr>
        <w:rFonts w:ascii="Arial" w:hAnsi="Arial" w:cs="Arial"/>
        <w:b/>
        <w:noProof/>
        <w:lang w:eastAsia="es-MX"/>
      </w:rPr>
      <w:t>Colegio de San Juan Siglo XXI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D401B"/>
    <w:rsid w:val="000F7B43"/>
    <w:rsid w:val="0013011C"/>
    <w:rsid w:val="001764C2"/>
    <w:rsid w:val="001A25DB"/>
    <w:rsid w:val="001B1B72"/>
    <w:rsid w:val="00217114"/>
    <w:rsid w:val="00284A01"/>
    <w:rsid w:val="002943A3"/>
    <w:rsid w:val="002A70B3"/>
    <w:rsid w:val="003436C0"/>
    <w:rsid w:val="00362F19"/>
    <w:rsid w:val="00372F40"/>
    <w:rsid w:val="003B6D74"/>
    <w:rsid w:val="003D33BB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14A20"/>
    <w:rsid w:val="00522632"/>
    <w:rsid w:val="00534982"/>
    <w:rsid w:val="00540418"/>
    <w:rsid w:val="00551DC5"/>
    <w:rsid w:val="005859FA"/>
    <w:rsid w:val="006048D2"/>
    <w:rsid w:val="00611E39"/>
    <w:rsid w:val="00614442"/>
    <w:rsid w:val="00633043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616BE"/>
    <w:rsid w:val="008A011B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3D8F"/>
    <w:rsid w:val="00B064CB"/>
    <w:rsid w:val="00B17E2C"/>
    <w:rsid w:val="00B314DA"/>
    <w:rsid w:val="00B6620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E13CE8"/>
    <w:rsid w:val="00E20B95"/>
    <w:rsid w:val="00E32708"/>
    <w:rsid w:val="00E42A6C"/>
    <w:rsid w:val="00E75F9F"/>
    <w:rsid w:val="00E92F76"/>
    <w:rsid w:val="00EA2CD2"/>
    <w:rsid w:val="00EA5418"/>
    <w:rsid w:val="00EA5AFA"/>
    <w:rsid w:val="00EB0435"/>
    <w:rsid w:val="00EB3E19"/>
    <w:rsid w:val="00EC7521"/>
    <w:rsid w:val="00EF053E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521-FC45-4FF8-9AD8-FA7DAF21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3</cp:revision>
  <cp:lastPrinted>2022-12-20T20:35:00Z</cp:lastPrinted>
  <dcterms:created xsi:type="dcterms:W3CDTF">2023-02-27T17:52:00Z</dcterms:created>
  <dcterms:modified xsi:type="dcterms:W3CDTF">2023-03-10T03:28:00Z</dcterms:modified>
</cp:coreProperties>
</file>