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20" w:rsidRPr="000931E9" w:rsidRDefault="00375C20" w:rsidP="000931E9">
      <w:pPr>
        <w:pStyle w:val="Texto"/>
      </w:pPr>
      <w:bookmarkStart w:id="0" w:name="_GoBack"/>
      <w:bookmarkEnd w:id="0"/>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DF01DA" w:rsidRPr="008A011E" w:rsidRDefault="00DF01DA" w:rsidP="00540418">
      <w:pPr>
        <w:pStyle w:val="Texto"/>
        <w:spacing w:after="0" w:line="240" w:lineRule="exact"/>
        <w:rPr>
          <w:rFonts w:ascii="Calibri" w:hAnsi="Calibri" w:cs="DIN Pro Regular"/>
          <w:sz w:val="20"/>
          <w:lang w:val="es-MX"/>
        </w:rPr>
      </w:pPr>
    </w:p>
    <w:p w:rsidR="00451D35"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3662C4" w:rsidRPr="008A011E" w:rsidRDefault="003662C4" w:rsidP="00451D35">
      <w:pPr>
        <w:pStyle w:val="Texto"/>
        <w:spacing w:after="80" w:line="203" w:lineRule="exact"/>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r w:rsidR="003662C4">
        <w:rPr>
          <w:rFonts w:ascii="Calibri" w:hAnsi="Calibri" w:cs="DIN Pro Regular"/>
          <w:b/>
          <w:sz w:val="20"/>
          <w:lang w:val="es-MX"/>
        </w:rPr>
        <w:t>:  $ 27,996,279</w:t>
      </w:r>
    </w:p>
    <w:p w:rsidR="003662C4" w:rsidRDefault="003662C4" w:rsidP="00451D35">
      <w:pPr>
        <w:pStyle w:val="Texto"/>
        <w:spacing w:after="80" w:line="203" w:lineRule="exact"/>
        <w:ind w:left="624" w:firstLine="0"/>
        <w:rPr>
          <w:rFonts w:ascii="Calibri" w:hAnsi="Calibri" w:cs="DIN Pro Regular"/>
          <w:b/>
          <w:sz w:val="20"/>
          <w:lang w:val="es-MX"/>
        </w:rPr>
      </w:pPr>
    </w:p>
    <w:p w:rsidR="003662C4" w:rsidRDefault="003662C4"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Efectivo:                             $            1,932</w:t>
      </w:r>
    </w:p>
    <w:p w:rsidR="003662C4" w:rsidRDefault="003662C4" w:rsidP="00451D35">
      <w:pPr>
        <w:pStyle w:val="Texto"/>
        <w:spacing w:after="80" w:line="203" w:lineRule="exact"/>
        <w:ind w:left="624" w:firstLine="0"/>
        <w:rPr>
          <w:rFonts w:ascii="Calibri" w:hAnsi="Calibri" w:cs="DIN Pro Regular"/>
          <w:b/>
          <w:sz w:val="20"/>
          <w:lang w:val="es-MX"/>
        </w:rPr>
      </w:pPr>
    </w:p>
    <w:p w:rsidR="003662C4" w:rsidRDefault="003662C4" w:rsidP="00451D3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Bancos:                               $ 27,994,347</w:t>
      </w:r>
    </w:p>
    <w:tbl>
      <w:tblPr>
        <w:tblStyle w:val="Tablaconcuadrcula"/>
        <w:tblW w:w="0" w:type="auto"/>
        <w:tblInd w:w="624" w:type="dxa"/>
        <w:tblLook w:val="04A0" w:firstRow="1" w:lastRow="0" w:firstColumn="1" w:lastColumn="0" w:noHBand="0" w:noVBand="1"/>
      </w:tblPr>
      <w:tblGrid>
        <w:gridCol w:w="4363"/>
        <w:gridCol w:w="3230"/>
      </w:tblGrid>
      <w:tr w:rsidR="003662C4" w:rsidTr="00FC17AE">
        <w:tc>
          <w:tcPr>
            <w:tcW w:w="4363" w:type="dxa"/>
          </w:tcPr>
          <w:p w:rsidR="003662C4" w:rsidRPr="008F2EF0" w:rsidRDefault="003662C4" w:rsidP="00451D35">
            <w:pPr>
              <w:pStyle w:val="Texto"/>
              <w:spacing w:after="80" w:line="203" w:lineRule="exact"/>
              <w:ind w:firstLine="0"/>
              <w:rPr>
                <w:rFonts w:ascii="Calibri" w:hAnsi="Calibri" w:cs="DIN Pro Regular"/>
                <w:sz w:val="20"/>
                <w:lang w:val="es-MX"/>
              </w:rPr>
            </w:pPr>
            <w:r w:rsidRPr="008F2EF0">
              <w:rPr>
                <w:rFonts w:ascii="Calibri" w:hAnsi="Calibri" w:cs="DIN Pro Regular"/>
                <w:sz w:val="20"/>
                <w:lang w:val="es-MX"/>
              </w:rPr>
              <w:t>SANTANDER (</w:t>
            </w:r>
            <w:r w:rsidR="008F2EF0" w:rsidRPr="008F2EF0">
              <w:rPr>
                <w:rFonts w:ascii="Calibri" w:hAnsi="Calibri" w:cs="DIN Pro Regular"/>
                <w:sz w:val="20"/>
                <w:lang w:val="es-MX"/>
              </w:rPr>
              <w:t>65503561146)</w:t>
            </w:r>
          </w:p>
        </w:tc>
        <w:tc>
          <w:tcPr>
            <w:tcW w:w="3230" w:type="dxa"/>
          </w:tcPr>
          <w:p w:rsidR="003662C4" w:rsidRPr="008F2EF0" w:rsidRDefault="008F2EF0" w:rsidP="00DA757F">
            <w:pPr>
              <w:pStyle w:val="Texto"/>
              <w:jc w:val="right"/>
            </w:pPr>
            <w:r w:rsidRPr="008F2EF0">
              <w:tab/>
            </w:r>
            <w:r>
              <w:t xml:space="preserve">       </w:t>
            </w:r>
            <w:r w:rsidR="00DA757F">
              <w:t xml:space="preserve">  </w:t>
            </w:r>
            <w:r>
              <w:t>57,991</w:t>
            </w:r>
          </w:p>
        </w:tc>
      </w:tr>
      <w:tr w:rsidR="003662C4" w:rsidTr="00FC17AE">
        <w:tc>
          <w:tcPr>
            <w:tcW w:w="4363" w:type="dxa"/>
          </w:tcPr>
          <w:p w:rsidR="003662C4" w:rsidRPr="008F2EF0" w:rsidRDefault="008F2EF0" w:rsidP="00451D35">
            <w:pPr>
              <w:pStyle w:val="Texto"/>
              <w:spacing w:after="80" w:line="203" w:lineRule="exact"/>
              <w:ind w:firstLine="0"/>
              <w:rPr>
                <w:rFonts w:ascii="Calibri" w:hAnsi="Calibri" w:cs="DIN Pro Regular"/>
                <w:sz w:val="20"/>
                <w:lang w:val="es-MX"/>
              </w:rPr>
            </w:pPr>
            <w:r w:rsidRPr="008F2EF0">
              <w:rPr>
                <w:rFonts w:ascii="Calibri" w:hAnsi="Calibri" w:cs="DIN Pro Regular"/>
                <w:sz w:val="20"/>
                <w:lang w:val="es-MX"/>
              </w:rPr>
              <w:t>BANREGIO (074930500066)</w:t>
            </w:r>
          </w:p>
        </w:tc>
        <w:tc>
          <w:tcPr>
            <w:tcW w:w="3230" w:type="dxa"/>
          </w:tcPr>
          <w:p w:rsidR="003662C4" w:rsidRPr="008F2EF0" w:rsidRDefault="008F2EF0" w:rsidP="008F2EF0">
            <w:pPr>
              <w:pStyle w:val="Texto"/>
              <w:spacing w:after="80" w:line="203" w:lineRule="exact"/>
              <w:ind w:firstLine="0"/>
              <w:jc w:val="right"/>
              <w:rPr>
                <w:rFonts w:ascii="Calibri" w:hAnsi="Calibri" w:cs="DIN Pro Regular"/>
                <w:sz w:val="20"/>
                <w:lang w:val="es-MX"/>
              </w:rPr>
            </w:pPr>
            <w:r w:rsidRPr="008F2EF0">
              <w:rPr>
                <w:rFonts w:ascii="Calibri" w:hAnsi="Calibri" w:cs="DIN Pro Regular"/>
                <w:sz w:val="20"/>
                <w:lang w:val="es-MX"/>
              </w:rPr>
              <w:t>12,916</w:t>
            </w:r>
          </w:p>
        </w:tc>
      </w:tr>
      <w:tr w:rsidR="00911FAF" w:rsidTr="00FC17AE">
        <w:tc>
          <w:tcPr>
            <w:tcW w:w="4363" w:type="dxa"/>
          </w:tcPr>
          <w:p w:rsidR="00911FAF" w:rsidRPr="008F2EF0" w:rsidRDefault="00C80AF3" w:rsidP="00451D35">
            <w:pPr>
              <w:pStyle w:val="Texto"/>
              <w:spacing w:after="80" w:line="203" w:lineRule="exact"/>
              <w:ind w:firstLine="0"/>
              <w:rPr>
                <w:rFonts w:ascii="Calibri" w:hAnsi="Calibri" w:cs="DIN Pro Regular"/>
                <w:sz w:val="20"/>
                <w:lang w:val="es-MX"/>
              </w:rPr>
            </w:pPr>
            <w:r>
              <w:rPr>
                <w:rFonts w:ascii="Calibri" w:hAnsi="Calibri" w:cs="DIN Pro Regular"/>
                <w:sz w:val="20"/>
                <w:lang w:val="es-MX"/>
              </w:rPr>
              <w:t>SANTANDER (65507056296)</w:t>
            </w:r>
          </w:p>
        </w:tc>
        <w:tc>
          <w:tcPr>
            <w:tcW w:w="3230" w:type="dxa"/>
          </w:tcPr>
          <w:p w:rsidR="00911FAF" w:rsidRPr="00C80AF3" w:rsidRDefault="00C80AF3" w:rsidP="008F2EF0">
            <w:pPr>
              <w:pStyle w:val="Texto"/>
              <w:spacing w:after="80" w:line="203" w:lineRule="exact"/>
              <w:ind w:firstLine="0"/>
              <w:jc w:val="right"/>
              <w:rPr>
                <w:rFonts w:ascii="Calibri" w:hAnsi="Calibri" w:cs="DIN Pro Regular"/>
                <w:sz w:val="20"/>
                <w:lang w:val="es-MX"/>
              </w:rPr>
            </w:pPr>
            <w:r w:rsidRPr="00C80AF3">
              <w:rPr>
                <w:rFonts w:ascii="Calibri" w:hAnsi="Calibri" w:cs="DIN Pro Regular"/>
                <w:sz w:val="20"/>
                <w:lang w:val="es-MX"/>
              </w:rPr>
              <w:t>1</w:t>
            </w:r>
          </w:p>
        </w:tc>
      </w:tr>
      <w:tr w:rsidR="00911FAF" w:rsidTr="00FC17AE">
        <w:tc>
          <w:tcPr>
            <w:tcW w:w="4363" w:type="dxa"/>
          </w:tcPr>
          <w:p w:rsidR="00911FAF" w:rsidRPr="008F2EF0" w:rsidRDefault="00C80AF3" w:rsidP="00451D35">
            <w:pPr>
              <w:pStyle w:val="Texto"/>
              <w:spacing w:after="80" w:line="203" w:lineRule="exact"/>
              <w:ind w:firstLine="0"/>
              <w:rPr>
                <w:rFonts w:ascii="Calibri" w:hAnsi="Calibri" w:cs="DIN Pro Regular"/>
                <w:sz w:val="20"/>
                <w:lang w:val="es-MX"/>
              </w:rPr>
            </w:pPr>
            <w:r>
              <w:rPr>
                <w:rFonts w:ascii="Calibri" w:hAnsi="Calibri" w:cs="DIN Pro Regular"/>
                <w:sz w:val="20"/>
                <w:lang w:val="es-MX"/>
              </w:rPr>
              <w:t>SANTANDER (65503616018)</w:t>
            </w:r>
          </w:p>
        </w:tc>
        <w:tc>
          <w:tcPr>
            <w:tcW w:w="3230" w:type="dxa"/>
          </w:tcPr>
          <w:p w:rsidR="00911FAF" w:rsidRPr="008F2EF0" w:rsidRDefault="00C80AF3" w:rsidP="008F2EF0">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3</w:t>
            </w:r>
          </w:p>
        </w:tc>
      </w:tr>
      <w:tr w:rsidR="003662C4" w:rsidTr="00FC17AE">
        <w:tc>
          <w:tcPr>
            <w:tcW w:w="4363" w:type="dxa"/>
          </w:tcPr>
          <w:p w:rsidR="003662C4" w:rsidRDefault="008F2EF0" w:rsidP="00451D35">
            <w:pPr>
              <w:pStyle w:val="Texto"/>
              <w:spacing w:after="80" w:line="203" w:lineRule="exact"/>
              <w:ind w:firstLine="0"/>
              <w:rPr>
                <w:rFonts w:ascii="Calibri" w:hAnsi="Calibri" w:cs="DIN Pro Regular"/>
                <w:b/>
                <w:sz w:val="20"/>
                <w:lang w:val="es-MX"/>
              </w:rPr>
            </w:pPr>
            <w:r w:rsidRPr="008F2EF0">
              <w:rPr>
                <w:rFonts w:ascii="Calibri" w:hAnsi="Calibri" w:cs="DIN Pro Regular"/>
                <w:sz w:val="20"/>
                <w:lang w:val="es-MX"/>
              </w:rPr>
              <w:t>BANREGIO (074930500074)</w:t>
            </w:r>
          </w:p>
        </w:tc>
        <w:tc>
          <w:tcPr>
            <w:tcW w:w="3230" w:type="dxa"/>
          </w:tcPr>
          <w:p w:rsidR="003662C4" w:rsidRPr="008F2EF0" w:rsidRDefault="008F2EF0" w:rsidP="008F2EF0">
            <w:pPr>
              <w:pStyle w:val="Texto"/>
              <w:spacing w:after="80" w:line="203" w:lineRule="exact"/>
              <w:ind w:firstLine="0"/>
              <w:jc w:val="right"/>
              <w:rPr>
                <w:rFonts w:ascii="Calibri" w:hAnsi="Calibri" w:cs="DIN Pro Regular"/>
                <w:sz w:val="20"/>
                <w:lang w:val="es-MX"/>
              </w:rPr>
            </w:pPr>
            <w:r w:rsidRPr="008F2EF0">
              <w:rPr>
                <w:rFonts w:ascii="Calibri" w:hAnsi="Calibri" w:cs="DIN Pro Regular"/>
                <w:sz w:val="20"/>
                <w:lang w:val="es-MX"/>
              </w:rPr>
              <w:t>5,766</w:t>
            </w:r>
          </w:p>
        </w:tc>
      </w:tr>
      <w:tr w:rsidR="003662C4" w:rsidTr="00FC17AE">
        <w:tc>
          <w:tcPr>
            <w:tcW w:w="4363" w:type="dxa"/>
          </w:tcPr>
          <w:p w:rsidR="003662C4" w:rsidRPr="005D5CA5" w:rsidRDefault="008F2EF0"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(074930500082)</w:t>
            </w:r>
          </w:p>
        </w:tc>
        <w:tc>
          <w:tcPr>
            <w:tcW w:w="3230" w:type="dxa"/>
          </w:tcPr>
          <w:p w:rsidR="003662C4" w:rsidRPr="008F2EF0" w:rsidRDefault="008F2EF0" w:rsidP="008F2EF0">
            <w:pPr>
              <w:pStyle w:val="Texto"/>
              <w:spacing w:after="80" w:line="203" w:lineRule="exact"/>
              <w:ind w:firstLine="0"/>
              <w:jc w:val="right"/>
              <w:rPr>
                <w:rFonts w:ascii="Calibri" w:hAnsi="Calibri" w:cs="DIN Pro Regular"/>
                <w:sz w:val="20"/>
                <w:lang w:val="es-MX"/>
              </w:rPr>
            </w:pPr>
            <w:r w:rsidRPr="008F2EF0">
              <w:rPr>
                <w:rFonts w:ascii="Calibri" w:hAnsi="Calibri" w:cs="DIN Pro Regular"/>
                <w:sz w:val="20"/>
                <w:lang w:val="es-MX"/>
              </w:rPr>
              <w:t>331,405</w:t>
            </w:r>
          </w:p>
        </w:tc>
      </w:tr>
      <w:tr w:rsidR="003662C4" w:rsidTr="00FC17AE">
        <w:tc>
          <w:tcPr>
            <w:tcW w:w="4363" w:type="dxa"/>
          </w:tcPr>
          <w:p w:rsidR="003662C4" w:rsidRPr="005D5CA5" w:rsidRDefault="008F2EF0"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(074930500091)</w:t>
            </w:r>
          </w:p>
        </w:tc>
        <w:tc>
          <w:tcPr>
            <w:tcW w:w="3230" w:type="dxa"/>
          </w:tcPr>
          <w:p w:rsidR="003662C4" w:rsidRPr="008F2EF0" w:rsidRDefault="008F2EF0" w:rsidP="008F2EF0">
            <w:pPr>
              <w:pStyle w:val="Texto"/>
              <w:spacing w:after="80" w:line="203" w:lineRule="exact"/>
              <w:ind w:firstLine="0"/>
              <w:jc w:val="right"/>
              <w:rPr>
                <w:rFonts w:ascii="Calibri" w:hAnsi="Calibri" w:cs="DIN Pro Regular"/>
                <w:sz w:val="20"/>
                <w:lang w:val="es-MX"/>
              </w:rPr>
            </w:pPr>
            <w:r w:rsidRPr="008F2EF0">
              <w:rPr>
                <w:rFonts w:ascii="Calibri" w:hAnsi="Calibri" w:cs="DIN Pro Regular"/>
                <w:sz w:val="20"/>
                <w:lang w:val="es-MX"/>
              </w:rPr>
              <w:t>12,706,858</w:t>
            </w:r>
          </w:p>
        </w:tc>
      </w:tr>
      <w:tr w:rsidR="003662C4" w:rsidTr="00FC17AE">
        <w:tc>
          <w:tcPr>
            <w:tcW w:w="4363" w:type="dxa"/>
          </w:tcPr>
          <w:p w:rsidR="003662C4" w:rsidRPr="005D5CA5" w:rsidRDefault="008F2EF0"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(074930500104)</w:t>
            </w:r>
          </w:p>
        </w:tc>
        <w:tc>
          <w:tcPr>
            <w:tcW w:w="3230" w:type="dxa"/>
          </w:tcPr>
          <w:p w:rsidR="003662C4" w:rsidRPr="005D5CA5" w:rsidRDefault="008F2EF0"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3,206,623</w:t>
            </w:r>
          </w:p>
        </w:tc>
      </w:tr>
      <w:tr w:rsidR="003662C4" w:rsidTr="00FC17AE">
        <w:tc>
          <w:tcPr>
            <w:tcW w:w="4363" w:type="dxa"/>
          </w:tcPr>
          <w:p w:rsidR="003662C4" w:rsidRPr="005D5CA5" w:rsidRDefault="008F2EF0"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(074930500112)</w:t>
            </w:r>
          </w:p>
        </w:tc>
        <w:tc>
          <w:tcPr>
            <w:tcW w:w="3230" w:type="dxa"/>
          </w:tcPr>
          <w:p w:rsidR="003662C4" w:rsidRPr="005D5CA5" w:rsidRDefault="008F2EF0"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6,443,754</w:t>
            </w:r>
          </w:p>
        </w:tc>
      </w:tr>
      <w:tr w:rsidR="003662C4" w:rsidTr="00FC17AE">
        <w:tc>
          <w:tcPr>
            <w:tcW w:w="4363" w:type="dxa"/>
          </w:tcPr>
          <w:p w:rsidR="003662C4" w:rsidRPr="005D5CA5" w:rsidRDefault="008F2EF0" w:rsidP="008F2EF0">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(074930500121)</w:t>
            </w:r>
          </w:p>
        </w:tc>
        <w:tc>
          <w:tcPr>
            <w:tcW w:w="3230" w:type="dxa"/>
          </w:tcPr>
          <w:p w:rsidR="003662C4" w:rsidRPr="005D5CA5" w:rsidRDefault="00911FAF" w:rsidP="005D5CA5">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284</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(074930500139)</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7,722</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(074930500147)</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2,868</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(074930500155)</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7,072</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(074930500153)</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6,356</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(074930500171)</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66,363</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BANREGIO (074930500180)</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4,473,934</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BBVA (0119340181)</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1,045</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BBVA (0119340424)</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18,780</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BBVA (0119343199)</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619,532</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SANTANDER (65509495135)</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21,794</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BBVA (0119455116)</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530</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BBVA (0119455175)</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70</w:t>
            </w:r>
          </w:p>
        </w:tc>
      </w:tr>
      <w:tr w:rsidR="003662C4" w:rsidTr="00FC17AE">
        <w:tc>
          <w:tcPr>
            <w:tcW w:w="4363" w:type="dxa"/>
          </w:tcPr>
          <w:p w:rsidR="003662C4" w:rsidRPr="005D5CA5" w:rsidRDefault="002841D9"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BBVA (0119455779)</w:t>
            </w:r>
          </w:p>
        </w:tc>
        <w:tc>
          <w:tcPr>
            <w:tcW w:w="3230" w:type="dxa"/>
          </w:tcPr>
          <w:p w:rsidR="003662C4" w:rsidRPr="005D5CA5" w:rsidRDefault="002841D9"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1,008</w:t>
            </w:r>
          </w:p>
        </w:tc>
      </w:tr>
      <w:tr w:rsidR="002841D9" w:rsidTr="00FC17AE">
        <w:tc>
          <w:tcPr>
            <w:tcW w:w="4363" w:type="dxa"/>
          </w:tcPr>
          <w:p w:rsidR="002841D9" w:rsidRPr="005D5CA5" w:rsidRDefault="005D5CA5" w:rsidP="00451D35">
            <w:pPr>
              <w:pStyle w:val="Texto"/>
              <w:spacing w:after="80" w:line="203" w:lineRule="exact"/>
              <w:ind w:firstLine="0"/>
              <w:rPr>
                <w:rFonts w:ascii="Calibri" w:hAnsi="Calibri" w:cs="DIN Pro Regular"/>
                <w:sz w:val="20"/>
                <w:lang w:val="es-MX"/>
              </w:rPr>
            </w:pPr>
            <w:r w:rsidRPr="005D5CA5">
              <w:rPr>
                <w:rFonts w:ascii="Calibri" w:hAnsi="Calibri" w:cs="DIN Pro Regular"/>
                <w:sz w:val="20"/>
                <w:lang w:val="es-MX"/>
              </w:rPr>
              <w:t>BBVA (01194555744)</w:t>
            </w:r>
          </w:p>
        </w:tc>
        <w:tc>
          <w:tcPr>
            <w:tcW w:w="3230" w:type="dxa"/>
          </w:tcPr>
          <w:p w:rsidR="002841D9" w:rsidRPr="005D5CA5" w:rsidRDefault="005D5CA5" w:rsidP="005D5CA5">
            <w:pPr>
              <w:pStyle w:val="Texto"/>
              <w:spacing w:after="80" w:line="203" w:lineRule="exact"/>
              <w:ind w:firstLine="0"/>
              <w:jc w:val="right"/>
              <w:rPr>
                <w:rFonts w:ascii="Calibri" w:hAnsi="Calibri" w:cs="DIN Pro Regular"/>
                <w:sz w:val="20"/>
                <w:lang w:val="es-MX"/>
              </w:rPr>
            </w:pPr>
            <w:r w:rsidRPr="005D5CA5">
              <w:rPr>
                <w:rFonts w:ascii="Calibri" w:hAnsi="Calibri" w:cs="DIN Pro Regular"/>
                <w:sz w:val="20"/>
                <w:lang w:val="es-MX"/>
              </w:rPr>
              <w:t>1</w:t>
            </w:r>
            <w:r w:rsidR="00911FAF">
              <w:rPr>
                <w:rFonts w:ascii="Calibri" w:hAnsi="Calibri" w:cs="DIN Pro Regular"/>
                <w:sz w:val="20"/>
                <w:lang w:val="es-MX"/>
              </w:rPr>
              <w:t>,</w:t>
            </w:r>
            <w:r w:rsidRPr="005D5CA5">
              <w:rPr>
                <w:rFonts w:ascii="Calibri" w:hAnsi="Calibri" w:cs="DIN Pro Regular"/>
                <w:sz w:val="20"/>
                <w:lang w:val="es-MX"/>
              </w:rPr>
              <w:t>669</w:t>
            </w:r>
          </w:p>
        </w:tc>
      </w:tr>
      <w:tr w:rsidR="00C80AF3" w:rsidTr="00FC17AE">
        <w:tc>
          <w:tcPr>
            <w:tcW w:w="4363" w:type="dxa"/>
          </w:tcPr>
          <w:p w:rsidR="00C80AF3" w:rsidRPr="005D5CA5" w:rsidRDefault="00C80AF3" w:rsidP="00451D35">
            <w:pPr>
              <w:pStyle w:val="Texto"/>
              <w:spacing w:after="80" w:line="203" w:lineRule="exact"/>
              <w:ind w:firstLine="0"/>
              <w:rPr>
                <w:rFonts w:ascii="Calibri" w:hAnsi="Calibri" w:cs="DIN Pro Regular"/>
                <w:sz w:val="20"/>
                <w:lang w:val="es-MX"/>
              </w:rPr>
            </w:pPr>
            <w:r>
              <w:rPr>
                <w:rFonts w:ascii="Calibri" w:hAnsi="Calibri" w:cs="DIN Pro Regular"/>
                <w:sz w:val="20"/>
                <w:lang w:val="es-MX"/>
              </w:rPr>
              <w:t>SANTANDER (65503607134)</w:t>
            </w:r>
          </w:p>
        </w:tc>
        <w:tc>
          <w:tcPr>
            <w:tcW w:w="3230" w:type="dxa"/>
          </w:tcPr>
          <w:p w:rsidR="00C80AF3" w:rsidRPr="005D5CA5" w:rsidRDefault="00C80AF3" w:rsidP="005D5CA5">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2</w:t>
            </w:r>
          </w:p>
        </w:tc>
      </w:tr>
      <w:tr w:rsidR="00C80AF3" w:rsidTr="00FC17AE">
        <w:tc>
          <w:tcPr>
            <w:tcW w:w="4363" w:type="dxa"/>
          </w:tcPr>
          <w:p w:rsidR="00C80AF3" w:rsidRPr="005D5CA5" w:rsidRDefault="00C80AF3" w:rsidP="00451D35">
            <w:pPr>
              <w:pStyle w:val="Texto"/>
              <w:spacing w:after="80" w:line="203" w:lineRule="exact"/>
              <w:ind w:firstLine="0"/>
              <w:rPr>
                <w:rFonts w:ascii="Calibri" w:hAnsi="Calibri" w:cs="DIN Pro Regular"/>
                <w:sz w:val="20"/>
                <w:lang w:val="es-MX"/>
              </w:rPr>
            </w:pPr>
            <w:r>
              <w:rPr>
                <w:rFonts w:ascii="Calibri" w:hAnsi="Calibri" w:cs="DIN Pro Regular"/>
                <w:sz w:val="20"/>
                <w:lang w:val="es-MX"/>
              </w:rPr>
              <w:t>SANTANDER (65507166207)</w:t>
            </w:r>
          </w:p>
        </w:tc>
        <w:tc>
          <w:tcPr>
            <w:tcW w:w="3230" w:type="dxa"/>
          </w:tcPr>
          <w:p w:rsidR="00C80AF3" w:rsidRPr="005D5CA5" w:rsidRDefault="00C80AF3" w:rsidP="005D5CA5">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1</w:t>
            </w:r>
          </w:p>
        </w:tc>
      </w:tr>
    </w:tbl>
    <w:p w:rsidR="003662C4" w:rsidRDefault="003662C4" w:rsidP="00451D35">
      <w:pPr>
        <w:pStyle w:val="Texto"/>
        <w:spacing w:after="80" w:line="203" w:lineRule="exact"/>
        <w:ind w:left="624" w:firstLine="0"/>
        <w:rPr>
          <w:rFonts w:ascii="Calibri" w:hAnsi="Calibri" w:cs="DIN Pro Regular"/>
          <w:b/>
          <w:sz w:val="20"/>
          <w:lang w:val="es-MX"/>
        </w:rPr>
      </w:pPr>
    </w:p>
    <w:p w:rsidR="003662C4" w:rsidRDefault="003662C4" w:rsidP="00451D35">
      <w:pPr>
        <w:pStyle w:val="Texto"/>
        <w:spacing w:after="80" w:line="203" w:lineRule="exact"/>
        <w:ind w:left="624" w:firstLine="0"/>
        <w:rPr>
          <w:rFonts w:ascii="Calibri" w:hAnsi="Calibri" w:cs="DIN Pro Regular"/>
          <w:b/>
          <w:sz w:val="20"/>
          <w:lang w:val="es-MX"/>
        </w:rPr>
      </w:pPr>
    </w:p>
    <w:p w:rsidR="00DA757F" w:rsidRPr="008A011E" w:rsidRDefault="00DA757F"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 xml:space="preserve">Derechos a recibir Efectivo y Equivalentes y Bienes o Servicios a </w:t>
      </w:r>
      <w:r w:rsidR="00B62C87" w:rsidRPr="008A011E">
        <w:rPr>
          <w:rFonts w:ascii="Calibri" w:hAnsi="Calibri" w:cs="DIN Pro Regular"/>
          <w:b/>
          <w:sz w:val="20"/>
          <w:lang w:val="es-MX"/>
        </w:rPr>
        <w:t>Recibir</w:t>
      </w:r>
      <w:r w:rsidR="00B62C87">
        <w:rPr>
          <w:rFonts w:ascii="Calibri" w:hAnsi="Calibri" w:cs="DIN Pro Regular"/>
          <w:b/>
          <w:sz w:val="20"/>
          <w:lang w:val="es-MX"/>
        </w:rPr>
        <w:t xml:space="preserve"> $ 440,088</w:t>
      </w:r>
    </w:p>
    <w:tbl>
      <w:tblPr>
        <w:tblStyle w:val="Tablaconcuadrcula"/>
        <w:tblW w:w="0" w:type="auto"/>
        <w:tblInd w:w="624" w:type="dxa"/>
        <w:tblLook w:val="04A0" w:firstRow="1" w:lastRow="0" w:firstColumn="1" w:lastColumn="0" w:noHBand="0" w:noVBand="1"/>
      </w:tblPr>
      <w:tblGrid>
        <w:gridCol w:w="5467"/>
        <w:gridCol w:w="2126"/>
      </w:tblGrid>
      <w:tr w:rsidR="00B62C87" w:rsidTr="00FC17AE">
        <w:tc>
          <w:tcPr>
            <w:tcW w:w="5467" w:type="dxa"/>
          </w:tcPr>
          <w:p w:rsidR="00B62C87" w:rsidRPr="002E1E91" w:rsidRDefault="00B62C87" w:rsidP="00451D35">
            <w:pPr>
              <w:pStyle w:val="Texto"/>
              <w:spacing w:after="80" w:line="203" w:lineRule="exact"/>
              <w:ind w:firstLine="0"/>
              <w:rPr>
                <w:rFonts w:ascii="Calibri" w:hAnsi="Calibri" w:cs="DIN Pro Regular"/>
                <w:sz w:val="20"/>
                <w:lang w:val="es-MX"/>
              </w:rPr>
            </w:pPr>
            <w:r w:rsidRPr="002E1E91">
              <w:rPr>
                <w:rFonts w:ascii="Calibri" w:hAnsi="Calibri" w:cs="DIN Pro Regular"/>
                <w:sz w:val="20"/>
                <w:lang w:val="es-MX"/>
              </w:rPr>
              <w:lastRenderedPageBreak/>
              <w:t>Cuentas por Cobrar a Corto Plazo</w:t>
            </w:r>
          </w:p>
        </w:tc>
        <w:tc>
          <w:tcPr>
            <w:tcW w:w="2126" w:type="dxa"/>
          </w:tcPr>
          <w:p w:rsidR="00B62C87" w:rsidRPr="002E1E91" w:rsidRDefault="00B62C87" w:rsidP="00B62C87">
            <w:pPr>
              <w:pStyle w:val="Texto"/>
              <w:spacing w:after="80" w:line="203" w:lineRule="exact"/>
              <w:ind w:firstLine="0"/>
              <w:jc w:val="right"/>
              <w:rPr>
                <w:rFonts w:ascii="Calibri" w:hAnsi="Calibri" w:cs="DIN Pro Regular"/>
                <w:sz w:val="20"/>
                <w:lang w:val="es-MX"/>
              </w:rPr>
            </w:pPr>
            <w:r w:rsidRPr="002E1E91">
              <w:rPr>
                <w:rFonts w:ascii="Calibri" w:hAnsi="Calibri" w:cs="DIN Pro Regular"/>
                <w:sz w:val="20"/>
                <w:lang w:val="es-MX"/>
              </w:rPr>
              <w:t>$ 346,211</w:t>
            </w:r>
          </w:p>
        </w:tc>
      </w:tr>
      <w:tr w:rsidR="00B62C87" w:rsidTr="00FC17AE">
        <w:tc>
          <w:tcPr>
            <w:tcW w:w="5467" w:type="dxa"/>
          </w:tcPr>
          <w:p w:rsidR="00B62C87" w:rsidRPr="002E1E91" w:rsidRDefault="00B62C87" w:rsidP="00451D35">
            <w:pPr>
              <w:pStyle w:val="Texto"/>
              <w:spacing w:after="80" w:line="203" w:lineRule="exact"/>
              <w:ind w:firstLine="0"/>
              <w:rPr>
                <w:rFonts w:ascii="Calibri" w:hAnsi="Calibri" w:cs="DIN Pro Regular"/>
                <w:sz w:val="20"/>
                <w:lang w:val="es-MX"/>
              </w:rPr>
            </w:pPr>
            <w:r w:rsidRPr="002E1E91">
              <w:rPr>
                <w:rFonts w:ascii="Calibri" w:hAnsi="Calibri" w:cs="DIN Pro Regular"/>
                <w:sz w:val="20"/>
                <w:lang w:val="es-MX"/>
              </w:rPr>
              <w:t>Deudores por Anticipos de Tesorería a Corto Plazo</w:t>
            </w:r>
          </w:p>
        </w:tc>
        <w:tc>
          <w:tcPr>
            <w:tcW w:w="2126" w:type="dxa"/>
          </w:tcPr>
          <w:p w:rsidR="00B62C87" w:rsidRPr="002E1E91" w:rsidRDefault="00B62C87" w:rsidP="00B62C87">
            <w:pPr>
              <w:pStyle w:val="Texto"/>
              <w:spacing w:after="80" w:line="203" w:lineRule="exact"/>
              <w:ind w:firstLine="0"/>
              <w:jc w:val="right"/>
              <w:rPr>
                <w:rFonts w:ascii="Calibri" w:hAnsi="Calibri" w:cs="DIN Pro Regular"/>
                <w:sz w:val="20"/>
                <w:lang w:val="es-MX"/>
              </w:rPr>
            </w:pPr>
            <w:r w:rsidRPr="002E1E91">
              <w:rPr>
                <w:rFonts w:ascii="Calibri" w:hAnsi="Calibri" w:cs="DIN Pro Regular"/>
                <w:sz w:val="20"/>
                <w:lang w:val="es-MX"/>
              </w:rPr>
              <w:t>28,976</w:t>
            </w:r>
          </w:p>
        </w:tc>
      </w:tr>
      <w:tr w:rsidR="00B62C87" w:rsidTr="00FC17AE">
        <w:tc>
          <w:tcPr>
            <w:tcW w:w="5467" w:type="dxa"/>
          </w:tcPr>
          <w:p w:rsidR="00B62C87" w:rsidRPr="002E1E91" w:rsidRDefault="00B62C87" w:rsidP="00451D35">
            <w:pPr>
              <w:pStyle w:val="Texto"/>
              <w:spacing w:after="80" w:line="203" w:lineRule="exact"/>
              <w:ind w:firstLine="0"/>
              <w:rPr>
                <w:rFonts w:ascii="Calibri" w:hAnsi="Calibri" w:cs="DIN Pro Regular"/>
                <w:sz w:val="20"/>
                <w:lang w:val="es-MX"/>
              </w:rPr>
            </w:pPr>
            <w:r w:rsidRPr="002E1E91">
              <w:rPr>
                <w:rFonts w:ascii="Calibri" w:hAnsi="Calibri" w:cs="DIN Pro Regular"/>
                <w:sz w:val="20"/>
                <w:lang w:val="es-MX"/>
              </w:rPr>
              <w:t>Otros Derechos a Recibir Efectivo o Equivalentes a Corto Plazo</w:t>
            </w:r>
          </w:p>
        </w:tc>
        <w:tc>
          <w:tcPr>
            <w:tcW w:w="2126" w:type="dxa"/>
          </w:tcPr>
          <w:p w:rsidR="00B62C87" w:rsidRPr="002E1E91" w:rsidRDefault="00B62C87" w:rsidP="00B62C87">
            <w:pPr>
              <w:pStyle w:val="Texto"/>
              <w:spacing w:after="80" w:line="203" w:lineRule="exact"/>
              <w:ind w:firstLine="0"/>
              <w:jc w:val="right"/>
              <w:rPr>
                <w:rFonts w:ascii="Calibri" w:hAnsi="Calibri" w:cs="DIN Pro Regular"/>
                <w:sz w:val="20"/>
                <w:lang w:val="es-MX"/>
              </w:rPr>
            </w:pPr>
            <w:r w:rsidRPr="002E1E91">
              <w:rPr>
                <w:rFonts w:ascii="Calibri" w:hAnsi="Calibri" w:cs="DIN Pro Regular"/>
                <w:sz w:val="20"/>
                <w:lang w:val="es-MX"/>
              </w:rPr>
              <w:t>64,901</w:t>
            </w:r>
          </w:p>
        </w:tc>
      </w:tr>
    </w:tbl>
    <w:p w:rsidR="00B62C87" w:rsidRDefault="00B62C87" w:rsidP="00451D35">
      <w:pPr>
        <w:pStyle w:val="Texto"/>
        <w:spacing w:after="80" w:line="203" w:lineRule="exact"/>
        <w:ind w:left="624" w:firstLine="0"/>
        <w:rPr>
          <w:rFonts w:ascii="Calibri" w:hAnsi="Calibri" w:cs="DIN Pro Regular"/>
          <w:b/>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rsidR="00B62C87" w:rsidRPr="002E1E91" w:rsidRDefault="00B62C87" w:rsidP="00451D35">
      <w:pPr>
        <w:pStyle w:val="Texto"/>
        <w:spacing w:after="80" w:line="203" w:lineRule="exact"/>
        <w:ind w:left="624" w:firstLine="0"/>
        <w:rPr>
          <w:rFonts w:ascii="Calibri" w:hAnsi="Calibri" w:cs="DIN Pro Regular"/>
          <w:sz w:val="20"/>
          <w:lang w:val="es-MX"/>
        </w:rPr>
      </w:pPr>
      <w:r w:rsidRPr="002E1E91">
        <w:rPr>
          <w:rFonts w:ascii="Calibri" w:hAnsi="Calibri" w:cs="DIN Pro Regular"/>
          <w:sz w:val="20"/>
          <w:lang w:val="es-MX"/>
        </w:rPr>
        <w:t xml:space="preserve">No hay comentarios, ya que no </w:t>
      </w:r>
      <w:r w:rsidR="002E1E91" w:rsidRPr="002E1E91">
        <w:rPr>
          <w:rFonts w:ascii="Calibri" w:hAnsi="Calibri" w:cs="DIN Pro Regular"/>
          <w:sz w:val="20"/>
          <w:lang w:val="es-MX"/>
        </w:rPr>
        <w:t>manejamos bienes para su transformación.</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p>
    <w:p w:rsidR="002E1E91" w:rsidRPr="00E228E5" w:rsidRDefault="00E228E5" w:rsidP="00451D35">
      <w:pPr>
        <w:pStyle w:val="Texto"/>
        <w:spacing w:after="80" w:line="203" w:lineRule="exact"/>
        <w:ind w:left="624" w:firstLine="0"/>
        <w:rPr>
          <w:rFonts w:ascii="Calibri" w:hAnsi="Calibri" w:cs="DIN Pro Regular"/>
          <w:sz w:val="20"/>
          <w:lang w:val="es-MX"/>
        </w:rPr>
      </w:pPr>
      <w:r w:rsidRPr="00E228E5">
        <w:rPr>
          <w:rFonts w:ascii="Calibri" w:hAnsi="Calibri" w:cs="DIN Pro Regular"/>
          <w:sz w:val="20"/>
          <w:lang w:val="es-MX"/>
        </w:rPr>
        <w:tab/>
        <w:t xml:space="preserve">Las cuentas de Inversiones Financieras de Corto Plazo se encuentran sin saldo ya que su importe fue traspasado a las cuentas corrientes </w:t>
      </w:r>
      <w:r w:rsidR="00194BF0">
        <w:rPr>
          <w:rFonts w:ascii="Calibri" w:hAnsi="Calibri" w:cs="DIN Pro Regular"/>
          <w:sz w:val="20"/>
          <w:lang w:val="es-MX"/>
        </w:rPr>
        <w:t>de cada cuenta bancaria.</w:t>
      </w: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2E1E91" w:rsidRDefault="002E1E91" w:rsidP="00451D35">
      <w:pPr>
        <w:pStyle w:val="Texto"/>
        <w:spacing w:after="80" w:line="203" w:lineRule="exact"/>
        <w:ind w:left="624" w:firstLine="0"/>
        <w:rPr>
          <w:rFonts w:ascii="Calibri" w:hAnsi="Calibri" w:cs="DIN Pro Regular"/>
          <w:sz w:val="20"/>
          <w:lang w:val="es-MX"/>
        </w:rPr>
      </w:pPr>
      <w:r w:rsidRPr="002E1E91">
        <w:rPr>
          <w:rFonts w:ascii="Calibri" w:hAnsi="Calibri" w:cs="DIN Pro Regular"/>
          <w:sz w:val="20"/>
          <w:lang w:val="es-MX"/>
        </w:rPr>
        <w:t>Se presentan movimientos en las cuentas de Bienes muebles en los libros de registros contables, de los cuales se puede detallar de los bienes dados de alta en un Formato de Adquisición de Bienes Muebles e Inmuebles que se presenta trimestralmente a la Auditoria Superior del Estado</w:t>
      </w:r>
      <w:r>
        <w:rPr>
          <w:rFonts w:ascii="Calibri" w:hAnsi="Calibri" w:cs="DIN Pro Regular"/>
          <w:sz w:val="20"/>
          <w:lang w:val="es-MX"/>
        </w:rPr>
        <w:t xml:space="preserve"> para su revisión, se registran las depreciaciones que sufren dichos bienes</w:t>
      </w:r>
      <w:r w:rsidR="008F5F00">
        <w:rPr>
          <w:rFonts w:ascii="Calibri" w:hAnsi="Calibri" w:cs="DIN Pro Regular"/>
          <w:sz w:val="20"/>
          <w:lang w:val="es-MX"/>
        </w:rPr>
        <w:t xml:space="preserve"> en el periodo aplicando los criterios de porcentajes con el método de depreciación mensual en base a la Guía de vida útil estimada y porcentaje de depreciación emitida por el CONAC aplicando el método de depreciación en línea recta.</w:t>
      </w:r>
    </w:p>
    <w:tbl>
      <w:tblPr>
        <w:tblStyle w:val="Tablaconcuadrcula"/>
        <w:tblW w:w="0" w:type="auto"/>
        <w:tblInd w:w="624" w:type="dxa"/>
        <w:tblLook w:val="04A0" w:firstRow="1" w:lastRow="0" w:firstColumn="1" w:lastColumn="0" w:noHBand="0" w:noVBand="1"/>
      </w:tblPr>
      <w:tblGrid>
        <w:gridCol w:w="4384"/>
        <w:gridCol w:w="3209"/>
      </w:tblGrid>
      <w:tr w:rsidR="008F5F00" w:rsidTr="00FC17AE">
        <w:tc>
          <w:tcPr>
            <w:tcW w:w="4384" w:type="dxa"/>
          </w:tcPr>
          <w:p w:rsidR="008F5F00" w:rsidRDefault="00AB1692" w:rsidP="00451D35">
            <w:pPr>
              <w:pStyle w:val="Texto"/>
              <w:spacing w:after="80" w:line="203" w:lineRule="exact"/>
              <w:ind w:firstLine="0"/>
              <w:rPr>
                <w:rFonts w:ascii="Calibri" w:hAnsi="Calibri" w:cs="DIN Pro Regular"/>
                <w:sz w:val="20"/>
                <w:lang w:val="es-MX"/>
              </w:rPr>
            </w:pPr>
            <w:r>
              <w:rPr>
                <w:rFonts w:ascii="Calibri" w:hAnsi="Calibri" w:cs="DIN Pro Regular"/>
                <w:sz w:val="20"/>
                <w:lang w:val="es-MX"/>
              </w:rPr>
              <w:t>Depreciación acumulada de Bienes Muebles</w:t>
            </w:r>
          </w:p>
        </w:tc>
        <w:tc>
          <w:tcPr>
            <w:tcW w:w="3209" w:type="dxa"/>
          </w:tcPr>
          <w:p w:rsidR="008F5F00" w:rsidRDefault="00AB1692" w:rsidP="00AB1692">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$ 57,621,329</w:t>
            </w:r>
          </w:p>
        </w:tc>
      </w:tr>
      <w:tr w:rsidR="008F5F00" w:rsidTr="00FC17AE">
        <w:tc>
          <w:tcPr>
            <w:tcW w:w="4384" w:type="dxa"/>
          </w:tcPr>
          <w:p w:rsidR="008F5F00" w:rsidRDefault="00AB1692" w:rsidP="00451D35">
            <w:pPr>
              <w:pStyle w:val="Texto"/>
              <w:spacing w:after="80" w:line="203" w:lineRule="exact"/>
              <w:ind w:firstLine="0"/>
              <w:rPr>
                <w:rFonts w:ascii="Calibri" w:hAnsi="Calibri" w:cs="DIN Pro Regular"/>
                <w:sz w:val="20"/>
                <w:lang w:val="es-MX"/>
              </w:rPr>
            </w:pPr>
            <w:r>
              <w:rPr>
                <w:rFonts w:ascii="Calibri" w:hAnsi="Calibri" w:cs="DIN Pro Regular"/>
                <w:sz w:val="20"/>
                <w:lang w:val="es-MX"/>
              </w:rPr>
              <w:t>Depreciación acumulada de Bienes Muebles</w:t>
            </w:r>
          </w:p>
          <w:p w:rsidR="00AB1692" w:rsidRDefault="00AB1692" w:rsidP="00451D35">
            <w:pPr>
              <w:pStyle w:val="Texto"/>
              <w:spacing w:after="80" w:line="203" w:lineRule="exact"/>
              <w:ind w:firstLine="0"/>
              <w:rPr>
                <w:rFonts w:ascii="Calibri" w:hAnsi="Calibri" w:cs="DIN Pro Regular"/>
                <w:sz w:val="20"/>
                <w:lang w:val="es-MX"/>
              </w:rPr>
            </w:pPr>
            <w:r>
              <w:rPr>
                <w:rFonts w:ascii="Calibri" w:hAnsi="Calibri" w:cs="DIN Pro Regular"/>
                <w:sz w:val="20"/>
                <w:lang w:val="es-MX"/>
              </w:rPr>
              <w:t>Correspondiente al Ejercicio</w:t>
            </w:r>
          </w:p>
        </w:tc>
        <w:tc>
          <w:tcPr>
            <w:tcW w:w="3209" w:type="dxa"/>
          </w:tcPr>
          <w:p w:rsidR="008F5F00" w:rsidRDefault="00AB1692" w:rsidP="00AB1692">
            <w:pPr>
              <w:pStyle w:val="Texto"/>
              <w:spacing w:after="80" w:line="203" w:lineRule="exact"/>
              <w:ind w:firstLine="0"/>
              <w:jc w:val="right"/>
              <w:rPr>
                <w:rFonts w:ascii="Calibri" w:hAnsi="Calibri" w:cs="DIN Pro Regular"/>
                <w:sz w:val="20"/>
                <w:lang w:val="es-MX"/>
              </w:rPr>
            </w:pPr>
            <w:r>
              <w:rPr>
                <w:rFonts w:ascii="Calibri" w:hAnsi="Calibri" w:cs="DIN Pro Regular"/>
                <w:sz w:val="20"/>
                <w:lang w:val="es-MX"/>
              </w:rPr>
              <w:t>$ 10,396,455</w:t>
            </w:r>
          </w:p>
        </w:tc>
      </w:tr>
    </w:tbl>
    <w:p w:rsidR="008F5F00" w:rsidRPr="002E1E91" w:rsidRDefault="008F5F00" w:rsidP="00451D35">
      <w:pPr>
        <w:pStyle w:val="Texto"/>
        <w:spacing w:after="80" w:line="203" w:lineRule="exact"/>
        <w:ind w:left="624" w:firstLine="0"/>
        <w:rPr>
          <w:rFonts w:ascii="Calibri" w:hAnsi="Calibri" w:cs="DIN Pro Regular"/>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rsidR="00B935E9" w:rsidRDefault="00B935E9" w:rsidP="00451D35">
      <w:pPr>
        <w:pStyle w:val="Texto"/>
        <w:spacing w:after="80" w:line="203" w:lineRule="exact"/>
        <w:ind w:left="624" w:firstLine="0"/>
        <w:rPr>
          <w:rFonts w:ascii="Calibri" w:hAnsi="Calibri" w:cs="DIN Pro Regular"/>
          <w:sz w:val="20"/>
          <w:lang w:val="es-MX"/>
        </w:rPr>
      </w:pPr>
      <w:r w:rsidRPr="00A41894">
        <w:rPr>
          <w:rFonts w:ascii="Calibri" w:hAnsi="Calibri" w:cs="DIN Pro Regular"/>
          <w:sz w:val="20"/>
          <w:lang w:val="es-MX"/>
        </w:rPr>
        <w:t xml:space="preserve">Se presentan movimientos en gastos por disminución de bienes por perdida, </w:t>
      </w:r>
      <w:r w:rsidR="00A41894" w:rsidRPr="00A41894">
        <w:rPr>
          <w:rFonts w:ascii="Calibri" w:hAnsi="Calibri" w:cs="DIN Pro Regular"/>
          <w:sz w:val="20"/>
          <w:lang w:val="es-MX"/>
        </w:rPr>
        <w:t>obsolescencia</w:t>
      </w:r>
      <w:r w:rsidRPr="00A41894">
        <w:rPr>
          <w:rFonts w:ascii="Calibri" w:hAnsi="Calibri" w:cs="DIN Pro Regular"/>
          <w:sz w:val="20"/>
          <w:lang w:val="es-MX"/>
        </w:rPr>
        <w:t xml:space="preserve"> y </w:t>
      </w:r>
      <w:r w:rsidR="00A41894" w:rsidRPr="00A41894">
        <w:rPr>
          <w:rFonts w:ascii="Calibri" w:hAnsi="Calibri" w:cs="DIN Pro Regular"/>
          <w:sz w:val="20"/>
          <w:lang w:val="es-MX"/>
        </w:rPr>
        <w:t>deterioro</w:t>
      </w:r>
      <w:r w:rsidRPr="00A41894">
        <w:rPr>
          <w:rFonts w:ascii="Calibri" w:hAnsi="Calibri" w:cs="DIN Pro Regular"/>
          <w:sz w:val="20"/>
          <w:lang w:val="es-MX"/>
        </w:rPr>
        <w:t xml:space="preserve">, de acuerdo con el Comité de compras se </w:t>
      </w:r>
      <w:r w:rsidR="00A41894" w:rsidRPr="00A41894">
        <w:rPr>
          <w:rFonts w:ascii="Calibri" w:hAnsi="Calibri" w:cs="DIN Pro Regular"/>
          <w:sz w:val="20"/>
          <w:lang w:val="es-MX"/>
        </w:rPr>
        <w:t>realizó</w:t>
      </w:r>
      <w:r w:rsidRPr="00A41894">
        <w:rPr>
          <w:rFonts w:ascii="Calibri" w:hAnsi="Calibri" w:cs="DIN Pro Regular"/>
          <w:sz w:val="20"/>
          <w:lang w:val="es-MX"/>
        </w:rPr>
        <w:t xml:space="preserve"> el procedimiento necesario para su registro en los conceptos de Muebles de oficina</w:t>
      </w:r>
      <w:r w:rsidR="00A41894" w:rsidRPr="00A41894">
        <w:rPr>
          <w:rFonts w:ascii="Calibri" w:hAnsi="Calibri" w:cs="DIN Pro Regular"/>
          <w:sz w:val="20"/>
          <w:lang w:val="es-MX"/>
        </w:rPr>
        <w:t xml:space="preserve">, Equipo de cómputo, Otros mobiliario y equipo de administración, Otro mobiliario y </w:t>
      </w:r>
      <w:r w:rsidR="00A41894">
        <w:rPr>
          <w:rFonts w:ascii="Calibri" w:hAnsi="Calibri" w:cs="DIN Pro Regular"/>
          <w:sz w:val="20"/>
          <w:lang w:val="es-MX"/>
        </w:rPr>
        <w:t>equipo</w:t>
      </w:r>
      <w:r w:rsidR="00A41894" w:rsidRPr="00A41894">
        <w:rPr>
          <w:rFonts w:ascii="Calibri" w:hAnsi="Calibri" w:cs="DIN Pro Regular"/>
          <w:sz w:val="20"/>
          <w:lang w:val="es-MX"/>
        </w:rPr>
        <w:t xml:space="preserve"> educacional y recreativo</w:t>
      </w:r>
      <w:r w:rsidR="00A41894">
        <w:rPr>
          <w:rFonts w:ascii="Calibri" w:hAnsi="Calibri" w:cs="DIN Pro Regular"/>
          <w:sz w:val="20"/>
          <w:lang w:val="es-MX"/>
        </w:rPr>
        <w:t>, Automóviles y camiones, Herramientas y maquinas herramientas entre otros , de los cuales se puede analizar sus importes en los registros contables del Organismo, mismos que son enviados a la Auditoria Superior del Estado para su revisión.</w:t>
      </w:r>
    </w:p>
    <w:p w:rsidR="00A41894" w:rsidRPr="00A41894" w:rsidRDefault="00A41894" w:rsidP="00451D35">
      <w:pPr>
        <w:pStyle w:val="Texto"/>
        <w:spacing w:after="80" w:line="203" w:lineRule="exact"/>
        <w:ind w:left="624" w:firstLine="0"/>
        <w:rPr>
          <w:rFonts w:ascii="Calibri" w:hAnsi="Calibri" w:cs="DIN Pro Regular"/>
          <w:sz w:val="20"/>
          <w:lang w:val="es-MX"/>
        </w:rPr>
      </w:pPr>
    </w:p>
    <w:p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A41894" w:rsidRPr="00A41894" w:rsidRDefault="00A41894" w:rsidP="00451D35">
      <w:pPr>
        <w:pStyle w:val="Texto"/>
        <w:spacing w:after="80" w:line="203" w:lineRule="exact"/>
        <w:ind w:left="624" w:firstLine="0"/>
        <w:rPr>
          <w:rFonts w:ascii="Calibri" w:hAnsi="Calibri" w:cs="DIN Pro Regular"/>
          <w:sz w:val="20"/>
          <w:lang w:val="es-MX"/>
        </w:rPr>
      </w:pPr>
      <w:r w:rsidRPr="00A41894">
        <w:rPr>
          <w:rFonts w:ascii="Calibri" w:hAnsi="Calibri" w:cs="DIN Pro Regular"/>
          <w:sz w:val="20"/>
          <w:lang w:val="es-MX"/>
        </w:rPr>
        <w:t>No se efectuaron movimientos en el periodo</w:t>
      </w:r>
      <w:r>
        <w:rPr>
          <w:rFonts w:ascii="Calibri" w:hAnsi="Calibri" w:cs="DIN Pro Regular"/>
          <w:sz w:val="20"/>
          <w:lang w:val="es-MX"/>
        </w:rPr>
        <w:t>.</w:t>
      </w:r>
    </w:p>
    <w:p w:rsidR="00DA757F" w:rsidRDefault="00DA757F" w:rsidP="00540418">
      <w:pPr>
        <w:pStyle w:val="ROMANOS"/>
        <w:spacing w:after="0" w:line="240" w:lineRule="exact"/>
        <w:ind w:left="432"/>
        <w:rPr>
          <w:rFonts w:ascii="Calibri" w:hAnsi="Calibri" w:cs="DIN Pro Regular"/>
          <w:b/>
          <w:sz w:val="20"/>
          <w:szCs w:val="20"/>
          <w:lang w:val="es-MX"/>
        </w:rPr>
      </w:pPr>
    </w:p>
    <w:p w:rsidR="00540418"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r w:rsidR="00A41894">
        <w:rPr>
          <w:rFonts w:ascii="Calibri" w:hAnsi="Calibri" w:cs="DIN Pro Regular"/>
          <w:b/>
          <w:sz w:val="20"/>
          <w:szCs w:val="20"/>
          <w:lang w:val="es-MX"/>
        </w:rPr>
        <w:t xml:space="preserve"> $ 20,554,596</w:t>
      </w:r>
    </w:p>
    <w:p w:rsidR="00A41894" w:rsidRDefault="00A41894" w:rsidP="00540418">
      <w:pPr>
        <w:pStyle w:val="ROMANOS"/>
        <w:spacing w:after="0" w:line="240" w:lineRule="exact"/>
        <w:ind w:left="432"/>
        <w:rPr>
          <w:rFonts w:ascii="Calibri" w:hAnsi="Calibri" w:cs="DIN Pro Regular"/>
          <w:b/>
          <w:sz w:val="20"/>
          <w:szCs w:val="20"/>
          <w:lang w:val="es-MX"/>
        </w:rPr>
      </w:pPr>
    </w:p>
    <w:tbl>
      <w:tblPr>
        <w:tblStyle w:val="Tablaconcuadrcula"/>
        <w:tblW w:w="7643" w:type="dxa"/>
        <w:tblInd w:w="432" w:type="dxa"/>
        <w:tblLook w:val="04A0" w:firstRow="1" w:lastRow="0" w:firstColumn="1" w:lastColumn="0" w:noHBand="0" w:noVBand="1"/>
      </w:tblPr>
      <w:tblGrid>
        <w:gridCol w:w="4666"/>
        <w:gridCol w:w="2977"/>
      </w:tblGrid>
      <w:tr w:rsidR="003836EF" w:rsidTr="00FC17AE">
        <w:tc>
          <w:tcPr>
            <w:tcW w:w="4666" w:type="dxa"/>
          </w:tcPr>
          <w:p w:rsidR="003836EF" w:rsidRPr="003836EF" w:rsidRDefault="003836EF" w:rsidP="00540418">
            <w:pPr>
              <w:pStyle w:val="ROMANOS"/>
              <w:spacing w:after="0" w:line="240" w:lineRule="exact"/>
              <w:ind w:left="0" w:firstLine="0"/>
              <w:rPr>
                <w:rFonts w:ascii="Calibri" w:hAnsi="Calibri" w:cs="DIN Pro Regular"/>
                <w:sz w:val="20"/>
                <w:szCs w:val="20"/>
                <w:lang w:val="es-MX"/>
              </w:rPr>
            </w:pPr>
            <w:r w:rsidRPr="003836EF">
              <w:rPr>
                <w:rFonts w:ascii="Calibri" w:hAnsi="Calibri" w:cs="DIN Pro Regular"/>
                <w:sz w:val="20"/>
                <w:szCs w:val="20"/>
                <w:lang w:val="es-MX"/>
              </w:rPr>
              <w:t>Servicios personales por Pagar a Corto Plazo</w:t>
            </w:r>
          </w:p>
        </w:tc>
        <w:tc>
          <w:tcPr>
            <w:tcW w:w="2977" w:type="dxa"/>
          </w:tcPr>
          <w:p w:rsidR="003836EF" w:rsidRPr="003836EF" w:rsidRDefault="003836EF" w:rsidP="003836EF">
            <w:pPr>
              <w:pStyle w:val="ROMANOS"/>
              <w:spacing w:after="0" w:line="240" w:lineRule="exact"/>
              <w:ind w:left="0" w:firstLine="0"/>
              <w:jc w:val="right"/>
              <w:rPr>
                <w:rFonts w:ascii="Calibri" w:hAnsi="Calibri" w:cs="DIN Pro Regular"/>
                <w:sz w:val="20"/>
                <w:szCs w:val="20"/>
                <w:lang w:val="es-MX"/>
              </w:rPr>
            </w:pPr>
            <w:r w:rsidRPr="003836EF">
              <w:rPr>
                <w:rFonts w:ascii="Calibri" w:hAnsi="Calibri" w:cs="DIN Pro Regular"/>
                <w:sz w:val="20"/>
                <w:szCs w:val="20"/>
                <w:lang w:val="es-MX"/>
              </w:rPr>
              <w:t>$ 2,100,584</w:t>
            </w:r>
          </w:p>
        </w:tc>
      </w:tr>
      <w:tr w:rsidR="003836EF" w:rsidTr="00FC17AE">
        <w:tc>
          <w:tcPr>
            <w:tcW w:w="4666" w:type="dxa"/>
          </w:tcPr>
          <w:p w:rsidR="003836EF" w:rsidRPr="003836EF" w:rsidRDefault="003836EF" w:rsidP="00540418">
            <w:pPr>
              <w:pStyle w:val="ROMANOS"/>
              <w:spacing w:after="0" w:line="240" w:lineRule="exact"/>
              <w:ind w:left="0" w:firstLine="0"/>
              <w:rPr>
                <w:rFonts w:ascii="Calibri" w:hAnsi="Calibri" w:cs="DIN Pro Regular"/>
                <w:sz w:val="20"/>
                <w:szCs w:val="20"/>
                <w:lang w:val="es-MX"/>
              </w:rPr>
            </w:pPr>
            <w:r w:rsidRPr="003836EF">
              <w:rPr>
                <w:rFonts w:ascii="Calibri" w:hAnsi="Calibri" w:cs="DIN Pro Regular"/>
                <w:sz w:val="20"/>
                <w:szCs w:val="20"/>
                <w:lang w:val="es-MX"/>
              </w:rPr>
              <w:t>Proveedores por Pagar a Corto Plazo</w:t>
            </w:r>
          </w:p>
        </w:tc>
        <w:tc>
          <w:tcPr>
            <w:tcW w:w="2977" w:type="dxa"/>
          </w:tcPr>
          <w:p w:rsidR="003836EF" w:rsidRPr="003836EF" w:rsidRDefault="003836EF" w:rsidP="003836EF">
            <w:pPr>
              <w:pStyle w:val="ROMANOS"/>
              <w:spacing w:after="0" w:line="240" w:lineRule="exact"/>
              <w:ind w:left="0" w:firstLine="0"/>
              <w:jc w:val="right"/>
              <w:rPr>
                <w:rFonts w:ascii="Calibri" w:hAnsi="Calibri" w:cs="DIN Pro Regular"/>
                <w:sz w:val="20"/>
                <w:szCs w:val="20"/>
                <w:lang w:val="es-MX"/>
              </w:rPr>
            </w:pPr>
            <w:r w:rsidRPr="003836EF">
              <w:rPr>
                <w:rFonts w:ascii="Calibri" w:hAnsi="Calibri" w:cs="DIN Pro Regular"/>
                <w:sz w:val="20"/>
                <w:szCs w:val="20"/>
                <w:lang w:val="es-MX"/>
              </w:rPr>
              <w:t>1,335,372</w:t>
            </w:r>
          </w:p>
        </w:tc>
      </w:tr>
      <w:tr w:rsidR="003836EF" w:rsidTr="00FC17AE">
        <w:tc>
          <w:tcPr>
            <w:tcW w:w="4666" w:type="dxa"/>
          </w:tcPr>
          <w:p w:rsidR="003836EF" w:rsidRPr="003836EF" w:rsidRDefault="003836EF" w:rsidP="00540418">
            <w:pPr>
              <w:pStyle w:val="ROMANOS"/>
              <w:spacing w:after="0" w:line="240" w:lineRule="exact"/>
              <w:ind w:left="0" w:firstLine="0"/>
              <w:rPr>
                <w:rFonts w:ascii="Calibri" w:hAnsi="Calibri" w:cs="DIN Pro Regular"/>
                <w:sz w:val="20"/>
                <w:szCs w:val="20"/>
                <w:lang w:val="es-MX"/>
              </w:rPr>
            </w:pPr>
            <w:r w:rsidRPr="003836EF">
              <w:rPr>
                <w:rFonts w:ascii="Calibri" w:hAnsi="Calibri" w:cs="DIN Pro Regular"/>
                <w:sz w:val="20"/>
                <w:szCs w:val="20"/>
                <w:lang w:val="es-MX"/>
              </w:rPr>
              <w:t>Retenciones y contribuciones por Pagar a Corto Plazo</w:t>
            </w:r>
          </w:p>
        </w:tc>
        <w:tc>
          <w:tcPr>
            <w:tcW w:w="2977" w:type="dxa"/>
          </w:tcPr>
          <w:p w:rsidR="003836EF" w:rsidRPr="003836EF" w:rsidRDefault="003836EF" w:rsidP="003836EF">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13,555,545</w:t>
            </w:r>
          </w:p>
        </w:tc>
      </w:tr>
      <w:tr w:rsidR="003836EF" w:rsidTr="00FC17AE">
        <w:tc>
          <w:tcPr>
            <w:tcW w:w="4666" w:type="dxa"/>
          </w:tcPr>
          <w:p w:rsidR="003836EF" w:rsidRPr="003836EF" w:rsidRDefault="003836EF" w:rsidP="00540418">
            <w:pPr>
              <w:pStyle w:val="ROMANOS"/>
              <w:spacing w:after="0" w:line="240" w:lineRule="exact"/>
              <w:ind w:left="0" w:firstLine="0"/>
              <w:rPr>
                <w:rFonts w:ascii="Calibri" w:hAnsi="Calibri" w:cs="DIN Pro Regular"/>
                <w:sz w:val="20"/>
                <w:szCs w:val="20"/>
                <w:lang w:val="es-MX"/>
              </w:rPr>
            </w:pPr>
            <w:r w:rsidRPr="003836EF">
              <w:rPr>
                <w:rFonts w:ascii="Calibri" w:hAnsi="Calibri" w:cs="DIN Pro Regular"/>
                <w:sz w:val="20"/>
                <w:szCs w:val="20"/>
                <w:lang w:val="es-MX"/>
              </w:rPr>
              <w:t>Otras Cuentas por Pagar a Corto Plazo</w:t>
            </w:r>
          </w:p>
        </w:tc>
        <w:tc>
          <w:tcPr>
            <w:tcW w:w="2977" w:type="dxa"/>
          </w:tcPr>
          <w:p w:rsidR="003836EF" w:rsidRPr="003836EF" w:rsidRDefault="003836EF" w:rsidP="003836EF">
            <w:pPr>
              <w:pStyle w:val="ROMANOS"/>
              <w:spacing w:after="0" w:line="240" w:lineRule="exact"/>
              <w:ind w:left="0" w:firstLine="0"/>
              <w:jc w:val="right"/>
              <w:rPr>
                <w:rFonts w:ascii="Calibri" w:hAnsi="Calibri" w:cs="DIN Pro Regular"/>
                <w:sz w:val="20"/>
                <w:szCs w:val="20"/>
                <w:lang w:val="es-MX"/>
              </w:rPr>
            </w:pPr>
            <w:r w:rsidRPr="003836EF">
              <w:rPr>
                <w:rFonts w:ascii="Calibri" w:hAnsi="Calibri" w:cs="DIN Pro Regular"/>
                <w:sz w:val="20"/>
                <w:szCs w:val="20"/>
                <w:lang w:val="es-MX"/>
              </w:rPr>
              <w:t>3,563,095</w:t>
            </w:r>
          </w:p>
        </w:tc>
      </w:tr>
    </w:tbl>
    <w:p w:rsidR="00A41894" w:rsidRPr="008A011E" w:rsidRDefault="00A41894" w:rsidP="00540418">
      <w:pPr>
        <w:pStyle w:val="ROMANOS"/>
        <w:spacing w:after="0" w:line="240" w:lineRule="exact"/>
        <w:ind w:left="432"/>
        <w:rPr>
          <w:rFonts w:ascii="Calibri" w:hAnsi="Calibri" w:cs="DIN Pro Regular"/>
          <w:b/>
          <w:sz w:val="20"/>
          <w:szCs w:val="20"/>
          <w:lang w:val="es-MX"/>
        </w:rPr>
      </w:pPr>
    </w:p>
    <w:p w:rsidR="00540418" w:rsidRPr="008A011E" w:rsidRDefault="00375BBC" w:rsidP="00DA757F">
      <w:pPr>
        <w:pStyle w:val="ROMANOS"/>
        <w:spacing w:after="0" w:line="240" w:lineRule="exact"/>
        <w:ind w:left="0" w:firstLine="0"/>
        <w:rPr>
          <w:rFonts w:ascii="Calibri" w:hAnsi="Calibri" w:cs="DIN Pro Regular"/>
          <w:b/>
          <w:smallCaps/>
          <w:sz w:val="20"/>
          <w:szCs w:val="20"/>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r w:rsidR="00540418" w:rsidRPr="008A011E">
        <w:rPr>
          <w:rFonts w:ascii="Calibri" w:hAnsi="Calibri" w:cs="DIN Pro Regular"/>
          <w:b/>
          <w:smallCaps/>
          <w:sz w:val="20"/>
          <w:szCs w:val="20"/>
        </w:rPr>
        <w:t>II)</w:t>
      </w:r>
      <w:r w:rsidR="00540418" w:rsidRPr="008A011E">
        <w:rPr>
          <w:rFonts w:ascii="Calibri" w:hAnsi="Calibri" w:cs="DIN Pro Regular"/>
          <w:b/>
          <w:smallCaps/>
          <w:sz w:val="20"/>
          <w:szCs w:val="20"/>
        </w:rPr>
        <w:tab/>
        <w:t>Notas al Estado de Actividades</w:t>
      </w:r>
    </w:p>
    <w:p w:rsidR="001C760F" w:rsidRPr="00DA757F" w:rsidRDefault="001C760F" w:rsidP="000E6439">
      <w:pPr>
        <w:pStyle w:val="ROMANOS"/>
        <w:spacing w:after="0" w:line="240" w:lineRule="exact"/>
        <w:ind w:left="0" w:firstLine="0"/>
        <w:rPr>
          <w:rFonts w:ascii="Calibri" w:hAnsi="Calibri" w:cs="DIN Pro Regular"/>
          <w:sz w:val="20"/>
          <w:szCs w:val="20"/>
        </w:rPr>
      </w:pPr>
    </w:p>
    <w:p w:rsidR="001C760F"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r w:rsidR="00530EB3">
        <w:rPr>
          <w:rFonts w:ascii="Calibri" w:hAnsi="Calibri" w:cs="DIN Pro Regular"/>
          <w:b/>
          <w:sz w:val="20"/>
          <w:szCs w:val="20"/>
          <w:lang w:val="es-MX"/>
        </w:rPr>
        <w:t xml:space="preserve"> $ 5,194,207</w:t>
      </w:r>
    </w:p>
    <w:tbl>
      <w:tblPr>
        <w:tblStyle w:val="Tablaconcuadrcula"/>
        <w:tblW w:w="0" w:type="auto"/>
        <w:tblInd w:w="1140" w:type="dxa"/>
        <w:tblLook w:val="04A0" w:firstRow="1" w:lastRow="0" w:firstColumn="1" w:lastColumn="0" w:noHBand="0" w:noVBand="1"/>
      </w:tblPr>
      <w:tblGrid>
        <w:gridCol w:w="4123"/>
        <w:gridCol w:w="2812"/>
      </w:tblGrid>
      <w:tr w:rsidR="00530EB3" w:rsidTr="00EB6BB6">
        <w:tc>
          <w:tcPr>
            <w:tcW w:w="4123" w:type="dxa"/>
          </w:tcPr>
          <w:p w:rsidR="00530EB3" w:rsidRPr="00530EB3" w:rsidRDefault="00530EB3" w:rsidP="000E6439">
            <w:pPr>
              <w:pStyle w:val="ROMANOS"/>
              <w:spacing w:after="0" w:line="240" w:lineRule="exact"/>
              <w:ind w:left="0" w:firstLine="0"/>
              <w:rPr>
                <w:rFonts w:ascii="Calibri" w:hAnsi="Calibri" w:cs="DIN Pro Regular"/>
                <w:sz w:val="20"/>
                <w:szCs w:val="20"/>
                <w:lang w:val="es-MX"/>
              </w:rPr>
            </w:pPr>
            <w:r w:rsidRPr="00530EB3">
              <w:rPr>
                <w:rFonts w:ascii="Calibri" w:hAnsi="Calibri" w:cs="DIN Pro Regular"/>
                <w:sz w:val="20"/>
                <w:szCs w:val="20"/>
                <w:lang w:val="es-MX"/>
              </w:rPr>
              <w:t>Cafetería</w:t>
            </w:r>
          </w:p>
        </w:tc>
        <w:tc>
          <w:tcPr>
            <w:tcW w:w="2812" w:type="dxa"/>
          </w:tcPr>
          <w:p w:rsidR="00530EB3" w:rsidRPr="00530EB3" w:rsidRDefault="00530EB3" w:rsidP="00530EB3">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 xml:space="preserve">$           </w:t>
            </w:r>
            <w:r w:rsidRPr="00530EB3">
              <w:rPr>
                <w:rFonts w:ascii="Calibri" w:hAnsi="Calibri" w:cs="DIN Pro Regular"/>
                <w:sz w:val="20"/>
                <w:szCs w:val="20"/>
                <w:lang w:val="es-MX"/>
              </w:rPr>
              <w:t>5,667</w:t>
            </w:r>
          </w:p>
        </w:tc>
      </w:tr>
      <w:tr w:rsidR="00530EB3" w:rsidTr="00EB6BB6">
        <w:tc>
          <w:tcPr>
            <w:tcW w:w="4123" w:type="dxa"/>
          </w:tcPr>
          <w:p w:rsidR="00530EB3" w:rsidRPr="00530EB3" w:rsidRDefault="00530EB3" w:rsidP="000E6439">
            <w:pPr>
              <w:pStyle w:val="ROMANOS"/>
              <w:spacing w:after="0" w:line="240" w:lineRule="exact"/>
              <w:ind w:left="0" w:firstLine="0"/>
              <w:rPr>
                <w:rFonts w:ascii="Calibri" w:hAnsi="Calibri" w:cs="DIN Pro Regular"/>
                <w:sz w:val="20"/>
                <w:szCs w:val="20"/>
                <w:lang w:val="es-MX"/>
              </w:rPr>
            </w:pPr>
            <w:r w:rsidRPr="00530EB3">
              <w:rPr>
                <w:rFonts w:ascii="Calibri" w:hAnsi="Calibri" w:cs="DIN Pro Regular"/>
                <w:sz w:val="20"/>
                <w:szCs w:val="20"/>
                <w:lang w:val="es-MX"/>
              </w:rPr>
              <w:t>Capacitación y Certificación</w:t>
            </w:r>
          </w:p>
        </w:tc>
        <w:tc>
          <w:tcPr>
            <w:tcW w:w="2812" w:type="dxa"/>
          </w:tcPr>
          <w:p w:rsidR="00530EB3" w:rsidRPr="00530EB3" w:rsidRDefault="00530EB3" w:rsidP="00530EB3">
            <w:pPr>
              <w:pStyle w:val="ROMANOS"/>
              <w:spacing w:after="0" w:line="240" w:lineRule="exact"/>
              <w:ind w:left="0" w:firstLine="0"/>
              <w:jc w:val="right"/>
              <w:rPr>
                <w:rFonts w:ascii="Calibri" w:hAnsi="Calibri" w:cs="DIN Pro Regular"/>
                <w:sz w:val="20"/>
                <w:szCs w:val="20"/>
                <w:lang w:val="es-MX"/>
              </w:rPr>
            </w:pPr>
            <w:r w:rsidRPr="00530EB3">
              <w:rPr>
                <w:rFonts w:ascii="Calibri" w:hAnsi="Calibri" w:cs="DIN Pro Regular"/>
                <w:sz w:val="20"/>
                <w:szCs w:val="20"/>
                <w:lang w:val="es-MX"/>
              </w:rPr>
              <w:t xml:space="preserve">   5,188,540</w:t>
            </w:r>
          </w:p>
        </w:tc>
      </w:tr>
    </w:tbl>
    <w:p w:rsidR="00530EB3" w:rsidRPr="008A011E" w:rsidRDefault="00530EB3" w:rsidP="000E6439">
      <w:pPr>
        <w:pStyle w:val="ROMANOS"/>
        <w:spacing w:after="0" w:line="240" w:lineRule="exact"/>
        <w:ind w:left="1140"/>
        <w:rPr>
          <w:rFonts w:ascii="Calibri" w:hAnsi="Calibri" w:cs="DIN Pro Regular"/>
          <w:b/>
          <w:sz w:val="20"/>
          <w:szCs w:val="20"/>
          <w:lang w:val="es-MX"/>
        </w:rPr>
      </w:pPr>
    </w:p>
    <w:p w:rsidR="003F39C5" w:rsidRDefault="00EF1860" w:rsidP="000E6439">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Otros Ingresos $ 1,809,437</w:t>
      </w:r>
    </w:p>
    <w:tbl>
      <w:tblPr>
        <w:tblStyle w:val="Tablaconcuadrcula"/>
        <w:tblW w:w="0" w:type="auto"/>
        <w:tblInd w:w="1140" w:type="dxa"/>
        <w:tblLook w:val="04A0" w:firstRow="1" w:lastRow="0" w:firstColumn="1" w:lastColumn="0" w:noHBand="0" w:noVBand="1"/>
      </w:tblPr>
      <w:tblGrid>
        <w:gridCol w:w="4123"/>
        <w:gridCol w:w="2812"/>
      </w:tblGrid>
      <w:tr w:rsidR="00EF1860" w:rsidTr="00EB6BB6">
        <w:tc>
          <w:tcPr>
            <w:tcW w:w="4123" w:type="dxa"/>
          </w:tcPr>
          <w:p w:rsidR="00EF1860" w:rsidRPr="00EB6BB6" w:rsidRDefault="00EB6BB6" w:rsidP="000E6439">
            <w:pPr>
              <w:pStyle w:val="ROMANOS"/>
              <w:spacing w:after="0" w:line="240" w:lineRule="exact"/>
              <w:ind w:left="0" w:firstLine="0"/>
              <w:rPr>
                <w:rFonts w:ascii="Calibri" w:hAnsi="Calibri" w:cs="DIN Pro Regular"/>
                <w:sz w:val="20"/>
                <w:szCs w:val="20"/>
                <w:lang w:val="es-MX"/>
              </w:rPr>
            </w:pPr>
            <w:r w:rsidRPr="00EB6BB6">
              <w:rPr>
                <w:rFonts w:ascii="Calibri" w:hAnsi="Calibri" w:cs="DIN Pro Regular"/>
                <w:sz w:val="20"/>
                <w:szCs w:val="20"/>
                <w:lang w:val="es-MX"/>
              </w:rPr>
              <w:t>Productos financieros bancarios</w:t>
            </w:r>
          </w:p>
        </w:tc>
        <w:tc>
          <w:tcPr>
            <w:tcW w:w="2812" w:type="dxa"/>
          </w:tcPr>
          <w:p w:rsidR="00EF1860" w:rsidRPr="00EB6BB6" w:rsidRDefault="00EB6BB6" w:rsidP="00EB6BB6">
            <w:pPr>
              <w:pStyle w:val="ROMANOS"/>
              <w:spacing w:after="0" w:line="240" w:lineRule="exact"/>
              <w:ind w:left="0" w:firstLine="0"/>
              <w:jc w:val="right"/>
              <w:rPr>
                <w:rFonts w:ascii="Calibri" w:hAnsi="Calibri" w:cs="DIN Pro Regular"/>
                <w:sz w:val="20"/>
                <w:szCs w:val="20"/>
                <w:lang w:val="es-MX"/>
              </w:rPr>
            </w:pPr>
            <w:r w:rsidRPr="00EB6BB6">
              <w:rPr>
                <w:rFonts w:ascii="Calibri" w:hAnsi="Calibri" w:cs="DIN Pro Regular"/>
                <w:sz w:val="20"/>
                <w:szCs w:val="20"/>
                <w:lang w:val="es-MX"/>
              </w:rPr>
              <w:t>$</w:t>
            </w:r>
            <w:r>
              <w:rPr>
                <w:rFonts w:ascii="Calibri" w:hAnsi="Calibri" w:cs="DIN Pro Regular"/>
                <w:sz w:val="20"/>
                <w:szCs w:val="20"/>
                <w:lang w:val="es-MX"/>
              </w:rPr>
              <w:t xml:space="preserve"> 835,938</w:t>
            </w:r>
          </w:p>
        </w:tc>
      </w:tr>
      <w:tr w:rsidR="00EF1860" w:rsidTr="00EB6BB6">
        <w:tc>
          <w:tcPr>
            <w:tcW w:w="4123" w:type="dxa"/>
          </w:tcPr>
          <w:p w:rsidR="00EF1860" w:rsidRPr="00EB6BB6" w:rsidRDefault="00EB6BB6" w:rsidP="000E6439">
            <w:pPr>
              <w:pStyle w:val="ROMANOS"/>
              <w:spacing w:after="0" w:line="240" w:lineRule="exact"/>
              <w:ind w:left="0" w:firstLine="0"/>
              <w:rPr>
                <w:rFonts w:ascii="Calibri" w:hAnsi="Calibri" w:cs="DIN Pro Regular"/>
                <w:sz w:val="20"/>
                <w:szCs w:val="20"/>
                <w:lang w:val="es-MX"/>
              </w:rPr>
            </w:pPr>
            <w:r w:rsidRPr="00EB6BB6">
              <w:rPr>
                <w:rFonts w:ascii="Calibri" w:hAnsi="Calibri" w:cs="DIN Pro Regular"/>
                <w:sz w:val="20"/>
                <w:szCs w:val="20"/>
                <w:lang w:val="es-MX"/>
              </w:rPr>
              <w:t>Becas</w:t>
            </w:r>
          </w:p>
        </w:tc>
        <w:tc>
          <w:tcPr>
            <w:tcW w:w="2812" w:type="dxa"/>
          </w:tcPr>
          <w:p w:rsidR="00EF1860" w:rsidRPr="00EB6BB6" w:rsidRDefault="00EB6BB6" w:rsidP="00EB6BB6">
            <w:pPr>
              <w:pStyle w:val="ROMANOS"/>
              <w:spacing w:after="0" w:line="240" w:lineRule="exact"/>
              <w:ind w:left="0" w:firstLine="0"/>
              <w:jc w:val="right"/>
              <w:rPr>
                <w:rFonts w:ascii="Calibri" w:hAnsi="Calibri" w:cs="DIN Pro Regular"/>
                <w:sz w:val="20"/>
                <w:szCs w:val="20"/>
                <w:lang w:val="es-MX"/>
              </w:rPr>
            </w:pPr>
            <w:r w:rsidRPr="00EB6BB6">
              <w:rPr>
                <w:rFonts w:ascii="Calibri" w:hAnsi="Calibri" w:cs="DIN Pro Regular"/>
                <w:sz w:val="20"/>
                <w:szCs w:val="20"/>
                <w:lang w:val="es-MX"/>
              </w:rPr>
              <w:t>950,975</w:t>
            </w:r>
          </w:p>
        </w:tc>
      </w:tr>
      <w:tr w:rsidR="00EF1860" w:rsidTr="00EB6BB6">
        <w:tc>
          <w:tcPr>
            <w:tcW w:w="4123" w:type="dxa"/>
          </w:tcPr>
          <w:p w:rsidR="00EF1860" w:rsidRPr="00EB6BB6" w:rsidRDefault="00EB6BB6" w:rsidP="000E6439">
            <w:pPr>
              <w:pStyle w:val="ROMANOS"/>
              <w:spacing w:after="0" w:line="240" w:lineRule="exact"/>
              <w:ind w:left="0" w:firstLine="0"/>
              <w:rPr>
                <w:rFonts w:ascii="Calibri" w:hAnsi="Calibri" w:cs="DIN Pro Regular"/>
                <w:sz w:val="20"/>
                <w:szCs w:val="20"/>
                <w:lang w:val="es-MX"/>
              </w:rPr>
            </w:pPr>
            <w:r w:rsidRPr="00EB6BB6">
              <w:rPr>
                <w:rFonts w:ascii="Calibri" w:hAnsi="Calibri" w:cs="DIN Pro Regular"/>
                <w:sz w:val="20"/>
                <w:szCs w:val="20"/>
                <w:lang w:val="es-MX"/>
              </w:rPr>
              <w:t>Otros ingresos varios</w:t>
            </w:r>
          </w:p>
        </w:tc>
        <w:tc>
          <w:tcPr>
            <w:tcW w:w="2812" w:type="dxa"/>
          </w:tcPr>
          <w:p w:rsidR="00EF1860" w:rsidRPr="00EB6BB6" w:rsidRDefault="00EB6BB6" w:rsidP="00EB6BB6">
            <w:pPr>
              <w:pStyle w:val="ROMANOS"/>
              <w:spacing w:after="0" w:line="240" w:lineRule="exact"/>
              <w:ind w:left="0" w:firstLine="0"/>
              <w:jc w:val="right"/>
              <w:rPr>
                <w:rFonts w:ascii="Calibri" w:hAnsi="Calibri" w:cs="DIN Pro Regular"/>
                <w:sz w:val="20"/>
                <w:szCs w:val="20"/>
                <w:lang w:val="es-MX"/>
              </w:rPr>
            </w:pPr>
            <w:r w:rsidRPr="00EB6BB6">
              <w:rPr>
                <w:rFonts w:ascii="Calibri" w:hAnsi="Calibri" w:cs="DIN Pro Regular"/>
                <w:sz w:val="20"/>
                <w:szCs w:val="20"/>
                <w:lang w:val="es-MX"/>
              </w:rPr>
              <w:t>22,524</w:t>
            </w:r>
          </w:p>
        </w:tc>
      </w:tr>
    </w:tbl>
    <w:p w:rsidR="00EF1860" w:rsidRDefault="00EF1860" w:rsidP="000E6439">
      <w:pPr>
        <w:pStyle w:val="ROMANOS"/>
        <w:spacing w:after="0" w:line="240" w:lineRule="exact"/>
        <w:ind w:left="1140"/>
        <w:rPr>
          <w:rFonts w:ascii="Calibri" w:hAnsi="Calibri" w:cs="DIN Pro Regular"/>
          <w:b/>
          <w:sz w:val="20"/>
          <w:szCs w:val="20"/>
          <w:lang w:val="es-MX"/>
        </w:rPr>
      </w:pPr>
    </w:p>
    <w:p w:rsidR="00DA757F" w:rsidRDefault="00DA757F" w:rsidP="000E6439">
      <w:pPr>
        <w:pStyle w:val="ROMANOS"/>
        <w:spacing w:after="0" w:line="240" w:lineRule="exact"/>
        <w:ind w:left="1140"/>
        <w:rPr>
          <w:rFonts w:ascii="Calibri" w:hAnsi="Calibri" w:cs="DIN Pro Regular"/>
          <w:b/>
          <w:sz w:val="20"/>
          <w:szCs w:val="20"/>
          <w:lang w:val="es-MX"/>
        </w:rPr>
      </w:pPr>
    </w:p>
    <w:p w:rsidR="00DA757F" w:rsidRDefault="00DA757F" w:rsidP="000E6439">
      <w:pPr>
        <w:pStyle w:val="ROMANOS"/>
        <w:spacing w:after="0" w:line="240" w:lineRule="exact"/>
        <w:ind w:left="1140"/>
        <w:rPr>
          <w:rFonts w:ascii="Calibri" w:hAnsi="Calibri" w:cs="DIN Pro Regular"/>
          <w:b/>
          <w:sz w:val="20"/>
          <w:szCs w:val="20"/>
          <w:lang w:val="es-MX"/>
        </w:rPr>
      </w:pPr>
    </w:p>
    <w:p w:rsidR="00EF1860" w:rsidRDefault="002E597C" w:rsidP="002E597C">
      <w:pPr>
        <w:pStyle w:val="ROMANOS"/>
        <w:spacing w:after="0" w:line="240" w:lineRule="exact"/>
        <w:rPr>
          <w:rFonts w:ascii="Calibri" w:hAnsi="Calibri" w:cs="DIN Pro Regular"/>
          <w:b/>
          <w:sz w:val="20"/>
          <w:szCs w:val="20"/>
          <w:lang w:val="es-MX"/>
        </w:rPr>
      </w:pPr>
      <w:r>
        <w:rPr>
          <w:rFonts w:ascii="Calibri" w:hAnsi="Calibri" w:cs="DIN Pro Regular"/>
          <w:b/>
          <w:sz w:val="20"/>
          <w:szCs w:val="20"/>
          <w:lang w:val="es-MX"/>
        </w:rPr>
        <w:t xml:space="preserve">       Transferencias y Asignaciones $ 305,506,162</w:t>
      </w:r>
    </w:p>
    <w:tbl>
      <w:tblPr>
        <w:tblStyle w:val="Tablaconcuadrcula1"/>
        <w:tblW w:w="7258" w:type="dxa"/>
        <w:tblInd w:w="817" w:type="dxa"/>
        <w:tblLook w:val="04A0" w:firstRow="1" w:lastRow="0" w:firstColumn="1" w:lastColumn="0" w:noHBand="0" w:noVBand="1"/>
      </w:tblPr>
      <w:tblGrid>
        <w:gridCol w:w="4565"/>
        <w:gridCol w:w="2693"/>
      </w:tblGrid>
      <w:tr w:rsidR="0027408A" w:rsidRPr="00DE0E68" w:rsidTr="00DA0023">
        <w:trPr>
          <w:trHeight w:val="276"/>
        </w:trPr>
        <w:tc>
          <w:tcPr>
            <w:tcW w:w="4565" w:type="dxa"/>
          </w:tcPr>
          <w:p w:rsidR="0027408A" w:rsidRPr="00DE0E68" w:rsidRDefault="0027408A" w:rsidP="002E597C">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Transferencia del Estado por recursos propios</w:t>
            </w:r>
          </w:p>
        </w:tc>
        <w:tc>
          <w:tcPr>
            <w:tcW w:w="2693" w:type="dxa"/>
          </w:tcPr>
          <w:p w:rsidR="0027408A" w:rsidRPr="00DE0E68" w:rsidRDefault="0027408A" w:rsidP="002E597C">
            <w:pPr>
              <w:spacing w:after="0" w:line="240" w:lineRule="exact"/>
              <w:jc w:val="right"/>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 xml:space="preserve">$    </w:t>
            </w:r>
            <w:r>
              <w:rPr>
                <w:rFonts w:asciiTheme="minorHAnsi" w:eastAsia="Times New Roman" w:hAnsiTheme="minorHAnsi" w:cstheme="minorHAnsi"/>
                <w:sz w:val="20"/>
                <w:szCs w:val="20"/>
                <w:lang w:eastAsia="es-ES"/>
              </w:rPr>
              <w:t>26,567,315</w:t>
            </w:r>
          </w:p>
        </w:tc>
      </w:tr>
      <w:tr w:rsidR="0027408A" w:rsidRPr="00DE0E68" w:rsidTr="00DA0023">
        <w:tc>
          <w:tcPr>
            <w:tcW w:w="4565" w:type="dxa"/>
          </w:tcPr>
          <w:p w:rsidR="0027408A" w:rsidRPr="00DE0E68" w:rsidRDefault="0027408A" w:rsidP="002E597C">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lastRenderedPageBreak/>
              <w:t>Recursos Federales FAETA</w:t>
            </w:r>
          </w:p>
        </w:tc>
        <w:tc>
          <w:tcPr>
            <w:tcW w:w="2693" w:type="dxa"/>
          </w:tcPr>
          <w:p w:rsidR="0027408A" w:rsidRPr="00DE0E68" w:rsidRDefault="0027408A" w:rsidP="002E597C">
            <w:pPr>
              <w:spacing w:after="0" w:line="240" w:lineRule="exact"/>
              <w:jc w:val="right"/>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 xml:space="preserve"> </w:t>
            </w:r>
            <w:r>
              <w:rPr>
                <w:rFonts w:asciiTheme="minorHAnsi" w:eastAsia="Times New Roman" w:hAnsiTheme="minorHAnsi" w:cstheme="minorHAnsi"/>
                <w:sz w:val="20"/>
                <w:szCs w:val="20"/>
                <w:lang w:eastAsia="es-ES"/>
              </w:rPr>
              <w:t>204,744,056</w:t>
            </w:r>
          </w:p>
        </w:tc>
      </w:tr>
      <w:tr w:rsidR="0027408A" w:rsidRPr="00DE0E68" w:rsidTr="00DA0023">
        <w:tc>
          <w:tcPr>
            <w:tcW w:w="4565" w:type="dxa"/>
          </w:tcPr>
          <w:p w:rsidR="0027408A" w:rsidRPr="00DE0E68" w:rsidRDefault="0027408A" w:rsidP="002E597C">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Recursos Estatales</w:t>
            </w:r>
          </w:p>
        </w:tc>
        <w:tc>
          <w:tcPr>
            <w:tcW w:w="2693" w:type="dxa"/>
          </w:tcPr>
          <w:p w:rsidR="0027408A" w:rsidRPr="00DE0E68" w:rsidRDefault="0027408A" w:rsidP="002E597C">
            <w:pPr>
              <w:spacing w:after="0" w:line="240"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74,193,183</w:t>
            </w:r>
          </w:p>
        </w:tc>
      </w:tr>
      <w:tr w:rsidR="0027408A" w:rsidRPr="00DE0E68" w:rsidTr="00DA0023">
        <w:tc>
          <w:tcPr>
            <w:tcW w:w="4565" w:type="dxa"/>
          </w:tcPr>
          <w:p w:rsidR="0027408A" w:rsidRPr="00DE0E68" w:rsidRDefault="0027408A" w:rsidP="002E597C">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Rendimientos financieros de recursos federales</w:t>
            </w:r>
          </w:p>
        </w:tc>
        <w:tc>
          <w:tcPr>
            <w:tcW w:w="2693" w:type="dxa"/>
          </w:tcPr>
          <w:p w:rsidR="0027408A" w:rsidRPr="00DE0E68" w:rsidRDefault="0027408A" w:rsidP="002E597C">
            <w:pPr>
              <w:spacing w:after="0" w:line="240" w:lineRule="exact"/>
              <w:jc w:val="right"/>
              <w:rPr>
                <w:rFonts w:asciiTheme="minorHAnsi" w:eastAsia="Times New Roman" w:hAnsiTheme="minorHAnsi" w:cstheme="minorHAnsi"/>
                <w:b/>
                <w:sz w:val="20"/>
                <w:szCs w:val="20"/>
                <w:lang w:eastAsia="es-ES"/>
              </w:rPr>
            </w:pPr>
            <w:r>
              <w:rPr>
                <w:rFonts w:asciiTheme="minorHAnsi" w:eastAsia="Times New Roman" w:hAnsiTheme="minorHAnsi" w:cstheme="minorHAnsi"/>
                <w:sz w:val="20"/>
                <w:szCs w:val="20"/>
                <w:lang w:eastAsia="es-ES"/>
              </w:rPr>
              <w:t xml:space="preserve"> 1,608</w:t>
            </w:r>
          </w:p>
        </w:tc>
      </w:tr>
    </w:tbl>
    <w:p w:rsidR="00EF1860" w:rsidRDefault="00EF1860" w:rsidP="000E6439">
      <w:pPr>
        <w:pStyle w:val="ROMANOS"/>
        <w:spacing w:after="0" w:line="240" w:lineRule="exact"/>
        <w:ind w:left="1140"/>
        <w:rPr>
          <w:rFonts w:ascii="Calibri" w:hAnsi="Calibri" w:cs="DIN Pro Regular"/>
          <w:b/>
          <w:sz w:val="20"/>
          <w:szCs w:val="20"/>
          <w:lang w:val="es-MX"/>
        </w:rPr>
      </w:pPr>
    </w:p>
    <w:p w:rsidR="001C760F" w:rsidRDefault="00B215EA" w:rsidP="00B215EA">
      <w:pPr>
        <w:pStyle w:val="ROMANOS"/>
        <w:spacing w:after="0" w:line="240" w:lineRule="exact"/>
        <w:rPr>
          <w:rFonts w:ascii="Calibri" w:hAnsi="Calibri" w:cs="DIN Pro Regular"/>
          <w:sz w:val="20"/>
          <w:szCs w:val="20"/>
          <w:lang w:val="es-MX"/>
        </w:rPr>
      </w:pPr>
      <w:r>
        <w:rPr>
          <w:rFonts w:ascii="Calibri" w:hAnsi="Calibri" w:cs="DIN Pro Regular"/>
          <w:b/>
          <w:sz w:val="20"/>
          <w:szCs w:val="20"/>
          <w:lang w:val="es-MX"/>
        </w:rPr>
        <w:t xml:space="preserve">       </w:t>
      </w:r>
      <w:r w:rsidR="00540418" w:rsidRPr="008A011E">
        <w:rPr>
          <w:rFonts w:ascii="Calibri" w:hAnsi="Calibri" w:cs="DIN Pro Regular"/>
          <w:b/>
          <w:sz w:val="20"/>
          <w:szCs w:val="20"/>
          <w:lang w:val="es-MX"/>
        </w:rPr>
        <w:t>Gastos y Otras Pérdidas</w:t>
      </w:r>
      <w:r w:rsidR="00540418" w:rsidRPr="008A011E">
        <w:rPr>
          <w:rFonts w:ascii="Calibri" w:hAnsi="Calibri" w:cs="DIN Pro Regular"/>
          <w:sz w:val="20"/>
          <w:szCs w:val="20"/>
          <w:lang w:val="es-MX"/>
        </w:rPr>
        <w:t>:</w:t>
      </w:r>
    </w:p>
    <w:p w:rsidR="00EB6BB6" w:rsidRDefault="00EB6BB6" w:rsidP="000E6439">
      <w:pPr>
        <w:pStyle w:val="ROMANOS"/>
        <w:spacing w:after="0" w:line="240" w:lineRule="exact"/>
        <w:ind w:left="1140"/>
        <w:rPr>
          <w:rFonts w:ascii="Calibri" w:hAnsi="Calibri" w:cs="DIN Pro Regular"/>
          <w:sz w:val="20"/>
          <w:szCs w:val="20"/>
          <w:lang w:val="es-MX"/>
        </w:rPr>
      </w:pPr>
    </w:p>
    <w:p w:rsidR="00EB6BB6" w:rsidRDefault="00B215EA" w:rsidP="00B215EA">
      <w:pPr>
        <w:pStyle w:val="ROMANOS"/>
        <w:spacing w:after="0" w:line="240" w:lineRule="exact"/>
        <w:rPr>
          <w:rFonts w:ascii="Calibri" w:hAnsi="Calibri" w:cs="DIN Pro Regular"/>
          <w:sz w:val="20"/>
          <w:szCs w:val="20"/>
          <w:lang w:val="es-MX"/>
        </w:rPr>
      </w:pPr>
      <w:r>
        <w:rPr>
          <w:rFonts w:ascii="Calibri" w:hAnsi="Calibri" w:cs="DIN Pro Regular"/>
          <w:b/>
          <w:sz w:val="20"/>
          <w:szCs w:val="20"/>
          <w:lang w:val="es-MX"/>
        </w:rPr>
        <w:t xml:space="preserve">       </w:t>
      </w:r>
      <w:r w:rsidR="00EB6BB6" w:rsidRPr="00EB6BB6">
        <w:rPr>
          <w:rFonts w:ascii="Calibri" w:hAnsi="Calibri" w:cs="DIN Pro Regular"/>
          <w:b/>
          <w:sz w:val="20"/>
          <w:szCs w:val="20"/>
          <w:lang w:val="es-MX"/>
        </w:rPr>
        <w:t>Gastos de funcionamiento</w:t>
      </w:r>
      <w:r w:rsidR="00EB6BB6">
        <w:rPr>
          <w:rFonts w:ascii="Calibri" w:hAnsi="Calibri" w:cs="DIN Pro Regular"/>
          <w:sz w:val="20"/>
          <w:szCs w:val="20"/>
          <w:lang w:val="es-MX"/>
        </w:rPr>
        <w:t xml:space="preserve">: Representa el mayor gasto del Organismo por </w:t>
      </w:r>
      <w:r w:rsidR="00EB6BB6" w:rsidRPr="00EB6BB6">
        <w:rPr>
          <w:rFonts w:ascii="Calibri" w:hAnsi="Calibri" w:cs="DIN Pro Regular"/>
          <w:b/>
          <w:sz w:val="20"/>
          <w:szCs w:val="20"/>
          <w:lang w:val="es-MX"/>
        </w:rPr>
        <w:t>$ 309,068,674</w:t>
      </w:r>
    </w:p>
    <w:tbl>
      <w:tblPr>
        <w:tblStyle w:val="Tablaconcuadrcula"/>
        <w:tblW w:w="0" w:type="auto"/>
        <w:tblInd w:w="846" w:type="dxa"/>
        <w:tblLook w:val="04A0" w:firstRow="1" w:lastRow="0" w:firstColumn="1" w:lastColumn="0" w:noHBand="0" w:noVBand="1"/>
      </w:tblPr>
      <w:tblGrid>
        <w:gridCol w:w="4467"/>
        <w:gridCol w:w="2762"/>
      </w:tblGrid>
      <w:tr w:rsidR="00EB6BB6" w:rsidTr="00B215EA">
        <w:tc>
          <w:tcPr>
            <w:tcW w:w="4467" w:type="dxa"/>
          </w:tcPr>
          <w:p w:rsidR="00EB6BB6" w:rsidRDefault="00EB6BB6" w:rsidP="000E6439">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Servicios Personales</w:t>
            </w:r>
          </w:p>
        </w:tc>
        <w:tc>
          <w:tcPr>
            <w:tcW w:w="2762" w:type="dxa"/>
          </w:tcPr>
          <w:p w:rsidR="00EB6BB6" w:rsidRDefault="00EB6BB6" w:rsidP="00EB6BB6">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$ 278,563,517</w:t>
            </w:r>
          </w:p>
        </w:tc>
      </w:tr>
      <w:tr w:rsidR="00EB6BB6" w:rsidTr="00B215EA">
        <w:tc>
          <w:tcPr>
            <w:tcW w:w="4467" w:type="dxa"/>
          </w:tcPr>
          <w:p w:rsidR="00EB6BB6" w:rsidRDefault="00EB6BB6" w:rsidP="000E6439">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Materiales y Suministros</w:t>
            </w:r>
          </w:p>
        </w:tc>
        <w:tc>
          <w:tcPr>
            <w:tcW w:w="2762" w:type="dxa"/>
          </w:tcPr>
          <w:p w:rsidR="00EB6BB6" w:rsidRDefault="00EB6BB6" w:rsidP="00EB6BB6">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3,428,951</w:t>
            </w:r>
          </w:p>
        </w:tc>
      </w:tr>
      <w:tr w:rsidR="00EB6BB6" w:rsidTr="00B215EA">
        <w:tc>
          <w:tcPr>
            <w:tcW w:w="4467" w:type="dxa"/>
          </w:tcPr>
          <w:p w:rsidR="00EB6BB6" w:rsidRDefault="00EB6BB6" w:rsidP="000E6439">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Servicios Generales</w:t>
            </w:r>
          </w:p>
        </w:tc>
        <w:tc>
          <w:tcPr>
            <w:tcW w:w="2762" w:type="dxa"/>
          </w:tcPr>
          <w:p w:rsidR="00EB6BB6" w:rsidRDefault="00EB6BB6" w:rsidP="00EB6BB6">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27,076,206</w:t>
            </w:r>
          </w:p>
        </w:tc>
      </w:tr>
    </w:tbl>
    <w:p w:rsidR="00EB6BB6" w:rsidRDefault="00EB6BB6" w:rsidP="000E6439">
      <w:pPr>
        <w:pStyle w:val="ROMANOS"/>
        <w:spacing w:after="0" w:line="240" w:lineRule="exact"/>
        <w:ind w:left="1140"/>
        <w:rPr>
          <w:rFonts w:ascii="Calibri" w:hAnsi="Calibri" w:cs="DIN Pro Regular"/>
          <w:sz w:val="20"/>
          <w:szCs w:val="20"/>
          <w:lang w:val="es-MX"/>
        </w:rPr>
      </w:pPr>
    </w:p>
    <w:p w:rsidR="00B215EA" w:rsidRPr="00B215EA" w:rsidRDefault="00B215EA" w:rsidP="00B215EA">
      <w:pPr>
        <w:pStyle w:val="ROMANOS"/>
        <w:spacing w:after="0" w:line="240" w:lineRule="exact"/>
        <w:rPr>
          <w:rFonts w:ascii="Calibri" w:hAnsi="Calibri" w:cs="DIN Pro Regular"/>
          <w:b/>
          <w:sz w:val="20"/>
          <w:szCs w:val="20"/>
          <w:lang w:val="es-MX"/>
        </w:rPr>
      </w:pPr>
      <w:r>
        <w:rPr>
          <w:rFonts w:ascii="Calibri" w:hAnsi="Calibri" w:cs="DIN Pro Regular"/>
          <w:b/>
          <w:sz w:val="20"/>
          <w:szCs w:val="20"/>
          <w:lang w:val="es-MX"/>
        </w:rPr>
        <w:t xml:space="preserve">      </w:t>
      </w:r>
      <w:r w:rsidRPr="00B215EA">
        <w:rPr>
          <w:rFonts w:ascii="Calibri" w:hAnsi="Calibri" w:cs="DIN Pro Regular"/>
          <w:b/>
          <w:sz w:val="20"/>
          <w:szCs w:val="20"/>
          <w:lang w:val="es-MX"/>
        </w:rPr>
        <w:t>Transferencias, Asignaciones, Subsidios y Otras Ayudas:</w:t>
      </w:r>
      <w:r w:rsidR="00F04E99">
        <w:rPr>
          <w:rFonts w:ascii="Calibri" w:hAnsi="Calibri" w:cs="DIN Pro Regular"/>
          <w:b/>
          <w:sz w:val="20"/>
          <w:szCs w:val="20"/>
          <w:lang w:val="es-MX"/>
        </w:rPr>
        <w:t xml:space="preserve"> </w:t>
      </w:r>
      <w:r w:rsidR="00E72130">
        <w:rPr>
          <w:rFonts w:ascii="Calibri" w:hAnsi="Calibri" w:cs="DIN Pro Regular"/>
          <w:b/>
          <w:sz w:val="20"/>
          <w:szCs w:val="20"/>
          <w:lang w:val="es-MX"/>
        </w:rPr>
        <w:t>$ 462,619</w:t>
      </w:r>
    </w:p>
    <w:tbl>
      <w:tblPr>
        <w:tblStyle w:val="Tablaconcuadrcula"/>
        <w:tblW w:w="0" w:type="auto"/>
        <w:tblInd w:w="846" w:type="dxa"/>
        <w:tblLook w:val="04A0" w:firstRow="1" w:lastRow="0" w:firstColumn="1" w:lastColumn="0" w:noHBand="0" w:noVBand="1"/>
      </w:tblPr>
      <w:tblGrid>
        <w:gridCol w:w="4536"/>
        <w:gridCol w:w="2693"/>
      </w:tblGrid>
      <w:tr w:rsidR="00DA0023" w:rsidTr="00F04E99">
        <w:tc>
          <w:tcPr>
            <w:tcW w:w="4536" w:type="dxa"/>
          </w:tcPr>
          <w:p w:rsidR="00DA0023" w:rsidRDefault="00DA0023" w:rsidP="000E6439">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Ayudas Sociales</w:t>
            </w:r>
          </w:p>
        </w:tc>
        <w:tc>
          <w:tcPr>
            <w:tcW w:w="2693" w:type="dxa"/>
          </w:tcPr>
          <w:p w:rsidR="00DA0023" w:rsidRDefault="00DA0023" w:rsidP="00DA0023">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        462,619</w:t>
            </w:r>
          </w:p>
        </w:tc>
      </w:tr>
    </w:tbl>
    <w:p w:rsidR="00B215EA" w:rsidRDefault="00B215EA" w:rsidP="000E6439">
      <w:pPr>
        <w:pStyle w:val="ROMANOS"/>
        <w:spacing w:after="0" w:line="240" w:lineRule="exact"/>
        <w:ind w:left="1140"/>
        <w:rPr>
          <w:rFonts w:ascii="Calibri" w:hAnsi="Calibri" w:cs="DIN Pro Regular"/>
          <w:sz w:val="20"/>
          <w:szCs w:val="20"/>
          <w:lang w:val="es-MX"/>
        </w:rPr>
      </w:pPr>
    </w:p>
    <w:p w:rsidR="00B215EA" w:rsidRPr="00DA0023" w:rsidRDefault="00DA0023" w:rsidP="00DA0023">
      <w:pPr>
        <w:pStyle w:val="ROMANOS"/>
        <w:spacing w:after="0" w:line="240" w:lineRule="exact"/>
        <w:rPr>
          <w:rFonts w:ascii="Calibri" w:hAnsi="Calibri" w:cs="DIN Pro Regular"/>
          <w:b/>
          <w:sz w:val="20"/>
          <w:szCs w:val="20"/>
          <w:lang w:val="es-MX"/>
        </w:rPr>
      </w:pPr>
      <w:r>
        <w:rPr>
          <w:rFonts w:ascii="Calibri" w:hAnsi="Calibri" w:cs="DIN Pro Regular"/>
          <w:sz w:val="20"/>
          <w:szCs w:val="20"/>
          <w:lang w:val="es-MX"/>
        </w:rPr>
        <w:t xml:space="preserve">      </w:t>
      </w:r>
      <w:r w:rsidRPr="00DA0023">
        <w:rPr>
          <w:rFonts w:ascii="Calibri" w:hAnsi="Calibri" w:cs="DIN Pro Regular"/>
          <w:b/>
          <w:sz w:val="20"/>
          <w:szCs w:val="20"/>
          <w:lang w:val="es-MX"/>
        </w:rPr>
        <w:t>Otros Gastos y Perdidas Extraordinarias:</w:t>
      </w:r>
      <w:r w:rsidR="00E72130">
        <w:rPr>
          <w:rFonts w:ascii="Calibri" w:hAnsi="Calibri" w:cs="DIN Pro Regular"/>
          <w:b/>
          <w:sz w:val="20"/>
          <w:szCs w:val="20"/>
          <w:lang w:val="es-MX"/>
        </w:rPr>
        <w:t xml:space="preserve"> $</w:t>
      </w:r>
      <w:r w:rsidR="00E92898">
        <w:rPr>
          <w:rFonts w:ascii="Calibri" w:hAnsi="Calibri" w:cs="DIN Pro Regular"/>
          <w:b/>
          <w:sz w:val="20"/>
          <w:szCs w:val="20"/>
          <w:lang w:val="es-MX"/>
        </w:rPr>
        <w:t xml:space="preserve"> 8,917,636</w:t>
      </w:r>
    </w:p>
    <w:tbl>
      <w:tblPr>
        <w:tblStyle w:val="Tablaconcuadrcula"/>
        <w:tblW w:w="0" w:type="auto"/>
        <w:tblInd w:w="846" w:type="dxa"/>
        <w:tblLook w:val="04A0" w:firstRow="1" w:lastRow="0" w:firstColumn="1" w:lastColumn="0" w:noHBand="0" w:noVBand="1"/>
      </w:tblPr>
      <w:tblGrid>
        <w:gridCol w:w="5953"/>
        <w:gridCol w:w="1276"/>
      </w:tblGrid>
      <w:tr w:rsidR="00DA0023" w:rsidTr="00DA0023">
        <w:tc>
          <w:tcPr>
            <w:tcW w:w="5953" w:type="dxa"/>
          </w:tcPr>
          <w:p w:rsidR="00DA0023" w:rsidRDefault="00DA0023" w:rsidP="000E6439">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Estimaciones, Depreciaciones, Deterioros y  Amortizaciones</w:t>
            </w:r>
          </w:p>
        </w:tc>
        <w:tc>
          <w:tcPr>
            <w:tcW w:w="1276" w:type="dxa"/>
          </w:tcPr>
          <w:p w:rsidR="00DA0023" w:rsidRDefault="00DA0023" w:rsidP="000E6439">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$ 8,917,636</w:t>
            </w:r>
          </w:p>
        </w:tc>
      </w:tr>
    </w:tbl>
    <w:p w:rsidR="00B215EA" w:rsidRDefault="00B215EA" w:rsidP="000E6439">
      <w:pPr>
        <w:pStyle w:val="ROMANOS"/>
        <w:spacing w:after="0" w:line="240" w:lineRule="exact"/>
        <w:ind w:left="1140"/>
        <w:rPr>
          <w:rFonts w:ascii="Calibri" w:hAnsi="Calibri" w:cs="DIN Pro Regular"/>
          <w:sz w:val="20"/>
          <w:szCs w:val="20"/>
          <w:lang w:val="es-MX"/>
        </w:rPr>
      </w:pPr>
    </w:p>
    <w:p w:rsidR="00540418"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FC17AE" w:rsidRPr="008A011E" w:rsidRDefault="00FC17AE" w:rsidP="00540418">
      <w:pPr>
        <w:pStyle w:val="INCISO"/>
        <w:spacing w:after="0" w:line="240" w:lineRule="exact"/>
        <w:ind w:left="360"/>
        <w:rPr>
          <w:rFonts w:ascii="Calibri" w:hAnsi="Calibri" w:cs="DIN Pro Regular"/>
          <w:b/>
          <w:smallCaps/>
          <w:sz w:val="20"/>
          <w:szCs w:val="20"/>
        </w:rPr>
      </w:pPr>
    </w:p>
    <w:tbl>
      <w:tblPr>
        <w:tblStyle w:val="Tablaconcuadrcula"/>
        <w:tblW w:w="0" w:type="auto"/>
        <w:tblLook w:val="04A0" w:firstRow="1" w:lastRow="0" w:firstColumn="1" w:lastColumn="0" w:noHBand="0" w:noVBand="1"/>
      </w:tblPr>
      <w:tblGrid>
        <w:gridCol w:w="5382"/>
        <w:gridCol w:w="1134"/>
        <w:gridCol w:w="1559"/>
      </w:tblGrid>
      <w:tr w:rsidR="000F316C" w:rsidTr="00B23D2F">
        <w:tc>
          <w:tcPr>
            <w:tcW w:w="5382" w:type="dxa"/>
          </w:tcPr>
          <w:p w:rsidR="000F316C" w:rsidRPr="000F316C" w:rsidRDefault="000F316C" w:rsidP="000F316C">
            <w:pPr>
              <w:pStyle w:val="Texto"/>
              <w:ind w:firstLine="0"/>
              <w:rPr>
                <w:rFonts w:asciiTheme="minorHAnsi" w:hAnsiTheme="minorHAnsi" w:cstheme="minorHAnsi"/>
                <w:b/>
                <w:sz w:val="20"/>
              </w:rPr>
            </w:pPr>
            <w:r w:rsidRPr="000F316C">
              <w:rPr>
                <w:rFonts w:asciiTheme="minorHAnsi" w:hAnsiTheme="minorHAnsi" w:cstheme="minorHAnsi"/>
                <w:b/>
                <w:sz w:val="20"/>
              </w:rPr>
              <w:t>Resultado de Ejercicios Anteriores</w:t>
            </w:r>
          </w:p>
        </w:tc>
        <w:tc>
          <w:tcPr>
            <w:tcW w:w="1134" w:type="dxa"/>
          </w:tcPr>
          <w:p w:rsidR="000F316C" w:rsidRPr="000F316C" w:rsidRDefault="000F316C" w:rsidP="000F316C">
            <w:pPr>
              <w:pStyle w:val="Texto"/>
              <w:ind w:firstLine="0"/>
              <w:rPr>
                <w:b/>
              </w:rPr>
            </w:pPr>
          </w:p>
        </w:tc>
        <w:tc>
          <w:tcPr>
            <w:tcW w:w="1559" w:type="dxa"/>
          </w:tcPr>
          <w:p w:rsidR="000F316C" w:rsidRPr="000F316C" w:rsidRDefault="000F316C" w:rsidP="000F316C">
            <w:pPr>
              <w:pStyle w:val="Texto"/>
              <w:ind w:firstLine="0"/>
              <w:jc w:val="right"/>
              <w:rPr>
                <w:b/>
              </w:rPr>
            </w:pPr>
            <w:r w:rsidRPr="000F316C">
              <w:rPr>
                <w:b/>
              </w:rPr>
              <w:t>$ -4,274,664</w:t>
            </w:r>
          </w:p>
        </w:tc>
      </w:tr>
      <w:tr w:rsidR="000F316C" w:rsidTr="00B23D2F">
        <w:tc>
          <w:tcPr>
            <w:tcW w:w="5382" w:type="dxa"/>
          </w:tcPr>
          <w:p w:rsidR="000F316C" w:rsidRDefault="00B23D2F" w:rsidP="000F316C">
            <w:pPr>
              <w:pStyle w:val="Texto"/>
              <w:ind w:firstLine="0"/>
            </w:pPr>
            <w:r>
              <w:t>Cancelación de facturas y ajustes en libros por depuración de cuentas por pagar de ejercicios anteriores.</w:t>
            </w:r>
          </w:p>
        </w:tc>
        <w:tc>
          <w:tcPr>
            <w:tcW w:w="1134" w:type="dxa"/>
          </w:tcPr>
          <w:p w:rsidR="000F316C" w:rsidRDefault="001D5E52" w:rsidP="00521EA1">
            <w:pPr>
              <w:pStyle w:val="Texto"/>
              <w:ind w:firstLine="0"/>
              <w:jc w:val="right"/>
            </w:pPr>
            <w:r>
              <w:t>695,551</w:t>
            </w:r>
          </w:p>
        </w:tc>
        <w:tc>
          <w:tcPr>
            <w:tcW w:w="1559" w:type="dxa"/>
          </w:tcPr>
          <w:p w:rsidR="000F316C" w:rsidRDefault="000F316C" w:rsidP="000F316C">
            <w:pPr>
              <w:pStyle w:val="Texto"/>
              <w:ind w:firstLine="0"/>
            </w:pPr>
          </w:p>
        </w:tc>
      </w:tr>
      <w:tr w:rsidR="000F316C" w:rsidTr="00B23D2F">
        <w:tc>
          <w:tcPr>
            <w:tcW w:w="5382" w:type="dxa"/>
          </w:tcPr>
          <w:p w:rsidR="000F316C" w:rsidRDefault="00B23D2F" w:rsidP="000F316C">
            <w:pPr>
              <w:pStyle w:val="Texto"/>
              <w:ind w:firstLine="0"/>
            </w:pPr>
            <w:r>
              <w:t>Devolución de recursos proyecto Estatal no ejercidos</w:t>
            </w:r>
          </w:p>
        </w:tc>
        <w:tc>
          <w:tcPr>
            <w:tcW w:w="1134" w:type="dxa"/>
          </w:tcPr>
          <w:p w:rsidR="000F316C" w:rsidRDefault="00521EA1" w:rsidP="00521EA1">
            <w:pPr>
              <w:pStyle w:val="Texto"/>
              <w:ind w:firstLine="0"/>
              <w:jc w:val="right"/>
            </w:pPr>
            <w:r>
              <w:t>-</w:t>
            </w:r>
            <w:r w:rsidR="00B23D2F">
              <w:t>8,935</w:t>
            </w:r>
          </w:p>
        </w:tc>
        <w:tc>
          <w:tcPr>
            <w:tcW w:w="1559" w:type="dxa"/>
          </w:tcPr>
          <w:p w:rsidR="000F316C" w:rsidRDefault="000F316C" w:rsidP="000F316C">
            <w:pPr>
              <w:pStyle w:val="Texto"/>
              <w:ind w:firstLine="0"/>
            </w:pPr>
          </w:p>
        </w:tc>
      </w:tr>
      <w:tr w:rsidR="00B23D2F" w:rsidTr="00B23D2F">
        <w:tc>
          <w:tcPr>
            <w:tcW w:w="5382" w:type="dxa"/>
          </w:tcPr>
          <w:p w:rsidR="00B23D2F" w:rsidRDefault="00B23D2F" w:rsidP="000F316C">
            <w:pPr>
              <w:pStyle w:val="Texto"/>
              <w:ind w:firstLine="0"/>
            </w:pPr>
            <w:r>
              <w:t>Recurso pagado al SAR , devolución por cursos no realizados</w:t>
            </w:r>
          </w:p>
        </w:tc>
        <w:tc>
          <w:tcPr>
            <w:tcW w:w="1134" w:type="dxa"/>
          </w:tcPr>
          <w:p w:rsidR="00B23D2F" w:rsidRDefault="00521EA1" w:rsidP="00521EA1">
            <w:pPr>
              <w:pStyle w:val="Texto"/>
              <w:ind w:firstLine="0"/>
              <w:jc w:val="right"/>
            </w:pPr>
            <w:r>
              <w:t>-</w:t>
            </w:r>
            <w:r w:rsidR="00B23D2F">
              <w:t>24,641</w:t>
            </w:r>
          </w:p>
        </w:tc>
        <w:tc>
          <w:tcPr>
            <w:tcW w:w="1559" w:type="dxa"/>
          </w:tcPr>
          <w:p w:rsidR="00B23D2F" w:rsidRDefault="00B23D2F" w:rsidP="000F316C">
            <w:pPr>
              <w:pStyle w:val="Texto"/>
              <w:ind w:firstLine="0"/>
            </w:pPr>
          </w:p>
        </w:tc>
      </w:tr>
      <w:tr w:rsidR="00B23D2F" w:rsidTr="00B23D2F">
        <w:tc>
          <w:tcPr>
            <w:tcW w:w="5382" w:type="dxa"/>
          </w:tcPr>
          <w:p w:rsidR="00B23D2F" w:rsidRDefault="001D5E52" w:rsidP="000F316C">
            <w:pPr>
              <w:pStyle w:val="Texto"/>
              <w:ind w:firstLine="0"/>
            </w:pPr>
            <w:r>
              <w:t>Depreciación de Bienes Muebles de Ejercicios anteriores</w:t>
            </w:r>
          </w:p>
        </w:tc>
        <w:tc>
          <w:tcPr>
            <w:tcW w:w="1134" w:type="dxa"/>
          </w:tcPr>
          <w:p w:rsidR="00B23D2F" w:rsidRDefault="00521EA1" w:rsidP="00521EA1">
            <w:pPr>
              <w:pStyle w:val="Texto"/>
              <w:ind w:firstLine="0"/>
              <w:jc w:val="right"/>
            </w:pPr>
            <w:r>
              <w:t>-</w:t>
            </w:r>
            <w:r w:rsidR="001D5E52">
              <w:t>4,936,639</w:t>
            </w:r>
          </w:p>
        </w:tc>
        <w:tc>
          <w:tcPr>
            <w:tcW w:w="1559" w:type="dxa"/>
          </w:tcPr>
          <w:p w:rsidR="00B23D2F" w:rsidRDefault="00B23D2F" w:rsidP="000F316C">
            <w:pPr>
              <w:pStyle w:val="Texto"/>
              <w:ind w:firstLine="0"/>
            </w:pPr>
          </w:p>
        </w:tc>
      </w:tr>
      <w:tr w:rsidR="000F316C" w:rsidTr="00B23D2F">
        <w:tc>
          <w:tcPr>
            <w:tcW w:w="5382" w:type="dxa"/>
          </w:tcPr>
          <w:p w:rsidR="000F316C" w:rsidRPr="000F316C" w:rsidRDefault="000F316C" w:rsidP="000F316C">
            <w:pPr>
              <w:pStyle w:val="Texto"/>
              <w:ind w:firstLine="0"/>
              <w:rPr>
                <w:b/>
              </w:rPr>
            </w:pPr>
            <w:r w:rsidRPr="000F316C">
              <w:rPr>
                <w:b/>
              </w:rPr>
              <w:t>Revalúo de Bienes Muebles</w:t>
            </w:r>
          </w:p>
        </w:tc>
        <w:tc>
          <w:tcPr>
            <w:tcW w:w="1134" w:type="dxa"/>
          </w:tcPr>
          <w:p w:rsidR="000F316C" w:rsidRPr="000F316C" w:rsidRDefault="000F316C" w:rsidP="000F316C">
            <w:pPr>
              <w:pStyle w:val="Texto"/>
              <w:ind w:firstLine="0"/>
              <w:rPr>
                <w:b/>
              </w:rPr>
            </w:pPr>
          </w:p>
        </w:tc>
        <w:tc>
          <w:tcPr>
            <w:tcW w:w="1559" w:type="dxa"/>
          </w:tcPr>
          <w:p w:rsidR="000F316C" w:rsidRPr="000F316C" w:rsidRDefault="000F316C" w:rsidP="000F316C">
            <w:pPr>
              <w:pStyle w:val="Texto"/>
              <w:ind w:firstLine="0"/>
              <w:jc w:val="right"/>
              <w:rPr>
                <w:b/>
              </w:rPr>
            </w:pPr>
            <w:r w:rsidRPr="000F316C">
              <w:rPr>
                <w:b/>
              </w:rPr>
              <w:t>$ 2,002,190</w:t>
            </w:r>
          </w:p>
        </w:tc>
      </w:tr>
    </w:tbl>
    <w:p w:rsidR="00DF01DA" w:rsidRPr="008A011E" w:rsidRDefault="00DF01DA" w:rsidP="000F316C">
      <w:pPr>
        <w:pStyle w:val="Texto"/>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tbl>
      <w:tblPr>
        <w:tblW w:w="0" w:type="auto"/>
        <w:jc w:val="center"/>
        <w:tblLayout w:type="fixed"/>
        <w:tblLook w:val="0000" w:firstRow="0" w:lastRow="0" w:firstColumn="0" w:lastColumn="0" w:noHBand="0" w:noVBand="0"/>
      </w:tblPr>
      <w:tblGrid>
        <w:gridCol w:w="3115"/>
        <w:gridCol w:w="1272"/>
        <w:gridCol w:w="1275"/>
      </w:tblGrid>
      <w:tr w:rsidR="005774F0" w:rsidRPr="008A011E" w:rsidTr="00D92609">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272"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275"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D92609">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272" w:type="dxa"/>
            <w:tcBorders>
              <w:top w:val="single" w:sz="6" w:space="0" w:color="auto"/>
              <w:left w:val="single" w:sz="6" w:space="0" w:color="auto"/>
              <w:bottom w:val="single" w:sz="6" w:space="0" w:color="auto"/>
              <w:right w:val="single" w:sz="6" w:space="0" w:color="auto"/>
            </w:tcBorders>
          </w:tcPr>
          <w:p w:rsidR="005774F0" w:rsidRPr="008A011E" w:rsidRDefault="00D92609" w:rsidP="00D9260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 xml:space="preserve">           </w:t>
            </w:r>
            <w:r w:rsidR="00363A6C">
              <w:rPr>
                <w:rFonts w:eastAsia="Times New Roman" w:cs="DIN Pro Regular"/>
                <w:sz w:val="20"/>
                <w:szCs w:val="20"/>
                <w:lang w:eastAsia="es-ES"/>
              </w:rPr>
              <w:t>1,932</w:t>
            </w:r>
          </w:p>
        </w:tc>
        <w:tc>
          <w:tcPr>
            <w:tcW w:w="1275" w:type="dxa"/>
            <w:tcBorders>
              <w:top w:val="single" w:sz="6" w:space="0" w:color="auto"/>
              <w:left w:val="single" w:sz="6" w:space="0" w:color="auto"/>
              <w:bottom w:val="single" w:sz="6" w:space="0" w:color="auto"/>
              <w:right w:val="single" w:sz="6" w:space="0" w:color="auto"/>
            </w:tcBorders>
          </w:tcPr>
          <w:p w:rsidR="005774F0" w:rsidRPr="008A011E" w:rsidRDefault="00363A6C"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D92609">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272" w:type="dxa"/>
            <w:tcBorders>
              <w:top w:val="single" w:sz="6" w:space="0" w:color="auto"/>
              <w:left w:val="single" w:sz="6" w:space="0" w:color="auto"/>
              <w:bottom w:val="single" w:sz="6" w:space="0" w:color="auto"/>
              <w:right w:val="single" w:sz="6" w:space="0" w:color="auto"/>
            </w:tcBorders>
          </w:tcPr>
          <w:p w:rsidR="005774F0" w:rsidRPr="008A011E" w:rsidRDefault="00363A6C"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27,994,347</w:t>
            </w:r>
          </w:p>
        </w:tc>
        <w:tc>
          <w:tcPr>
            <w:tcW w:w="1275" w:type="dxa"/>
            <w:tcBorders>
              <w:top w:val="single" w:sz="6" w:space="0" w:color="auto"/>
              <w:left w:val="single" w:sz="6" w:space="0" w:color="auto"/>
              <w:bottom w:val="single" w:sz="6" w:space="0" w:color="auto"/>
              <w:right w:val="single" w:sz="6" w:space="0" w:color="auto"/>
            </w:tcBorders>
          </w:tcPr>
          <w:p w:rsidR="005774F0" w:rsidRPr="008A011E" w:rsidRDefault="00363A6C"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11,770,100</w:t>
            </w:r>
          </w:p>
        </w:tc>
      </w:tr>
      <w:tr w:rsidR="005774F0" w:rsidRPr="008A011E" w:rsidTr="00D92609">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272"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27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4C09C1" w:rsidRPr="008A011E" w:rsidTr="00D92609">
        <w:trPr>
          <w:cantSplit/>
          <w:jc w:val="center"/>
        </w:trPr>
        <w:tc>
          <w:tcPr>
            <w:tcW w:w="3115"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272"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275"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D92609">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272"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27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5774F0" w:rsidRPr="008A011E" w:rsidTr="00D92609">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F4664C" w:rsidP="00F4664C">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272"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c>
          <w:tcPr>
            <w:tcW w:w="127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center"/>
              <w:rPr>
                <w:rFonts w:eastAsia="Times New Roman" w:cs="DIN Pro Regular"/>
                <w:sz w:val="20"/>
                <w:szCs w:val="20"/>
                <w:lang w:eastAsia="es-ES"/>
              </w:rPr>
            </w:pPr>
            <w:r w:rsidRPr="008A011E">
              <w:rPr>
                <w:rFonts w:eastAsia="Times New Roman" w:cs="DIN Pro Regular"/>
                <w:sz w:val="20"/>
                <w:szCs w:val="20"/>
                <w:lang w:eastAsia="es-ES"/>
              </w:rPr>
              <w:t>X</w:t>
            </w:r>
          </w:p>
        </w:tc>
      </w:tr>
      <w:tr w:rsidR="0020554C" w:rsidRPr="008A011E" w:rsidTr="00D92609">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0554C" w:rsidRPr="008A011E" w:rsidRDefault="0020554C">
            <w:pPr>
              <w:rPr>
                <w:rFonts w:cs="DIN Pro Regular"/>
                <w:sz w:val="20"/>
                <w:szCs w:val="20"/>
              </w:rPr>
            </w:pPr>
            <w:r w:rsidRPr="008A011E">
              <w:rPr>
                <w:rFonts w:cs="DIN Pro Regular"/>
                <w:sz w:val="20"/>
                <w:szCs w:val="20"/>
              </w:rPr>
              <w:t xml:space="preserve">Otros Efectivos y Equivalentes </w:t>
            </w:r>
          </w:p>
        </w:tc>
        <w:tc>
          <w:tcPr>
            <w:tcW w:w="1272" w:type="dxa"/>
            <w:tcBorders>
              <w:top w:val="single" w:sz="6" w:space="0" w:color="auto"/>
              <w:left w:val="single" w:sz="6" w:space="0" w:color="auto"/>
              <w:bottom w:val="single" w:sz="6" w:space="0" w:color="auto"/>
              <w:right w:val="single" w:sz="6" w:space="0" w:color="auto"/>
            </w:tcBorders>
          </w:tcPr>
          <w:p w:rsidR="0020554C" w:rsidRPr="008A011E" w:rsidRDefault="0020554C" w:rsidP="0020554C">
            <w:pPr>
              <w:jc w:val="center"/>
              <w:rPr>
                <w:rFonts w:cs="DIN Pro Regular"/>
                <w:sz w:val="20"/>
                <w:szCs w:val="20"/>
              </w:rPr>
            </w:pPr>
            <w:r w:rsidRPr="008A011E">
              <w:rPr>
                <w:rFonts w:cs="DIN Pro Regular"/>
                <w:sz w:val="20"/>
                <w:szCs w:val="20"/>
              </w:rPr>
              <w:t>X</w:t>
            </w:r>
          </w:p>
        </w:tc>
        <w:tc>
          <w:tcPr>
            <w:tcW w:w="1275" w:type="dxa"/>
            <w:tcBorders>
              <w:top w:val="single" w:sz="6" w:space="0" w:color="auto"/>
              <w:left w:val="single" w:sz="6" w:space="0" w:color="auto"/>
              <w:bottom w:val="single" w:sz="6" w:space="0" w:color="auto"/>
              <w:right w:val="single" w:sz="6" w:space="0" w:color="auto"/>
            </w:tcBorders>
          </w:tcPr>
          <w:p w:rsidR="0020554C" w:rsidRPr="008A011E" w:rsidRDefault="0020554C" w:rsidP="0020554C">
            <w:pPr>
              <w:jc w:val="center"/>
              <w:rPr>
                <w:rFonts w:cs="DIN Pro Regular"/>
                <w:sz w:val="20"/>
                <w:szCs w:val="20"/>
              </w:rPr>
            </w:pPr>
            <w:r w:rsidRPr="008A011E">
              <w:rPr>
                <w:rFonts w:cs="DIN Pro Regular"/>
                <w:sz w:val="20"/>
                <w:szCs w:val="20"/>
              </w:rPr>
              <w:t>X</w:t>
            </w:r>
          </w:p>
        </w:tc>
      </w:tr>
      <w:tr w:rsidR="005774F0" w:rsidRPr="008A011E" w:rsidTr="00D92609">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272" w:type="dxa"/>
            <w:tcBorders>
              <w:top w:val="single" w:sz="6" w:space="0" w:color="auto"/>
              <w:left w:val="single" w:sz="6" w:space="0" w:color="auto"/>
              <w:bottom w:val="single" w:sz="6" w:space="0" w:color="auto"/>
              <w:right w:val="single" w:sz="6" w:space="0" w:color="auto"/>
            </w:tcBorders>
          </w:tcPr>
          <w:p w:rsidR="005774F0" w:rsidRPr="007D42CD" w:rsidRDefault="00D92609" w:rsidP="005774F0">
            <w:pPr>
              <w:spacing w:after="101" w:line="224" w:lineRule="exact"/>
              <w:jc w:val="center"/>
              <w:rPr>
                <w:rFonts w:eastAsia="Times New Roman" w:cs="DIN Pro Regular"/>
                <w:b/>
                <w:sz w:val="20"/>
                <w:szCs w:val="20"/>
                <w:lang w:eastAsia="es-ES"/>
              </w:rPr>
            </w:pPr>
            <w:r w:rsidRPr="007D42CD">
              <w:rPr>
                <w:rFonts w:eastAsia="Times New Roman" w:cs="DIN Pro Regular"/>
                <w:b/>
                <w:sz w:val="20"/>
                <w:szCs w:val="20"/>
                <w:lang w:eastAsia="es-ES"/>
              </w:rPr>
              <w:t>$</w:t>
            </w:r>
            <w:r w:rsidR="00363A6C" w:rsidRPr="007D42CD">
              <w:rPr>
                <w:rFonts w:eastAsia="Times New Roman" w:cs="DIN Pro Regular"/>
                <w:b/>
                <w:sz w:val="20"/>
                <w:szCs w:val="20"/>
                <w:lang w:eastAsia="es-ES"/>
              </w:rPr>
              <w:t>27,996,279</w:t>
            </w:r>
          </w:p>
        </w:tc>
        <w:tc>
          <w:tcPr>
            <w:tcW w:w="1275" w:type="dxa"/>
            <w:tcBorders>
              <w:top w:val="single" w:sz="6" w:space="0" w:color="auto"/>
              <w:left w:val="single" w:sz="6" w:space="0" w:color="auto"/>
              <w:bottom w:val="single" w:sz="6" w:space="0" w:color="auto"/>
              <w:right w:val="single" w:sz="6" w:space="0" w:color="auto"/>
            </w:tcBorders>
          </w:tcPr>
          <w:p w:rsidR="005774F0" w:rsidRPr="007D42CD" w:rsidRDefault="00D92609" w:rsidP="005774F0">
            <w:pPr>
              <w:spacing w:after="101" w:line="224" w:lineRule="exact"/>
              <w:jc w:val="center"/>
              <w:rPr>
                <w:rFonts w:eastAsia="Times New Roman" w:cs="DIN Pro Regular"/>
                <w:b/>
                <w:sz w:val="20"/>
                <w:szCs w:val="20"/>
                <w:lang w:eastAsia="es-ES"/>
              </w:rPr>
            </w:pPr>
            <w:r w:rsidRPr="007D42CD">
              <w:rPr>
                <w:rFonts w:eastAsia="Times New Roman" w:cs="DIN Pro Regular"/>
                <w:b/>
                <w:sz w:val="20"/>
                <w:szCs w:val="20"/>
                <w:lang w:eastAsia="es-ES"/>
              </w:rPr>
              <w:t>$</w:t>
            </w:r>
            <w:r w:rsidR="00363A6C" w:rsidRPr="007D42CD">
              <w:rPr>
                <w:rFonts w:eastAsia="Times New Roman" w:cs="DIN Pro Regular"/>
                <w:b/>
                <w:sz w:val="20"/>
                <w:szCs w:val="20"/>
                <w:lang w:eastAsia="es-ES"/>
              </w:rPr>
              <w:t>11,770,100</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Default="00211F03" w:rsidP="00211F03">
      <w:pPr>
        <w:pStyle w:val="ROMANOS"/>
        <w:numPr>
          <w:ilvl w:val="0"/>
          <w:numId w:val="9"/>
        </w:numPr>
        <w:spacing w:after="0" w:line="240" w:lineRule="exact"/>
        <w:rPr>
          <w:rFonts w:ascii="Calibri" w:hAnsi="Calibri" w:cs="DIN Pro Regular"/>
          <w:sz w:val="20"/>
          <w:szCs w:val="20"/>
          <w:lang w:val="es-MX"/>
        </w:rPr>
      </w:pPr>
      <w:r>
        <w:rPr>
          <w:rFonts w:ascii="Calibri" w:hAnsi="Calibri" w:cs="DIN Pro Regular"/>
          <w:sz w:val="20"/>
          <w:szCs w:val="20"/>
          <w:lang w:val="es-MX"/>
        </w:rPr>
        <w:t>Se realizaron egresos por adquisición de bienes muebles por $ 71,355 los cuales se adquirieron al 100% con recurso propio.</w:t>
      </w:r>
    </w:p>
    <w:p w:rsidR="00211F03" w:rsidRPr="008A011E" w:rsidRDefault="00211F03" w:rsidP="00211F03">
      <w:pPr>
        <w:pStyle w:val="ROMANOS"/>
        <w:spacing w:after="0" w:line="240" w:lineRule="exact"/>
        <w:ind w:left="1068" w:firstLine="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DA757F">
        <w:rPr>
          <w:rFonts w:ascii="Calibri" w:hAnsi="Calibri" w:cs="DIN Pro Regular"/>
          <w:sz w:val="20"/>
          <w:szCs w:val="20"/>
          <w:lang w:val="es-MX"/>
        </w:rPr>
        <w:lastRenderedPageBreak/>
        <w:t>3</w:t>
      </w:r>
      <w:r w:rsidRPr="008A011E">
        <w:rPr>
          <w:rFonts w:ascii="Calibri" w:hAnsi="Calibri" w:cs="DIN Pro Regular"/>
          <w:b/>
          <w:sz w:val="20"/>
          <w:szCs w:val="20"/>
          <w:lang w:val="es-MX"/>
        </w:rPr>
        <w:t xml:space="preserve">.-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513"/>
        <w:gridCol w:w="1312"/>
        <w:gridCol w:w="1239"/>
      </w:tblGrid>
      <w:tr w:rsidR="003F39C5" w:rsidRPr="008A011E" w:rsidTr="00127E36">
        <w:trPr>
          <w:cantSplit/>
          <w:jc w:val="center"/>
        </w:trPr>
        <w:tc>
          <w:tcPr>
            <w:tcW w:w="6513"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312"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239"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127E36">
        <w:trPr>
          <w:cantSplit/>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F04E99"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-5,939,123</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8E760C" w:rsidP="00264F1F">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-12,522,576</w:t>
            </w:r>
          </w:p>
        </w:tc>
      </w:tr>
      <w:tr w:rsidR="003F39C5" w:rsidRPr="008A011E" w:rsidTr="00127E36">
        <w:trPr>
          <w:cantSplit/>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r>
      <w:tr w:rsidR="003F39C5" w:rsidRPr="008A011E" w:rsidTr="00127E36">
        <w:trPr>
          <w:cantSplit/>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127E36">
        <w:trPr>
          <w:cantSplit/>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127E36">
        <w:trPr>
          <w:cantSplit/>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Incrementos en las provisiones</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127E36">
        <w:trPr>
          <w:cantSplit/>
          <w:trHeight w:val="212"/>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127E36">
        <w:trPr>
          <w:cantSplit/>
          <w:trHeight w:val="102"/>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(X)</w:t>
            </w:r>
          </w:p>
        </w:tc>
      </w:tr>
      <w:tr w:rsidR="003F39C5" w:rsidRPr="008A011E" w:rsidTr="00127E36">
        <w:trPr>
          <w:cantSplit/>
          <w:trHeight w:val="282"/>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cuentas por cobrar</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F04E99"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w:t>
            </w:r>
            <w:r w:rsidR="00127E36">
              <w:rPr>
                <w:rFonts w:ascii="Calibri" w:hAnsi="Calibri" w:cs="DIN Pro Regular"/>
                <w:sz w:val="20"/>
                <w:lang w:val="es-MX"/>
              </w:rPr>
              <w:t>2,801,095</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8E760C"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w:t>
            </w:r>
            <w:r w:rsidR="00127E36">
              <w:rPr>
                <w:rFonts w:ascii="Calibri" w:hAnsi="Calibri" w:cs="DIN Pro Regular"/>
                <w:sz w:val="20"/>
                <w:lang w:val="es-MX"/>
              </w:rPr>
              <w:t>392,538</w:t>
            </w:r>
          </w:p>
        </w:tc>
      </w:tr>
      <w:tr w:rsidR="003F39C5" w:rsidRPr="008A011E" w:rsidTr="00127E36">
        <w:trPr>
          <w:cantSplit/>
          <w:jc w:val="center"/>
        </w:trPr>
        <w:tc>
          <w:tcPr>
            <w:tcW w:w="6513"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312" w:type="dxa"/>
            <w:tcBorders>
              <w:top w:val="single" w:sz="6" w:space="0" w:color="auto"/>
              <w:left w:val="single" w:sz="6" w:space="0" w:color="auto"/>
              <w:bottom w:val="single" w:sz="6" w:space="0" w:color="auto"/>
              <w:right w:val="single" w:sz="6" w:space="0" w:color="auto"/>
            </w:tcBorders>
          </w:tcPr>
          <w:p w:rsidR="003F39C5" w:rsidRPr="008A011E" w:rsidRDefault="00F04E99"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-3,138,028</w:t>
            </w:r>
          </w:p>
        </w:tc>
        <w:tc>
          <w:tcPr>
            <w:tcW w:w="1239" w:type="dxa"/>
            <w:tcBorders>
              <w:top w:val="single" w:sz="6" w:space="0" w:color="auto"/>
              <w:left w:val="single" w:sz="6" w:space="0" w:color="auto"/>
              <w:bottom w:val="single" w:sz="6" w:space="0" w:color="auto"/>
              <w:right w:val="single" w:sz="6" w:space="0" w:color="auto"/>
            </w:tcBorders>
          </w:tcPr>
          <w:p w:rsidR="003F39C5" w:rsidRPr="008A011E" w:rsidRDefault="008E760C"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-12,915,114</w:t>
            </w:r>
          </w:p>
        </w:tc>
      </w:tr>
    </w:tbl>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4C37D1" w:rsidP="002164CC">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Colegio de Educación Profesional Técnica del Estado de Tamaulipas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2757DD"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$ 312,590,507</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2757DD"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2757DD"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xml:space="preserve">        80,701</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757DD" w:rsidP="00BB67E7">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 xml:space="preserve">                           </w:t>
            </w:r>
            <w:r w:rsidR="002164CC" w:rsidRPr="002164CC">
              <w:rPr>
                <w:rFonts w:asciiTheme="minorHAnsi" w:eastAsia="Times New Roman" w:hAnsiTheme="minorHAnsi" w:cs="DIN Pro Regular"/>
                <w:color w:val="000000"/>
                <w:sz w:val="20"/>
                <w:szCs w:val="20"/>
                <w:lang w:eastAsia="es-MX"/>
              </w:rPr>
              <w:t> </w:t>
            </w:r>
            <w:r>
              <w:rPr>
                <w:rFonts w:asciiTheme="minorHAnsi" w:eastAsia="Times New Roman" w:hAnsiTheme="minorHAnsi" w:cs="DIN Pro Regular"/>
                <w:color w:val="000000"/>
                <w:sz w:val="20"/>
                <w:szCs w:val="20"/>
                <w:lang w:eastAsia="es-MX"/>
              </w:rPr>
              <w:t>80,701</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2164CC" w:rsidRDefault="002164CC" w:rsidP="00BB67E7">
            <w:pPr>
              <w:spacing w:after="0" w:line="240" w:lineRule="auto"/>
              <w:jc w:val="right"/>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BB67E7"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xml:space="preserve">$  </w:t>
            </w:r>
            <w:r w:rsidR="002757DD">
              <w:rPr>
                <w:rFonts w:asciiTheme="minorHAnsi" w:eastAsia="Times New Roman" w:hAnsiTheme="minorHAnsi" w:cs="DIN Pro Regular"/>
                <w:b/>
                <w:color w:val="000000"/>
                <w:sz w:val="20"/>
                <w:szCs w:val="20"/>
                <w:lang w:eastAsia="es-MX"/>
              </w:rPr>
              <w:t>312,509,806</w:t>
            </w:r>
          </w:p>
        </w:tc>
      </w:tr>
    </w:tbl>
    <w:p w:rsidR="007006CA" w:rsidRPr="008A011E" w:rsidRDefault="007075A0" w:rsidP="007006CA">
      <w:pPr>
        <w:spacing w:after="0"/>
        <w:rPr>
          <w:rFonts w:cs="DIN Pro Regular"/>
          <w:sz w:val="20"/>
          <w:szCs w:val="20"/>
        </w:rPr>
      </w:pPr>
      <w:r w:rsidRPr="008A011E">
        <w:rPr>
          <w:rFonts w:cs="DIN Pro Regular"/>
          <w:sz w:val="20"/>
          <w:szCs w:val="20"/>
        </w:rPr>
        <w:br w:type="textWrapping" w:clear="all"/>
      </w:r>
      <w:r w:rsidR="00C80DE1" w:rsidRPr="008A011E">
        <w:rPr>
          <w:rFonts w:cs="DIN Pro Regular"/>
          <w:sz w:val="20"/>
          <w:szCs w:val="20"/>
        </w:rPr>
        <w:t xml:space="preserve">                           </w:t>
      </w:r>
    </w:p>
    <w:p w:rsidR="000C7E64" w:rsidRPr="008A011E" w:rsidRDefault="000C7E64" w:rsidP="007006CA">
      <w:pPr>
        <w:spacing w:after="0"/>
        <w:rPr>
          <w:rFonts w:cs="DIN Pro Regular"/>
          <w:sz w:val="20"/>
          <w:szCs w:val="20"/>
        </w:rPr>
      </w:pPr>
    </w:p>
    <w:p w:rsidR="007006CA" w:rsidRPr="008A011E" w:rsidRDefault="007006CA" w:rsidP="007006CA">
      <w:pPr>
        <w:spacing w:after="0"/>
        <w:rPr>
          <w:rFonts w:cs="DIN Pro Regular"/>
          <w:sz w:val="20"/>
          <w:szCs w:val="20"/>
        </w:rPr>
      </w:pPr>
      <w:r w:rsidRPr="008A011E">
        <w:rPr>
          <w:rFonts w:cs="DIN Pro Regular"/>
          <w:sz w:val="20"/>
          <w:szCs w:val="20"/>
        </w:rPr>
        <w:t xml:space="preserve">    Notas:</w:t>
      </w:r>
    </w:p>
    <w:p w:rsidR="007006CA" w:rsidRPr="008A011E" w:rsidRDefault="007006CA" w:rsidP="007006CA">
      <w:pPr>
        <w:spacing w:after="0"/>
        <w:rPr>
          <w:rFonts w:cs="DIN Pro Regular"/>
          <w:sz w:val="20"/>
          <w:szCs w:val="20"/>
        </w:rPr>
      </w:pPr>
      <w:r w:rsidRPr="008A011E">
        <w:rPr>
          <w:rFonts w:cs="DIN Pro Regular"/>
          <w:sz w:val="20"/>
          <w:szCs w:val="20"/>
        </w:rPr>
        <w:lastRenderedPageBreak/>
        <w:t xml:space="preserve">                   1.- Se deberán incluir los Ingresos Contables no Presupuestarios que no se regularizaron presupuestariamente durante el ejercicio.</w:t>
      </w:r>
    </w:p>
    <w:p w:rsidR="009C5C3A" w:rsidRPr="008A011E" w:rsidRDefault="007006CA" w:rsidP="007006CA">
      <w:pPr>
        <w:spacing w:after="0"/>
        <w:rPr>
          <w:rFonts w:cs="DIN Pro Regular"/>
          <w:sz w:val="20"/>
          <w:szCs w:val="20"/>
        </w:rPr>
      </w:pPr>
      <w:r w:rsidRPr="008A011E">
        <w:rPr>
          <w:rFonts w:cs="DIN Pro Regular"/>
          <w:sz w:val="20"/>
          <w:szCs w:val="20"/>
        </w:rPr>
        <w:t xml:space="preserve">                   2.- Los Ingresos Financieros y Otros Ingresos se regularizarán Presupuestariamente de acuerdo a la legislación aplicable.</w:t>
      </w:r>
    </w:p>
    <w:p w:rsidR="00DF01DA" w:rsidRPr="008A011E" w:rsidRDefault="00DF01DA" w:rsidP="007006CA">
      <w:pPr>
        <w:spacing w:after="0"/>
        <w:rPr>
          <w:rFonts w:cs="DIN Pro Regular"/>
          <w:sz w:val="20"/>
          <w:szCs w:val="20"/>
        </w:rPr>
      </w:pPr>
    </w:p>
    <w:p w:rsidR="00DF01DA" w:rsidRDefault="00DF01DA" w:rsidP="007006CA">
      <w:pPr>
        <w:spacing w:after="0"/>
        <w:rPr>
          <w:rFonts w:cs="DIN Pro Regular"/>
          <w:sz w:val="20"/>
          <w:szCs w:val="20"/>
        </w:rPr>
      </w:pPr>
    </w:p>
    <w:p w:rsidR="002164CC" w:rsidRDefault="002164CC" w:rsidP="007006CA">
      <w:pPr>
        <w:spacing w:after="0"/>
        <w:rPr>
          <w:rFonts w:cs="DIN Pro Regular"/>
          <w:sz w:val="20"/>
          <w:szCs w:val="20"/>
        </w:rPr>
      </w:pPr>
    </w:p>
    <w:p w:rsidR="002164CC" w:rsidRDefault="002164CC" w:rsidP="007006CA">
      <w:pPr>
        <w:spacing w:after="0"/>
        <w:rPr>
          <w:rFonts w:cs="DIN Pro Regular"/>
          <w:sz w:val="20"/>
          <w:szCs w:val="20"/>
        </w:rPr>
      </w:pPr>
    </w:p>
    <w:p w:rsidR="002164CC" w:rsidRPr="008A011E" w:rsidRDefault="002164CC" w:rsidP="007006CA">
      <w:pPr>
        <w:spacing w:after="0"/>
        <w:rPr>
          <w:rFonts w:cs="DIN Pro Regular"/>
          <w:sz w:val="20"/>
          <w:szCs w:val="20"/>
        </w:rPr>
      </w:pPr>
    </w:p>
    <w:p w:rsidR="001B3965" w:rsidRPr="008A011E" w:rsidRDefault="001B3965" w:rsidP="007006CA">
      <w:pPr>
        <w:spacing w:after="0"/>
        <w:rPr>
          <w:rFonts w:cs="DIN Pro Regular"/>
          <w:sz w:val="20"/>
          <w:szCs w:val="20"/>
        </w:rPr>
      </w:pPr>
    </w:p>
    <w:p w:rsidR="001B3965" w:rsidRPr="008A011E" w:rsidRDefault="001B3965" w:rsidP="007006CA">
      <w:pPr>
        <w:spacing w:after="0"/>
        <w:rPr>
          <w:rFonts w:cs="DIN Pro Regular"/>
          <w:sz w:val="20"/>
          <w:szCs w:val="20"/>
        </w:rPr>
      </w:pPr>
    </w:p>
    <w:p w:rsidR="00DE0B18" w:rsidRPr="008A011E" w:rsidRDefault="007006CA" w:rsidP="00AE777E">
      <w:pPr>
        <w:spacing w:after="0"/>
        <w:rPr>
          <w:rFonts w:cs="DIN Pro Regular"/>
          <w:sz w:val="20"/>
          <w:szCs w:val="20"/>
        </w:rPr>
      </w:pPr>
      <w:r w:rsidRPr="008A011E">
        <w:rPr>
          <w:rFonts w:cs="DIN Pro Regular"/>
          <w:sz w:val="20"/>
          <w:szCs w:val="20"/>
        </w:rPr>
        <w:t xml:space="preserve">La Conciliación se generará de forma periódica, cuando </w:t>
      </w:r>
      <w:r w:rsidR="003B6A43" w:rsidRPr="008A011E">
        <w:rPr>
          <w:rFonts w:cs="DIN Pro Regular"/>
          <w:sz w:val="20"/>
          <w:szCs w:val="20"/>
        </w:rPr>
        <w:t>menos en</w:t>
      </w:r>
      <w:r w:rsidRPr="008A011E">
        <w:rPr>
          <w:rFonts w:cs="DIN Pro Regular"/>
          <w:sz w:val="20"/>
          <w:szCs w:val="20"/>
        </w:rPr>
        <w:t xml:space="preserve"> la </w:t>
      </w:r>
      <w:r w:rsidR="003B6A43" w:rsidRPr="008A011E">
        <w:rPr>
          <w:rFonts w:cs="DIN Pro Regular"/>
          <w:sz w:val="20"/>
          <w:szCs w:val="20"/>
        </w:rPr>
        <w:t>Cuenta Pública</w:t>
      </w:r>
      <w:r w:rsidRPr="008A011E">
        <w:rPr>
          <w:rFonts w:cs="DIN Pro Regular"/>
          <w:sz w:val="20"/>
          <w:szCs w:val="20"/>
        </w:rPr>
        <w:t xml:space="preserve">, y se presentará al final de las Notas de Desglose de las Notas a los Estados Financieros  </w:t>
      </w:r>
    </w:p>
    <w:p w:rsidR="007006CA" w:rsidRPr="008A011E" w:rsidRDefault="007006CA" w:rsidP="00AE777E">
      <w:pPr>
        <w:spacing w:after="0"/>
        <w:rPr>
          <w:rFonts w:cs="DIN Pro Regular"/>
          <w:sz w:val="20"/>
          <w:szCs w:val="20"/>
        </w:rPr>
      </w:pPr>
      <w:r w:rsidRPr="008A011E">
        <w:rPr>
          <w:rFonts w:cs="DIN Pro Regular"/>
          <w:sz w:val="20"/>
          <w:szCs w:val="20"/>
        </w:rPr>
        <w:t xml:space="preserve">                                                         </w:t>
      </w: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2164CC"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rsidR="00174108" w:rsidRPr="002164CC" w:rsidRDefault="00C80DE1" w:rsidP="00DF6363">
            <w:pPr>
              <w:spacing w:after="0" w:line="240" w:lineRule="auto"/>
              <w:jc w:val="center"/>
              <w:rPr>
                <w:rFonts w:asciiTheme="minorHAnsi" w:eastAsia="Times New Roman" w:hAnsiTheme="minorHAnsi" w:cs="DIN Pro Regular"/>
                <w:b/>
                <w:bCs/>
                <w:color w:val="FFFFFF"/>
                <w:sz w:val="20"/>
                <w:szCs w:val="20"/>
                <w:lang w:eastAsia="es-MX"/>
              </w:rPr>
            </w:pPr>
            <w:r w:rsidRPr="002164CC">
              <w:rPr>
                <w:rFonts w:asciiTheme="minorHAnsi" w:hAnsiTheme="minorHAnsi" w:cs="DIN Pro Regular"/>
                <w:sz w:val="20"/>
                <w:szCs w:val="20"/>
              </w:rPr>
              <w:t xml:space="preserve"> </w:t>
            </w:r>
            <w:r w:rsidR="00BB67E7">
              <w:rPr>
                <w:rFonts w:asciiTheme="minorHAnsi" w:eastAsia="Times New Roman" w:hAnsiTheme="minorHAnsi" w:cs="DIN Pro Regular"/>
                <w:b/>
                <w:bCs/>
                <w:color w:val="FFFFFF"/>
                <w:sz w:val="20"/>
                <w:szCs w:val="20"/>
                <w:lang w:eastAsia="es-MX"/>
              </w:rPr>
              <w:t>Colegio de Educación Profesional Técnica del Estado de Tamaulipas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8B3AAD"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$ 309,602,648</w:t>
            </w:r>
          </w:p>
        </w:tc>
      </w:tr>
      <w:tr w:rsidR="00591EE2" w:rsidRPr="002164CC"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2164CC" w:rsidRDefault="00591EE2" w:rsidP="00BB67E7">
            <w:pPr>
              <w:spacing w:after="0" w:line="240" w:lineRule="auto"/>
              <w:jc w:val="right"/>
              <w:rPr>
                <w:rFonts w:asciiTheme="minorHAnsi" w:eastAsia="Times New Roman" w:hAnsiTheme="minorHAnsi" w:cs="DIN Pro Regular"/>
                <w:color w:val="000000"/>
                <w:sz w:val="20"/>
                <w:szCs w:val="20"/>
                <w:lang w:eastAsia="es-MX"/>
              </w:rPr>
            </w:pPr>
          </w:p>
        </w:tc>
      </w:tr>
      <w:tr w:rsidR="00591EE2" w:rsidRPr="002164CC"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2164CC" w:rsidRDefault="008B3AAD"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xml:space="preserve">            71,355</w:t>
            </w: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8B3AAD" w:rsidP="00BB67E7">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42,348</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8B3AAD" w:rsidP="00BB67E7">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29,007</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6D41B9" w:rsidP="00BB67E7">
            <w:pPr>
              <w:spacing w:after="0" w:line="240" w:lineRule="auto"/>
              <w:jc w:val="right"/>
              <w:rPr>
                <w:rFonts w:asciiTheme="minorHAnsi" w:eastAsia="Times New Roman" w:hAnsiTheme="minorHAnsi" w:cs="DIN Pro Regular"/>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lastRenderedPageBreak/>
              <w:t>2.21</w:t>
            </w:r>
          </w:p>
        </w:tc>
        <w:tc>
          <w:tcPr>
            <w:tcW w:w="3660"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2164CC" w:rsidRDefault="007460DF"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2164CC" w:rsidRDefault="008B3AAD"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8,917,636</w:t>
            </w: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8B3AAD" w:rsidP="00BB67E7">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8,917,636</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BB67E7">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3660"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rsidR="002C7C1D" w:rsidRPr="002164CC" w:rsidRDefault="002C7C1D"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150"/>
          <w:jc w:val="center"/>
        </w:trPr>
        <w:tc>
          <w:tcPr>
            <w:tcW w:w="104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2164CC" w:rsidRDefault="002C7C1D" w:rsidP="00BB67E7">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2164CC" w:rsidRDefault="00BB67E7" w:rsidP="00BB67E7">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 xml:space="preserve">$  </w:t>
            </w:r>
            <w:r w:rsidR="008B3AAD">
              <w:rPr>
                <w:rFonts w:asciiTheme="minorHAnsi" w:eastAsia="Times New Roman" w:hAnsiTheme="minorHAnsi" w:cs="DIN Pro Regular"/>
                <w:b/>
                <w:color w:val="000000"/>
                <w:sz w:val="20"/>
                <w:szCs w:val="20"/>
                <w:lang w:eastAsia="es-MX"/>
              </w:rPr>
              <w:t>318,448,929</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06431" w:rsidRDefault="00006431" w:rsidP="002C576A">
      <w:pPr>
        <w:pStyle w:val="INCISO"/>
        <w:spacing w:after="0" w:line="240" w:lineRule="exact"/>
        <w:ind w:left="360"/>
        <w:rPr>
          <w:rFonts w:ascii="Calibri" w:hAnsi="Calibri" w:cs="DIN Pro Regular"/>
          <w:b/>
          <w:smallCaps/>
          <w:sz w:val="20"/>
          <w:szCs w:val="20"/>
        </w:rPr>
      </w:pPr>
    </w:p>
    <w:p w:rsidR="00DA757F" w:rsidRPr="008A011E" w:rsidRDefault="00DA757F" w:rsidP="002C576A">
      <w:pPr>
        <w:pStyle w:val="INCISO"/>
        <w:spacing w:after="0" w:line="240" w:lineRule="exact"/>
        <w:ind w:left="360"/>
        <w:rPr>
          <w:rFonts w:ascii="Calibri" w:hAnsi="Calibri" w:cs="DIN Pro Regular"/>
          <w:b/>
          <w:smallCaps/>
          <w:sz w:val="20"/>
          <w:szCs w:val="20"/>
        </w:rPr>
      </w:pPr>
    </w:p>
    <w:p w:rsidR="00006431" w:rsidRPr="008A011E" w:rsidRDefault="00006431" w:rsidP="00006431">
      <w:pPr>
        <w:spacing w:after="0"/>
        <w:rPr>
          <w:rFonts w:cs="DIN Pro Regular"/>
          <w:sz w:val="20"/>
          <w:szCs w:val="20"/>
        </w:rPr>
      </w:pPr>
      <w:r w:rsidRPr="008A011E">
        <w:rPr>
          <w:rFonts w:cs="DIN Pro Regular"/>
          <w:sz w:val="20"/>
          <w:szCs w:val="20"/>
        </w:rPr>
        <w:t>Notas:</w:t>
      </w:r>
    </w:p>
    <w:p w:rsidR="00006431" w:rsidRPr="008A011E" w:rsidRDefault="007006CA" w:rsidP="00006431">
      <w:pPr>
        <w:spacing w:after="0"/>
        <w:rPr>
          <w:rFonts w:cs="DIN Pro Regular"/>
          <w:sz w:val="20"/>
          <w:szCs w:val="20"/>
        </w:rPr>
      </w:pPr>
      <w:r w:rsidRPr="008A011E">
        <w:rPr>
          <w:rFonts w:cs="DIN Pro Regular"/>
          <w:sz w:val="20"/>
          <w:szCs w:val="20"/>
        </w:rPr>
        <w:t xml:space="preserve">                   </w:t>
      </w:r>
      <w:r w:rsidR="00006431" w:rsidRPr="008A011E">
        <w:rPr>
          <w:rFonts w:cs="DIN Pro Regular"/>
          <w:sz w:val="20"/>
          <w:szCs w:val="20"/>
        </w:rPr>
        <w:t xml:space="preserve">  1.- Se deberán incluir los Egresos Contables no Presupuestarios que no se regularizaron presupuestariamente durante </w:t>
      </w:r>
      <w:r w:rsidR="003C7AB5" w:rsidRPr="008A011E">
        <w:rPr>
          <w:rFonts w:cs="DIN Pro Regular"/>
          <w:sz w:val="20"/>
          <w:szCs w:val="20"/>
        </w:rPr>
        <w:t>el ejercicio</w:t>
      </w:r>
      <w:r w:rsidR="00006431" w:rsidRPr="008A011E">
        <w:rPr>
          <w:rFonts w:cs="DIN Pro Regular"/>
          <w:sz w:val="20"/>
          <w:szCs w:val="20"/>
        </w:rPr>
        <w:t>.</w:t>
      </w:r>
    </w:p>
    <w:p w:rsidR="00006431" w:rsidRPr="008A011E" w:rsidRDefault="00006431" w:rsidP="002C576A">
      <w:pPr>
        <w:pStyle w:val="INCISO"/>
        <w:spacing w:after="0" w:line="240" w:lineRule="exact"/>
        <w:ind w:left="360"/>
        <w:rPr>
          <w:rFonts w:ascii="Calibri" w:hAnsi="Calibri" w:cs="DIN Pro Regular"/>
          <w:b/>
          <w:smallCaps/>
          <w:sz w:val="20"/>
          <w:szCs w:val="20"/>
          <w:lang w:val="es-MX"/>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Pr="008A011E" w:rsidRDefault="000D5EFE" w:rsidP="00D10273">
      <w:pPr>
        <w:pStyle w:val="Texto"/>
        <w:spacing w:after="0" w:line="240" w:lineRule="exact"/>
        <w:ind w:firstLine="0"/>
        <w:rPr>
          <w:rFonts w:ascii="Calibri" w:hAnsi="Calibri" w:cs="DIN Pro Regular"/>
          <w:b/>
          <w:smallCaps/>
          <w:sz w:val="20"/>
        </w:rPr>
      </w:pPr>
    </w:p>
    <w:p w:rsidR="00174108" w:rsidRPr="008A011E" w:rsidRDefault="00174108" w:rsidP="00D10273">
      <w:pPr>
        <w:pStyle w:val="Texto"/>
        <w:spacing w:after="0" w:line="240" w:lineRule="exact"/>
        <w:ind w:firstLine="0"/>
        <w:rPr>
          <w:rFonts w:ascii="Calibri" w:hAnsi="Calibri" w:cs="DIN Pro Regular"/>
          <w:b/>
          <w:smallCaps/>
          <w:sz w:val="20"/>
        </w:rPr>
      </w:pPr>
    </w:p>
    <w:p w:rsidR="000D5EFE" w:rsidRDefault="000D5EFE" w:rsidP="00D10273">
      <w:pPr>
        <w:pStyle w:val="Texto"/>
        <w:spacing w:after="0" w:line="240" w:lineRule="exact"/>
        <w:ind w:firstLine="0"/>
        <w:rPr>
          <w:rFonts w:ascii="Calibri" w:hAnsi="Calibri" w:cs="DIN Pro Regular"/>
          <w:b/>
          <w:smallCaps/>
          <w:sz w:val="20"/>
          <w:lang w:val="es-MX"/>
        </w:rPr>
      </w:pPr>
    </w:p>
    <w:p w:rsidR="00DA757F" w:rsidRDefault="00DA757F" w:rsidP="00D10273">
      <w:pPr>
        <w:pStyle w:val="Texto"/>
        <w:spacing w:after="0" w:line="240" w:lineRule="exact"/>
        <w:ind w:firstLine="0"/>
        <w:rPr>
          <w:rFonts w:ascii="Calibri" w:hAnsi="Calibri" w:cs="DIN Pro Regular"/>
          <w:b/>
          <w:smallCaps/>
          <w:sz w:val="20"/>
          <w:lang w:val="es-MX"/>
        </w:rPr>
      </w:pPr>
    </w:p>
    <w:p w:rsidR="00DA757F" w:rsidRPr="008A011E" w:rsidRDefault="00DA757F"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C71B04" w:rsidRDefault="00C71B04">
      <w:pPr>
        <w:spacing w:after="0" w:line="240" w:lineRule="auto"/>
        <w:rPr>
          <w:rFonts w:eastAsia="Times New Roman" w:cs="DIN Pro Regular"/>
          <w:b/>
          <w:smallCaps/>
          <w:sz w:val="20"/>
          <w:szCs w:val="20"/>
          <w:lang w:eastAsia="es-ES"/>
        </w:rPr>
      </w:pPr>
      <w:r>
        <w:rPr>
          <w:rFonts w:cs="DIN Pro Regular"/>
          <w:b/>
          <w:smallCaps/>
          <w:sz w:val="20"/>
        </w:rPr>
        <w:br w:type="page"/>
      </w: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FB1FDD" w:rsidRDefault="00FB1FDD" w:rsidP="00FB1FDD">
      <w:pPr>
        <w:spacing w:after="0" w:line="240" w:lineRule="exact"/>
        <w:ind w:left="2160" w:hanging="540"/>
        <w:jc w:val="both"/>
        <w:rPr>
          <w:rFonts w:eastAsia="Times New Roman" w:cs="DIN Pro Regular"/>
          <w:i/>
          <w:sz w:val="20"/>
          <w:szCs w:val="20"/>
          <w:lang w:val="es-ES" w:eastAsia="es-ES"/>
        </w:rPr>
      </w:pPr>
      <w:r w:rsidRPr="00FB1FDD">
        <w:rPr>
          <w:rFonts w:eastAsia="Times New Roman" w:cs="DIN Pro Regular"/>
          <w:i/>
          <w:sz w:val="20"/>
          <w:szCs w:val="20"/>
          <w:lang w:val="es-ES" w:eastAsia="es-ES"/>
        </w:rPr>
        <w:t>Contables:</w:t>
      </w:r>
    </w:p>
    <w:p w:rsidR="003C7AB5" w:rsidRPr="00FB1FDD" w:rsidRDefault="003C7AB5" w:rsidP="00FB1FDD">
      <w:pPr>
        <w:spacing w:after="0" w:line="240" w:lineRule="exact"/>
        <w:ind w:left="2160" w:hanging="540"/>
        <w:jc w:val="both"/>
        <w:rPr>
          <w:rFonts w:eastAsia="Times New Roman" w:cs="DIN Pro Regular"/>
          <w:i/>
          <w:sz w:val="20"/>
          <w:szCs w:val="20"/>
          <w:lang w:val="es-ES" w:eastAsia="es-ES"/>
        </w:rPr>
      </w:pPr>
    </w:p>
    <w:p w:rsidR="00FB1FDD" w:rsidRPr="00FB1FDD" w:rsidRDefault="00FB1FDD" w:rsidP="00FB1FDD">
      <w:pPr>
        <w:spacing w:after="0" w:line="240" w:lineRule="exact"/>
        <w:ind w:left="2160" w:hanging="540"/>
        <w:jc w:val="both"/>
        <w:rPr>
          <w:rFonts w:eastAsia="Times New Roman" w:cs="DIN Pro Regular"/>
          <w:sz w:val="20"/>
          <w:szCs w:val="20"/>
          <w:lang w:val="es-ES" w:eastAsia="es-ES"/>
        </w:rPr>
      </w:pPr>
      <w:r w:rsidRPr="00FB1FDD">
        <w:rPr>
          <w:rFonts w:eastAsia="Times New Roman" w:cs="DIN Pro Regular"/>
          <w:sz w:val="20"/>
          <w:szCs w:val="20"/>
          <w:lang w:val="es-ES" w:eastAsia="es-ES"/>
        </w:rPr>
        <w:tab/>
        <w:t>Valores</w:t>
      </w:r>
      <w:r w:rsidR="003C7AB5">
        <w:rPr>
          <w:rFonts w:eastAsia="Times New Roman" w:cs="DIN Pro Regular"/>
          <w:sz w:val="20"/>
          <w:szCs w:val="20"/>
          <w:lang w:val="es-ES" w:eastAsia="es-ES"/>
        </w:rPr>
        <w:t>. – No aplica</w:t>
      </w:r>
    </w:p>
    <w:p w:rsidR="00FB1FDD" w:rsidRPr="00FB1FDD" w:rsidRDefault="00FB1FDD" w:rsidP="00FB1FDD">
      <w:pPr>
        <w:spacing w:after="0" w:line="240" w:lineRule="exact"/>
        <w:ind w:left="2160" w:hanging="540"/>
        <w:jc w:val="both"/>
        <w:rPr>
          <w:rFonts w:eastAsia="Times New Roman" w:cs="DIN Pro Regular"/>
          <w:sz w:val="20"/>
          <w:szCs w:val="20"/>
          <w:lang w:val="es-ES" w:eastAsia="es-ES"/>
        </w:rPr>
      </w:pPr>
      <w:r w:rsidRPr="00FB1FDD">
        <w:rPr>
          <w:rFonts w:eastAsia="Times New Roman" w:cs="DIN Pro Regular"/>
          <w:sz w:val="20"/>
          <w:szCs w:val="20"/>
          <w:lang w:val="es-ES" w:eastAsia="es-ES"/>
        </w:rPr>
        <w:tab/>
        <w:t>Emisión de obligaciones</w:t>
      </w:r>
      <w:r>
        <w:rPr>
          <w:rFonts w:eastAsia="Times New Roman" w:cs="DIN Pro Regular"/>
          <w:sz w:val="20"/>
          <w:szCs w:val="20"/>
          <w:lang w:val="es-ES" w:eastAsia="es-ES"/>
        </w:rPr>
        <w:t xml:space="preserve">. </w:t>
      </w:r>
      <w:r w:rsidR="003C7AB5">
        <w:rPr>
          <w:rFonts w:eastAsia="Times New Roman" w:cs="DIN Pro Regular"/>
          <w:sz w:val="20"/>
          <w:szCs w:val="20"/>
          <w:lang w:val="es-ES" w:eastAsia="es-ES"/>
        </w:rPr>
        <w:t>–</w:t>
      </w:r>
      <w:r>
        <w:rPr>
          <w:rFonts w:eastAsia="Times New Roman" w:cs="DIN Pro Regular"/>
          <w:sz w:val="20"/>
          <w:szCs w:val="20"/>
          <w:lang w:val="es-ES" w:eastAsia="es-ES"/>
        </w:rPr>
        <w:t xml:space="preserve"> N</w:t>
      </w:r>
      <w:r w:rsidR="003C7AB5">
        <w:rPr>
          <w:rFonts w:eastAsia="Times New Roman" w:cs="DIN Pro Regular"/>
          <w:sz w:val="20"/>
          <w:szCs w:val="20"/>
          <w:lang w:val="es-ES" w:eastAsia="es-ES"/>
        </w:rPr>
        <w:t>o aplica</w:t>
      </w:r>
    </w:p>
    <w:p w:rsidR="00FB1FDD" w:rsidRPr="00FB1FDD" w:rsidRDefault="00FB1FDD" w:rsidP="00FB1FDD">
      <w:pPr>
        <w:spacing w:after="0" w:line="240" w:lineRule="exact"/>
        <w:ind w:left="2160" w:hanging="540"/>
        <w:jc w:val="both"/>
        <w:rPr>
          <w:rFonts w:eastAsia="Times New Roman" w:cs="DIN Pro Regular"/>
          <w:sz w:val="20"/>
          <w:szCs w:val="20"/>
          <w:lang w:val="es-ES" w:eastAsia="es-ES"/>
        </w:rPr>
      </w:pPr>
      <w:r w:rsidRPr="00FB1FDD">
        <w:rPr>
          <w:rFonts w:eastAsia="Times New Roman" w:cs="DIN Pro Regular"/>
          <w:sz w:val="20"/>
          <w:szCs w:val="20"/>
          <w:lang w:val="es-ES" w:eastAsia="es-ES"/>
        </w:rPr>
        <w:tab/>
        <w:t>Avales y garantías</w:t>
      </w:r>
      <w:r>
        <w:rPr>
          <w:rFonts w:eastAsia="Times New Roman" w:cs="DIN Pro Regular"/>
          <w:sz w:val="20"/>
          <w:szCs w:val="20"/>
          <w:lang w:val="es-ES" w:eastAsia="es-ES"/>
        </w:rPr>
        <w:t xml:space="preserve">. </w:t>
      </w:r>
      <w:r w:rsidR="003C7AB5">
        <w:rPr>
          <w:rFonts w:eastAsia="Times New Roman" w:cs="DIN Pro Regular"/>
          <w:sz w:val="20"/>
          <w:szCs w:val="20"/>
          <w:lang w:val="es-ES" w:eastAsia="es-ES"/>
        </w:rPr>
        <w:t>–</w:t>
      </w:r>
      <w:r>
        <w:rPr>
          <w:rFonts w:eastAsia="Times New Roman" w:cs="DIN Pro Regular"/>
          <w:sz w:val="20"/>
          <w:szCs w:val="20"/>
          <w:lang w:val="es-ES" w:eastAsia="es-ES"/>
        </w:rPr>
        <w:t xml:space="preserve"> N</w:t>
      </w:r>
      <w:r w:rsidR="003C7AB5">
        <w:rPr>
          <w:rFonts w:eastAsia="Times New Roman" w:cs="DIN Pro Regular"/>
          <w:sz w:val="20"/>
          <w:szCs w:val="20"/>
          <w:lang w:val="es-ES" w:eastAsia="es-ES"/>
        </w:rPr>
        <w:t>o aplica</w:t>
      </w:r>
    </w:p>
    <w:p w:rsidR="00FB1FDD" w:rsidRPr="00FB1FDD" w:rsidRDefault="00FB1FDD" w:rsidP="00FB1FDD">
      <w:pPr>
        <w:spacing w:after="0" w:line="240" w:lineRule="exact"/>
        <w:ind w:left="2160" w:hanging="540"/>
        <w:jc w:val="both"/>
        <w:rPr>
          <w:rFonts w:eastAsia="Times New Roman" w:cs="DIN Pro Regular"/>
          <w:sz w:val="20"/>
          <w:szCs w:val="20"/>
          <w:lang w:val="es-ES" w:eastAsia="es-ES"/>
        </w:rPr>
      </w:pPr>
      <w:r w:rsidRPr="00FB1FDD">
        <w:rPr>
          <w:rFonts w:eastAsia="Times New Roman" w:cs="DIN Pro Regular"/>
          <w:sz w:val="20"/>
          <w:szCs w:val="20"/>
          <w:lang w:val="es-ES" w:eastAsia="es-ES"/>
        </w:rPr>
        <w:tab/>
        <w:t>Juicios</w:t>
      </w:r>
      <w:r w:rsidR="003C7AB5">
        <w:rPr>
          <w:rFonts w:eastAsia="Times New Roman" w:cs="DIN Pro Regular"/>
          <w:sz w:val="20"/>
          <w:szCs w:val="20"/>
          <w:lang w:val="es-ES" w:eastAsia="es-ES"/>
        </w:rPr>
        <w:t>. – No aplica</w:t>
      </w:r>
    </w:p>
    <w:p w:rsidR="00FB1FDD" w:rsidRPr="008A011E" w:rsidRDefault="00FB1FDD" w:rsidP="00290E6D">
      <w:pPr>
        <w:pStyle w:val="Texto"/>
        <w:spacing w:after="0" w:line="240" w:lineRule="exact"/>
        <w:ind w:left="2160" w:hanging="540"/>
        <w:rPr>
          <w:rFonts w:ascii="Calibri" w:hAnsi="Calibri" w:cs="DIN Pro Regular"/>
          <w:i/>
          <w:sz w:val="20"/>
        </w:rPr>
      </w:pP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290E6D" w:rsidRPr="008A011E"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p w:rsidR="007006CA" w:rsidRDefault="007006CA" w:rsidP="00290E6D">
      <w:pPr>
        <w:pStyle w:val="Texto"/>
        <w:spacing w:after="0" w:line="240" w:lineRule="exact"/>
        <w:ind w:left="2160" w:hanging="540"/>
        <w:rPr>
          <w:rFonts w:ascii="Calibri" w:hAnsi="Calibri" w:cs="DIN Pro Regular"/>
          <w:sz w:val="20"/>
        </w:rPr>
      </w:pPr>
    </w:p>
    <w:p w:rsidR="007A5E42" w:rsidRDefault="007A5E42" w:rsidP="00290E6D">
      <w:pPr>
        <w:pStyle w:val="Texto"/>
        <w:spacing w:after="0" w:line="240" w:lineRule="exact"/>
        <w:ind w:left="2160" w:hanging="540"/>
        <w:rPr>
          <w:rFonts w:ascii="Calibri" w:hAnsi="Calibri" w:cs="DIN Pro Regular"/>
          <w:sz w:val="20"/>
        </w:rPr>
      </w:pPr>
    </w:p>
    <w:tbl>
      <w:tblPr>
        <w:tblStyle w:val="Tablaconcuadrcula"/>
        <w:tblW w:w="0" w:type="auto"/>
        <w:tblInd w:w="2160" w:type="dxa"/>
        <w:tblLook w:val="04A0" w:firstRow="1" w:lastRow="0" w:firstColumn="1" w:lastColumn="0" w:noHBand="0" w:noVBand="1"/>
      </w:tblPr>
      <w:tblGrid>
        <w:gridCol w:w="954"/>
        <w:gridCol w:w="1843"/>
        <w:gridCol w:w="1559"/>
      </w:tblGrid>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8.1.1</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Estimado</w:t>
            </w:r>
          </w:p>
        </w:tc>
        <w:tc>
          <w:tcPr>
            <w:tcW w:w="1559" w:type="dxa"/>
          </w:tcPr>
          <w:p w:rsidR="007A5E42" w:rsidRDefault="007A5E42" w:rsidP="007A5E42">
            <w:pPr>
              <w:pStyle w:val="Texto"/>
              <w:spacing w:after="0" w:line="240" w:lineRule="exact"/>
              <w:ind w:firstLine="0"/>
              <w:jc w:val="right"/>
              <w:rPr>
                <w:rFonts w:ascii="Calibri" w:hAnsi="Calibri" w:cs="DIN Pro Regular"/>
                <w:sz w:val="20"/>
              </w:rPr>
            </w:pPr>
            <w:r>
              <w:rPr>
                <w:rFonts w:ascii="Calibri" w:hAnsi="Calibri" w:cs="DIN Pro Regular"/>
                <w:sz w:val="20"/>
              </w:rPr>
              <w:t>$    302,355,158</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8.1.2</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Por Ejecutar</w:t>
            </w:r>
          </w:p>
        </w:tc>
        <w:tc>
          <w:tcPr>
            <w:tcW w:w="1559" w:type="dxa"/>
          </w:tcPr>
          <w:p w:rsidR="007A5E42" w:rsidRDefault="007A5E42" w:rsidP="007A5E42">
            <w:pPr>
              <w:pStyle w:val="Texto"/>
              <w:spacing w:after="0" w:line="240" w:lineRule="exact"/>
              <w:ind w:firstLine="0"/>
              <w:jc w:val="right"/>
              <w:rPr>
                <w:rFonts w:ascii="Calibri" w:hAnsi="Calibri" w:cs="DIN Pro Regular"/>
                <w:sz w:val="20"/>
              </w:rPr>
            </w:pPr>
            <w:r>
              <w:rPr>
                <w:rFonts w:ascii="Calibri" w:hAnsi="Calibri" w:cs="DIN Pro Regular"/>
                <w:sz w:val="20"/>
              </w:rPr>
              <w:t>312,590,507</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8.1.3</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Modificado</w:t>
            </w:r>
          </w:p>
        </w:tc>
        <w:tc>
          <w:tcPr>
            <w:tcW w:w="1559" w:type="dxa"/>
          </w:tcPr>
          <w:p w:rsidR="007A5E42" w:rsidRDefault="007A5E42" w:rsidP="007A5E42">
            <w:pPr>
              <w:pStyle w:val="Texto"/>
              <w:spacing w:after="0" w:line="240" w:lineRule="exact"/>
              <w:ind w:firstLine="0"/>
              <w:jc w:val="right"/>
              <w:rPr>
                <w:rFonts w:ascii="Calibri" w:hAnsi="Calibri" w:cs="DIN Pro Regular"/>
                <w:sz w:val="20"/>
              </w:rPr>
            </w:pPr>
            <w:r>
              <w:rPr>
                <w:rFonts w:ascii="Calibri" w:hAnsi="Calibri" w:cs="DIN Pro Regular"/>
                <w:sz w:val="20"/>
              </w:rPr>
              <w:t>312,590,507</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8.1.4</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Devengado</w:t>
            </w:r>
          </w:p>
        </w:tc>
        <w:tc>
          <w:tcPr>
            <w:tcW w:w="1559" w:type="dxa"/>
          </w:tcPr>
          <w:p w:rsidR="007A5E42" w:rsidRDefault="007A5E42" w:rsidP="007A5E42">
            <w:pPr>
              <w:pStyle w:val="Texto"/>
              <w:spacing w:after="0" w:line="240" w:lineRule="exact"/>
              <w:ind w:firstLine="0"/>
              <w:jc w:val="right"/>
              <w:rPr>
                <w:rFonts w:ascii="Calibri" w:hAnsi="Calibri" w:cs="DIN Pro Regular"/>
                <w:sz w:val="20"/>
              </w:rPr>
            </w:pPr>
            <w:r>
              <w:rPr>
                <w:rFonts w:ascii="Calibri" w:hAnsi="Calibri" w:cs="DIN Pro Regular"/>
                <w:sz w:val="20"/>
              </w:rPr>
              <w:t>312,590,507</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8.1.5</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Recaudado</w:t>
            </w:r>
          </w:p>
        </w:tc>
        <w:tc>
          <w:tcPr>
            <w:tcW w:w="1559" w:type="dxa"/>
          </w:tcPr>
          <w:p w:rsidR="007A5E42" w:rsidRDefault="007A5E42" w:rsidP="007A5E42">
            <w:pPr>
              <w:pStyle w:val="Texto"/>
              <w:spacing w:after="0" w:line="240" w:lineRule="exact"/>
              <w:ind w:firstLine="0"/>
              <w:jc w:val="right"/>
              <w:rPr>
                <w:rFonts w:ascii="Calibri" w:hAnsi="Calibri" w:cs="DIN Pro Regular"/>
                <w:sz w:val="20"/>
              </w:rPr>
            </w:pPr>
            <w:r>
              <w:rPr>
                <w:rFonts w:ascii="Calibri" w:hAnsi="Calibri" w:cs="DIN Pro Regular"/>
                <w:sz w:val="20"/>
              </w:rPr>
              <w:t>312,258,657</w:t>
            </w:r>
          </w:p>
        </w:tc>
      </w:tr>
    </w:tbl>
    <w:p w:rsidR="007A5E42" w:rsidRPr="008A011E" w:rsidRDefault="007A5E42"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Cuentas de egresos</w:t>
      </w:r>
    </w:p>
    <w:p w:rsidR="007A5E42" w:rsidRDefault="007A5E42" w:rsidP="00290E6D">
      <w:pPr>
        <w:pStyle w:val="Texto"/>
        <w:spacing w:after="0" w:line="240" w:lineRule="exact"/>
        <w:ind w:left="2160" w:hanging="540"/>
        <w:rPr>
          <w:rFonts w:ascii="Calibri" w:hAnsi="Calibri" w:cs="DIN Pro Regular"/>
          <w:sz w:val="20"/>
        </w:rPr>
      </w:pPr>
    </w:p>
    <w:tbl>
      <w:tblPr>
        <w:tblStyle w:val="Tablaconcuadrcula"/>
        <w:tblW w:w="0" w:type="auto"/>
        <w:tblInd w:w="2160" w:type="dxa"/>
        <w:tblLook w:val="04A0" w:firstRow="1" w:lastRow="0" w:firstColumn="1" w:lastColumn="0" w:noHBand="0" w:noVBand="1"/>
      </w:tblPr>
      <w:tblGrid>
        <w:gridCol w:w="954"/>
        <w:gridCol w:w="1843"/>
        <w:gridCol w:w="1559"/>
      </w:tblGrid>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8.2.1</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Aprobado</w:t>
            </w:r>
          </w:p>
        </w:tc>
        <w:tc>
          <w:tcPr>
            <w:tcW w:w="1559" w:type="dxa"/>
          </w:tcPr>
          <w:p w:rsidR="007A5E42" w:rsidRDefault="00CA7D9B" w:rsidP="00290E6D">
            <w:pPr>
              <w:pStyle w:val="Texto"/>
              <w:spacing w:after="0" w:line="240" w:lineRule="exact"/>
              <w:ind w:firstLine="0"/>
              <w:rPr>
                <w:rFonts w:ascii="Calibri" w:hAnsi="Calibri" w:cs="DIN Pro Regular"/>
                <w:sz w:val="20"/>
              </w:rPr>
            </w:pPr>
            <w:r>
              <w:rPr>
                <w:rFonts w:ascii="Calibri" w:hAnsi="Calibri" w:cs="DIN Pro Regular"/>
                <w:sz w:val="20"/>
              </w:rPr>
              <w:t>$     302,355,158</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8.2.2</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Por Ejercer</w:t>
            </w:r>
          </w:p>
        </w:tc>
        <w:tc>
          <w:tcPr>
            <w:tcW w:w="1559" w:type="dxa"/>
          </w:tcPr>
          <w:p w:rsidR="007A5E42" w:rsidRDefault="00CA7D9B" w:rsidP="00CA7D9B">
            <w:pPr>
              <w:pStyle w:val="Texto"/>
              <w:spacing w:after="0" w:line="240" w:lineRule="exact"/>
              <w:ind w:firstLine="0"/>
              <w:jc w:val="right"/>
              <w:rPr>
                <w:rFonts w:ascii="Calibri" w:hAnsi="Calibri" w:cs="DIN Pro Regular"/>
                <w:sz w:val="20"/>
              </w:rPr>
            </w:pPr>
            <w:r>
              <w:rPr>
                <w:rFonts w:ascii="Calibri" w:hAnsi="Calibri" w:cs="DIN Pro Regular"/>
                <w:sz w:val="20"/>
              </w:rPr>
              <w:t>317,282,547</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8.2.3</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Modificado</w:t>
            </w:r>
          </w:p>
        </w:tc>
        <w:tc>
          <w:tcPr>
            <w:tcW w:w="1559" w:type="dxa"/>
          </w:tcPr>
          <w:p w:rsidR="007A5E42" w:rsidRDefault="00CA7D9B" w:rsidP="00CA7D9B">
            <w:pPr>
              <w:pStyle w:val="Texto"/>
              <w:spacing w:after="0" w:line="240" w:lineRule="exact"/>
              <w:ind w:firstLine="0"/>
              <w:jc w:val="right"/>
              <w:rPr>
                <w:rFonts w:ascii="Calibri" w:hAnsi="Calibri" w:cs="DIN Pro Regular"/>
                <w:sz w:val="20"/>
              </w:rPr>
            </w:pPr>
            <w:r>
              <w:rPr>
                <w:rFonts w:ascii="Calibri" w:hAnsi="Calibri" w:cs="DIN Pro Regular"/>
                <w:sz w:val="20"/>
              </w:rPr>
              <w:t>317,282,547</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8.2.4</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Comprometido</w:t>
            </w:r>
          </w:p>
        </w:tc>
        <w:tc>
          <w:tcPr>
            <w:tcW w:w="1559" w:type="dxa"/>
          </w:tcPr>
          <w:p w:rsidR="007A5E42" w:rsidRDefault="00CA7D9B" w:rsidP="00CA7D9B">
            <w:pPr>
              <w:pStyle w:val="Texto"/>
              <w:spacing w:after="0" w:line="240" w:lineRule="exact"/>
              <w:ind w:firstLine="0"/>
              <w:jc w:val="right"/>
              <w:rPr>
                <w:rFonts w:ascii="Calibri" w:hAnsi="Calibri" w:cs="DIN Pro Regular"/>
                <w:sz w:val="20"/>
              </w:rPr>
            </w:pPr>
            <w:r>
              <w:rPr>
                <w:rFonts w:ascii="Calibri" w:hAnsi="Calibri" w:cs="DIN Pro Regular"/>
                <w:sz w:val="20"/>
              </w:rPr>
              <w:t>3</w:t>
            </w:r>
            <w:r w:rsidR="00D34BA6">
              <w:rPr>
                <w:rFonts w:ascii="Calibri" w:hAnsi="Calibri" w:cs="DIN Pro Regular"/>
                <w:sz w:val="20"/>
              </w:rPr>
              <w:t>09,6</w:t>
            </w:r>
            <w:r>
              <w:rPr>
                <w:rFonts w:ascii="Calibri" w:hAnsi="Calibri" w:cs="DIN Pro Regular"/>
                <w:sz w:val="20"/>
              </w:rPr>
              <w:t>33,556</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8.2.5</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Devengado</w:t>
            </w:r>
          </w:p>
        </w:tc>
        <w:tc>
          <w:tcPr>
            <w:tcW w:w="1559" w:type="dxa"/>
          </w:tcPr>
          <w:p w:rsidR="007A5E42" w:rsidRDefault="00CA7D9B" w:rsidP="00CA7D9B">
            <w:pPr>
              <w:pStyle w:val="Texto"/>
              <w:spacing w:after="0" w:line="240" w:lineRule="exact"/>
              <w:ind w:firstLine="0"/>
              <w:jc w:val="right"/>
              <w:rPr>
                <w:rFonts w:ascii="Calibri" w:hAnsi="Calibri" w:cs="DIN Pro Regular"/>
                <w:sz w:val="20"/>
              </w:rPr>
            </w:pPr>
            <w:r>
              <w:rPr>
                <w:rFonts w:ascii="Calibri" w:hAnsi="Calibri" w:cs="DIN Pro Regular"/>
                <w:sz w:val="20"/>
              </w:rPr>
              <w:t>309,602,648</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8.2.6</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Ejercido</w:t>
            </w:r>
          </w:p>
        </w:tc>
        <w:tc>
          <w:tcPr>
            <w:tcW w:w="1559" w:type="dxa"/>
          </w:tcPr>
          <w:p w:rsidR="007A5E42" w:rsidRDefault="00CA7D9B" w:rsidP="00CA7D9B">
            <w:pPr>
              <w:pStyle w:val="Texto"/>
              <w:spacing w:after="0" w:line="240" w:lineRule="exact"/>
              <w:ind w:firstLine="0"/>
              <w:jc w:val="right"/>
              <w:rPr>
                <w:rFonts w:ascii="Calibri" w:hAnsi="Calibri" w:cs="DIN Pro Regular"/>
                <w:sz w:val="20"/>
              </w:rPr>
            </w:pPr>
            <w:r>
              <w:rPr>
                <w:rFonts w:ascii="Calibri" w:hAnsi="Calibri" w:cs="DIN Pro Regular"/>
                <w:sz w:val="20"/>
              </w:rPr>
              <w:t>294,455,711</w:t>
            </w:r>
          </w:p>
        </w:tc>
      </w:tr>
      <w:tr w:rsidR="007A5E42" w:rsidTr="007A5E42">
        <w:tc>
          <w:tcPr>
            <w:tcW w:w="954"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8.2.7</w:t>
            </w:r>
          </w:p>
        </w:tc>
        <w:tc>
          <w:tcPr>
            <w:tcW w:w="1843" w:type="dxa"/>
          </w:tcPr>
          <w:p w:rsidR="007A5E42" w:rsidRDefault="007A5E42" w:rsidP="00290E6D">
            <w:pPr>
              <w:pStyle w:val="Texto"/>
              <w:spacing w:after="0" w:line="240" w:lineRule="exact"/>
              <w:ind w:firstLine="0"/>
              <w:rPr>
                <w:rFonts w:ascii="Calibri" w:hAnsi="Calibri" w:cs="DIN Pro Regular"/>
                <w:sz w:val="20"/>
              </w:rPr>
            </w:pPr>
            <w:r>
              <w:rPr>
                <w:rFonts w:ascii="Calibri" w:hAnsi="Calibri" w:cs="DIN Pro Regular"/>
                <w:sz w:val="20"/>
              </w:rPr>
              <w:t>Pagado</w:t>
            </w:r>
          </w:p>
        </w:tc>
        <w:tc>
          <w:tcPr>
            <w:tcW w:w="1559" w:type="dxa"/>
          </w:tcPr>
          <w:p w:rsidR="007A5E42" w:rsidRDefault="00CA7D9B" w:rsidP="00CA7D9B">
            <w:pPr>
              <w:pStyle w:val="Texto"/>
              <w:spacing w:after="0" w:line="240" w:lineRule="exact"/>
              <w:ind w:firstLine="0"/>
              <w:jc w:val="right"/>
              <w:rPr>
                <w:rFonts w:ascii="Calibri" w:hAnsi="Calibri" w:cs="DIN Pro Regular"/>
                <w:sz w:val="20"/>
              </w:rPr>
            </w:pPr>
            <w:r>
              <w:rPr>
                <w:rFonts w:ascii="Calibri" w:hAnsi="Calibri" w:cs="DIN Pro Regular"/>
                <w:sz w:val="20"/>
              </w:rPr>
              <w:t>293,541,217</w:t>
            </w:r>
          </w:p>
        </w:tc>
      </w:tr>
    </w:tbl>
    <w:p w:rsidR="007006CA" w:rsidRPr="008A011E" w:rsidRDefault="007006CA" w:rsidP="00290E6D">
      <w:pPr>
        <w:pStyle w:val="Texto"/>
        <w:spacing w:after="0" w:line="240" w:lineRule="exact"/>
        <w:ind w:left="2160" w:hanging="540"/>
        <w:rPr>
          <w:rFonts w:ascii="Calibri" w:hAnsi="Calibri" w:cs="DIN Pro Regular"/>
          <w:sz w:val="20"/>
        </w:rPr>
      </w:pPr>
    </w:p>
    <w:p w:rsidR="00540418" w:rsidRPr="008A011E" w:rsidRDefault="00540418" w:rsidP="00540418">
      <w:pPr>
        <w:pStyle w:val="Texto"/>
        <w:spacing w:after="0" w:line="240" w:lineRule="exact"/>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50441" w:rsidRPr="008A011E" w:rsidRDefault="00050441">
      <w:pPr>
        <w:spacing w:after="0" w:line="240" w:lineRule="auto"/>
        <w:rPr>
          <w:rFonts w:eastAsia="Times New Roman" w:cs="DIN Pro Regular"/>
          <w:sz w:val="20"/>
          <w:szCs w:val="20"/>
          <w:lang w:val="es-ES" w:eastAsia="es-ES"/>
        </w:rPr>
      </w:pPr>
      <w:r w:rsidRPr="008A011E">
        <w:rPr>
          <w:rFonts w:cs="DIN Pro Regular"/>
          <w:sz w:val="20"/>
        </w:rPr>
        <w:br w:type="page"/>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EB37D6" w:rsidRPr="008A011E" w:rsidRDefault="00EB37D6" w:rsidP="00540418">
      <w:pPr>
        <w:pStyle w:val="Texto"/>
        <w:spacing w:after="0" w:line="240" w:lineRule="exact"/>
        <w:rPr>
          <w:rFonts w:ascii="Calibri" w:hAnsi="Calibri" w:cs="DIN Pro Regular"/>
          <w:sz w:val="20"/>
        </w:rPr>
      </w:pPr>
    </w:p>
    <w:p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Pr>
          <w:rFonts w:asciiTheme="minorHAnsi" w:eastAsia="Times New Roman" w:hAnsiTheme="minorHAnsi" w:cstheme="minorHAnsi"/>
          <w:b/>
          <w:sz w:val="20"/>
          <w:szCs w:val="20"/>
          <w:lang w:eastAsia="es-ES"/>
        </w:rPr>
        <w:t xml:space="preserve">1.-    </w:t>
      </w:r>
      <w:r w:rsidRPr="00DE0E68">
        <w:rPr>
          <w:rFonts w:asciiTheme="minorHAnsi" w:eastAsia="Times New Roman" w:hAnsiTheme="minorHAnsi" w:cstheme="minorHAnsi"/>
          <w:b/>
          <w:sz w:val="20"/>
          <w:szCs w:val="20"/>
          <w:lang w:eastAsia="es-ES"/>
        </w:rPr>
        <w:t>Introducción</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val="es-ES" w:eastAsia="es-ES"/>
        </w:rPr>
      </w:pPr>
      <w:r w:rsidRPr="00DE0E68">
        <w:rPr>
          <w:rFonts w:asciiTheme="minorHAnsi" w:eastAsia="Times New Roman" w:hAnsiTheme="minorHAnsi" w:cstheme="minorHAnsi"/>
          <w:sz w:val="20"/>
          <w:szCs w:val="20"/>
          <w:lang w:eastAsia="es-ES"/>
        </w:rPr>
        <w:t>El Colegio de Educación Profesional Técnica del Estado de Tamaulipas opera con recursos Federales, Estatales y de Ingresos propios del organismo, principalmente para cubrir los diferentes conceptos de gastos o funciones relacionadas con el mantenimiento y desarrollo de su actividad.</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val="es-ES"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2.</w:t>
      </w:r>
      <w:r w:rsidRPr="00DE0E68">
        <w:rPr>
          <w:rFonts w:asciiTheme="minorHAnsi" w:eastAsia="Times New Roman" w:hAnsiTheme="minorHAnsi" w:cstheme="minorHAnsi"/>
          <w:b/>
          <w:sz w:val="20"/>
          <w:szCs w:val="20"/>
          <w:lang w:eastAsia="es-ES"/>
        </w:rPr>
        <w:tab/>
        <w:t>Panorama Económico y Financiero</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El Colegio de Educación Profesional Técnica del Estado de Tamaulipas opero en su mayoría con fondos del recurso FAETA (Fondo de Aportación para la Educación Tecnológica y de Adultos) dentro de los recursos federales, seguido de Aportaciones Estatales y recursos por Ingresos Propios del organismo.</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3.</w:t>
      </w:r>
      <w:r w:rsidRPr="00DE0E68">
        <w:rPr>
          <w:rFonts w:asciiTheme="minorHAnsi" w:eastAsia="Times New Roman" w:hAnsiTheme="minorHAnsi" w:cstheme="minorHAnsi"/>
          <w:b/>
          <w:sz w:val="20"/>
          <w:szCs w:val="20"/>
          <w:lang w:eastAsia="es-ES"/>
        </w:rPr>
        <w:tab/>
        <w:t>Autorización e Historia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El Colegio de Educación Profesional Técnica del Estado de Tamaulipas se crea mediante Acuerdo Gubernamental núm. 97 publicado en el periódico oficial del Estado de fecha 05 de diciembre de 1998.</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4.</w:t>
      </w:r>
      <w:r w:rsidRPr="00DE0E68">
        <w:rPr>
          <w:rFonts w:asciiTheme="minorHAnsi" w:eastAsia="Times New Roman" w:hAnsiTheme="minorHAnsi" w:cstheme="minorHAnsi"/>
          <w:b/>
          <w:sz w:val="20"/>
          <w:szCs w:val="20"/>
          <w:lang w:eastAsia="es-ES"/>
        </w:rPr>
        <w:tab/>
        <w:t>Organización y Objeto Social</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 xml:space="preserve">El Colegio de Educación Profesional Técnica del Estado de Tamaulipas tiene por objeto contribuir al desarrollo estatal mediante la formación de recursos humanos calificados conforme a los requerimientos y necesidades del </w:t>
      </w:r>
    </w:p>
    <w:p w:rsidR="00DE0E68" w:rsidRPr="00DE0E68" w:rsidRDefault="00DE0E68" w:rsidP="00DE0E68">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sector productivo y de la superación profesional del individuo a través de los planteles y el Centro de Asistencia y Servicios Tecnológicos (CAST)</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La principal actividad es la educación media superior perteneciente al sector público.</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Las obligaciones fiscales a las que está sujeto el CONALEP Tamaulipas son:</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 xml:space="preserve">Presentar </w:t>
      </w:r>
      <w:r>
        <w:rPr>
          <w:rFonts w:asciiTheme="minorHAnsi" w:eastAsia="Times New Roman" w:hAnsiTheme="minorHAnsi" w:cstheme="minorHAnsi"/>
          <w:sz w:val="20"/>
          <w:szCs w:val="20"/>
          <w:lang w:eastAsia="es-ES"/>
        </w:rPr>
        <w:t>entero de retenciones mensuales de ISR por sueldos y salarios</w:t>
      </w:r>
    </w:p>
    <w:p w:rsidR="00DE0E68" w:rsidRPr="00DE0E68" w:rsidRDefault="00344B31" w:rsidP="00DE0E68">
      <w:pPr>
        <w:spacing w:after="0" w:line="240" w:lineRule="exact"/>
        <w:ind w:firstLine="288"/>
        <w:jc w:val="both"/>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Declaración informativa anual de pagos y retenciones de servicios profesionales. Personas Morales. Impuesto sobre la Renta.</w:t>
      </w:r>
    </w:p>
    <w:p w:rsidR="00DE0E68" w:rsidRPr="00DE0E68" w:rsidRDefault="00344B31" w:rsidP="00DE0E68">
      <w:pPr>
        <w:spacing w:after="0" w:line="240" w:lineRule="exact"/>
        <w:ind w:firstLine="288"/>
        <w:jc w:val="both"/>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Declaración Informativa Anual de retenciones de ISR por arrendamiento de inmuebles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Presentar entero de retenciones mensuales de ISR por sueldos y salarios.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Presentar entero de retenciones mensuales de ISR por ingresos asimilables a salarios.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Presentar declaración informativa mensual de proveedores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5.</w:t>
      </w:r>
      <w:r w:rsidRPr="00DE0E68">
        <w:rPr>
          <w:rFonts w:asciiTheme="minorHAnsi" w:eastAsia="Times New Roman" w:hAnsiTheme="minorHAnsi" w:cstheme="minorHAnsi"/>
          <w:b/>
          <w:sz w:val="20"/>
          <w:szCs w:val="20"/>
          <w:lang w:eastAsia="es-ES"/>
        </w:rPr>
        <w:tab/>
        <w:t>Bases de Preparación de los Estados Financieros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Se está siguiendo la consulta de la normatividad emitida por el CONAC para realizar los informes y Estados Financieros que integran la Cuenta Pública.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6.</w:t>
      </w:r>
      <w:r w:rsidRPr="00DE0E68">
        <w:rPr>
          <w:rFonts w:asciiTheme="minorHAnsi" w:eastAsia="Times New Roman" w:hAnsiTheme="minorHAnsi" w:cstheme="minorHAnsi"/>
          <w:b/>
          <w:sz w:val="20"/>
          <w:szCs w:val="20"/>
          <w:lang w:eastAsia="es-ES"/>
        </w:rPr>
        <w:tab/>
        <w:t>Políticas de Contabilidad Significativas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Se aplican análisis de revisión en cuentas contables para su depuración, principalmente la cuenta de Derechos a recibir efectivo y equivalentes por concepto de Deudores diversos con antigüedad de más de un año las cuales al ser analizadas se pondrán a conocimiento del Órgano de Gobierno para su aprobación en la cancelación de saldos por adeudos no recuperables.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7.</w:t>
      </w:r>
      <w:r w:rsidRPr="00DE0E68">
        <w:rPr>
          <w:rFonts w:asciiTheme="minorHAnsi" w:eastAsia="Times New Roman" w:hAnsiTheme="minorHAnsi" w:cstheme="minorHAnsi"/>
          <w:b/>
          <w:sz w:val="20"/>
          <w:szCs w:val="20"/>
          <w:lang w:eastAsia="es-ES"/>
        </w:rPr>
        <w:tab/>
        <w:t>Posición en Moneda Extranjera y Protección por Riesgo Cambiario</w:t>
      </w:r>
      <w:r w:rsidRPr="00DE0E68">
        <w:rPr>
          <w:rFonts w:asciiTheme="minorHAnsi" w:eastAsia="Times New Roman" w:hAnsiTheme="minorHAnsi" w:cstheme="minorHAnsi"/>
          <w:sz w:val="20"/>
          <w:szCs w:val="20"/>
          <w:lang w:eastAsia="es-ES"/>
        </w:rPr>
        <w:t xml:space="preserve">. - </w:t>
      </w:r>
      <w:r w:rsidRPr="002F7293">
        <w:rPr>
          <w:rFonts w:asciiTheme="minorHAnsi" w:eastAsia="Times New Roman" w:hAnsiTheme="minorHAnsi" w:cstheme="minorHAnsi"/>
          <w:sz w:val="20"/>
          <w:szCs w:val="20"/>
          <w:lang w:eastAsia="es-ES"/>
        </w:rPr>
        <w:t>No aplica</w:t>
      </w:r>
    </w:p>
    <w:p w:rsid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p>
    <w:p w:rsidR="00065BE4" w:rsidRPr="00DE0E68" w:rsidRDefault="00065BE4" w:rsidP="00DE0E68">
      <w:pPr>
        <w:spacing w:after="0" w:line="240" w:lineRule="exact"/>
        <w:ind w:firstLine="288"/>
        <w:jc w:val="both"/>
        <w:rPr>
          <w:rFonts w:asciiTheme="minorHAnsi" w:eastAsia="Times New Roman" w:hAnsiTheme="minorHAnsi" w:cstheme="minorHAnsi"/>
          <w:b/>
          <w:sz w:val="20"/>
          <w:szCs w:val="20"/>
          <w:lang w:eastAsia="es-ES"/>
        </w:rPr>
      </w:pPr>
    </w:p>
    <w:p w:rsidR="00065BE4" w:rsidRDefault="00065BE4" w:rsidP="00DE0E68">
      <w:pPr>
        <w:spacing w:after="0" w:line="240" w:lineRule="exact"/>
        <w:ind w:firstLine="288"/>
        <w:jc w:val="both"/>
        <w:rPr>
          <w:rFonts w:asciiTheme="minorHAnsi" w:eastAsia="Times New Roman" w:hAnsiTheme="minorHAnsi" w:cstheme="minorHAnsi"/>
          <w:b/>
          <w:sz w:val="20"/>
          <w:szCs w:val="20"/>
          <w:lang w:eastAsia="es-ES"/>
        </w:rPr>
      </w:pPr>
    </w:p>
    <w:p w:rsidR="00065BE4" w:rsidRDefault="00065BE4" w:rsidP="00DE0E68">
      <w:pPr>
        <w:spacing w:after="0" w:line="240" w:lineRule="exact"/>
        <w:ind w:firstLine="288"/>
        <w:jc w:val="both"/>
        <w:rPr>
          <w:rFonts w:asciiTheme="minorHAnsi" w:eastAsia="Times New Roman" w:hAnsiTheme="minorHAnsi" w:cstheme="minorHAnsi"/>
          <w:b/>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8.     Reporte Analítico del Activo.</w:t>
      </w:r>
      <w:r w:rsidRPr="00DE0E68">
        <w:rPr>
          <w:rFonts w:asciiTheme="minorHAnsi" w:eastAsia="Times New Roman" w:hAnsiTheme="minorHAnsi" w:cstheme="minorHAnsi"/>
          <w:sz w:val="20"/>
          <w:szCs w:val="20"/>
          <w:lang w:eastAsia="es-ES"/>
        </w:rPr>
        <w:t xml:space="preserve"> -se registran las depreciaciones que sufren dichos bienes en el periodo, aplicando los criterios de porcentajes con el método de depreciación mensual en base a la Guía de Vida útil estimada y porcentaje de depreciación emitida por el CONAC aplicando el método de depreciación en línea recta.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tbl>
      <w:tblPr>
        <w:tblStyle w:val="Tablaconcuadrcula1"/>
        <w:tblW w:w="0" w:type="auto"/>
        <w:tblInd w:w="817" w:type="dxa"/>
        <w:tblLook w:val="04A0" w:firstRow="1" w:lastRow="0" w:firstColumn="1" w:lastColumn="0" w:noHBand="0" w:noVBand="1"/>
      </w:tblPr>
      <w:tblGrid>
        <w:gridCol w:w="6237"/>
        <w:gridCol w:w="2522"/>
      </w:tblGrid>
      <w:tr w:rsidR="00DE0E68" w:rsidRPr="00DE0E68" w:rsidTr="00FB1FDD">
        <w:tc>
          <w:tcPr>
            <w:tcW w:w="6237" w:type="dxa"/>
          </w:tcPr>
          <w:p w:rsidR="00DE0E68" w:rsidRPr="00DE0E68" w:rsidRDefault="00DE0E68" w:rsidP="00DE0E68">
            <w:pPr>
              <w:spacing w:after="80" w:line="203"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Depreciación acumulada de Bienes Muebles</w:t>
            </w:r>
          </w:p>
        </w:tc>
        <w:tc>
          <w:tcPr>
            <w:tcW w:w="2522" w:type="dxa"/>
          </w:tcPr>
          <w:p w:rsidR="00DE0E68" w:rsidRPr="00DE0E68" w:rsidRDefault="00344B31" w:rsidP="00DE0E68">
            <w:pPr>
              <w:spacing w:after="80" w:line="203" w:lineRule="exact"/>
              <w:jc w:val="right"/>
              <w:rPr>
                <w:rFonts w:asciiTheme="minorHAnsi" w:eastAsia="Times New Roman" w:hAnsiTheme="minorHAnsi" w:cstheme="minorHAnsi"/>
                <w:sz w:val="20"/>
                <w:szCs w:val="20"/>
                <w:lang w:eastAsia="es-ES"/>
              </w:rPr>
            </w:pPr>
            <w:r>
              <w:rPr>
                <w:rFonts w:cs="DIN Pro Regular"/>
                <w:sz w:val="20"/>
              </w:rPr>
              <w:t>$ 57,621,329</w:t>
            </w:r>
          </w:p>
        </w:tc>
      </w:tr>
      <w:tr w:rsidR="00DE0E68" w:rsidRPr="00DE0E68" w:rsidTr="00FB1FDD">
        <w:tc>
          <w:tcPr>
            <w:tcW w:w="6237" w:type="dxa"/>
          </w:tcPr>
          <w:p w:rsidR="00DE0E68" w:rsidRPr="00DE0E68" w:rsidRDefault="00DE0E68" w:rsidP="00DE0E68">
            <w:pPr>
              <w:spacing w:after="80" w:line="203"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 xml:space="preserve">Depreciación acumulada de Bienes Muebles </w:t>
            </w:r>
          </w:p>
          <w:p w:rsidR="00DE0E68" w:rsidRPr="00DE0E68" w:rsidRDefault="00DE0E68" w:rsidP="00DE0E68">
            <w:pPr>
              <w:spacing w:after="80" w:line="203"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correspondiente al Ejercicio</w:t>
            </w:r>
          </w:p>
        </w:tc>
        <w:tc>
          <w:tcPr>
            <w:tcW w:w="2522" w:type="dxa"/>
          </w:tcPr>
          <w:p w:rsidR="00DE0E68" w:rsidRPr="00DE0E68" w:rsidRDefault="00344B31" w:rsidP="00DE0E68">
            <w:pPr>
              <w:spacing w:after="80" w:line="203" w:lineRule="exact"/>
              <w:jc w:val="right"/>
              <w:rPr>
                <w:rFonts w:asciiTheme="minorHAnsi" w:eastAsia="Times New Roman" w:hAnsiTheme="minorHAnsi" w:cstheme="minorHAnsi"/>
                <w:sz w:val="20"/>
                <w:szCs w:val="20"/>
                <w:lang w:eastAsia="es-ES"/>
              </w:rPr>
            </w:pPr>
            <w:r>
              <w:rPr>
                <w:rFonts w:cs="DIN Pro Regular"/>
                <w:sz w:val="20"/>
              </w:rPr>
              <w:t>$ 10,396,455</w:t>
            </w:r>
          </w:p>
        </w:tc>
      </w:tr>
    </w:tbl>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9.</w:t>
      </w:r>
      <w:r w:rsidRPr="00DE0E68">
        <w:rPr>
          <w:rFonts w:asciiTheme="minorHAnsi" w:eastAsia="Times New Roman" w:hAnsiTheme="minorHAnsi" w:cstheme="minorHAnsi"/>
          <w:b/>
          <w:sz w:val="20"/>
          <w:szCs w:val="20"/>
          <w:lang w:eastAsia="es-ES"/>
        </w:rPr>
        <w:tab/>
        <w:t>Fideicomisos, Mandatos y Análogos. - No aplica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10.</w:t>
      </w:r>
      <w:r w:rsidRPr="00DE0E68">
        <w:rPr>
          <w:rFonts w:asciiTheme="minorHAnsi" w:eastAsia="Times New Roman" w:hAnsiTheme="minorHAnsi" w:cstheme="minorHAnsi"/>
          <w:b/>
          <w:sz w:val="20"/>
          <w:szCs w:val="20"/>
          <w:lang w:eastAsia="es-ES"/>
        </w:rPr>
        <w:tab/>
        <w:t xml:space="preserve">Reporte de la Recaudación. - </w:t>
      </w:r>
      <w:r w:rsidRPr="00DE0E68">
        <w:rPr>
          <w:rFonts w:asciiTheme="minorHAnsi" w:eastAsia="Times New Roman" w:hAnsiTheme="minorHAnsi" w:cstheme="minorHAnsi"/>
          <w:sz w:val="20"/>
          <w:szCs w:val="20"/>
          <w:lang w:eastAsia="es-ES"/>
        </w:rPr>
        <w:t>Los recursos se solicitan a Secretaria de Finanzas de Gobierno del Estado por medio de recibos de ingreso foliados y autorizados.</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tbl>
      <w:tblPr>
        <w:tblStyle w:val="Tablaconcuadrcula1"/>
        <w:tblW w:w="8789" w:type="dxa"/>
        <w:tblInd w:w="817" w:type="dxa"/>
        <w:tblLook w:val="04A0" w:firstRow="1" w:lastRow="0" w:firstColumn="1" w:lastColumn="0" w:noHBand="0" w:noVBand="1"/>
      </w:tblPr>
      <w:tblGrid>
        <w:gridCol w:w="6237"/>
        <w:gridCol w:w="2552"/>
      </w:tblGrid>
      <w:tr w:rsidR="00DE0E68" w:rsidRPr="00DE0E68" w:rsidTr="00FB1FDD">
        <w:trPr>
          <w:trHeight w:val="276"/>
        </w:trPr>
        <w:tc>
          <w:tcPr>
            <w:tcW w:w="6237" w:type="dxa"/>
          </w:tcPr>
          <w:p w:rsidR="00DE0E68" w:rsidRPr="00DE0E68" w:rsidRDefault="00DE0E68" w:rsidP="00DE0E68">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Transferencia del Estado por recursos propios</w:t>
            </w:r>
          </w:p>
        </w:tc>
        <w:tc>
          <w:tcPr>
            <w:tcW w:w="2552" w:type="dxa"/>
          </w:tcPr>
          <w:p w:rsidR="00DE0E68" w:rsidRPr="00DE0E68" w:rsidRDefault="00DE0E68" w:rsidP="00C10BBE">
            <w:pPr>
              <w:spacing w:after="0" w:line="240" w:lineRule="exact"/>
              <w:jc w:val="right"/>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 xml:space="preserve">$    </w:t>
            </w:r>
            <w:r w:rsidR="00C10BBE">
              <w:rPr>
                <w:rFonts w:asciiTheme="minorHAnsi" w:eastAsia="Times New Roman" w:hAnsiTheme="minorHAnsi" w:cstheme="minorHAnsi"/>
                <w:sz w:val="20"/>
                <w:szCs w:val="20"/>
                <w:lang w:eastAsia="es-ES"/>
              </w:rPr>
              <w:t>26,567,315</w:t>
            </w:r>
          </w:p>
        </w:tc>
      </w:tr>
      <w:tr w:rsidR="00DE0E68" w:rsidRPr="00DE0E68" w:rsidTr="00FB1FDD">
        <w:tc>
          <w:tcPr>
            <w:tcW w:w="6237" w:type="dxa"/>
          </w:tcPr>
          <w:p w:rsidR="00DE0E68" w:rsidRPr="00DE0E68" w:rsidRDefault="00DE0E68" w:rsidP="00DE0E68">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Recursos Federales FAETA</w:t>
            </w:r>
          </w:p>
        </w:tc>
        <w:tc>
          <w:tcPr>
            <w:tcW w:w="2552" w:type="dxa"/>
          </w:tcPr>
          <w:p w:rsidR="00DE0E68" w:rsidRPr="00DE0E68" w:rsidRDefault="00DE0E68" w:rsidP="00C10BBE">
            <w:pPr>
              <w:spacing w:after="0" w:line="240" w:lineRule="exact"/>
              <w:jc w:val="right"/>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 xml:space="preserve"> </w:t>
            </w:r>
            <w:r w:rsidR="00C10BBE">
              <w:rPr>
                <w:rFonts w:asciiTheme="minorHAnsi" w:eastAsia="Times New Roman" w:hAnsiTheme="minorHAnsi" w:cstheme="minorHAnsi"/>
                <w:sz w:val="20"/>
                <w:szCs w:val="20"/>
                <w:lang w:eastAsia="es-ES"/>
              </w:rPr>
              <w:t>204,744,056</w:t>
            </w:r>
          </w:p>
        </w:tc>
      </w:tr>
      <w:tr w:rsidR="00DE0E68" w:rsidRPr="00DE0E68" w:rsidTr="00FB1FDD">
        <w:tc>
          <w:tcPr>
            <w:tcW w:w="6237" w:type="dxa"/>
          </w:tcPr>
          <w:p w:rsidR="00DE0E68" w:rsidRPr="00DE0E68" w:rsidRDefault="00DE0E68" w:rsidP="00DE0E68">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Recursos Estatales</w:t>
            </w:r>
          </w:p>
        </w:tc>
        <w:tc>
          <w:tcPr>
            <w:tcW w:w="2552" w:type="dxa"/>
          </w:tcPr>
          <w:p w:rsidR="00DE0E68" w:rsidRPr="00DE0E68" w:rsidRDefault="00C10BBE" w:rsidP="00DE0E68">
            <w:pPr>
              <w:spacing w:after="0" w:line="240" w:lineRule="exact"/>
              <w:jc w:val="righ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74,193,183</w:t>
            </w:r>
          </w:p>
        </w:tc>
      </w:tr>
      <w:tr w:rsidR="00DE0E68" w:rsidRPr="00DE0E68" w:rsidTr="00FB1FDD">
        <w:tc>
          <w:tcPr>
            <w:tcW w:w="6237" w:type="dxa"/>
          </w:tcPr>
          <w:p w:rsidR="00DE0E68" w:rsidRPr="00DE0E68" w:rsidRDefault="00DE0E68" w:rsidP="00DE0E68">
            <w:pPr>
              <w:spacing w:after="0" w:line="240" w:lineRule="exact"/>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sz w:val="20"/>
                <w:szCs w:val="20"/>
                <w:lang w:eastAsia="es-ES"/>
              </w:rPr>
              <w:t>Rendimientos financieros de recursos federales</w:t>
            </w:r>
          </w:p>
        </w:tc>
        <w:tc>
          <w:tcPr>
            <w:tcW w:w="2552" w:type="dxa"/>
          </w:tcPr>
          <w:p w:rsidR="00DE0E68" w:rsidRPr="00DE0E68" w:rsidRDefault="00C10BBE" w:rsidP="00DE0E68">
            <w:pPr>
              <w:spacing w:after="0" w:line="240" w:lineRule="exact"/>
              <w:jc w:val="right"/>
              <w:rPr>
                <w:rFonts w:asciiTheme="minorHAnsi" w:eastAsia="Times New Roman" w:hAnsiTheme="minorHAnsi" w:cstheme="minorHAnsi"/>
                <w:b/>
                <w:sz w:val="20"/>
                <w:szCs w:val="20"/>
                <w:lang w:eastAsia="es-ES"/>
              </w:rPr>
            </w:pPr>
            <w:r>
              <w:rPr>
                <w:rFonts w:asciiTheme="minorHAnsi" w:eastAsia="Times New Roman" w:hAnsiTheme="minorHAnsi" w:cstheme="minorHAnsi"/>
                <w:sz w:val="20"/>
                <w:szCs w:val="20"/>
                <w:lang w:eastAsia="es-ES"/>
              </w:rPr>
              <w:t xml:space="preserve"> 1,608</w:t>
            </w:r>
          </w:p>
        </w:tc>
      </w:tr>
      <w:tr w:rsidR="00DE0E68" w:rsidRPr="00DE0E68" w:rsidTr="00FB1FDD">
        <w:tc>
          <w:tcPr>
            <w:tcW w:w="6237" w:type="dxa"/>
          </w:tcPr>
          <w:p w:rsidR="00DE0E68" w:rsidRPr="00DE0E68" w:rsidRDefault="00DE0E68" w:rsidP="00DE0E68">
            <w:pPr>
              <w:spacing w:after="0" w:line="240" w:lineRule="exact"/>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 xml:space="preserve">Total Transferencias </w:t>
            </w:r>
          </w:p>
        </w:tc>
        <w:tc>
          <w:tcPr>
            <w:tcW w:w="2552" w:type="dxa"/>
          </w:tcPr>
          <w:p w:rsidR="00DE0E68" w:rsidRPr="00DE0E68" w:rsidRDefault="00DE0E68" w:rsidP="004E4451">
            <w:pPr>
              <w:spacing w:after="0" w:line="240" w:lineRule="exact"/>
              <w:jc w:val="right"/>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 xml:space="preserve">$ </w:t>
            </w:r>
            <w:r w:rsidR="004E4451">
              <w:rPr>
                <w:rFonts w:asciiTheme="minorHAnsi" w:eastAsia="Times New Roman" w:hAnsiTheme="minorHAnsi" w:cstheme="minorHAnsi"/>
                <w:b/>
                <w:sz w:val="20"/>
                <w:szCs w:val="20"/>
                <w:lang w:eastAsia="es-ES"/>
              </w:rPr>
              <w:t>305,506,162</w:t>
            </w:r>
          </w:p>
        </w:tc>
      </w:tr>
    </w:tbl>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11.</w:t>
      </w:r>
      <w:r w:rsidRPr="00DE0E68">
        <w:rPr>
          <w:rFonts w:asciiTheme="minorHAnsi" w:eastAsia="Times New Roman" w:hAnsiTheme="minorHAnsi" w:cstheme="minorHAnsi"/>
          <w:b/>
          <w:sz w:val="20"/>
          <w:szCs w:val="20"/>
          <w:lang w:eastAsia="es-ES"/>
        </w:rPr>
        <w:tab/>
        <w:t>Información sobre la Deuda y el Reporte Analítico de la Deuda. -</w:t>
      </w:r>
      <w:r w:rsidRPr="00DE0E68">
        <w:rPr>
          <w:rFonts w:asciiTheme="minorHAnsi" w:eastAsia="Times New Roman" w:hAnsiTheme="minorHAnsi" w:cstheme="minorHAnsi"/>
          <w:sz w:val="20"/>
          <w:szCs w:val="20"/>
          <w:lang w:eastAsia="es-ES"/>
        </w:rPr>
        <w:t xml:space="preserve"> No aplica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b/>
          <w:sz w:val="20"/>
          <w:szCs w:val="20"/>
          <w:lang w:eastAsia="es-ES"/>
        </w:rPr>
      </w:pPr>
      <w:r w:rsidRPr="00DE0E68">
        <w:rPr>
          <w:rFonts w:asciiTheme="minorHAnsi" w:eastAsia="Times New Roman" w:hAnsiTheme="minorHAnsi" w:cstheme="minorHAnsi"/>
          <w:b/>
          <w:sz w:val="20"/>
          <w:szCs w:val="20"/>
          <w:lang w:eastAsia="es-ES"/>
        </w:rPr>
        <w:t xml:space="preserve">12.   Calificaciones otorgadas. - </w:t>
      </w:r>
      <w:r w:rsidRPr="00DE0E68">
        <w:rPr>
          <w:rFonts w:asciiTheme="minorHAnsi" w:eastAsia="Times New Roman" w:hAnsiTheme="minorHAnsi" w:cstheme="minorHAnsi"/>
          <w:sz w:val="20"/>
          <w:szCs w:val="20"/>
          <w:lang w:eastAsia="es-ES"/>
        </w:rPr>
        <w:t>No aplica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13.</w:t>
      </w:r>
      <w:r w:rsidRPr="00DE0E68">
        <w:rPr>
          <w:rFonts w:asciiTheme="minorHAnsi" w:eastAsia="Times New Roman" w:hAnsiTheme="minorHAnsi" w:cstheme="minorHAnsi"/>
          <w:b/>
          <w:sz w:val="20"/>
          <w:szCs w:val="20"/>
          <w:lang w:eastAsia="es-ES"/>
        </w:rPr>
        <w:tab/>
        <w:t>Proceso de Mejora</w:t>
      </w:r>
      <w:r w:rsidRPr="00DE0E68">
        <w:rPr>
          <w:rFonts w:asciiTheme="minorHAnsi" w:eastAsia="Times New Roman" w:hAnsiTheme="minorHAnsi" w:cstheme="minorHAnsi"/>
          <w:sz w:val="20"/>
          <w:szCs w:val="20"/>
          <w:lang w:eastAsia="es-ES"/>
        </w:rPr>
        <w:t>. - No aplica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14.</w:t>
      </w:r>
      <w:r w:rsidRPr="00DE0E68">
        <w:rPr>
          <w:rFonts w:asciiTheme="minorHAnsi" w:eastAsia="Times New Roman" w:hAnsiTheme="minorHAnsi" w:cstheme="minorHAnsi"/>
          <w:b/>
          <w:sz w:val="20"/>
          <w:szCs w:val="20"/>
          <w:lang w:eastAsia="es-ES"/>
        </w:rPr>
        <w:tab/>
        <w:t xml:space="preserve">Información por Segmentos. – </w:t>
      </w:r>
      <w:r w:rsidRPr="00DE0E68">
        <w:rPr>
          <w:rFonts w:asciiTheme="minorHAnsi" w:eastAsia="Times New Roman" w:hAnsiTheme="minorHAnsi" w:cstheme="minorHAnsi"/>
          <w:sz w:val="20"/>
          <w:szCs w:val="20"/>
          <w:lang w:eastAsia="es-ES"/>
        </w:rPr>
        <w:t>No aplica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15.</w:t>
      </w:r>
      <w:r w:rsidRPr="00DE0E68">
        <w:rPr>
          <w:rFonts w:asciiTheme="minorHAnsi" w:eastAsia="Times New Roman" w:hAnsiTheme="minorHAnsi" w:cstheme="minorHAnsi"/>
          <w:b/>
          <w:sz w:val="20"/>
          <w:szCs w:val="20"/>
          <w:lang w:eastAsia="es-ES"/>
        </w:rPr>
        <w:tab/>
        <w:t>Eventos Posteriores al Cierre. –</w:t>
      </w:r>
      <w:r w:rsidRPr="00DE0E68">
        <w:rPr>
          <w:rFonts w:asciiTheme="minorHAnsi" w:eastAsia="Times New Roman" w:hAnsiTheme="minorHAnsi" w:cstheme="minorHAnsi"/>
          <w:sz w:val="20"/>
          <w:szCs w:val="20"/>
          <w:lang w:eastAsia="es-ES"/>
        </w:rPr>
        <w:t xml:space="preserve"> No aplica</w:t>
      </w: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p>
    <w:p w:rsidR="00DE0E68" w:rsidRPr="00DE0E68" w:rsidRDefault="00DE0E68" w:rsidP="00DE0E68">
      <w:pPr>
        <w:spacing w:after="0" w:line="240" w:lineRule="exact"/>
        <w:ind w:firstLine="288"/>
        <w:jc w:val="both"/>
        <w:rPr>
          <w:rFonts w:asciiTheme="minorHAnsi" w:eastAsia="Times New Roman" w:hAnsiTheme="minorHAnsi" w:cstheme="minorHAnsi"/>
          <w:sz w:val="20"/>
          <w:szCs w:val="20"/>
          <w:lang w:eastAsia="es-ES"/>
        </w:rPr>
      </w:pPr>
      <w:r w:rsidRPr="00DE0E68">
        <w:rPr>
          <w:rFonts w:asciiTheme="minorHAnsi" w:eastAsia="Times New Roman" w:hAnsiTheme="minorHAnsi" w:cstheme="minorHAnsi"/>
          <w:b/>
          <w:sz w:val="20"/>
          <w:szCs w:val="20"/>
          <w:lang w:eastAsia="es-ES"/>
        </w:rPr>
        <w:t>16.</w:t>
      </w:r>
      <w:r w:rsidRPr="00DE0E68">
        <w:rPr>
          <w:rFonts w:asciiTheme="minorHAnsi" w:eastAsia="Times New Roman" w:hAnsiTheme="minorHAnsi" w:cstheme="minorHAnsi"/>
          <w:b/>
          <w:sz w:val="20"/>
          <w:szCs w:val="20"/>
          <w:lang w:eastAsia="es-ES"/>
        </w:rPr>
        <w:tab/>
        <w:t>Partes Relacionadas. –</w:t>
      </w:r>
      <w:r w:rsidRPr="00DE0E68">
        <w:rPr>
          <w:rFonts w:asciiTheme="minorHAnsi" w:eastAsia="Times New Roman" w:hAnsiTheme="minorHAnsi" w:cstheme="minorHAnsi"/>
          <w:sz w:val="20"/>
          <w:szCs w:val="20"/>
          <w:lang w:eastAsia="es-ES"/>
        </w:rPr>
        <w:t xml:space="preserve"> </w:t>
      </w:r>
      <w:r w:rsidRPr="002F7293">
        <w:rPr>
          <w:rFonts w:asciiTheme="minorHAnsi" w:eastAsia="Times New Roman" w:hAnsiTheme="minorHAnsi" w:cstheme="minorHAnsi"/>
          <w:sz w:val="20"/>
          <w:szCs w:val="20"/>
          <w:lang w:eastAsia="es-ES"/>
        </w:rPr>
        <w:t>No aplica</w:t>
      </w:r>
    </w:p>
    <w:p w:rsidR="000E6439" w:rsidRDefault="000E6439" w:rsidP="000D5EFE">
      <w:pPr>
        <w:pStyle w:val="Texto"/>
        <w:spacing w:after="0" w:line="240" w:lineRule="exact"/>
        <w:ind w:firstLine="0"/>
        <w:rPr>
          <w:rFonts w:ascii="Calibri" w:hAnsi="Calibri" w:cs="DIN Pro Regular"/>
          <w:sz w:val="20"/>
        </w:rPr>
      </w:pPr>
    </w:p>
    <w:p w:rsidR="00DE0E68" w:rsidRDefault="00DE0E68" w:rsidP="000D5EFE">
      <w:pPr>
        <w:pStyle w:val="Texto"/>
        <w:spacing w:after="0" w:line="240" w:lineRule="exact"/>
        <w:ind w:firstLine="0"/>
        <w:rPr>
          <w:rFonts w:ascii="Calibri" w:hAnsi="Calibri" w:cs="DIN Pro Regular"/>
          <w:sz w:val="20"/>
        </w:rPr>
      </w:pPr>
    </w:p>
    <w:p w:rsidR="00DE0E68" w:rsidRDefault="00DE0E68" w:rsidP="000D5EFE">
      <w:pPr>
        <w:pStyle w:val="Texto"/>
        <w:spacing w:after="0" w:line="240" w:lineRule="exact"/>
        <w:ind w:firstLine="0"/>
        <w:rPr>
          <w:rFonts w:ascii="Calibri" w:hAnsi="Calibri" w:cs="DIN Pro Regular"/>
          <w:sz w:val="20"/>
        </w:rPr>
      </w:pPr>
    </w:p>
    <w:p w:rsidR="00DE0E68" w:rsidRDefault="00DE0E68" w:rsidP="000D5EFE">
      <w:pPr>
        <w:pStyle w:val="Texto"/>
        <w:spacing w:after="0" w:line="240" w:lineRule="exact"/>
        <w:ind w:firstLine="0"/>
        <w:rPr>
          <w:rFonts w:ascii="Calibri" w:hAnsi="Calibri" w:cs="DIN Pro Regular"/>
          <w:sz w:val="20"/>
        </w:rPr>
      </w:pPr>
    </w:p>
    <w:p w:rsidR="00DE0E68" w:rsidRDefault="00DE0E68" w:rsidP="000D5EFE">
      <w:pPr>
        <w:pStyle w:val="Texto"/>
        <w:spacing w:after="0" w:line="240" w:lineRule="exact"/>
        <w:ind w:firstLine="0"/>
        <w:rPr>
          <w:rFonts w:ascii="Calibri" w:hAnsi="Calibri" w:cs="DIN Pro Regular"/>
          <w:sz w:val="20"/>
        </w:rPr>
      </w:pPr>
    </w:p>
    <w:p w:rsidR="00DE0E68" w:rsidRPr="008A011E" w:rsidRDefault="00DE0E68"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876FA6">
      <w:pPr>
        <w:pStyle w:val="Texto"/>
        <w:spacing w:after="0" w:line="240" w:lineRule="exact"/>
        <w:ind w:firstLine="0"/>
        <w:rPr>
          <w:rFonts w:ascii="Calibri" w:hAnsi="Calibri" w:cs="DIN Pro Regular"/>
          <w:sz w:val="20"/>
        </w:rPr>
      </w:pPr>
    </w:p>
    <w:p w:rsidR="00876FA6" w:rsidRPr="008A011E" w:rsidRDefault="00876FA6" w:rsidP="00876FA6">
      <w:pPr>
        <w:pStyle w:val="Texto"/>
        <w:spacing w:after="0" w:line="240" w:lineRule="exact"/>
        <w:ind w:firstLine="0"/>
        <w:rPr>
          <w:rFonts w:ascii="Calibri" w:hAnsi="Calibri" w:cs="DIN Pro Regular"/>
          <w:sz w:val="20"/>
        </w:rPr>
      </w:pPr>
    </w:p>
    <w:p w:rsidR="00EE26C0" w:rsidRDefault="00EE26C0" w:rsidP="00EE26C0">
      <w:pPr>
        <w:pStyle w:val="Texto"/>
        <w:spacing w:after="0" w:line="240" w:lineRule="exact"/>
        <w:ind w:firstLine="0"/>
        <w:rPr>
          <w:rFonts w:ascii="Calibri" w:hAnsi="Calibri" w:cs="DIN Pro Regular"/>
          <w:sz w:val="20"/>
        </w:rPr>
      </w:pPr>
    </w:p>
    <w:p w:rsidR="005B24BE" w:rsidRPr="00010BEF" w:rsidRDefault="005B24BE">
      <w:pPr>
        <w:pStyle w:val="Texto"/>
        <w:spacing w:after="0" w:line="240" w:lineRule="exact"/>
        <w:jc w:val="center"/>
        <w:rPr>
          <w:rFonts w:ascii="Calibri" w:hAnsi="Calibri" w:cs="DIN Pro Regular"/>
          <w:sz w:val="22"/>
          <w:szCs w:val="22"/>
        </w:rPr>
      </w:pPr>
    </w:p>
    <w:sectPr w:rsidR="005B24BE" w:rsidRPr="00010BEF" w:rsidSect="002C3BA7">
      <w:headerReference w:type="even" r:id="rId9"/>
      <w:headerReference w:type="default" r:id="rId10"/>
      <w:footerReference w:type="even" r:id="rId11"/>
      <w:footerReference w:type="default" r:id="rId12"/>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72" w:rsidRDefault="00264172" w:rsidP="00EA5418">
      <w:pPr>
        <w:spacing w:after="0" w:line="240" w:lineRule="auto"/>
      </w:pPr>
      <w:r>
        <w:separator/>
      </w:r>
    </w:p>
  </w:endnote>
  <w:endnote w:type="continuationSeparator" w:id="0">
    <w:p w:rsidR="00264172" w:rsidRDefault="002641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altName w:val="Times New Roman"/>
    <w:panose1 w:val="00000000000000000000"/>
    <w:charset w:val="00"/>
    <w:family w:val="auto"/>
    <w:pitch w:val="variable"/>
    <w:sig w:usb0="A00000FF" w:usb1="4000207B" w:usb2="00000000" w:usb3="00000000" w:csb0="00000193" w:csb1="00000000"/>
  </w:font>
  <w:font w:name="DIN Pro Regular">
    <w:altName w:val="Arial"/>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4E" w:rsidRPr="00241D8F" w:rsidRDefault="00D90E4E"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493EB5"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3F1551" w:rsidRPr="003F1551">
      <w:rPr>
        <w:rFonts w:ascii="Arial" w:hAnsi="Arial" w:cs="Arial"/>
        <w:noProof/>
        <w:lang w:val="es-ES"/>
      </w:rPr>
      <w:t>8</w:t>
    </w:r>
    <w:r w:rsidRPr="00241D8F">
      <w:rPr>
        <w:rFonts w:ascii="Arial" w:hAnsi="Arial" w:cs="Arial"/>
      </w:rPr>
      <w:fldChar w:fldCharType="end"/>
    </w:r>
  </w:p>
  <w:p w:rsidR="00D90E4E" w:rsidRDefault="00D90E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4E" w:rsidRPr="007818C6" w:rsidRDefault="00D90E4E"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804EEF"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3F1551" w:rsidRPr="003F1551">
      <w:rPr>
        <w:rFonts w:ascii="Helvetica" w:hAnsi="Helvetica" w:cs="Arial"/>
        <w:noProof/>
        <w:lang w:val="es-ES"/>
      </w:rPr>
      <w:t>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72" w:rsidRDefault="00264172" w:rsidP="00EA5418">
      <w:pPr>
        <w:spacing w:after="0" w:line="240" w:lineRule="auto"/>
      </w:pPr>
      <w:r>
        <w:separator/>
      </w:r>
    </w:p>
  </w:footnote>
  <w:footnote w:type="continuationSeparator" w:id="0">
    <w:p w:rsidR="00264172" w:rsidRDefault="0026417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4E" w:rsidRDefault="00D90E4E">
    <w:pPr>
      <w:pStyle w:val="Encabezado"/>
    </w:pPr>
    <w:r>
      <w:rPr>
        <w:noProof/>
        <w:lang w:eastAsia="es-MX"/>
      </w:rPr>
      <mc:AlternateContent>
        <mc:Choice Requires="wps">
          <w:drawing>
            <wp:anchor distT="0" distB="0" distL="114300" distR="114300" simplePos="0" relativeHeight="251653632" behindDoc="0" locked="0" layoutInCell="1" allowOverlap="1" wp14:anchorId="18CA6F99" wp14:editId="29280FA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7EBFF5"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078A6E1A" wp14:editId="64AE9657">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E4E" w:rsidRPr="008A011E" w:rsidRDefault="00D90E4E" w:rsidP="00040466">
                            <w:pPr>
                              <w:spacing w:after="120"/>
                              <w:jc w:val="right"/>
                              <w:rPr>
                                <w:rFonts w:cs="Arial"/>
                                <w:color w:val="808080"/>
                                <w:sz w:val="32"/>
                                <w:szCs w:val="32"/>
                              </w:rPr>
                            </w:pPr>
                            <w:r w:rsidRPr="008A011E">
                              <w:rPr>
                                <w:rFonts w:cs="Arial"/>
                                <w:color w:val="808080"/>
                                <w:sz w:val="32"/>
                                <w:szCs w:val="32"/>
                              </w:rPr>
                              <w:t>CUENTA PÚBLICA</w:t>
                            </w:r>
                          </w:p>
                          <w:p w:rsidR="00D90E4E" w:rsidRPr="00DF6363" w:rsidRDefault="00D90E4E"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E4E" w:rsidRPr="008A011E" w:rsidRDefault="00D90E4E" w:rsidP="00040466">
                              <w:pPr>
                                <w:jc w:val="both"/>
                                <w:rPr>
                                  <w:rFonts w:cs="Arial"/>
                                  <w:color w:val="808080"/>
                                  <w:sz w:val="42"/>
                                  <w:szCs w:val="42"/>
                                </w:rPr>
                              </w:pPr>
                              <w:r w:rsidRPr="008A011E">
                                <w:rPr>
                                  <w:rFonts w:cs="Arial"/>
                                  <w:color w:val="808080"/>
                                  <w:sz w:val="42"/>
                                  <w:szCs w:val="42"/>
                                </w:rPr>
                                <w:t>2022</w:t>
                              </w:r>
                            </w:p>
                            <w:p w:rsidR="00D90E4E" w:rsidRDefault="00D90E4E" w:rsidP="00040466">
                              <w:pPr>
                                <w:jc w:val="both"/>
                                <w:rPr>
                                  <w:rFonts w:ascii="Helvetica" w:hAnsi="Helvetica" w:cs="Arial"/>
                                  <w:color w:val="808080"/>
                                  <w:sz w:val="42"/>
                                  <w:szCs w:val="42"/>
                                </w:rPr>
                              </w:pPr>
                            </w:p>
                            <w:p w:rsidR="00D90E4E" w:rsidRDefault="00D90E4E" w:rsidP="00040466">
                              <w:pPr>
                                <w:jc w:val="both"/>
                                <w:rPr>
                                  <w:rFonts w:ascii="Helvetica" w:hAnsi="Helvetica" w:cs="Arial"/>
                                  <w:color w:val="808080"/>
                                  <w:sz w:val="42"/>
                                  <w:szCs w:val="42"/>
                                </w:rPr>
                              </w:pPr>
                            </w:p>
                            <w:p w:rsidR="00D90E4E" w:rsidRPr="00DC53C5" w:rsidRDefault="00D90E4E" w:rsidP="00040466">
                              <w:pPr>
                                <w:jc w:val="both"/>
                                <w:rPr>
                                  <w:rFonts w:ascii="Arial" w:hAnsi="Arial" w:cs="Arial"/>
                                  <w:color w:val="808080"/>
                                  <w:sz w:val="42"/>
                                  <w:szCs w:val="42"/>
                                </w:rPr>
                              </w:pPr>
                            </w:p>
                            <w:p w:rsidR="00D90E4E" w:rsidRPr="00DC53C5" w:rsidRDefault="00D90E4E"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78A6E1A"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B1FDD" w:rsidRPr="008A011E" w:rsidRDefault="00FB1FDD" w:rsidP="00040466">
                      <w:pPr>
                        <w:spacing w:after="120"/>
                        <w:jc w:val="right"/>
                        <w:rPr>
                          <w:rFonts w:cs="Arial"/>
                          <w:color w:val="808080"/>
                          <w:sz w:val="32"/>
                          <w:szCs w:val="32"/>
                        </w:rPr>
                      </w:pPr>
                      <w:r w:rsidRPr="008A011E">
                        <w:rPr>
                          <w:rFonts w:cs="Arial"/>
                          <w:color w:val="808080"/>
                          <w:sz w:val="32"/>
                          <w:szCs w:val="32"/>
                        </w:rPr>
                        <w:t>CUENTA PÚBLICA</w:t>
                      </w:r>
                    </w:p>
                    <w:p w:rsidR="00FB1FDD" w:rsidRPr="00DF6363" w:rsidRDefault="00FB1FDD"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FB1FDD" w:rsidRPr="008A011E" w:rsidRDefault="00FB1FDD" w:rsidP="00040466">
                        <w:pPr>
                          <w:jc w:val="both"/>
                          <w:rPr>
                            <w:rFonts w:cs="Arial"/>
                            <w:color w:val="808080"/>
                            <w:sz w:val="42"/>
                            <w:szCs w:val="42"/>
                          </w:rPr>
                        </w:pPr>
                        <w:r w:rsidRPr="008A011E">
                          <w:rPr>
                            <w:rFonts w:cs="Arial"/>
                            <w:color w:val="808080"/>
                            <w:sz w:val="42"/>
                            <w:szCs w:val="42"/>
                          </w:rPr>
                          <w:t>2022</w:t>
                        </w:r>
                      </w:p>
                      <w:p w:rsidR="00FB1FDD" w:rsidRDefault="00FB1FDD" w:rsidP="00040466">
                        <w:pPr>
                          <w:jc w:val="both"/>
                          <w:rPr>
                            <w:rFonts w:ascii="Helvetica" w:hAnsi="Helvetica" w:cs="Arial"/>
                            <w:color w:val="808080"/>
                            <w:sz w:val="42"/>
                            <w:szCs w:val="42"/>
                          </w:rPr>
                        </w:pPr>
                      </w:p>
                      <w:p w:rsidR="00FB1FDD" w:rsidRDefault="00FB1FDD" w:rsidP="00040466">
                        <w:pPr>
                          <w:jc w:val="both"/>
                          <w:rPr>
                            <w:rFonts w:ascii="Helvetica" w:hAnsi="Helvetica" w:cs="Arial"/>
                            <w:color w:val="808080"/>
                            <w:sz w:val="42"/>
                            <w:szCs w:val="42"/>
                          </w:rPr>
                        </w:pPr>
                      </w:p>
                      <w:p w:rsidR="00FB1FDD" w:rsidRPr="00DC53C5" w:rsidRDefault="00FB1FDD" w:rsidP="00040466">
                        <w:pPr>
                          <w:jc w:val="both"/>
                          <w:rPr>
                            <w:rFonts w:ascii="Arial" w:hAnsi="Arial" w:cs="Arial"/>
                            <w:color w:val="808080"/>
                            <w:sz w:val="42"/>
                            <w:szCs w:val="42"/>
                          </w:rPr>
                        </w:pPr>
                      </w:p>
                      <w:p w:rsidR="00FB1FDD" w:rsidRPr="00DC53C5" w:rsidRDefault="00FB1FDD"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4E" w:rsidRDefault="003F1551"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2848" behindDoc="0" locked="0" layoutInCell="1" allowOverlap="1" wp14:anchorId="0D692EA6" wp14:editId="172F57DF">
          <wp:simplePos x="0" y="0"/>
          <wp:positionH relativeFrom="margin">
            <wp:posOffset>5393055</wp:posOffset>
          </wp:positionH>
          <wp:positionV relativeFrom="margin">
            <wp:posOffset>-555625</wp:posOffset>
          </wp:positionV>
          <wp:extent cx="1315720" cy="583565"/>
          <wp:effectExtent l="0" t="0" r="0" b="6985"/>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720" cy="583565"/>
                  </a:xfrm>
                  <a:prstGeom prst="rect">
                    <a:avLst/>
                  </a:prstGeom>
                </pic:spPr>
              </pic:pic>
            </a:graphicData>
          </a:graphic>
        </wp:anchor>
      </w:drawing>
    </w:r>
    <w:r>
      <w:rPr>
        <w:noProof/>
        <w:lang w:eastAsia="es-MX"/>
      </w:rPr>
      <w:drawing>
        <wp:anchor distT="0" distB="0" distL="114300" distR="114300" simplePos="0" relativeHeight="251661824" behindDoc="0" locked="0" layoutInCell="1" allowOverlap="1" wp14:anchorId="08C69B89" wp14:editId="46498467">
          <wp:simplePos x="0" y="0"/>
          <wp:positionH relativeFrom="column">
            <wp:posOffset>-564515</wp:posOffset>
          </wp:positionH>
          <wp:positionV relativeFrom="paragraph">
            <wp:posOffset>-225425</wp:posOffset>
          </wp:positionV>
          <wp:extent cx="1126490" cy="716280"/>
          <wp:effectExtent l="0" t="0" r="0" b="762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126490" cy="716280"/>
                  </a:xfrm>
                  <a:prstGeom prst="rect">
                    <a:avLst/>
                  </a:prstGeom>
                </pic:spPr>
              </pic:pic>
            </a:graphicData>
          </a:graphic>
          <wp14:sizeRelH relativeFrom="page">
            <wp14:pctWidth>0</wp14:pctWidth>
          </wp14:sizeRelH>
          <wp14:sizeRelV relativeFrom="page">
            <wp14:pctHeight>0</wp14:pctHeight>
          </wp14:sizeRelV>
        </wp:anchor>
      </w:drawing>
    </w:r>
    <w:r w:rsidRPr="00375C20">
      <w:rPr>
        <w:rFonts w:ascii="Arial" w:hAnsi="Arial" w:cs="Arial"/>
        <w:noProof/>
        <w:lang w:eastAsia="es-MX"/>
      </w:rPr>
      <mc:AlternateContent>
        <mc:Choice Requires="wps">
          <w:drawing>
            <wp:anchor distT="45720" distB="45720" distL="114300" distR="114300" simplePos="0" relativeHeight="251659776" behindDoc="0" locked="0" layoutInCell="1" allowOverlap="1" wp14:anchorId="730644B5" wp14:editId="5286C306">
              <wp:simplePos x="0" y="0"/>
              <wp:positionH relativeFrom="column">
                <wp:posOffset>5449570</wp:posOffset>
              </wp:positionH>
              <wp:positionV relativeFrom="paragraph">
                <wp:posOffset>-142875</wp:posOffset>
              </wp:positionV>
              <wp:extent cx="1052830" cy="68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685800"/>
                      </a:xfrm>
                      <a:prstGeom prst="rect">
                        <a:avLst/>
                      </a:prstGeom>
                      <a:solidFill>
                        <a:srgbClr val="FFFFFF"/>
                      </a:solidFill>
                      <a:ln w="9525">
                        <a:noFill/>
                        <a:miter lim="800000"/>
                        <a:headEnd/>
                        <a:tailEnd/>
                      </a:ln>
                    </wps:spPr>
                    <wps:txbx>
                      <w:txbxContent>
                        <w:p w:rsidR="00D90E4E" w:rsidRPr="00010BEF" w:rsidRDefault="00D90E4E" w:rsidP="00375C20">
                          <w:pPr>
                            <w:jc w:val="center"/>
                            <w:rPr>
                              <w:rFonts w:ascii="Encode Sans" w:hAnsi="Encode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1" type="#_x0000_t202" style="position:absolute;margin-left:429.1pt;margin-top:-11.25pt;width:82.9pt;height:5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" stroked="f">
              <v:textbox>
                <w:txbxContent>
                  <w:p w:rsidR="00D90E4E" w:rsidRPr="00010BEF" w:rsidRDefault="00D90E4E" w:rsidP="00375C20">
                    <w:pPr>
                      <w:jc w:val="center"/>
                      <w:rPr>
                        <w:rFonts w:ascii="Encode Sans" w:hAnsi="Encode Sans"/>
                      </w:rPr>
                    </w:pPr>
                  </w:p>
                </w:txbxContent>
              </v:textbox>
              <w10:wrap type="square"/>
            </v:shape>
          </w:pict>
        </mc:Fallback>
      </mc:AlternateContent>
    </w:r>
  </w:p>
  <w:p w:rsidR="00D90E4E" w:rsidRPr="00010BEF" w:rsidRDefault="00D90E4E" w:rsidP="002164CC">
    <w:pPr>
      <w:pStyle w:val="Encabezado"/>
      <w:tabs>
        <w:tab w:val="clear" w:pos="8838"/>
        <w:tab w:val="left" w:pos="7965"/>
      </w:tabs>
      <w:jc w:val="center"/>
      <w:rPr>
        <w:rFonts w:ascii="Encode Sans" w:hAnsi="Encode Sans" w:cs="Arial"/>
        <w:b/>
      </w:rPr>
    </w:pPr>
    <w:r>
      <w:rPr>
        <w:rFonts w:ascii="Encode Sans" w:hAnsi="Encode Sans" w:cs="Arial"/>
        <w:b/>
      </w:rPr>
      <w:t>Colegio de Educación Profesional Técnica del Estado de Tamaulipas</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649B"/>
    <w:rsid w:val="00050441"/>
    <w:rsid w:val="00065BE4"/>
    <w:rsid w:val="00067F40"/>
    <w:rsid w:val="000803D2"/>
    <w:rsid w:val="00087D3A"/>
    <w:rsid w:val="00093161"/>
    <w:rsid w:val="000931E9"/>
    <w:rsid w:val="000974C5"/>
    <w:rsid w:val="000A6616"/>
    <w:rsid w:val="000B3006"/>
    <w:rsid w:val="000C7E64"/>
    <w:rsid w:val="000D5EFE"/>
    <w:rsid w:val="000E6439"/>
    <w:rsid w:val="000F316C"/>
    <w:rsid w:val="00127E36"/>
    <w:rsid w:val="0013011C"/>
    <w:rsid w:val="00145173"/>
    <w:rsid w:val="00163D6C"/>
    <w:rsid w:val="00174108"/>
    <w:rsid w:val="001819BD"/>
    <w:rsid w:val="00185224"/>
    <w:rsid w:val="00186C07"/>
    <w:rsid w:val="00194BF0"/>
    <w:rsid w:val="001954E6"/>
    <w:rsid w:val="001B1B72"/>
    <w:rsid w:val="001B3965"/>
    <w:rsid w:val="001B6AFE"/>
    <w:rsid w:val="001C2F26"/>
    <w:rsid w:val="001C3CA6"/>
    <w:rsid w:val="001C6FD8"/>
    <w:rsid w:val="001C760F"/>
    <w:rsid w:val="001D5E52"/>
    <w:rsid w:val="001E2701"/>
    <w:rsid w:val="002052B5"/>
    <w:rsid w:val="0020554C"/>
    <w:rsid w:val="00211F03"/>
    <w:rsid w:val="002164CC"/>
    <w:rsid w:val="00236391"/>
    <w:rsid w:val="00241D8F"/>
    <w:rsid w:val="00243167"/>
    <w:rsid w:val="002437CF"/>
    <w:rsid w:val="0024446D"/>
    <w:rsid w:val="00264172"/>
    <w:rsid w:val="00264F1F"/>
    <w:rsid w:val="0027220A"/>
    <w:rsid w:val="0027408A"/>
    <w:rsid w:val="002757DD"/>
    <w:rsid w:val="002841D9"/>
    <w:rsid w:val="00290E6D"/>
    <w:rsid w:val="002A70B3"/>
    <w:rsid w:val="002B3FDA"/>
    <w:rsid w:val="002C3BA7"/>
    <w:rsid w:val="002C576A"/>
    <w:rsid w:val="002C7C1D"/>
    <w:rsid w:val="002D015C"/>
    <w:rsid w:val="002D7A6B"/>
    <w:rsid w:val="002E1E91"/>
    <w:rsid w:val="002E597C"/>
    <w:rsid w:val="002F7293"/>
    <w:rsid w:val="00306E20"/>
    <w:rsid w:val="00307927"/>
    <w:rsid w:val="00344B31"/>
    <w:rsid w:val="00351DD9"/>
    <w:rsid w:val="00363A6C"/>
    <w:rsid w:val="003662C4"/>
    <w:rsid w:val="00372F40"/>
    <w:rsid w:val="00375BBC"/>
    <w:rsid w:val="00375C20"/>
    <w:rsid w:val="003836EF"/>
    <w:rsid w:val="0039289D"/>
    <w:rsid w:val="003A0303"/>
    <w:rsid w:val="003B6A43"/>
    <w:rsid w:val="003C1806"/>
    <w:rsid w:val="003C7AB5"/>
    <w:rsid w:val="003D23FC"/>
    <w:rsid w:val="003D5DBF"/>
    <w:rsid w:val="003D7B22"/>
    <w:rsid w:val="003E46AF"/>
    <w:rsid w:val="003E46D2"/>
    <w:rsid w:val="003E7FD0"/>
    <w:rsid w:val="003F1551"/>
    <w:rsid w:val="003F39C5"/>
    <w:rsid w:val="004152B3"/>
    <w:rsid w:val="00432461"/>
    <w:rsid w:val="0044253C"/>
    <w:rsid w:val="00451D35"/>
    <w:rsid w:val="00460462"/>
    <w:rsid w:val="00484C0D"/>
    <w:rsid w:val="00493508"/>
    <w:rsid w:val="00497203"/>
    <w:rsid w:val="00497D8B"/>
    <w:rsid w:val="004C09C1"/>
    <w:rsid w:val="004C1FD4"/>
    <w:rsid w:val="004C37D1"/>
    <w:rsid w:val="004D41B8"/>
    <w:rsid w:val="004E4451"/>
    <w:rsid w:val="0050622C"/>
    <w:rsid w:val="00521EA1"/>
    <w:rsid w:val="00522632"/>
    <w:rsid w:val="00522ECA"/>
    <w:rsid w:val="00530EB3"/>
    <w:rsid w:val="00540418"/>
    <w:rsid w:val="005655B2"/>
    <w:rsid w:val="005774F0"/>
    <w:rsid w:val="00591EE2"/>
    <w:rsid w:val="00593FCE"/>
    <w:rsid w:val="005A137F"/>
    <w:rsid w:val="005B24BE"/>
    <w:rsid w:val="005D5184"/>
    <w:rsid w:val="005D5CA5"/>
    <w:rsid w:val="005E5C36"/>
    <w:rsid w:val="00655E50"/>
    <w:rsid w:val="00677336"/>
    <w:rsid w:val="00692CDF"/>
    <w:rsid w:val="006A30B4"/>
    <w:rsid w:val="006C4132"/>
    <w:rsid w:val="006D41B9"/>
    <w:rsid w:val="006E14E8"/>
    <w:rsid w:val="006E4041"/>
    <w:rsid w:val="006E77DD"/>
    <w:rsid w:val="007006CA"/>
    <w:rsid w:val="0070709C"/>
    <w:rsid w:val="007075A0"/>
    <w:rsid w:val="00725F56"/>
    <w:rsid w:val="007460DF"/>
    <w:rsid w:val="007658CB"/>
    <w:rsid w:val="00775FD4"/>
    <w:rsid w:val="007818C6"/>
    <w:rsid w:val="0079582C"/>
    <w:rsid w:val="007A5B39"/>
    <w:rsid w:val="007A5E42"/>
    <w:rsid w:val="007B5517"/>
    <w:rsid w:val="007D42CD"/>
    <w:rsid w:val="007D6E9A"/>
    <w:rsid w:val="007E4A53"/>
    <w:rsid w:val="007F08FA"/>
    <w:rsid w:val="00811DAC"/>
    <w:rsid w:val="00820190"/>
    <w:rsid w:val="00847907"/>
    <w:rsid w:val="00847B0D"/>
    <w:rsid w:val="00855258"/>
    <w:rsid w:val="0085677D"/>
    <w:rsid w:val="00862A0D"/>
    <w:rsid w:val="00876FA6"/>
    <w:rsid w:val="00881190"/>
    <w:rsid w:val="00890055"/>
    <w:rsid w:val="008A011E"/>
    <w:rsid w:val="008A120B"/>
    <w:rsid w:val="008A6E4D"/>
    <w:rsid w:val="008B0017"/>
    <w:rsid w:val="008B3251"/>
    <w:rsid w:val="008B3AAD"/>
    <w:rsid w:val="008B41CF"/>
    <w:rsid w:val="008E3652"/>
    <w:rsid w:val="008E5A33"/>
    <w:rsid w:val="008E760C"/>
    <w:rsid w:val="008F2EF0"/>
    <w:rsid w:val="008F5F00"/>
    <w:rsid w:val="008F6D58"/>
    <w:rsid w:val="0090142F"/>
    <w:rsid w:val="00910AF6"/>
    <w:rsid w:val="00911FAF"/>
    <w:rsid w:val="009426AC"/>
    <w:rsid w:val="00961E75"/>
    <w:rsid w:val="009915EB"/>
    <w:rsid w:val="00994738"/>
    <w:rsid w:val="009B7FAD"/>
    <w:rsid w:val="009C5C3A"/>
    <w:rsid w:val="00A10572"/>
    <w:rsid w:val="00A35095"/>
    <w:rsid w:val="00A40022"/>
    <w:rsid w:val="00A41894"/>
    <w:rsid w:val="00A53B19"/>
    <w:rsid w:val="00A74F12"/>
    <w:rsid w:val="00A752B2"/>
    <w:rsid w:val="00AB1692"/>
    <w:rsid w:val="00AD6B30"/>
    <w:rsid w:val="00AE608D"/>
    <w:rsid w:val="00AE777E"/>
    <w:rsid w:val="00AF2F48"/>
    <w:rsid w:val="00AF50E1"/>
    <w:rsid w:val="00AF7996"/>
    <w:rsid w:val="00B10695"/>
    <w:rsid w:val="00B215EA"/>
    <w:rsid w:val="00B23D2F"/>
    <w:rsid w:val="00B26248"/>
    <w:rsid w:val="00B368BA"/>
    <w:rsid w:val="00B60517"/>
    <w:rsid w:val="00B62C87"/>
    <w:rsid w:val="00B73DF3"/>
    <w:rsid w:val="00B849EE"/>
    <w:rsid w:val="00B935E9"/>
    <w:rsid w:val="00BA2940"/>
    <w:rsid w:val="00BA648B"/>
    <w:rsid w:val="00BB5ECD"/>
    <w:rsid w:val="00BB67E7"/>
    <w:rsid w:val="00BD077E"/>
    <w:rsid w:val="00BD394C"/>
    <w:rsid w:val="00BD6292"/>
    <w:rsid w:val="00BE6581"/>
    <w:rsid w:val="00C07D59"/>
    <w:rsid w:val="00C10BBE"/>
    <w:rsid w:val="00C11164"/>
    <w:rsid w:val="00C24E4A"/>
    <w:rsid w:val="00C2567A"/>
    <w:rsid w:val="00C71B04"/>
    <w:rsid w:val="00C7736C"/>
    <w:rsid w:val="00C80663"/>
    <w:rsid w:val="00C80AF3"/>
    <w:rsid w:val="00C80DE1"/>
    <w:rsid w:val="00C9777A"/>
    <w:rsid w:val="00CA7D9B"/>
    <w:rsid w:val="00CC2371"/>
    <w:rsid w:val="00CD0037"/>
    <w:rsid w:val="00D0206A"/>
    <w:rsid w:val="00D055EC"/>
    <w:rsid w:val="00D10273"/>
    <w:rsid w:val="00D34BA6"/>
    <w:rsid w:val="00D846EF"/>
    <w:rsid w:val="00D85F71"/>
    <w:rsid w:val="00D90E4E"/>
    <w:rsid w:val="00D9138F"/>
    <w:rsid w:val="00D92609"/>
    <w:rsid w:val="00DA0023"/>
    <w:rsid w:val="00DA757F"/>
    <w:rsid w:val="00DC53C5"/>
    <w:rsid w:val="00DE0B18"/>
    <w:rsid w:val="00DE0E68"/>
    <w:rsid w:val="00DF01DA"/>
    <w:rsid w:val="00DF166B"/>
    <w:rsid w:val="00DF6363"/>
    <w:rsid w:val="00E07C35"/>
    <w:rsid w:val="00E228E5"/>
    <w:rsid w:val="00E25E66"/>
    <w:rsid w:val="00E32708"/>
    <w:rsid w:val="00E71540"/>
    <w:rsid w:val="00E72130"/>
    <w:rsid w:val="00E75E3C"/>
    <w:rsid w:val="00E92898"/>
    <w:rsid w:val="00E955B5"/>
    <w:rsid w:val="00EA5418"/>
    <w:rsid w:val="00EB26B0"/>
    <w:rsid w:val="00EB37D6"/>
    <w:rsid w:val="00EB4758"/>
    <w:rsid w:val="00EB6BB6"/>
    <w:rsid w:val="00ED118F"/>
    <w:rsid w:val="00EE26C0"/>
    <w:rsid w:val="00EE5D3F"/>
    <w:rsid w:val="00EF1860"/>
    <w:rsid w:val="00EF2D81"/>
    <w:rsid w:val="00F04E99"/>
    <w:rsid w:val="00F1461D"/>
    <w:rsid w:val="00F45C83"/>
    <w:rsid w:val="00F4664C"/>
    <w:rsid w:val="00F62111"/>
    <w:rsid w:val="00FB1010"/>
    <w:rsid w:val="00FB1FDD"/>
    <w:rsid w:val="00FC17AE"/>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41894"/>
    <w:rPr>
      <w:sz w:val="16"/>
      <w:szCs w:val="16"/>
    </w:rPr>
  </w:style>
  <w:style w:type="paragraph" w:styleId="Textocomentario">
    <w:name w:val="annotation text"/>
    <w:basedOn w:val="Normal"/>
    <w:link w:val="TextocomentarioCar"/>
    <w:uiPriority w:val="99"/>
    <w:semiHidden/>
    <w:unhideWhenUsed/>
    <w:rsid w:val="00A418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1894"/>
    <w:rPr>
      <w:lang w:eastAsia="en-US"/>
    </w:rPr>
  </w:style>
  <w:style w:type="paragraph" w:styleId="Asuntodelcomentario">
    <w:name w:val="annotation subject"/>
    <w:basedOn w:val="Textocomentario"/>
    <w:next w:val="Textocomentario"/>
    <w:link w:val="AsuntodelcomentarioCar"/>
    <w:uiPriority w:val="99"/>
    <w:semiHidden/>
    <w:unhideWhenUsed/>
    <w:rsid w:val="00A41894"/>
    <w:rPr>
      <w:b/>
      <w:bCs/>
    </w:rPr>
  </w:style>
  <w:style w:type="character" w:customStyle="1" w:styleId="AsuntodelcomentarioCar">
    <w:name w:val="Asunto del comentario Car"/>
    <w:basedOn w:val="TextocomentarioCar"/>
    <w:link w:val="Asuntodelcomentario"/>
    <w:uiPriority w:val="99"/>
    <w:semiHidden/>
    <w:rsid w:val="00A41894"/>
    <w:rPr>
      <w:b/>
      <w:bCs/>
      <w:lang w:eastAsia="en-US"/>
    </w:rPr>
  </w:style>
  <w:style w:type="table" w:customStyle="1" w:styleId="Tablaconcuadrcula1">
    <w:name w:val="Tabla con cuadrícula1"/>
    <w:basedOn w:val="Tablanormal"/>
    <w:next w:val="Tablaconcuadrcula"/>
    <w:uiPriority w:val="59"/>
    <w:rsid w:val="00DE0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41894"/>
    <w:rPr>
      <w:sz w:val="16"/>
      <w:szCs w:val="16"/>
    </w:rPr>
  </w:style>
  <w:style w:type="paragraph" w:styleId="Textocomentario">
    <w:name w:val="annotation text"/>
    <w:basedOn w:val="Normal"/>
    <w:link w:val="TextocomentarioCar"/>
    <w:uiPriority w:val="99"/>
    <w:semiHidden/>
    <w:unhideWhenUsed/>
    <w:rsid w:val="00A418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1894"/>
    <w:rPr>
      <w:lang w:eastAsia="en-US"/>
    </w:rPr>
  </w:style>
  <w:style w:type="paragraph" w:styleId="Asuntodelcomentario">
    <w:name w:val="annotation subject"/>
    <w:basedOn w:val="Textocomentario"/>
    <w:next w:val="Textocomentario"/>
    <w:link w:val="AsuntodelcomentarioCar"/>
    <w:uiPriority w:val="99"/>
    <w:semiHidden/>
    <w:unhideWhenUsed/>
    <w:rsid w:val="00A41894"/>
    <w:rPr>
      <w:b/>
      <w:bCs/>
    </w:rPr>
  </w:style>
  <w:style w:type="character" w:customStyle="1" w:styleId="AsuntodelcomentarioCar">
    <w:name w:val="Asunto del comentario Car"/>
    <w:basedOn w:val="TextocomentarioCar"/>
    <w:link w:val="Asuntodelcomentario"/>
    <w:uiPriority w:val="99"/>
    <w:semiHidden/>
    <w:rsid w:val="00A41894"/>
    <w:rPr>
      <w:b/>
      <w:bCs/>
      <w:lang w:eastAsia="en-US"/>
    </w:rPr>
  </w:style>
  <w:style w:type="table" w:customStyle="1" w:styleId="Tablaconcuadrcula1">
    <w:name w:val="Tabla con cuadrícula1"/>
    <w:basedOn w:val="Tablanormal"/>
    <w:next w:val="Tablaconcuadrcula"/>
    <w:uiPriority w:val="59"/>
    <w:rsid w:val="00DE0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EE99-74D7-43DF-87F7-2C511D4C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9</Pages>
  <Words>2247</Words>
  <Characters>12360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Jose Antonio Torres Gonzalez</cp:lastModifiedBy>
  <cp:revision>37</cp:revision>
  <cp:lastPrinted>2023-02-21T15:44:00Z</cp:lastPrinted>
  <dcterms:created xsi:type="dcterms:W3CDTF">2023-02-07T01:31:00Z</dcterms:created>
  <dcterms:modified xsi:type="dcterms:W3CDTF">2023-03-03T22:22:00Z</dcterms:modified>
</cp:coreProperties>
</file>