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032131" w:rsidRPr="006B4F02" w:rsidRDefault="00032131" w:rsidP="00032131">
      <w:pPr>
        <w:numPr>
          <w:ilvl w:val="0"/>
          <w:numId w:val="5"/>
        </w:numPr>
        <w:jc w:val="both"/>
        <w:rPr>
          <w:rFonts w:ascii="DINPro-Regular" w:hAnsi="DINPro-Regular" w:cs="Arial"/>
        </w:rPr>
      </w:pPr>
      <w:r w:rsidRPr="006B4F02">
        <w:rPr>
          <w:rFonts w:ascii="DINPro-Regular" w:hAnsi="DINPro-Regular" w:cs="Arial"/>
        </w:rPr>
        <w:t>Porcentaje de inconformidades y quejas</w:t>
      </w:r>
    </w:p>
    <w:p w:rsidR="00032131" w:rsidRPr="006B4F02" w:rsidRDefault="00032131" w:rsidP="00032131">
      <w:pPr>
        <w:jc w:val="both"/>
        <w:rPr>
          <w:rFonts w:ascii="DINPro-Regular" w:hAnsi="DINPro-Regular" w:cs="Arial"/>
        </w:rPr>
      </w:pPr>
      <w:r w:rsidRPr="006B4F02">
        <w:rPr>
          <w:rFonts w:ascii="DINPro-Regular" w:hAnsi="DINPro-Regular" w:cs="Arial"/>
        </w:rPr>
        <w:t xml:space="preserve">              Total de inconformidades resueltas/total de inconformidades recibidas * 100</w:t>
      </w:r>
    </w:p>
    <w:p w:rsidR="00032131" w:rsidRPr="006B4F02" w:rsidRDefault="00032131" w:rsidP="00032131">
      <w:pPr>
        <w:jc w:val="both"/>
        <w:rPr>
          <w:rFonts w:ascii="DINPro-Regular" w:hAnsi="DINPro-Regular" w:cs="Arial"/>
        </w:rPr>
      </w:pP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  <w:t>24</w:t>
      </w:r>
      <w:r>
        <w:rPr>
          <w:rFonts w:ascii="DINPro-Regular" w:hAnsi="DINPro-Regular" w:cs="Arial"/>
        </w:rPr>
        <w:t>8</w:t>
      </w:r>
      <w:r w:rsidRPr="006B4F02">
        <w:rPr>
          <w:rFonts w:ascii="DINPro-Regular" w:hAnsi="DINPro-Regular" w:cs="Arial"/>
        </w:rPr>
        <w:t>/430 * 100 = 57%</w:t>
      </w:r>
    </w:p>
    <w:p w:rsidR="00032131" w:rsidRPr="006B4F02" w:rsidRDefault="00032131" w:rsidP="00032131">
      <w:pPr>
        <w:numPr>
          <w:ilvl w:val="0"/>
          <w:numId w:val="5"/>
        </w:numPr>
        <w:jc w:val="both"/>
        <w:rPr>
          <w:rFonts w:ascii="DINPro-Regular" w:hAnsi="DINPro-Regular" w:cs="Arial"/>
        </w:rPr>
      </w:pPr>
      <w:r w:rsidRPr="006B4F02">
        <w:rPr>
          <w:rFonts w:ascii="DINPro-Regular" w:hAnsi="DINPro-Regular" w:cs="Arial"/>
        </w:rPr>
        <w:t>Porcentaje de Dictámenes y opiniones técnicas médicas emitidas</w:t>
      </w:r>
    </w:p>
    <w:p w:rsidR="00032131" w:rsidRPr="006B4F02" w:rsidRDefault="00032131" w:rsidP="00032131">
      <w:pPr>
        <w:ind w:left="708"/>
        <w:jc w:val="both"/>
        <w:rPr>
          <w:rFonts w:ascii="DINPro-Regular" w:hAnsi="DINPro-Regular" w:cs="Arial"/>
        </w:rPr>
      </w:pPr>
      <w:r w:rsidRPr="006B4F02">
        <w:rPr>
          <w:rFonts w:ascii="DINPro-Regular" w:hAnsi="DINPro-Regular" w:cs="Arial"/>
        </w:rPr>
        <w:t>Número de opiniones técnicas emitidas/número de opiniones técnicas solicitadas * 100</w:t>
      </w:r>
    </w:p>
    <w:p w:rsidR="00032131" w:rsidRPr="006B4F02" w:rsidRDefault="00032131" w:rsidP="00032131">
      <w:pPr>
        <w:ind w:left="708"/>
        <w:jc w:val="both"/>
        <w:rPr>
          <w:rFonts w:ascii="DINPro-Regular" w:hAnsi="DINPro-Regular" w:cs="Arial"/>
        </w:rPr>
      </w:pP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</w:r>
      <w:r w:rsidRPr="006B4F02">
        <w:rPr>
          <w:rFonts w:ascii="DINPro-Regular" w:hAnsi="DINPro-Regular" w:cs="Arial"/>
        </w:rPr>
        <w:tab/>
        <w:t>0/12* 100 = 0%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6D" w:rsidRDefault="00565A6D" w:rsidP="00EA5418">
      <w:pPr>
        <w:spacing w:after="0" w:line="240" w:lineRule="auto"/>
      </w:pPr>
      <w:r>
        <w:separator/>
      </w:r>
    </w:p>
  </w:endnote>
  <w:endnote w:type="continuationSeparator" w:id="0">
    <w:p w:rsidR="00565A6D" w:rsidRDefault="00565A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450A9" wp14:editId="00771D0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4A0F014" wp14:editId="5D271B7F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23464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0D5804" w:rsidRPr="000D580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E0" w:rsidRDefault="00011E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6D" w:rsidRDefault="00565A6D" w:rsidP="00EA5418">
      <w:pPr>
        <w:spacing w:after="0" w:line="240" w:lineRule="auto"/>
      </w:pPr>
      <w:r>
        <w:separator/>
      </w:r>
    </w:p>
  </w:footnote>
  <w:footnote w:type="continuationSeparator" w:id="0">
    <w:p w:rsidR="00565A6D" w:rsidRDefault="00565A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EDA84E6" wp14:editId="4029341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C0033E" wp14:editId="6C490D6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011EE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51FBC" wp14:editId="78EF42FD">
              <wp:simplePos x="0" y="0"/>
              <wp:positionH relativeFrom="column">
                <wp:posOffset>7063740</wp:posOffset>
              </wp:positionH>
              <wp:positionV relativeFrom="paragraph">
                <wp:posOffset>-145416</wp:posOffset>
              </wp:positionV>
              <wp:extent cx="1297940" cy="809625"/>
              <wp:effectExtent l="0" t="0" r="0" b="9525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011EE0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DEE833" wp14:editId="167EB343">
                                <wp:extent cx="742950" cy="647700"/>
                                <wp:effectExtent l="0" t="0" r="0" b="0"/>
                                <wp:docPr id="10" name="9 Imagen" descr="Arb M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9 Imagen" descr="Arb Med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4451" cy="649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1" style="position:absolute;left:0;text-align:left;margin-left:556.2pt;margin-top:-11.45pt;width:102.2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" fillcolor="window" stroked="f" strokeweight="1pt">
              <v:path arrowok="t"/>
              <v:textbox>
                <w:txbxContent>
                  <w:p w:rsidR="00486EF3" w:rsidRPr="007D2823" w:rsidRDefault="00011EE0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D7F474" wp14:editId="74C9BD6F">
                          <wp:extent cx="742950" cy="647700"/>
                          <wp:effectExtent l="0" t="0" r="0" b="0"/>
                          <wp:docPr id="10" name="9 Imagen" descr="Arb M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9 Imagen" descr="Arb Med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4451" cy="649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DE9DFFF" wp14:editId="6042E551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70A" w:rsidRDefault="00D0470A" w:rsidP="00442023">
    <w:pPr>
      <w:pStyle w:val="Encabezado"/>
      <w:jc w:val="center"/>
      <w:rPr>
        <w:rFonts w:ascii="Encode Sans" w:hAnsi="Encode Sans" w:cs="Arial"/>
      </w:rPr>
    </w:pPr>
    <w:r w:rsidRPr="00D0470A">
      <w:rPr>
        <w:rFonts w:ascii="Encode Sans" w:hAnsi="Encode Sans" w:cs="Arial"/>
      </w:rPr>
      <w:t>Comisión Estatal de Conciliación</w:t>
    </w:r>
  </w:p>
  <w:p w:rsidR="00CF63D6" w:rsidRPr="00442023" w:rsidRDefault="00D0470A" w:rsidP="00442023">
    <w:pPr>
      <w:pStyle w:val="Encabezado"/>
      <w:jc w:val="center"/>
      <w:rPr>
        <w:rFonts w:ascii="Arial" w:hAnsi="Arial" w:cs="Arial"/>
      </w:rPr>
    </w:pPr>
    <w:r w:rsidRPr="00D0470A">
      <w:rPr>
        <w:rFonts w:ascii="Encode Sans" w:hAnsi="Encode Sans" w:cs="Arial"/>
      </w:rPr>
      <w:t>y Arbitraje Médico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E0" w:rsidRDefault="00011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A486C3B"/>
    <w:multiLevelType w:val="hybridMultilevel"/>
    <w:tmpl w:val="3BFED4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EE0"/>
    <w:rsid w:val="00032131"/>
    <w:rsid w:val="00036798"/>
    <w:rsid w:val="00040466"/>
    <w:rsid w:val="000766BB"/>
    <w:rsid w:val="000D401B"/>
    <w:rsid w:val="000D5804"/>
    <w:rsid w:val="0013011C"/>
    <w:rsid w:val="001764C2"/>
    <w:rsid w:val="001B1B72"/>
    <w:rsid w:val="00217114"/>
    <w:rsid w:val="00244B43"/>
    <w:rsid w:val="00284A01"/>
    <w:rsid w:val="00287BB4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65A6D"/>
    <w:rsid w:val="005859FA"/>
    <w:rsid w:val="006048D2"/>
    <w:rsid w:val="00611E39"/>
    <w:rsid w:val="00647C15"/>
    <w:rsid w:val="00671A69"/>
    <w:rsid w:val="00694C71"/>
    <w:rsid w:val="006E5470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C154C"/>
    <w:rsid w:val="009E4C72"/>
    <w:rsid w:val="00A036AB"/>
    <w:rsid w:val="00A57D13"/>
    <w:rsid w:val="00A7165F"/>
    <w:rsid w:val="00AB13B7"/>
    <w:rsid w:val="00AC14F8"/>
    <w:rsid w:val="00AD3FED"/>
    <w:rsid w:val="00AF1DB5"/>
    <w:rsid w:val="00B035F9"/>
    <w:rsid w:val="00B064CB"/>
    <w:rsid w:val="00B314DA"/>
    <w:rsid w:val="00B849EE"/>
    <w:rsid w:val="00B96C23"/>
    <w:rsid w:val="00BE4371"/>
    <w:rsid w:val="00C43DDF"/>
    <w:rsid w:val="00C4762A"/>
    <w:rsid w:val="00C50332"/>
    <w:rsid w:val="00C51F71"/>
    <w:rsid w:val="00CA0775"/>
    <w:rsid w:val="00CB17A2"/>
    <w:rsid w:val="00CF2FEA"/>
    <w:rsid w:val="00CF63D6"/>
    <w:rsid w:val="00D0470A"/>
    <w:rsid w:val="00D055EC"/>
    <w:rsid w:val="00D46585"/>
    <w:rsid w:val="00D51261"/>
    <w:rsid w:val="00D921B1"/>
    <w:rsid w:val="00E20B95"/>
    <w:rsid w:val="00E32708"/>
    <w:rsid w:val="00E411E3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C43-47B3-4C3F-A5C8-54DBEFA1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Inc.</cp:lastModifiedBy>
  <cp:revision>24</cp:revision>
  <cp:lastPrinted>2022-12-20T20:35:00Z</cp:lastPrinted>
  <dcterms:created xsi:type="dcterms:W3CDTF">2021-01-09T00:44:00Z</dcterms:created>
  <dcterms:modified xsi:type="dcterms:W3CDTF">2023-02-28T17:21:00Z</dcterms:modified>
</cp:coreProperties>
</file>