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C20" w:rsidRPr="000931E9" w:rsidRDefault="00375C20" w:rsidP="000931E9">
      <w:pPr>
        <w:pStyle w:val="Texto"/>
      </w:pPr>
    </w:p>
    <w:p w:rsidR="00375C20" w:rsidRPr="00010BEF" w:rsidRDefault="00067F40" w:rsidP="00540418">
      <w:pPr>
        <w:pStyle w:val="Texto"/>
        <w:spacing w:after="0" w:line="240" w:lineRule="exact"/>
        <w:jc w:val="center"/>
        <w:rPr>
          <w:rFonts w:ascii="Encode Sans" w:hAnsi="Encode Sans" w:cs="DIN Pro Regular"/>
          <w:b/>
          <w:sz w:val="20"/>
        </w:rPr>
      </w:pPr>
      <w:r w:rsidRPr="00010BEF">
        <w:rPr>
          <w:rFonts w:ascii="Encode Sans" w:hAnsi="Encode Sans" w:cs="DIN Pro Regular"/>
          <w:b/>
          <w:sz w:val="20"/>
        </w:rPr>
        <w:t>CUENTA PÚBLICA 2022</w:t>
      </w:r>
    </w:p>
    <w:p w:rsidR="00540418" w:rsidRPr="00010BEF" w:rsidRDefault="00540418" w:rsidP="00540418">
      <w:pPr>
        <w:pStyle w:val="Texto"/>
        <w:spacing w:after="0" w:line="240" w:lineRule="exact"/>
        <w:jc w:val="center"/>
        <w:rPr>
          <w:rFonts w:ascii="Encode Sans" w:hAnsi="Encode Sans" w:cs="DIN Pro Regular"/>
          <w:b/>
          <w:sz w:val="20"/>
        </w:rPr>
      </w:pPr>
      <w:r w:rsidRPr="00010BEF">
        <w:rPr>
          <w:rFonts w:ascii="Encode Sans" w:hAnsi="Encode Sans" w:cs="DIN Pro Regular"/>
          <w:b/>
          <w:sz w:val="20"/>
        </w:rPr>
        <w:t>NOTAS A LOS ESTADOS FINANCIEROS</w:t>
      </w:r>
    </w:p>
    <w:p w:rsidR="00DF01DA" w:rsidRPr="00010BEF" w:rsidRDefault="00DF01DA" w:rsidP="007A5B39">
      <w:pPr>
        <w:pStyle w:val="Texto"/>
        <w:spacing w:after="0" w:line="240" w:lineRule="exact"/>
        <w:ind w:firstLine="0"/>
        <w:rPr>
          <w:rFonts w:ascii="Encode Sans" w:hAnsi="Encode Sans" w:cs="DIN Pro Regular"/>
          <w:b/>
          <w:sz w:val="20"/>
        </w:rPr>
      </w:pPr>
    </w:p>
    <w:p w:rsidR="005069FD" w:rsidRPr="00BA4C6E" w:rsidRDefault="005069FD" w:rsidP="005069FD">
      <w:pPr>
        <w:pStyle w:val="Texto"/>
        <w:spacing w:after="0" w:line="240" w:lineRule="exact"/>
        <w:jc w:val="center"/>
        <w:rPr>
          <w:rFonts w:asciiTheme="minorHAnsi" w:hAnsiTheme="minorHAnsi"/>
          <w:szCs w:val="18"/>
        </w:rPr>
      </w:pPr>
      <w:r w:rsidRPr="00BA4C6E">
        <w:rPr>
          <w:rFonts w:asciiTheme="minorHAnsi" w:hAnsiTheme="minorHAnsi"/>
          <w:b/>
          <w:szCs w:val="18"/>
        </w:rPr>
        <w:t>A) NOTAS DE DESGLOSE</w:t>
      </w:r>
    </w:p>
    <w:p w:rsidR="005069FD" w:rsidRPr="00BA4C6E" w:rsidRDefault="005069FD" w:rsidP="005069FD">
      <w:pPr>
        <w:pStyle w:val="Texto"/>
        <w:spacing w:after="0" w:line="240" w:lineRule="exact"/>
        <w:rPr>
          <w:rFonts w:asciiTheme="minorHAnsi" w:hAnsiTheme="minorHAnsi" w:cs="Arial"/>
          <w:szCs w:val="18"/>
        </w:rPr>
      </w:pPr>
    </w:p>
    <w:p w:rsidR="005069FD" w:rsidRPr="00BA4C6E" w:rsidRDefault="005069FD" w:rsidP="005069FD">
      <w:pPr>
        <w:spacing w:after="0" w:line="240" w:lineRule="exact"/>
        <w:ind w:left="426" w:hanging="426"/>
        <w:rPr>
          <w:rFonts w:asciiTheme="minorHAnsi" w:hAnsiTheme="minorHAnsi" w:cs="Arial"/>
          <w:b/>
          <w:smallCaps/>
        </w:rPr>
      </w:pPr>
      <w:r w:rsidRPr="00BA4C6E">
        <w:rPr>
          <w:rFonts w:asciiTheme="minorHAnsi" w:hAnsiTheme="minorHAnsi" w:cs="Arial"/>
          <w:b/>
          <w:smallCaps/>
        </w:rPr>
        <w:t xml:space="preserve">I) </w:t>
      </w:r>
      <w:r w:rsidRPr="00BA4C6E">
        <w:rPr>
          <w:rFonts w:asciiTheme="minorHAnsi" w:hAnsiTheme="minorHAnsi" w:cs="Arial"/>
          <w:b/>
          <w:smallCaps/>
        </w:rPr>
        <w:tab/>
        <w:t>NOTAS AL ESTADO DE SITUACIÓN FINANCIERA</w:t>
      </w:r>
    </w:p>
    <w:p w:rsidR="005069FD" w:rsidRPr="00BA4C6E" w:rsidRDefault="005069FD" w:rsidP="005069FD">
      <w:pPr>
        <w:pStyle w:val="Texto"/>
        <w:spacing w:after="0" w:line="240" w:lineRule="exact"/>
        <w:rPr>
          <w:rFonts w:asciiTheme="minorHAnsi" w:hAnsiTheme="minorHAnsi" w:cs="Arial"/>
          <w:sz w:val="22"/>
          <w:szCs w:val="22"/>
          <w:lang w:val="es-MX"/>
        </w:rPr>
      </w:pPr>
    </w:p>
    <w:p w:rsidR="005069FD" w:rsidRPr="00BA4C6E" w:rsidRDefault="005069FD" w:rsidP="005069FD">
      <w:pPr>
        <w:pStyle w:val="Texto"/>
        <w:spacing w:after="0" w:line="240" w:lineRule="exact"/>
        <w:rPr>
          <w:rFonts w:asciiTheme="minorHAnsi" w:hAnsiTheme="minorHAnsi" w:cs="Arial"/>
          <w:b/>
          <w:sz w:val="20"/>
          <w:lang w:val="es-MX"/>
        </w:rPr>
      </w:pPr>
      <w:r w:rsidRPr="00BA4C6E">
        <w:rPr>
          <w:rFonts w:asciiTheme="minorHAnsi" w:hAnsiTheme="minorHAnsi" w:cs="Arial"/>
          <w:b/>
          <w:sz w:val="20"/>
          <w:lang w:val="es-MX"/>
        </w:rPr>
        <w:t>Activo</w:t>
      </w:r>
    </w:p>
    <w:p w:rsidR="005069FD" w:rsidRPr="00BA4C6E" w:rsidRDefault="005069FD" w:rsidP="005069FD">
      <w:pPr>
        <w:pStyle w:val="Texto"/>
        <w:spacing w:after="0" w:line="240" w:lineRule="exact"/>
        <w:rPr>
          <w:rFonts w:asciiTheme="minorHAnsi" w:hAnsiTheme="minorHAnsi" w:cs="Arial"/>
          <w:sz w:val="20"/>
          <w:lang w:val="es-MX"/>
        </w:rPr>
      </w:pPr>
    </w:p>
    <w:p w:rsidR="005069FD" w:rsidRPr="00BA4C6E" w:rsidRDefault="005069FD" w:rsidP="005069FD">
      <w:pPr>
        <w:pStyle w:val="Texto"/>
        <w:spacing w:after="0" w:line="240" w:lineRule="exact"/>
        <w:ind w:firstLine="706"/>
        <w:rPr>
          <w:rFonts w:asciiTheme="minorHAnsi" w:hAnsiTheme="minorHAnsi" w:cs="Arial"/>
          <w:b/>
          <w:sz w:val="20"/>
          <w:lang w:val="es-MX"/>
        </w:rPr>
      </w:pPr>
      <w:r w:rsidRPr="00BA4C6E">
        <w:rPr>
          <w:rFonts w:asciiTheme="minorHAnsi" w:hAnsiTheme="minorHAnsi" w:cs="Arial"/>
          <w:b/>
          <w:sz w:val="20"/>
          <w:lang w:val="es-MX"/>
        </w:rPr>
        <w:t>Efectivo y equivalentes</w:t>
      </w:r>
    </w:p>
    <w:p w:rsidR="005069FD" w:rsidRPr="00BA4C6E" w:rsidRDefault="005069FD" w:rsidP="005069FD">
      <w:pPr>
        <w:pStyle w:val="Texto"/>
        <w:spacing w:after="0" w:line="240" w:lineRule="exact"/>
        <w:ind w:firstLine="706"/>
        <w:rPr>
          <w:rFonts w:asciiTheme="minorHAnsi" w:hAnsiTheme="minorHAnsi" w:cs="Arial"/>
          <w:b/>
          <w:sz w:val="20"/>
          <w:lang w:val="es-MX"/>
        </w:rPr>
      </w:pPr>
    </w:p>
    <w:p w:rsidR="005069FD" w:rsidRPr="00BA4C6E" w:rsidRDefault="005069FD" w:rsidP="005069FD">
      <w:pPr>
        <w:pStyle w:val="Texto"/>
        <w:spacing w:after="0" w:line="240" w:lineRule="exact"/>
        <w:ind w:firstLine="706"/>
        <w:rPr>
          <w:rFonts w:asciiTheme="minorHAnsi" w:eastAsia="Calibri" w:hAnsiTheme="minorHAnsi" w:cs="Arial"/>
          <w:sz w:val="20"/>
          <w:lang w:val="es-MX" w:eastAsia="en-US"/>
        </w:rPr>
      </w:pPr>
      <w:r w:rsidRPr="00BA4C6E">
        <w:rPr>
          <w:rFonts w:asciiTheme="minorHAnsi" w:hAnsiTheme="minorHAnsi" w:cs="Arial"/>
          <w:b/>
          <w:sz w:val="20"/>
        </w:rPr>
        <w:t>Efectivo:</w:t>
      </w:r>
      <w:r w:rsidRPr="00BA4C6E">
        <w:rPr>
          <w:rFonts w:asciiTheme="minorHAnsi" w:hAnsiTheme="minorHAnsi" w:cs="Arial"/>
          <w:sz w:val="20"/>
        </w:rPr>
        <w:t xml:space="preserve"> esta partida no presenta saldo al 31 de diciembre de 2022, debido a la cancelación de la caja</w:t>
      </w:r>
      <w:r w:rsidRPr="00BA4C6E">
        <w:rPr>
          <w:rFonts w:asciiTheme="minorHAnsi" w:eastAsia="Calibri" w:hAnsiTheme="minorHAnsi" w:cs="Arial"/>
          <w:sz w:val="20"/>
          <w:lang w:val="es-MX" w:eastAsia="en-US"/>
        </w:rPr>
        <w:t>.</w:t>
      </w:r>
    </w:p>
    <w:p w:rsidR="005069FD" w:rsidRPr="00BA4C6E" w:rsidRDefault="005069FD" w:rsidP="005069FD">
      <w:pPr>
        <w:pStyle w:val="Texto"/>
        <w:spacing w:after="0" w:line="240" w:lineRule="exact"/>
        <w:ind w:firstLine="706"/>
        <w:rPr>
          <w:rFonts w:asciiTheme="minorHAnsi" w:eastAsia="Calibri" w:hAnsiTheme="minorHAnsi" w:cs="Arial"/>
          <w:sz w:val="20"/>
          <w:lang w:val="es-MX" w:eastAsia="en-US"/>
        </w:rPr>
      </w:pPr>
    </w:p>
    <w:p w:rsidR="005069FD" w:rsidRPr="00BA4C6E" w:rsidRDefault="005069FD" w:rsidP="005069FD">
      <w:pPr>
        <w:pStyle w:val="Texto"/>
        <w:spacing w:after="0" w:line="240" w:lineRule="exact"/>
        <w:ind w:firstLine="706"/>
        <w:rPr>
          <w:rFonts w:asciiTheme="minorHAnsi" w:hAnsiTheme="minorHAnsi" w:cs="Arial"/>
          <w:sz w:val="20"/>
        </w:rPr>
      </w:pPr>
      <w:r w:rsidRPr="00BA4C6E">
        <w:rPr>
          <w:rFonts w:asciiTheme="minorHAnsi" w:hAnsiTheme="minorHAnsi" w:cs="Arial"/>
          <w:b/>
          <w:sz w:val="20"/>
        </w:rPr>
        <w:t>Bancos/tesorería:</w:t>
      </w:r>
      <w:r w:rsidRPr="00BA4C6E">
        <w:rPr>
          <w:rFonts w:asciiTheme="minorHAnsi" w:hAnsiTheme="minorHAnsi" w:cs="Arial"/>
          <w:sz w:val="20"/>
        </w:rPr>
        <w:t xml:space="preserve"> muestra el saldo bancario por un importe de  </w:t>
      </w:r>
      <w:r w:rsidRPr="00BA4C6E">
        <w:rPr>
          <w:rFonts w:asciiTheme="minorHAnsi" w:hAnsiTheme="minorHAnsi" w:cs="Arial"/>
          <w:b/>
          <w:sz w:val="20"/>
        </w:rPr>
        <w:t>$</w:t>
      </w:r>
      <w:r w:rsidRPr="00BA4C6E">
        <w:rPr>
          <w:rFonts w:asciiTheme="minorHAnsi" w:hAnsiTheme="minorHAnsi" w:cs="Arial"/>
          <w:sz w:val="20"/>
        </w:rPr>
        <w:t xml:space="preserve"> </w:t>
      </w:r>
      <w:r w:rsidRPr="00BA4C6E">
        <w:rPr>
          <w:rFonts w:asciiTheme="minorHAnsi" w:hAnsiTheme="minorHAnsi" w:cs="Arial"/>
          <w:b/>
          <w:bCs/>
          <w:sz w:val="20"/>
          <w:lang w:eastAsia="es-MX"/>
        </w:rPr>
        <w:t>12</w:t>
      </w:r>
      <w:proofErr w:type="gramStart"/>
      <w:r w:rsidRPr="00BA4C6E">
        <w:rPr>
          <w:rFonts w:asciiTheme="minorHAnsi" w:hAnsiTheme="minorHAnsi" w:cs="Arial"/>
          <w:b/>
          <w:bCs/>
          <w:sz w:val="20"/>
          <w:lang w:eastAsia="es-MX"/>
        </w:rPr>
        <w:t>,932,</w:t>
      </w:r>
      <w:r>
        <w:rPr>
          <w:rFonts w:asciiTheme="minorHAnsi" w:hAnsiTheme="minorHAnsi" w:cs="Arial"/>
          <w:b/>
          <w:bCs/>
          <w:sz w:val="20"/>
          <w:lang w:eastAsia="es-MX"/>
        </w:rPr>
        <w:t>988</w:t>
      </w:r>
      <w:proofErr w:type="gramEnd"/>
      <w:r w:rsidRPr="00BA4C6E">
        <w:rPr>
          <w:rFonts w:asciiTheme="minorHAnsi" w:hAnsiTheme="minorHAnsi" w:cs="Arial"/>
          <w:b/>
          <w:sz w:val="20"/>
        </w:rPr>
        <w:t xml:space="preserve"> </w:t>
      </w:r>
      <w:r w:rsidRPr="00BA4C6E">
        <w:rPr>
          <w:rFonts w:asciiTheme="minorHAnsi" w:hAnsiTheme="minorHAnsi" w:cs="Arial"/>
          <w:sz w:val="20"/>
        </w:rPr>
        <w:t>y está integrado de la siguiente manera:</w:t>
      </w:r>
    </w:p>
    <w:p w:rsidR="005069FD" w:rsidRPr="00BA4C6E" w:rsidRDefault="005069FD" w:rsidP="005069FD">
      <w:pPr>
        <w:pStyle w:val="Texto"/>
        <w:spacing w:after="0" w:line="240" w:lineRule="exact"/>
        <w:ind w:firstLine="0"/>
        <w:rPr>
          <w:rFonts w:asciiTheme="minorHAnsi" w:hAnsiTheme="minorHAnsi" w:cs="Arial"/>
          <w:sz w:val="20"/>
        </w:rPr>
      </w:pPr>
    </w:p>
    <w:tbl>
      <w:tblPr>
        <w:tblpPr w:leftFromText="141" w:rightFromText="141" w:vertAnchor="text" w:horzAnchor="margin" w:tblpY="123"/>
        <w:tblW w:w="9860" w:type="dxa"/>
        <w:tblCellMar>
          <w:left w:w="70" w:type="dxa"/>
          <w:right w:w="70" w:type="dxa"/>
        </w:tblCellMar>
        <w:tblLook w:val="04A0" w:firstRow="1" w:lastRow="0" w:firstColumn="1" w:lastColumn="0" w:noHBand="0" w:noVBand="1"/>
      </w:tblPr>
      <w:tblGrid>
        <w:gridCol w:w="1820"/>
        <w:gridCol w:w="6400"/>
        <w:gridCol w:w="1640"/>
      </w:tblGrid>
      <w:tr w:rsidR="005069FD" w:rsidRPr="00E17AED" w:rsidTr="00C07EAF">
        <w:trPr>
          <w:trHeight w:val="315"/>
        </w:trPr>
        <w:tc>
          <w:tcPr>
            <w:tcW w:w="8220" w:type="dxa"/>
            <w:gridSpan w:val="2"/>
            <w:tcBorders>
              <w:top w:val="single" w:sz="8" w:space="0" w:color="auto"/>
              <w:left w:val="single" w:sz="8" w:space="0" w:color="auto"/>
              <w:bottom w:val="single" w:sz="8" w:space="0" w:color="auto"/>
              <w:right w:val="single" w:sz="8" w:space="0" w:color="000000"/>
            </w:tcBorders>
            <w:shd w:val="clear" w:color="auto" w:fill="AB0033"/>
            <w:vAlign w:val="center"/>
            <w:hideMark/>
          </w:tcPr>
          <w:p w:rsidR="005069FD" w:rsidRPr="00E17AED" w:rsidRDefault="005069FD" w:rsidP="00C07EAF">
            <w:pPr>
              <w:spacing w:after="0"/>
              <w:jc w:val="center"/>
              <w:rPr>
                <w:rFonts w:eastAsia="Times New Roman" w:cs="Calibri"/>
                <w:b/>
                <w:bCs/>
                <w:color w:val="FFFFFF"/>
                <w:sz w:val="18"/>
                <w:szCs w:val="18"/>
                <w:lang w:eastAsia="es-MX"/>
              </w:rPr>
            </w:pPr>
            <w:r w:rsidRPr="00E17AED">
              <w:rPr>
                <w:rFonts w:eastAsia="Times New Roman" w:cs="Calibri"/>
                <w:b/>
                <w:bCs/>
                <w:color w:val="FFFFFF"/>
                <w:sz w:val="18"/>
                <w:szCs w:val="18"/>
                <w:lang w:eastAsia="es-MX"/>
              </w:rPr>
              <w:t>Bancos/Tesorería</w:t>
            </w:r>
          </w:p>
        </w:tc>
        <w:tc>
          <w:tcPr>
            <w:tcW w:w="1640" w:type="dxa"/>
            <w:tcBorders>
              <w:top w:val="single" w:sz="8" w:space="0" w:color="auto"/>
              <w:left w:val="nil"/>
              <w:bottom w:val="single" w:sz="8" w:space="0" w:color="auto"/>
              <w:right w:val="single" w:sz="8" w:space="0" w:color="auto"/>
            </w:tcBorders>
            <w:shd w:val="clear" w:color="auto" w:fill="AB0033"/>
            <w:vAlign w:val="center"/>
            <w:hideMark/>
          </w:tcPr>
          <w:p w:rsidR="005069FD" w:rsidRPr="00E17AED" w:rsidRDefault="005069FD" w:rsidP="00C07EAF">
            <w:pPr>
              <w:spacing w:after="0"/>
              <w:jc w:val="center"/>
              <w:rPr>
                <w:rFonts w:eastAsia="Times New Roman" w:cs="Calibri"/>
                <w:b/>
                <w:bCs/>
                <w:color w:val="FFFFFF"/>
                <w:sz w:val="18"/>
                <w:szCs w:val="18"/>
                <w:lang w:eastAsia="es-MX"/>
              </w:rPr>
            </w:pPr>
            <w:r w:rsidRPr="00620C19">
              <w:rPr>
                <w:rFonts w:eastAsia="Times New Roman" w:cs="Calibri"/>
                <w:b/>
                <w:bCs/>
                <w:color w:val="FFFFFF"/>
                <w:sz w:val="18"/>
                <w:szCs w:val="18"/>
                <w:lang w:eastAsia="es-MX"/>
              </w:rPr>
              <w:t>Importe</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BANORTE</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11,604,889</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1112-01-100</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1001323985 SUBSIDIO ESTATAL 2018 (CAPITULO 1000)</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165,655</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1112-01-139</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1007246246 FONDO DE AHORRO TRABAJADORES</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894,329</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1112-01-140</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1007247449 FONDO DE AHORRO PATRONAL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894,353</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1112-01-201</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1051985771 DERECHOS 2019</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136</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1112-01-297</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1095620768 INGRESOS POR DERECHOS 2020</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64</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1112-01-357</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1137402501 SERVICIOS PERSONALES 2021 (RAMO 28)</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100,423</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1112-01-362</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1137409881 SERVICIOS GENERALES 2021 (INGRESOS PROPIOS)</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63,917</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1112-01-434</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1173090924 PROPIOS DICIEMBRE 2021</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188,022</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1112-01-436</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1174932964 SERVICIOS PERSONALES 2022 (RAMO 28)</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34,632</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1112-01-437</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1174935116 SERVICIOS PERSONALES 2022 (INGRESOS PROPIOS)</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16</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1112-01-438</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1174940857 MATERIALES Y SUMINISTROS 2022 (RAMO 28)</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5,071</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1112-01-439</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1174941975 MATERIALES Y SUMINISTROS 2022 (INGRESOS PROPIOS)</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101,296</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1112-01-440</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1174944006 SERVICIOS GENERALES 2022 (RAMO28)</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19,036</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1112-01-441</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1174945357 SERVICIOS GENERALES 2022 (INGRESOS PROPIOS)</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227,952</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1112-01-442</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1174946215 SUBSIDIOS Y APOYOS 2022 (RAMO 28)</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2</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1112-01-443</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1174947511 SUBSIDIOS Y APOYOS 2022 (INGRESOS PROPIOS)</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13,992</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1112-01-444</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1175601735 INGRESOS POR DERECHOS 2022</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31,585</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1112-01-445</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1175606477 INGRESOS POR VENTAS 2022</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3,335</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1112-01-446</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1175608501 IMPUESTOS 2022</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1,176,228</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1112-01-447</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1182888507 REPARTO DE AGUA EN COMUNIDADES RURALES 2022</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67,132</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1112-01-448</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1186560333 MANTENIMIENTO A LA INFRAESTRUCTURA SANITARIA DEL ESTADO</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5,104</w:t>
            </w:r>
          </w:p>
        </w:tc>
      </w:tr>
      <w:tr w:rsidR="005069FD" w:rsidRPr="00E17AED" w:rsidTr="00C07EAF">
        <w:trPr>
          <w:trHeight w:val="12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lastRenderedPageBreak/>
              <w:t>1112-01-462</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1188704122 APORTACION DE RECURSO FEDERAL DEL PROAGUA 2022 PARA ACCIONES DE AGUA POTABLE, ALCANTARILLADO Y SANEAMIENTO EN LOCALIDADES URBANAS EN LA COMISION DE AGUA POTABLE Y ALCANTARILLADO DEL MPIO. DE NVO LAREDO, TAMAULIPAS</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261</w:t>
            </w:r>
          </w:p>
        </w:tc>
      </w:tr>
      <w:tr w:rsidR="005069FD" w:rsidRPr="00E17AED" w:rsidTr="00C07EAF">
        <w:trPr>
          <w:trHeight w:val="12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1112-01-464</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1188895851 SERVICIOS PROFESIONALES PARA LA INTEGRACION, CONCENTRACION, ANALISIS Y VALIDACION DE LA DOCUMENTACION DE EXPEDIENTES DE CONTRATACIONES PUBLICAS LLEVADAS A CABO POR LA COMISION ESTATAL DELA GUA DE TAMAULIPAS</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35</w:t>
            </w:r>
          </w:p>
        </w:tc>
      </w:tr>
      <w:tr w:rsidR="005069FD" w:rsidRPr="00E17AED" w:rsidTr="00C07EAF">
        <w:trPr>
          <w:trHeight w:val="73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1112-01-467</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1189722150 Supervisión técnica por administración para acciones de Localidades Rurales del Anexo Técnico No.01 (Aportación Federal)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24,279</w:t>
            </w:r>
          </w:p>
        </w:tc>
      </w:tr>
      <w:tr w:rsidR="005069FD" w:rsidRPr="00E17AED" w:rsidTr="00C07EAF">
        <w:trPr>
          <w:trHeight w:val="73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1112-01-468</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1189722235 Supervisión técnica por administración para acciones de Localidades Rurales del Anexo Técnico No.01 (Aportación Estatal)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13,022</w:t>
            </w:r>
          </w:p>
        </w:tc>
      </w:tr>
      <w:tr w:rsidR="005069FD" w:rsidRPr="00E17AED" w:rsidTr="00C07EAF">
        <w:trPr>
          <w:trHeight w:val="73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1112-01-469</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1189722262 Supervisión técnica por administración para acciones de Localidades Urbanas del Anexo Técnico No.01 (Aportación Federal)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33,582</w:t>
            </w:r>
          </w:p>
        </w:tc>
      </w:tr>
      <w:tr w:rsidR="005069FD" w:rsidRPr="00E17AED" w:rsidTr="00C07EAF">
        <w:trPr>
          <w:trHeight w:val="73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1112-01-470</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1189722365 Supervisión técnica por administración para acciones de Localidades Urbanas del Anexo Técnico No.01 (Aportación Estatal)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19,207</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1112-01-471</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1189722392 Contraloría  Social por administración del Anexo Técnico No. 01  (Aportación Federal)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10,890</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1112-01-472</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1189722468 Contraloría  Social por administración del Anexo Técnico No. 01  (Aportación Estatal)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15,018</w:t>
            </w:r>
          </w:p>
        </w:tc>
      </w:tr>
      <w:tr w:rsidR="005069FD" w:rsidRPr="00E17AED" w:rsidTr="00C07EAF">
        <w:trPr>
          <w:trHeight w:val="73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1112-01-473</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1189722552 Participación social y desarrollo comunitario por administración del Anexo Técnico No.01 (Aportación Federal)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12,688</w:t>
            </w:r>
          </w:p>
        </w:tc>
      </w:tr>
      <w:tr w:rsidR="005069FD" w:rsidRPr="00E17AED" w:rsidTr="00C07EAF">
        <w:trPr>
          <w:trHeight w:val="73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1112-01-474</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1189722619 Participación social y desarrollo comunitario por administración del Anexo Técnico No.01 (Aportación Estatal)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10,445</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1112-01-475</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1189725807 Monitoreo del mantenimiento y prestación de los servicios de Agua Potable (Aportación Federal)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150</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1112-01-476</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1189726251 Monitoreo del mantenimiento y prestación de los servicios de Agua Potable (Aportación Estatal)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50</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1112-01-477</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1189726514 Monitoreo del mantenimiento y prestación de los servicios de Alcantarillado (Aportación Federal)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156</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1112-01-478</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1189726729 Monitoreo del mantenimiento y prestación de los servicios de Alcantarillado (Aportación Estatal)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157</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1112-01-479</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1189726886 Desinfección del Agua (Aportación Federal)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10,565</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1112-01-480</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1189727061 Desinfección del Agua (Aportación Estatal)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9,103</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1112-01-481</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1189727315 SEGUROS DE VIDA DE TRABAJADORES DE LA CEAT</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76</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1112-01-482</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1191094654 SUMINISTRO DEL CLORO 2022</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477</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1112-01-483</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1194456039 GASTO OPERATIVO PARA LA DESINFECCION DEL AGUA</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12,137</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1112-01-484</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1194647480 SUPERVISION TECNICA PARA LOCALIDADES URBANAS (FEDERAL)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187,132</w:t>
            </w:r>
          </w:p>
        </w:tc>
      </w:tr>
      <w:tr w:rsidR="005069FD" w:rsidRPr="00E17AED" w:rsidTr="00EA22F9">
        <w:trPr>
          <w:trHeight w:val="547"/>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1112-01-485</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1194648647 SUPERVISION TECNICA PARA LOCALIDADES URBANAS (ESTATAL)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137,132</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lastRenderedPageBreak/>
              <w:t>1112-01-486</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1194649952 SUPERVISION TECNICA PARA LOCALIDADES RURALES (FEDERAL)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275,410</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1112-01-487</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1194651227 SUPERVISION TECNICA PARA LOCALIDADES RURALES (ESTATAL)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275,410</w:t>
            </w:r>
          </w:p>
        </w:tc>
      </w:tr>
      <w:tr w:rsidR="005069FD" w:rsidRPr="00E17AED" w:rsidTr="00C07EAF">
        <w:trPr>
          <w:trHeight w:val="73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1112-01-488</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1194652505 PARTCIPACION SOCIAL Y DESARROLLO COMUNITARIO DEL ANEXO TECNICO No. 01/2022 PROAGUA FEDERAL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203,241</w:t>
            </w:r>
          </w:p>
        </w:tc>
      </w:tr>
      <w:tr w:rsidR="005069FD" w:rsidRPr="00E17AED" w:rsidTr="00C07EAF">
        <w:trPr>
          <w:trHeight w:val="73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1112-01-489</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1194653735 PARTCIPACION SOCIAL Y DESARROLLO COMUNITARIO DEL ANEXO TECNICO No. 01/2022 PROAGUA ESTATAL</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203,241</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1112-01-490</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1195685966 GRATIFICACIONES PROPIOS</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13</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1112-01-491</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1207606154 REHABILITACIÓN Y TECNIFICACIÓN DE DISTRITOS DE RIEGO</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403,733</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1112-01-492</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1207607094 EQUIPAMIENTO Y DISTRITOS DE RIEGO</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96,103</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1112-01-493</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1207607768 REHABILITACIÓN, TECNIFICACIÓN Y EQUIPAMIENTO DE UNIDADES DE RIEGO</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375,888</w:t>
            </w:r>
          </w:p>
        </w:tc>
      </w:tr>
      <w:tr w:rsidR="005069FD" w:rsidRPr="00E17AED" w:rsidTr="00C07EAF">
        <w:trPr>
          <w:trHeight w:val="97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1112-01-494</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1213748215 DIAGNÓSTICO INTEGRAL Y ELABORACIÓN DEL PROYECTO EJECUTIVO DEL SISTEMA DE ALCANTARILLADO DE LOS 17 SECTORES DEL “PROYECTO DE ALCANTARILLADO Y SANEAMIENTO EN GUSTAVO DIAZ ORDAZ, TAMAULIPAS “</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5,232,966</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1112-03</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SANTANDER</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1,328,099</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1112-03-001</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65504981453 COMPENSACION</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1,189,820</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1112-03-004</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18000106859 COMPENSACIONES 2019</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78,064</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1112-03-005</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18000142329 COMPENSACIONES 2020</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36,155</w:t>
            </w:r>
          </w:p>
        </w:tc>
      </w:tr>
      <w:tr w:rsidR="005069FD" w:rsidRPr="00E17AED" w:rsidTr="00C07EAF">
        <w:trPr>
          <w:trHeight w:val="49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1112-03-006</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18000153931 SECRETARIA DE FINANZAS DEL GOBIERNO DEL ESTADO DE TAMAULIPAS (CUOTAS IPSSET)</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1,933</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1112-03-007</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18000173598 SUBSIDIO ESTATAL 2021 (COMPENSACIONES)</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18,820</w:t>
            </w:r>
          </w:p>
        </w:tc>
      </w:tr>
      <w:tr w:rsidR="005069FD" w:rsidRPr="00E17AED" w:rsidTr="00C07EAF">
        <w:trPr>
          <w:trHeight w:val="315"/>
        </w:trPr>
        <w:tc>
          <w:tcPr>
            <w:tcW w:w="1820" w:type="dxa"/>
            <w:tcBorders>
              <w:top w:val="nil"/>
              <w:left w:val="single" w:sz="8" w:space="0" w:color="auto"/>
              <w:bottom w:val="single" w:sz="8" w:space="0" w:color="auto"/>
              <w:right w:val="single" w:sz="8" w:space="0" w:color="auto"/>
            </w:tcBorders>
            <w:shd w:val="clear" w:color="000000" w:fill="FFFFFF"/>
            <w:vAlign w:val="center"/>
            <w:hideMark/>
          </w:tcPr>
          <w:p w:rsidR="005069FD" w:rsidRPr="00E17AED" w:rsidRDefault="005069FD" w:rsidP="00C07EAF">
            <w:pPr>
              <w:spacing w:after="0"/>
              <w:rPr>
                <w:rFonts w:eastAsia="Times New Roman" w:cs="Calibri"/>
                <w:color w:val="000000"/>
                <w:sz w:val="18"/>
                <w:szCs w:val="18"/>
                <w:lang w:eastAsia="es-MX"/>
              </w:rPr>
            </w:pPr>
            <w:r w:rsidRPr="00E17AED">
              <w:rPr>
                <w:rFonts w:eastAsia="Times New Roman" w:cs="Calibri"/>
                <w:color w:val="000000"/>
                <w:sz w:val="18"/>
                <w:szCs w:val="18"/>
                <w:lang w:eastAsia="es-MX"/>
              </w:rPr>
              <w:t>1112-03-008</w:t>
            </w:r>
          </w:p>
        </w:tc>
        <w:tc>
          <w:tcPr>
            <w:tcW w:w="640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both"/>
              <w:rPr>
                <w:rFonts w:eastAsia="Times New Roman" w:cs="Calibri"/>
                <w:color w:val="000000"/>
                <w:sz w:val="18"/>
                <w:szCs w:val="18"/>
                <w:lang w:eastAsia="es-MX"/>
              </w:rPr>
            </w:pPr>
            <w:r w:rsidRPr="00E17AED">
              <w:rPr>
                <w:rFonts w:eastAsia="Times New Roman" w:cs="Calibri"/>
                <w:color w:val="000000"/>
                <w:sz w:val="18"/>
                <w:szCs w:val="18"/>
                <w:lang w:eastAsia="es-MX"/>
              </w:rPr>
              <w:t>CTA 18000213063 GRATIFICACIONES 2022 (RAMO 28)</w:t>
            </w:r>
          </w:p>
        </w:tc>
        <w:tc>
          <w:tcPr>
            <w:tcW w:w="1640" w:type="dxa"/>
            <w:tcBorders>
              <w:top w:val="nil"/>
              <w:left w:val="nil"/>
              <w:bottom w:val="single" w:sz="8" w:space="0" w:color="auto"/>
              <w:right w:val="single" w:sz="8" w:space="0" w:color="auto"/>
            </w:tcBorders>
            <w:shd w:val="clear" w:color="000000" w:fill="FFFFFF"/>
            <w:vAlign w:val="center"/>
            <w:hideMark/>
          </w:tcPr>
          <w:p w:rsidR="005069FD" w:rsidRPr="00E17AED" w:rsidRDefault="005069FD" w:rsidP="00C07EAF">
            <w:pPr>
              <w:spacing w:after="0"/>
              <w:jc w:val="right"/>
              <w:rPr>
                <w:rFonts w:eastAsia="Times New Roman" w:cs="Calibri"/>
                <w:color w:val="000000"/>
                <w:sz w:val="18"/>
                <w:szCs w:val="18"/>
                <w:lang w:eastAsia="es-MX"/>
              </w:rPr>
            </w:pPr>
            <w:r w:rsidRPr="00E17AED">
              <w:rPr>
                <w:rFonts w:eastAsia="Times New Roman" w:cs="Calibri"/>
                <w:color w:val="000000"/>
                <w:sz w:val="18"/>
                <w:szCs w:val="18"/>
                <w:lang w:eastAsia="es-MX"/>
              </w:rPr>
              <w:t>3,307</w:t>
            </w:r>
          </w:p>
        </w:tc>
      </w:tr>
      <w:tr w:rsidR="005069FD" w:rsidRPr="00E17AED" w:rsidTr="00C07EAF">
        <w:trPr>
          <w:trHeight w:val="315"/>
        </w:trPr>
        <w:tc>
          <w:tcPr>
            <w:tcW w:w="8220" w:type="dxa"/>
            <w:gridSpan w:val="2"/>
            <w:tcBorders>
              <w:top w:val="single" w:sz="8" w:space="0" w:color="auto"/>
              <w:left w:val="single" w:sz="8" w:space="0" w:color="auto"/>
              <w:bottom w:val="single" w:sz="8" w:space="0" w:color="auto"/>
              <w:right w:val="single" w:sz="8" w:space="0" w:color="000000"/>
            </w:tcBorders>
            <w:shd w:val="clear" w:color="auto" w:fill="AB0033"/>
            <w:vAlign w:val="center"/>
            <w:hideMark/>
          </w:tcPr>
          <w:p w:rsidR="005069FD" w:rsidRPr="00620C19" w:rsidRDefault="005069FD" w:rsidP="00C07EAF">
            <w:pPr>
              <w:spacing w:after="0"/>
              <w:jc w:val="center"/>
              <w:rPr>
                <w:rFonts w:eastAsia="Times New Roman" w:cs="Calibri"/>
                <w:b/>
                <w:bCs/>
                <w:color w:val="FFFFFF"/>
                <w:sz w:val="18"/>
                <w:szCs w:val="18"/>
                <w:lang w:eastAsia="es-MX"/>
              </w:rPr>
            </w:pPr>
            <w:r w:rsidRPr="00E17AED">
              <w:rPr>
                <w:rFonts w:eastAsia="Times New Roman" w:cs="Calibri"/>
                <w:b/>
                <w:bCs/>
                <w:color w:val="FFFFFF"/>
                <w:sz w:val="18"/>
                <w:szCs w:val="18"/>
                <w:lang w:eastAsia="es-MX"/>
              </w:rPr>
              <w:t>Bancos/Tesorería</w:t>
            </w:r>
          </w:p>
        </w:tc>
        <w:tc>
          <w:tcPr>
            <w:tcW w:w="1640" w:type="dxa"/>
            <w:tcBorders>
              <w:top w:val="nil"/>
              <w:left w:val="nil"/>
              <w:bottom w:val="single" w:sz="8" w:space="0" w:color="auto"/>
              <w:right w:val="single" w:sz="8" w:space="0" w:color="auto"/>
            </w:tcBorders>
            <w:shd w:val="clear" w:color="auto" w:fill="AB0033"/>
            <w:vAlign w:val="center"/>
            <w:hideMark/>
          </w:tcPr>
          <w:p w:rsidR="005069FD" w:rsidRPr="00620C19" w:rsidRDefault="005069FD" w:rsidP="00C07EAF">
            <w:pPr>
              <w:spacing w:after="0"/>
              <w:jc w:val="right"/>
              <w:rPr>
                <w:rFonts w:eastAsia="Times New Roman" w:cs="Calibri"/>
                <w:b/>
                <w:bCs/>
                <w:color w:val="FFFFFF"/>
                <w:sz w:val="18"/>
                <w:szCs w:val="18"/>
                <w:lang w:eastAsia="es-MX"/>
              </w:rPr>
            </w:pPr>
            <w:r w:rsidRPr="00E17AED">
              <w:rPr>
                <w:rFonts w:eastAsia="Times New Roman" w:cs="Calibri"/>
                <w:b/>
                <w:bCs/>
                <w:color w:val="FFFFFF"/>
                <w:sz w:val="18"/>
                <w:szCs w:val="18"/>
                <w:lang w:eastAsia="es-MX"/>
              </w:rPr>
              <w:t>12,932,988</w:t>
            </w:r>
          </w:p>
        </w:tc>
      </w:tr>
    </w:tbl>
    <w:p w:rsidR="00EA22F9" w:rsidRDefault="00EA22F9" w:rsidP="005069FD">
      <w:pPr>
        <w:pStyle w:val="INCISO"/>
        <w:tabs>
          <w:tab w:val="left" w:pos="284"/>
        </w:tabs>
        <w:spacing w:after="0" w:line="240" w:lineRule="exact"/>
        <w:ind w:left="284" w:firstLine="4"/>
        <w:rPr>
          <w:rFonts w:asciiTheme="minorHAnsi" w:hAnsiTheme="minorHAnsi"/>
          <w:sz w:val="22"/>
          <w:szCs w:val="20"/>
        </w:rPr>
      </w:pPr>
    </w:p>
    <w:p w:rsidR="005069FD" w:rsidRPr="00BA4C6E" w:rsidRDefault="005069FD" w:rsidP="005069FD">
      <w:pPr>
        <w:pStyle w:val="INCISO"/>
        <w:tabs>
          <w:tab w:val="left" w:pos="284"/>
        </w:tabs>
        <w:spacing w:after="0" w:line="240" w:lineRule="exact"/>
        <w:ind w:left="284" w:firstLine="4"/>
        <w:rPr>
          <w:rFonts w:asciiTheme="minorHAnsi" w:hAnsiTheme="minorHAnsi"/>
          <w:sz w:val="22"/>
          <w:szCs w:val="20"/>
        </w:rPr>
      </w:pPr>
      <w:r w:rsidRPr="00BA4C6E">
        <w:rPr>
          <w:rFonts w:asciiTheme="minorHAnsi" w:hAnsiTheme="minorHAnsi"/>
          <w:sz w:val="22"/>
          <w:szCs w:val="20"/>
        </w:rPr>
        <w:t xml:space="preserve">Las cuentas bancarias detalladas anteriormente, son </w:t>
      </w:r>
      <w:proofErr w:type="spellStart"/>
      <w:r>
        <w:rPr>
          <w:rFonts w:asciiTheme="minorHAnsi" w:hAnsiTheme="minorHAnsi"/>
          <w:sz w:val="22"/>
          <w:szCs w:val="20"/>
        </w:rPr>
        <w:t>apertura</w:t>
      </w:r>
      <w:r w:rsidRPr="00BA4C6E">
        <w:rPr>
          <w:rFonts w:asciiTheme="minorHAnsi" w:hAnsiTheme="minorHAnsi"/>
          <w:sz w:val="22"/>
          <w:szCs w:val="20"/>
        </w:rPr>
        <w:t>das</w:t>
      </w:r>
      <w:proofErr w:type="spellEnd"/>
      <w:r w:rsidRPr="00BA4C6E">
        <w:rPr>
          <w:rFonts w:asciiTheme="minorHAnsi" w:hAnsiTheme="minorHAnsi"/>
          <w:sz w:val="22"/>
          <w:szCs w:val="20"/>
        </w:rPr>
        <w:t xml:space="preserve"> para el manejo de los recursos de esta comisión, como son: gasto corriente, ingresos propios, recursos estatales, recursos federales, recursos disponibles de ejercicios anteriores, sueldos y compensaciones del personal e impuestos.</w:t>
      </w:r>
    </w:p>
    <w:p w:rsidR="00EA22F9" w:rsidRDefault="00EA22F9" w:rsidP="005069FD">
      <w:pPr>
        <w:pStyle w:val="INCISO"/>
        <w:spacing w:after="0" w:line="240" w:lineRule="exact"/>
        <w:rPr>
          <w:rFonts w:asciiTheme="minorHAnsi" w:hAnsiTheme="minorHAnsi"/>
          <w:b/>
          <w:sz w:val="22"/>
          <w:szCs w:val="20"/>
          <w:lang w:val="es-MX"/>
        </w:rPr>
      </w:pPr>
    </w:p>
    <w:p w:rsidR="00EA22F9" w:rsidRDefault="00EA22F9" w:rsidP="005069FD">
      <w:pPr>
        <w:pStyle w:val="INCISO"/>
        <w:spacing w:after="0" w:line="240" w:lineRule="exact"/>
        <w:rPr>
          <w:rFonts w:asciiTheme="minorHAnsi" w:hAnsiTheme="minorHAnsi"/>
          <w:b/>
          <w:sz w:val="22"/>
          <w:szCs w:val="20"/>
          <w:lang w:val="es-MX"/>
        </w:rPr>
      </w:pPr>
    </w:p>
    <w:p w:rsidR="005069FD" w:rsidRPr="00BA4C6E" w:rsidRDefault="005069FD" w:rsidP="005069FD">
      <w:pPr>
        <w:pStyle w:val="INCISO"/>
        <w:spacing w:after="0" w:line="240" w:lineRule="exact"/>
        <w:rPr>
          <w:rFonts w:asciiTheme="minorHAnsi" w:hAnsiTheme="minorHAnsi"/>
          <w:b/>
          <w:sz w:val="22"/>
          <w:szCs w:val="20"/>
          <w:lang w:val="es-MX"/>
        </w:rPr>
      </w:pPr>
      <w:r w:rsidRPr="00BA4C6E">
        <w:rPr>
          <w:rFonts w:asciiTheme="minorHAnsi" w:hAnsiTheme="minorHAnsi"/>
          <w:b/>
          <w:sz w:val="22"/>
          <w:szCs w:val="20"/>
          <w:lang w:val="es-MX"/>
        </w:rPr>
        <w:t>Derechos a recibir efectivo y equivalentes y bienes o servicios a recibir</w:t>
      </w:r>
    </w:p>
    <w:p w:rsidR="005069FD" w:rsidRPr="00BA4C6E" w:rsidRDefault="005069FD" w:rsidP="005069FD">
      <w:pPr>
        <w:pStyle w:val="INCISO"/>
        <w:spacing w:after="0" w:line="240" w:lineRule="exact"/>
        <w:ind w:left="0" w:firstLine="0"/>
        <w:rPr>
          <w:rFonts w:asciiTheme="minorHAnsi" w:hAnsiTheme="minorHAnsi"/>
          <w:sz w:val="22"/>
          <w:szCs w:val="20"/>
          <w:lang w:val="es-MX"/>
        </w:rPr>
      </w:pPr>
    </w:p>
    <w:p w:rsidR="005069FD" w:rsidRDefault="005069FD" w:rsidP="005069FD">
      <w:pPr>
        <w:pStyle w:val="INCISO"/>
        <w:tabs>
          <w:tab w:val="left" w:pos="284"/>
        </w:tabs>
        <w:spacing w:after="0" w:line="240" w:lineRule="exact"/>
        <w:ind w:left="284" w:firstLine="4"/>
        <w:rPr>
          <w:rFonts w:asciiTheme="minorHAnsi" w:hAnsiTheme="minorHAnsi"/>
          <w:sz w:val="20"/>
          <w:szCs w:val="20"/>
        </w:rPr>
      </w:pPr>
      <w:r w:rsidRPr="00BA4C6E">
        <w:rPr>
          <w:rFonts w:asciiTheme="minorHAnsi" w:hAnsiTheme="minorHAnsi"/>
          <w:b/>
          <w:sz w:val="20"/>
          <w:szCs w:val="20"/>
        </w:rPr>
        <w:t xml:space="preserve">Derechos a recibir en efectivo y equivalentes: </w:t>
      </w:r>
      <w:r w:rsidRPr="00BA4C6E">
        <w:rPr>
          <w:rFonts w:asciiTheme="minorHAnsi" w:hAnsiTheme="minorHAnsi"/>
          <w:sz w:val="20"/>
          <w:szCs w:val="20"/>
        </w:rPr>
        <w:t xml:space="preserve">el saldo que refleja esta partida es por </w:t>
      </w:r>
      <w:r w:rsidR="008B7849">
        <w:rPr>
          <w:rFonts w:asciiTheme="minorHAnsi" w:hAnsiTheme="minorHAnsi"/>
          <w:b/>
          <w:sz w:val="20"/>
          <w:szCs w:val="20"/>
        </w:rPr>
        <w:t>$ 3, 186,605</w:t>
      </w:r>
      <w:r w:rsidRPr="00BA4C6E">
        <w:rPr>
          <w:rFonts w:asciiTheme="minorHAnsi" w:hAnsiTheme="minorHAnsi"/>
          <w:sz w:val="20"/>
          <w:szCs w:val="20"/>
        </w:rPr>
        <w:t xml:space="preserve">  en la que se registra el IVA acreditable a favor, el cual es acreditado contra el IVA por pagar en los meses que se requiera, cuentas por cobrar a la Secretaría de Finanzas del Gobierno del Estado y Deudores Diversos por concepto de viáticos por comprobar  al 31 de diciembre de 2022.</w:t>
      </w:r>
    </w:p>
    <w:p w:rsidR="00EA22F9" w:rsidRDefault="00EA22F9" w:rsidP="005069FD">
      <w:pPr>
        <w:pStyle w:val="INCISO"/>
        <w:tabs>
          <w:tab w:val="left" w:pos="284"/>
        </w:tabs>
        <w:spacing w:after="0" w:line="240" w:lineRule="exact"/>
        <w:ind w:left="284" w:firstLine="4"/>
        <w:rPr>
          <w:rFonts w:asciiTheme="minorHAnsi" w:hAnsiTheme="minorHAnsi"/>
          <w:sz w:val="20"/>
          <w:szCs w:val="20"/>
        </w:rPr>
      </w:pPr>
    </w:p>
    <w:tbl>
      <w:tblPr>
        <w:tblW w:w="5451" w:type="dxa"/>
        <w:tblInd w:w="1950" w:type="dxa"/>
        <w:tblCellMar>
          <w:left w:w="70" w:type="dxa"/>
          <w:right w:w="70" w:type="dxa"/>
        </w:tblCellMar>
        <w:tblLook w:val="04A0" w:firstRow="1" w:lastRow="0" w:firstColumn="1" w:lastColumn="0" w:noHBand="0" w:noVBand="1"/>
      </w:tblPr>
      <w:tblGrid>
        <w:gridCol w:w="4143"/>
        <w:gridCol w:w="1308"/>
      </w:tblGrid>
      <w:tr w:rsidR="005069FD" w:rsidRPr="007C030A" w:rsidTr="00C07EAF">
        <w:trPr>
          <w:trHeight w:val="300"/>
        </w:trPr>
        <w:tc>
          <w:tcPr>
            <w:tcW w:w="4143" w:type="dxa"/>
            <w:tcBorders>
              <w:top w:val="single" w:sz="4" w:space="0" w:color="auto"/>
              <w:left w:val="single" w:sz="4" w:space="0" w:color="auto"/>
              <w:bottom w:val="single" w:sz="4" w:space="0" w:color="auto"/>
              <w:right w:val="single" w:sz="4" w:space="0" w:color="auto"/>
            </w:tcBorders>
            <w:shd w:val="clear" w:color="auto" w:fill="AB0033"/>
            <w:noWrap/>
            <w:vAlign w:val="bottom"/>
            <w:hideMark/>
          </w:tcPr>
          <w:p w:rsidR="005069FD" w:rsidRPr="007C030A" w:rsidRDefault="005069FD" w:rsidP="00C07EAF">
            <w:pPr>
              <w:spacing w:after="0"/>
              <w:jc w:val="center"/>
              <w:rPr>
                <w:rFonts w:eastAsia="Times New Roman" w:cs="Calibri"/>
                <w:b/>
                <w:bCs/>
                <w:color w:val="FFFFFF"/>
                <w:sz w:val="18"/>
                <w:szCs w:val="18"/>
                <w:lang w:eastAsia="es-MX"/>
              </w:rPr>
            </w:pPr>
            <w:r w:rsidRPr="007C030A">
              <w:rPr>
                <w:rFonts w:eastAsia="Times New Roman" w:cs="Calibri"/>
                <w:b/>
                <w:bCs/>
                <w:color w:val="FFFFFF"/>
                <w:sz w:val="18"/>
                <w:szCs w:val="18"/>
                <w:lang w:eastAsia="es-MX"/>
              </w:rPr>
              <w:t>Cuenta</w:t>
            </w:r>
          </w:p>
        </w:tc>
        <w:tc>
          <w:tcPr>
            <w:tcW w:w="1308" w:type="dxa"/>
            <w:tcBorders>
              <w:top w:val="single" w:sz="4" w:space="0" w:color="auto"/>
              <w:left w:val="nil"/>
              <w:bottom w:val="single" w:sz="4" w:space="0" w:color="auto"/>
              <w:right w:val="single" w:sz="4" w:space="0" w:color="auto"/>
            </w:tcBorders>
            <w:shd w:val="clear" w:color="auto" w:fill="AB0033"/>
            <w:noWrap/>
            <w:vAlign w:val="bottom"/>
            <w:hideMark/>
          </w:tcPr>
          <w:p w:rsidR="005069FD" w:rsidRPr="007C030A" w:rsidRDefault="005069FD" w:rsidP="00C07EAF">
            <w:pPr>
              <w:spacing w:after="0"/>
              <w:jc w:val="center"/>
              <w:rPr>
                <w:rFonts w:eastAsia="Times New Roman" w:cs="Calibri"/>
                <w:b/>
                <w:bCs/>
                <w:color w:val="FFFFFF"/>
                <w:sz w:val="18"/>
                <w:szCs w:val="18"/>
                <w:lang w:eastAsia="es-MX"/>
              </w:rPr>
            </w:pPr>
            <w:r w:rsidRPr="007C030A">
              <w:rPr>
                <w:rFonts w:eastAsia="Times New Roman" w:cs="Calibri"/>
                <w:b/>
                <w:bCs/>
                <w:color w:val="FFFFFF"/>
                <w:sz w:val="18"/>
                <w:szCs w:val="18"/>
                <w:lang w:eastAsia="es-MX"/>
              </w:rPr>
              <w:t>Importe</w:t>
            </w:r>
          </w:p>
        </w:tc>
      </w:tr>
      <w:tr w:rsidR="005069FD" w:rsidRPr="00BA4C6E" w:rsidTr="00C07EAF">
        <w:trPr>
          <w:trHeight w:val="300"/>
        </w:trPr>
        <w:tc>
          <w:tcPr>
            <w:tcW w:w="4143"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Cuenta por cobrar a corto plazo</w:t>
            </w:r>
          </w:p>
        </w:tc>
        <w:tc>
          <w:tcPr>
            <w:tcW w:w="1308"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3,179,297</w:t>
            </w:r>
          </w:p>
        </w:tc>
      </w:tr>
      <w:tr w:rsidR="005069FD" w:rsidRPr="00BA4C6E" w:rsidTr="00C07EAF">
        <w:trPr>
          <w:trHeight w:val="300"/>
        </w:trPr>
        <w:tc>
          <w:tcPr>
            <w:tcW w:w="4143"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Deudores diversos por cobrar a corto plazo</w:t>
            </w:r>
          </w:p>
        </w:tc>
        <w:tc>
          <w:tcPr>
            <w:tcW w:w="1308"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3,675</w:t>
            </w:r>
          </w:p>
        </w:tc>
      </w:tr>
      <w:tr w:rsidR="005069FD" w:rsidRPr="00BA4C6E" w:rsidTr="00C07EAF">
        <w:trPr>
          <w:trHeight w:val="283"/>
        </w:trPr>
        <w:tc>
          <w:tcPr>
            <w:tcW w:w="4143" w:type="dxa"/>
            <w:tcBorders>
              <w:top w:val="nil"/>
              <w:left w:val="single" w:sz="4" w:space="0" w:color="auto"/>
              <w:bottom w:val="single" w:sz="4" w:space="0" w:color="auto"/>
              <w:right w:val="single" w:sz="4" w:space="0" w:color="auto"/>
            </w:tcBorders>
            <w:shd w:val="clear" w:color="auto" w:fill="auto"/>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Otros derechos recibir efectivo o equivalentes a corto plazo</w:t>
            </w:r>
          </w:p>
        </w:tc>
        <w:tc>
          <w:tcPr>
            <w:tcW w:w="1308"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3,633</w:t>
            </w:r>
          </w:p>
        </w:tc>
      </w:tr>
      <w:tr w:rsidR="005069FD" w:rsidRPr="00BA4C6E" w:rsidTr="00C07EAF">
        <w:trPr>
          <w:trHeight w:val="300"/>
        </w:trPr>
        <w:tc>
          <w:tcPr>
            <w:tcW w:w="4143" w:type="dxa"/>
            <w:tcBorders>
              <w:top w:val="nil"/>
              <w:left w:val="single" w:sz="4" w:space="0" w:color="auto"/>
              <w:bottom w:val="single" w:sz="4" w:space="0" w:color="auto"/>
              <w:right w:val="single" w:sz="4" w:space="0" w:color="auto"/>
            </w:tcBorders>
            <w:shd w:val="clear" w:color="auto" w:fill="AB0033"/>
            <w:noWrap/>
            <w:vAlign w:val="bottom"/>
            <w:hideMark/>
          </w:tcPr>
          <w:p w:rsidR="005069FD" w:rsidRPr="00BA4C6E" w:rsidRDefault="005069FD" w:rsidP="00C07EAF">
            <w:pPr>
              <w:spacing w:after="0"/>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Derechos a Recibir Efectivo o Equivalentes</w:t>
            </w:r>
          </w:p>
        </w:tc>
        <w:tc>
          <w:tcPr>
            <w:tcW w:w="1308" w:type="dxa"/>
            <w:tcBorders>
              <w:top w:val="nil"/>
              <w:left w:val="nil"/>
              <w:bottom w:val="single" w:sz="4" w:space="0" w:color="auto"/>
              <w:right w:val="single" w:sz="4" w:space="0" w:color="auto"/>
            </w:tcBorders>
            <w:shd w:val="clear" w:color="auto" w:fill="AB0033"/>
            <w:noWrap/>
            <w:vAlign w:val="center"/>
          </w:tcPr>
          <w:p w:rsidR="005069FD" w:rsidRPr="00BA4C6E" w:rsidRDefault="005069FD" w:rsidP="00C07EAF">
            <w:pPr>
              <w:spacing w:after="0"/>
              <w:jc w:val="right"/>
              <w:rPr>
                <w:rFonts w:asciiTheme="minorHAnsi" w:eastAsia="Times New Roman" w:hAnsiTheme="minorHAnsi" w:cs="Arial"/>
                <w:b/>
                <w:bCs/>
                <w:color w:val="FFFFFF"/>
                <w:sz w:val="20"/>
                <w:szCs w:val="20"/>
                <w:highlight w:val="yellow"/>
                <w:lang w:eastAsia="es-MX"/>
              </w:rPr>
            </w:pPr>
            <w:r>
              <w:rPr>
                <w:b/>
                <w:bCs/>
                <w:color w:val="FFFFFF"/>
                <w:sz w:val="20"/>
                <w:szCs w:val="20"/>
              </w:rPr>
              <w:t>3,186,605</w:t>
            </w:r>
          </w:p>
        </w:tc>
      </w:tr>
    </w:tbl>
    <w:p w:rsidR="005069FD" w:rsidRPr="00BA4C6E" w:rsidRDefault="005069FD" w:rsidP="005069FD">
      <w:pPr>
        <w:pStyle w:val="INCISO"/>
        <w:tabs>
          <w:tab w:val="left" w:pos="284"/>
        </w:tabs>
        <w:spacing w:after="0" w:line="240" w:lineRule="exact"/>
        <w:ind w:left="0" w:firstLine="0"/>
        <w:rPr>
          <w:rFonts w:asciiTheme="minorHAnsi" w:hAnsiTheme="minorHAnsi"/>
          <w:b/>
          <w:sz w:val="20"/>
          <w:szCs w:val="20"/>
        </w:rPr>
      </w:pPr>
    </w:p>
    <w:p w:rsidR="005069FD" w:rsidRPr="00BA4C6E" w:rsidRDefault="005069FD" w:rsidP="005069FD">
      <w:pPr>
        <w:pStyle w:val="INCISO"/>
        <w:tabs>
          <w:tab w:val="left" w:pos="284"/>
        </w:tabs>
        <w:spacing w:after="0" w:line="240" w:lineRule="exact"/>
        <w:ind w:left="0" w:firstLine="0"/>
        <w:rPr>
          <w:rFonts w:asciiTheme="minorHAnsi" w:hAnsiTheme="minorHAnsi"/>
          <w:b/>
          <w:sz w:val="20"/>
          <w:szCs w:val="20"/>
        </w:rPr>
      </w:pPr>
    </w:p>
    <w:p w:rsidR="005069FD" w:rsidRPr="00BA4C6E" w:rsidRDefault="005069FD" w:rsidP="005069FD">
      <w:pPr>
        <w:pStyle w:val="INCISO"/>
        <w:tabs>
          <w:tab w:val="left" w:pos="284"/>
        </w:tabs>
        <w:spacing w:after="0" w:line="240" w:lineRule="exact"/>
        <w:ind w:left="284" w:firstLine="0"/>
        <w:rPr>
          <w:rFonts w:asciiTheme="minorHAnsi" w:hAnsiTheme="minorHAnsi"/>
          <w:sz w:val="20"/>
          <w:szCs w:val="20"/>
        </w:rPr>
      </w:pPr>
      <w:r w:rsidRPr="00BA4C6E">
        <w:rPr>
          <w:rFonts w:asciiTheme="minorHAnsi" w:hAnsiTheme="minorHAnsi"/>
          <w:b/>
          <w:sz w:val="20"/>
          <w:szCs w:val="20"/>
        </w:rPr>
        <w:t>Derechos a recibir en bienes y servicios:</w:t>
      </w:r>
      <w:r w:rsidRPr="00BA4C6E">
        <w:rPr>
          <w:rFonts w:asciiTheme="minorHAnsi" w:hAnsiTheme="minorHAnsi"/>
          <w:sz w:val="20"/>
          <w:szCs w:val="20"/>
        </w:rPr>
        <w:t xml:space="preserve"> está partida no se  muestra saldo correspondiente a pagos realizados por concepto de anticipo a diversos contratistas por la realización de estudios y proyectos de agua potable federal y estatal.</w:t>
      </w:r>
    </w:p>
    <w:p w:rsidR="005069FD" w:rsidRPr="00BA4C6E" w:rsidRDefault="005069FD" w:rsidP="005069FD">
      <w:pPr>
        <w:pStyle w:val="INCISO"/>
        <w:tabs>
          <w:tab w:val="left" w:pos="284"/>
        </w:tabs>
        <w:spacing w:after="0" w:line="240" w:lineRule="exact"/>
        <w:ind w:left="284" w:firstLine="0"/>
        <w:rPr>
          <w:rFonts w:asciiTheme="minorHAnsi" w:hAnsiTheme="minorHAnsi"/>
          <w:b/>
          <w:sz w:val="20"/>
          <w:szCs w:val="20"/>
        </w:rPr>
      </w:pPr>
    </w:p>
    <w:p w:rsidR="005069FD" w:rsidRPr="00BA4C6E" w:rsidRDefault="005069FD" w:rsidP="005069FD">
      <w:pPr>
        <w:pStyle w:val="INCISO"/>
        <w:tabs>
          <w:tab w:val="left" w:pos="284"/>
        </w:tabs>
        <w:spacing w:after="0" w:line="240" w:lineRule="exact"/>
        <w:ind w:left="284" w:firstLine="0"/>
        <w:rPr>
          <w:rFonts w:asciiTheme="minorHAnsi" w:hAnsiTheme="minorHAnsi"/>
          <w:sz w:val="20"/>
          <w:szCs w:val="20"/>
        </w:rPr>
      </w:pPr>
      <w:r w:rsidRPr="00BA4C6E">
        <w:rPr>
          <w:rFonts w:asciiTheme="minorHAnsi" w:hAnsiTheme="minorHAnsi"/>
          <w:b/>
          <w:sz w:val="20"/>
          <w:szCs w:val="20"/>
        </w:rPr>
        <w:t>Almacenes</w:t>
      </w:r>
      <w:r w:rsidRPr="00BA4C6E">
        <w:rPr>
          <w:rFonts w:asciiTheme="minorHAnsi" w:hAnsiTheme="minorHAnsi"/>
          <w:sz w:val="20"/>
          <w:szCs w:val="20"/>
        </w:rPr>
        <w:t xml:space="preserve">: </w:t>
      </w:r>
      <w:r w:rsidRPr="00BA4C6E">
        <w:rPr>
          <w:rFonts w:asciiTheme="minorHAnsi" w:hAnsiTheme="minorHAnsi"/>
          <w:b/>
          <w:sz w:val="20"/>
          <w:szCs w:val="20"/>
        </w:rPr>
        <w:t>$ 483,004.00</w:t>
      </w:r>
      <w:r w:rsidRPr="00BA4C6E">
        <w:rPr>
          <w:rFonts w:asciiTheme="minorHAnsi" w:hAnsiTheme="minorHAnsi"/>
          <w:sz w:val="20"/>
          <w:szCs w:val="20"/>
        </w:rPr>
        <w:t xml:space="preserve"> importe reflejado en almacén de materiales por concepto de compra de gas cloro, hipoclorito de calcio, sodio, herramientas y refacciones menores.</w:t>
      </w:r>
    </w:p>
    <w:p w:rsidR="005069FD" w:rsidRPr="00BA4C6E" w:rsidRDefault="005069FD" w:rsidP="005069FD">
      <w:pPr>
        <w:pStyle w:val="INCISO"/>
        <w:spacing w:after="0" w:line="240" w:lineRule="exact"/>
        <w:ind w:left="0" w:firstLine="0"/>
        <w:rPr>
          <w:rFonts w:asciiTheme="minorHAnsi" w:hAnsiTheme="minorHAnsi"/>
          <w:sz w:val="20"/>
          <w:szCs w:val="20"/>
        </w:rPr>
      </w:pPr>
    </w:p>
    <w:p w:rsidR="005069FD" w:rsidRPr="00BA4C6E" w:rsidRDefault="005069FD" w:rsidP="005069FD">
      <w:pPr>
        <w:pStyle w:val="INCISO"/>
        <w:spacing w:after="0" w:line="240" w:lineRule="exact"/>
        <w:ind w:left="0" w:firstLine="0"/>
        <w:rPr>
          <w:rFonts w:asciiTheme="minorHAnsi" w:hAnsiTheme="minorHAnsi"/>
          <w:sz w:val="20"/>
          <w:szCs w:val="20"/>
          <w:lang w:val="es-MX"/>
        </w:rPr>
      </w:pPr>
      <w:r w:rsidRPr="00BA4C6E">
        <w:rPr>
          <w:rFonts w:asciiTheme="minorHAnsi" w:hAnsiTheme="minorHAnsi"/>
          <w:sz w:val="20"/>
          <w:szCs w:val="20"/>
          <w:lang w:val="es-MX"/>
        </w:rPr>
        <w:t xml:space="preserve">    </w:t>
      </w:r>
      <w:r w:rsidRPr="00BA4C6E">
        <w:rPr>
          <w:rFonts w:asciiTheme="minorHAnsi" w:hAnsiTheme="minorHAnsi"/>
          <w:b/>
          <w:sz w:val="20"/>
          <w:szCs w:val="20"/>
          <w:lang w:val="es-MX"/>
        </w:rPr>
        <w:t xml:space="preserve">Bienes disponibles para su transformación o consumo (inventarios): </w:t>
      </w:r>
      <w:r w:rsidRPr="00BA4C6E">
        <w:rPr>
          <w:rFonts w:asciiTheme="minorHAnsi" w:hAnsiTheme="minorHAnsi"/>
          <w:sz w:val="20"/>
          <w:szCs w:val="20"/>
          <w:lang w:val="es-MX"/>
        </w:rPr>
        <w:t>No aplica.</w:t>
      </w:r>
    </w:p>
    <w:p w:rsidR="005069FD" w:rsidRPr="00BA4C6E" w:rsidRDefault="005069FD" w:rsidP="005069FD">
      <w:pPr>
        <w:pStyle w:val="INCISO"/>
        <w:spacing w:after="0" w:line="240" w:lineRule="exact"/>
        <w:ind w:left="0" w:firstLine="0"/>
        <w:rPr>
          <w:rFonts w:asciiTheme="minorHAnsi" w:hAnsiTheme="minorHAnsi"/>
          <w:b/>
          <w:sz w:val="20"/>
          <w:szCs w:val="20"/>
          <w:lang w:val="es-MX"/>
        </w:rPr>
      </w:pPr>
      <w:r w:rsidRPr="00BA4C6E">
        <w:rPr>
          <w:rFonts w:asciiTheme="minorHAnsi" w:hAnsiTheme="minorHAnsi"/>
          <w:b/>
          <w:sz w:val="20"/>
          <w:szCs w:val="20"/>
          <w:lang w:val="es-MX"/>
        </w:rPr>
        <w:t xml:space="preserve">    </w:t>
      </w:r>
    </w:p>
    <w:p w:rsidR="005069FD" w:rsidRPr="00BA4C6E" w:rsidRDefault="005069FD" w:rsidP="005069FD">
      <w:pPr>
        <w:pStyle w:val="INCISO"/>
        <w:spacing w:after="0" w:line="240" w:lineRule="exact"/>
        <w:ind w:left="0" w:firstLine="0"/>
        <w:rPr>
          <w:rFonts w:asciiTheme="minorHAnsi" w:hAnsiTheme="minorHAnsi"/>
          <w:sz w:val="20"/>
          <w:szCs w:val="20"/>
          <w:lang w:val="es-MX"/>
        </w:rPr>
      </w:pPr>
      <w:r w:rsidRPr="00BA4C6E">
        <w:rPr>
          <w:rFonts w:asciiTheme="minorHAnsi" w:hAnsiTheme="minorHAnsi"/>
          <w:b/>
          <w:sz w:val="20"/>
          <w:szCs w:val="20"/>
          <w:lang w:val="es-MX"/>
        </w:rPr>
        <w:t xml:space="preserve">    Inversiones financieras: </w:t>
      </w:r>
      <w:r w:rsidRPr="00BA4C6E">
        <w:rPr>
          <w:rFonts w:asciiTheme="minorHAnsi" w:hAnsiTheme="minorHAnsi"/>
          <w:sz w:val="20"/>
          <w:szCs w:val="20"/>
          <w:lang w:val="es-MX"/>
        </w:rPr>
        <w:t>No aplica</w:t>
      </w:r>
    </w:p>
    <w:p w:rsidR="005069FD" w:rsidRPr="00BA4C6E" w:rsidRDefault="005069FD" w:rsidP="005069FD">
      <w:pPr>
        <w:pStyle w:val="INCISO"/>
        <w:spacing w:after="0" w:line="240" w:lineRule="exact"/>
        <w:rPr>
          <w:rFonts w:asciiTheme="minorHAnsi" w:hAnsiTheme="minorHAnsi"/>
          <w:sz w:val="20"/>
          <w:szCs w:val="20"/>
          <w:lang w:val="es-MX"/>
        </w:rPr>
      </w:pPr>
    </w:p>
    <w:p w:rsidR="005069FD" w:rsidRPr="00BA4C6E" w:rsidRDefault="005069FD" w:rsidP="005069FD">
      <w:pPr>
        <w:pStyle w:val="INCISO"/>
        <w:spacing w:after="0" w:line="240" w:lineRule="exact"/>
        <w:rPr>
          <w:rFonts w:asciiTheme="minorHAnsi" w:hAnsiTheme="minorHAnsi"/>
          <w:b/>
          <w:sz w:val="20"/>
          <w:szCs w:val="20"/>
          <w:lang w:val="es-MX"/>
        </w:rPr>
      </w:pPr>
    </w:p>
    <w:p w:rsidR="005069FD" w:rsidRPr="00BA4C6E" w:rsidRDefault="005069FD" w:rsidP="005069FD">
      <w:pPr>
        <w:pStyle w:val="INCISO"/>
        <w:spacing w:after="0" w:line="240" w:lineRule="exact"/>
        <w:ind w:left="0" w:firstLine="0"/>
        <w:rPr>
          <w:rFonts w:asciiTheme="minorHAnsi" w:hAnsiTheme="minorHAnsi"/>
          <w:b/>
          <w:sz w:val="20"/>
          <w:szCs w:val="20"/>
          <w:lang w:val="es-MX"/>
        </w:rPr>
      </w:pPr>
      <w:r w:rsidRPr="00BA4C6E">
        <w:rPr>
          <w:rFonts w:asciiTheme="minorHAnsi" w:hAnsiTheme="minorHAnsi"/>
          <w:b/>
          <w:sz w:val="20"/>
          <w:szCs w:val="20"/>
          <w:lang w:val="es-MX"/>
        </w:rPr>
        <w:t xml:space="preserve">    Bienes muebles, inmuebles e intangibles</w:t>
      </w:r>
    </w:p>
    <w:p w:rsidR="005069FD" w:rsidRPr="00BA4C6E" w:rsidRDefault="005069FD" w:rsidP="005069FD">
      <w:pPr>
        <w:pStyle w:val="INCISO"/>
        <w:spacing w:after="0" w:line="240" w:lineRule="exact"/>
        <w:rPr>
          <w:rFonts w:asciiTheme="minorHAnsi" w:hAnsiTheme="minorHAnsi"/>
          <w:sz w:val="20"/>
          <w:szCs w:val="20"/>
          <w:lang w:val="es-MX"/>
        </w:rPr>
      </w:pPr>
    </w:p>
    <w:tbl>
      <w:tblPr>
        <w:tblpPr w:leftFromText="141" w:rightFromText="141" w:vertAnchor="text" w:horzAnchor="margin" w:tblpXSpec="center" w:tblpY="5"/>
        <w:tblW w:w="5069" w:type="dxa"/>
        <w:tblCellMar>
          <w:left w:w="70" w:type="dxa"/>
          <w:right w:w="70" w:type="dxa"/>
        </w:tblCellMar>
        <w:tblLook w:val="04A0" w:firstRow="1" w:lastRow="0" w:firstColumn="1" w:lastColumn="0" w:noHBand="0" w:noVBand="1"/>
      </w:tblPr>
      <w:tblGrid>
        <w:gridCol w:w="4039"/>
        <w:gridCol w:w="1030"/>
      </w:tblGrid>
      <w:tr w:rsidR="005069FD" w:rsidRPr="00BA4C6E" w:rsidTr="00C07EAF">
        <w:trPr>
          <w:trHeight w:val="155"/>
        </w:trPr>
        <w:tc>
          <w:tcPr>
            <w:tcW w:w="4039" w:type="dxa"/>
            <w:tcBorders>
              <w:top w:val="single" w:sz="4" w:space="0" w:color="auto"/>
              <w:left w:val="single" w:sz="4" w:space="0" w:color="auto"/>
              <w:bottom w:val="single" w:sz="4" w:space="0" w:color="auto"/>
              <w:right w:val="single" w:sz="4" w:space="0" w:color="auto"/>
            </w:tcBorders>
            <w:shd w:val="clear" w:color="auto" w:fill="990033"/>
            <w:noWrap/>
            <w:vAlign w:val="bottom"/>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Concepto</w:t>
            </w:r>
          </w:p>
        </w:tc>
        <w:tc>
          <w:tcPr>
            <w:tcW w:w="1030" w:type="dxa"/>
            <w:tcBorders>
              <w:top w:val="single" w:sz="4" w:space="0" w:color="auto"/>
              <w:left w:val="nil"/>
              <w:bottom w:val="single" w:sz="4" w:space="0" w:color="auto"/>
              <w:right w:val="single" w:sz="4" w:space="0" w:color="auto"/>
            </w:tcBorders>
            <w:shd w:val="clear" w:color="auto" w:fill="990033"/>
            <w:noWrap/>
            <w:vAlign w:val="bottom"/>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Importe</w:t>
            </w:r>
          </w:p>
        </w:tc>
      </w:tr>
      <w:tr w:rsidR="005069FD" w:rsidRPr="00BA4C6E" w:rsidTr="00C07EAF">
        <w:trPr>
          <w:trHeight w:val="450"/>
        </w:trPr>
        <w:tc>
          <w:tcPr>
            <w:tcW w:w="4039"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Terrenos</w:t>
            </w:r>
          </w:p>
          <w:p w:rsidR="005069FD" w:rsidRPr="00BA4C6E" w:rsidRDefault="005069FD" w:rsidP="00C07EAF">
            <w:pPr>
              <w:spacing w:after="0"/>
              <w:rPr>
                <w:rFonts w:asciiTheme="minorHAnsi" w:eastAsia="Times New Roman" w:hAnsiTheme="minorHAnsi" w:cs="Arial"/>
                <w:color w:val="000000"/>
                <w:sz w:val="20"/>
                <w:szCs w:val="20"/>
                <w:lang w:eastAsia="es-MX"/>
              </w:rPr>
            </w:pPr>
          </w:p>
        </w:tc>
        <w:tc>
          <w:tcPr>
            <w:tcW w:w="1030" w:type="dxa"/>
            <w:tcBorders>
              <w:top w:val="nil"/>
              <w:left w:val="nil"/>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80,000.00</w:t>
            </w:r>
          </w:p>
          <w:p w:rsidR="005069FD" w:rsidRPr="00BA4C6E" w:rsidRDefault="005069FD" w:rsidP="00C07EAF">
            <w:pPr>
              <w:spacing w:after="0"/>
              <w:jc w:val="right"/>
              <w:rPr>
                <w:rFonts w:asciiTheme="minorHAnsi" w:eastAsia="Times New Roman" w:hAnsiTheme="minorHAnsi" w:cs="Arial"/>
                <w:color w:val="000000"/>
                <w:sz w:val="20"/>
                <w:szCs w:val="20"/>
                <w:lang w:eastAsia="es-MX"/>
              </w:rPr>
            </w:pPr>
          </w:p>
        </w:tc>
      </w:tr>
      <w:tr w:rsidR="005069FD" w:rsidRPr="00BA4C6E" w:rsidTr="00C07EAF">
        <w:trPr>
          <w:trHeight w:val="271"/>
        </w:trPr>
        <w:tc>
          <w:tcPr>
            <w:tcW w:w="4039" w:type="dxa"/>
            <w:tcBorders>
              <w:top w:val="nil"/>
              <w:left w:val="single" w:sz="4" w:space="0" w:color="auto"/>
              <w:bottom w:val="single" w:sz="4" w:space="0" w:color="auto"/>
              <w:right w:val="single" w:sz="4" w:space="0" w:color="auto"/>
            </w:tcBorders>
            <w:shd w:val="clear" w:color="auto" w:fill="990033"/>
            <w:vAlign w:val="bottom"/>
            <w:hideMark/>
          </w:tcPr>
          <w:p w:rsidR="005069FD" w:rsidRPr="00BA4C6E" w:rsidRDefault="005069FD" w:rsidP="00C07EAF">
            <w:pPr>
              <w:spacing w:after="0"/>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Bienes Inmuebles, Infraestructura y Construcciones en proceso</w:t>
            </w:r>
          </w:p>
        </w:tc>
        <w:tc>
          <w:tcPr>
            <w:tcW w:w="1030" w:type="dxa"/>
            <w:tcBorders>
              <w:top w:val="nil"/>
              <w:left w:val="nil"/>
              <w:bottom w:val="single" w:sz="4" w:space="0" w:color="auto"/>
              <w:right w:val="single" w:sz="4" w:space="0" w:color="auto"/>
            </w:tcBorders>
            <w:shd w:val="clear" w:color="auto" w:fill="990033"/>
            <w:noWrap/>
            <w:vAlign w:val="bottom"/>
            <w:hideMark/>
          </w:tcPr>
          <w:p w:rsidR="005069FD" w:rsidRPr="00BA4C6E" w:rsidRDefault="005069FD" w:rsidP="00C07EAF">
            <w:pPr>
              <w:spacing w:after="0"/>
              <w:jc w:val="right"/>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80,000.00</w:t>
            </w:r>
          </w:p>
          <w:p w:rsidR="005069FD" w:rsidRPr="00BA4C6E" w:rsidRDefault="005069FD" w:rsidP="00C07EAF">
            <w:pPr>
              <w:spacing w:after="0"/>
              <w:jc w:val="right"/>
              <w:rPr>
                <w:rFonts w:asciiTheme="minorHAnsi" w:eastAsia="Times New Roman" w:hAnsiTheme="minorHAnsi" w:cs="Arial"/>
                <w:b/>
                <w:bCs/>
                <w:color w:val="FFFFFF"/>
                <w:sz w:val="20"/>
                <w:szCs w:val="20"/>
                <w:lang w:eastAsia="es-MX"/>
              </w:rPr>
            </w:pPr>
          </w:p>
        </w:tc>
      </w:tr>
    </w:tbl>
    <w:p w:rsidR="005069FD" w:rsidRPr="00BA4C6E" w:rsidRDefault="005069FD" w:rsidP="005069FD">
      <w:pPr>
        <w:pStyle w:val="INCISO"/>
        <w:spacing w:after="0" w:line="240" w:lineRule="exact"/>
        <w:rPr>
          <w:rFonts w:asciiTheme="minorHAnsi" w:hAnsiTheme="minorHAnsi"/>
          <w:sz w:val="20"/>
          <w:szCs w:val="20"/>
          <w:lang w:val="es-MX"/>
        </w:rPr>
      </w:pPr>
    </w:p>
    <w:p w:rsidR="005069FD" w:rsidRPr="00BA4C6E" w:rsidRDefault="005069FD" w:rsidP="005069FD">
      <w:pPr>
        <w:pStyle w:val="INCISO"/>
        <w:spacing w:after="0" w:line="240" w:lineRule="exact"/>
        <w:rPr>
          <w:rFonts w:asciiTheme="minorHAnsi" w:hAnsiTheme="minorHAnsi"/>
          <w:sz w:val="20"/>
          <w:szCs w:val="20"/>
          <w:lang w:val="es-MX"/>
        </w:rPr>
      </w:pPr>
    </w:p>
    <w:p w:rsidR="005069FD" w:rsidRPr="00BA4C6E" w:rsidRDefault="005069FD" w:rsidP="005069FD">
      <w:pPr>
        <w:pStyle w:val="INCISO"/>
        <w:spacing w:after="0" w:line="240" w:lineRule="exact"/>
        <w:rPr>
          <w:rFonts w:asciiTheme="minorHAnsi" w:hAnsiTheme="minorHAnsi"/>
          <w:sz w:val="20"/>
          <w:szCs w:val="20"/>
          <w:lang w:val="es-MX"/>
        </w:rPr>
      </w:pPr>
    </w:p>
    <w:p w:rsidR="005069FD" w:rsidRPr="00BA4C6E" w:rsidRDefault="005069FD" w:rsidP="005069FD">
      <w:pPr>
        <w:pStyle w:val="INCISO"/>
        <w:spacing w:after="0" w:line="240" w:lineRule="exact"/>
        <w:rPr>
          <w:rFonts w:asciiTheme="minorHAnsi" w:hAnsiTheme="minorHAnsi"/>
          <w:sz w:val="20"/>
          <w:szCs w:val="20"/>
          <w:lang w:val="es-MX"/>
        </w:rPr>
      </w:pPr>
    </w:p>
    <w:p w:rsidR="005069FD" w:rsidRPr="00BA4C6E" w:rsidRDefault="005069FD" w:rsidP="005069FD">
      <w:pPr>
        <w:pStyle w:val="INCISO"/>
        <w:spacing w:line="240" w:lineRule="exact"/>
        <w:rPr>
          <w:rFonts w:asciiTheme="minorHAnsi" w:hAnsiTheme="minorHAnsi"/>
          <w:sz w:val="20"/>
          <w:szCs w:val="20"/>
        </w:rPr>
      </w:pPr>
    </w:p>
    <w:p w:rsidR="005069FD" w:rsidRPr="00BA4C6E" w:rsidRDefault="005069FD" w:rsidP="005069FD">
      <w:pPr>
        <w:pStyle w:val="INCISO"/>
        <w:spacing w:line="240" w:lineRule="exact"/>
        <w:rPr>
          <w:rFonts w:asciiTheme="minorHAnsi" w:hAnsiTheme="minorHAnsi"/>
          <w:sz w:val="20"/>
          <w:szCs w:val="20"/>
        </w:rPr>
      </w:pPr>
      <w:r w:rsidRPr="00BA4C6E">
        <w:rPr>
          <w:rFonts w:asciiTheme="minorHAnsi" w:hAnsiTheme="minorHAnsi"/>
          <w:sz w:val="20"/>
          <w:szCs w:val="20"/>
        </w:rPr>
        <w:t>Terreno propiedad de esta Comisión ubicada en Santa Engracia, Municipio de Hidalgo, Tamaulipas.</w:t>
      </w:r>
    </w:p>
    <w:p w:rsidR="005069FD" w:rsidRPr="00BA4C6E" w:rsidRDefault="005069FD" w:rsidP="005069FD">
      <w:pPr>
        <w:pStyle w:val="INCISO"/>
        <w:spacing w:line="240" w:lineRule="exact"/>
        <w:ind w:left="0" w:firstLine="0"/>
        <w:rPr>
          <w:rFonts w:asciiTheme="minorHAnsi" w:hAnsiTheme="minorHAnsi"/>
          <w:b/>
          <w:sz w:val="20"/>
          <w:szCs w:val="20"/>
        </w:rPr>
      </w:pPr>
    </w:p>
    <w:p w:rsidR="005069FD" w:rsidRPr="00BA4C6E" w:rsidRDefault="005069FD" w:rsidP="005069FD">
      <w:pPr>
        <w:pStyle w:val="INCISO"/>
        <w:spacing w:line="240" w:lineRule="exact"/>
        <w:ind w:left="0" w:firstLine="0"/>
        <w:rPr>
          <w:rFonts w:asciiTheme="minorHAnsi" w:hAnsiTheme="minorHAnsi"/>
          <w:b/>
          <w:sz w:val="20"/>
          <w:szCs w:val="20"/>
        </w:rPr>
      </w:pPr>
      <w:r w:rsidRPr="00BA4C6E">
        <w:rPr>
          <w:rFonts w:asciiTheme="minorHAnsi" w:hAnsiTheme="minorHAnsi"/>
          <w:b/>
          <w:sz w:val="20"/>
          <w:szCs w:val="20"/>
        </w:rPr>
        <w:t>Bienes muebles</w:t>
      </w:r>
    </w:p>
    <w:p w:rsidR="005069FD" w:rsidRPr="00BA4C6E" w:rsidRDefault="005069FD" w:rsidP="005069FD">
      <w:pPr>
        <w:pStyle w:val="INCISO"/>
        <w:spacing w:line="240" w:lineRule="exact"/>
        <w:rPr>
          <w:rFonts w:asciiTheme="minorHAnsi" w:hAnsiTheme="minorHAnsi"/>
          <w:sz w:val="20"/>
          <w:szCs w:val="20"/>
        </w:rPr>
      </w:pPr>
      <w:r w:rsidRPr="00BA4C6E">
        <w:rPr>
          <w:rFonts w:asciiTheme="minorHAnsi" w:hAnsiTheme="minorHAnsi"/>
          <w:sz w:val="20"/>
          <w:szCs w:val="20"/>
        </w:rPr>
        <w:t>Los bienes muebles reflejados en nuestros estados financieros se detallan a continuación:</w:t>
      </w:r>
    </w:p>
    <w:p w:rsidR="005069FD" w:rsidRDefault="005069FD" w:rsidP="005069FD">
      <w:pPr>
        <w:pStyle w:val="INCISO"/>
        <w:tabs>
          <w:tab w:val="left" w:pos="284"/>
        </w:tabs>
        <w:spacing w:after="0" w:line="240" w:lineRule="exact"/>
        <w:ind w:left="0" w:firstLine="0"/>
        <w:rPr>
          <w:rFonts w:asciiTheme="minorHAnsi" w:hAnsiTheme="minorHAnsi"/>
          <w:sz w:val="20"/>
          <w:szCs w:val="20"/>
        </w:rPr>
      </w:pPr>
    </w:p>
    <w:tbl>
      <w:tblPr>
        <w:tblW w:w="9392" w:type="dxa"/>
        <w:tblInd w:w="55" w:type="dxa"/>
        <w:tblCellMar>
          <w:left w:w="70" w:type="dxa"/>
          <w:right w:w="70" w:type="dxa"/>
        </w:tblCellMar>
        <w:tblLook w:val="04A0" w:firstRow="1" w:lastRow="0" w:firstColumn="1" w:lastColumn="0" w:noHBand="0" w:noVBand="1"/>
      </w:tblPr>
      <w:tblGrid>
        <w:gridCol w:w="1900"/>
        <w:gridCol w:w="1408"/>
        <w:gridCol w:w="1550"/>
        <w:gridCol w:w="1536"/>
        <w:gridCol w:w="1701"/>
        <w:gridCol w:w="1297"/>
      </w:tblGrid>
      <w:tr w:rsidR="005069FD" w:rsidRPr="005B3615" w:rsidTr="00507A88">
        <w:trPr>
          <w:trHeight w:val="783"/>
        </w:trPr>
        <w:tc>
          <w:tcPr>
            <w:tcW w:w="1900" w:type="dxa"/>
            <w:tcBorders>
              <w:top w:val="single" w:sz="8" w:space="0" w:color="auto"/>
              <w:left w:val="single" w:sz="8" w:space="0" w:color="auto"/>
              <w:bottom w:val="single" w:sz="8" w:space="0" w:color="auto"/>
              <w:right w:val="single" w:sz="8" w:space="0" w:color="auto"/>
            </w:tcBorders>
            <w:shd w:val="clear" w:color="000000" w:fill="990033"/>
            <w:vAlign w:val="center"/>
            <w:hideMark/>
          </w:tcPr>
          <w:p w:rsidR="005069FD" w:rsidRPr="005B3615" w:rsidRDefault="005069FD" w:rsidP="00C07EAF">
            <w:pPr>
              <w:spacing w:after="0"/>
              <w:jc w:val="center"/>
              <w:rPr>
                <w:rFonts w:eastAsia="Times New Roman"/>
                <w:b/>
                <w:bCs/>
                <w:color w:val="FFFFFF"/>
                <w:sz w:val="20"/>
                <w:szCs w:val="20"/>
                <w:lang w:eastAsia="es-MX"/>
              </w:rPr>
            </w:pPr>
            <w:r w:rsidRPr="005B3615">
              <w:rPr>
                <w:rFonts w:eastAsia="Times New Roman"/>
                <w:b/>
                <w:bCs/>
                <w:color w:val="FFFFFF"/>
                <w:sz w:val="20"/>
                <w:szCs w:val="20"/>
                <w:lang w:eastAsia="es-MX"/>
              </w:rPr>
              <w:t>Bienes Muebles</w:t>
            </w:r>
          </w:p>
        </w:tc>
        <w:tc>
          <w:tcPr>
            <w:tcW w:w="1408" w:type="dxa"/>
            <w:tcBorders>
              <w:top w:val="single" w:sz="8" w:space="0" w:color="auto"/>
              <w:left w:val="nil"/>
              <w:bottom w:val="single" w:sz="8" w:space="0" w:color="auto"/>
              <w:right w:val="single" w:sz="8" w:space="0" w:color="auto"/>
            </w:tcBorders>
            <w:shd w:val="clear" w:color="000000" w:fill="990033"/>
            <w:vAlign w:val="center"/>
            <w:hideMark/>
          </w:tcPr>
          <w:p w:rsidR="005069FD" w:rsidRPr="005B3615" w:rsidRDefault="005069FD" w:rsidP="00C07EAF">
            <w:pPr>
              <w:spacing w:after="0"/>
              <w:jc w:val="center"/>
              <w:rPr>
                <w:rFonts w:eastAsia="Times New Roman"/>
                <w:b/>
                <w:bCs/>
                <w:color w:val="FFFFFF"/>
                <w:sz w:val="20"/>
                <w:szCs w:val="20"/>
                <w:lang w:eastAsia="es-MX"/>
              </w:rPr>
            </w:pPr>
            <w:r w:rsidRPr="005B3615">
              <w:rPr>
                <w:rFonts w:eastAsia="Times New Roman"/>
                <w:b/>
                <w:bCs/>
                <w:color w:val="FFFFFF"/>
                <w:sz w:val="20"/>
                <w:szCs w:val="20"/>
                <w:lang w:eastAsia="es-MX"/>
              </w:rPr>
              <w:t>% Depreciación</w:t>
            </w:r>
          </w:p>
        </w:tc>
        <w:tc>
          <w:tcPr>
            <w:tcW w:w="1550" w:type="dxa"/>
            <w:tcBorders>
              <w:top w:val="single" w:sz="8" w:space="0" w:color="auto"/>
              <w:left w:val="nil"/>
              <w:bottom w:val="single" w:sz="8" w:space="0" w:color="auto"/>
              <w:right w:val="single" w:sz="8" w:space="0" w:color="auto"/>
            </w:tcBorders>
            <w:shd w:val="clear" w:color="000000" w:fill="990033"/>
            <w:vAlign w:val="center"/>
            <w:hideMark/>
          </w:tcPr>
          <w:p w:rsidR="005069FD" w:rsidRPr="005B3615" w:rsidRDefault="005069FD" w:rsidP="00C07EAF">
            <w:pPr>
              <w:spacing w:after="0"/>
              <w:jc w:val="center"/>
              <w:rPr>
                <w:rFonts w:eastAsia="Times New Roman"/>
                <w:b/>
                <w:bCs/>
                <w:color w:val="FFFFFF"/>
                <w:sz w:val="20"/>
                <w:szCs w:val="20"/>
                <w:lang w:eastAsia="es-MX"/>
              </w:rPr>
            </w:pPr>
            <w:r w:rsidRPr="005B3615">
              <w:rPr>
                <w:rFonts w:eastAsia="Times New Roman"/>
                <w:b/>
                <w:bCs/>
                <w:color w:val="FFFFFF"/>
                <w:sz w:val="20"/>
                <w:szCs w:val="20"/>
                <w:lang w:eastAsia="es-MX"/>
              </w:rPr>
              <w:t>Importe del Bien</w:t>
            </w:r>
          </w:p>
        </w:tc>
        <w:tc>
          <w:tcPr>
            <w:tcW w:w="1536" w:type="dxa"/>
            <w:tcBorders>
              <w:top w:val="single" w:sz="8" w:space="0" w:color="auto"/>
              <w:left w:val="nil"/>
              <w:bottom w:val="nil"/>
              <w:right w:val="single" w:sz="8" w:space="0" w:color="auto"/>
            </w:tcBorders>
            <w:shd w:val="clear" w:color="000000" w:fill="990033"/>
            <w:vAlign w:val="center"/>
            <w:hideMark/>
          </w:tcPr>
          <w:p w:rsidR="005069FD" w:rsidRPr="005B3615" w:rsidRDefault="005069FD" w:rsidP="00C07EAF">
            <w:pPr>
              <w:spacing w:after="0"/>
              <w:jc w:val="center"/>
              <w:rPr>
                <w:rFonts w:eastAsia="Times New Roman"/>
                <w:b/>
                <w:bCs/>
                <w:color w:val="FFFFFF"/>
                <w:sz w:val="20"/>
                <w:szCs w:val="20"/>
                <w:lang w:eastAsia="es-MX"/>
              </w:rPr>
            </w:pPr>
            <w:r w:rsidRPr="005B3615">
              <w:rPr>
                <w:rFonts w:eastAsia="Times New Roman"/>
                <w:b/>
                <w:bCs/>
                <w:color w:val="FFFFFF"/>
                <w:sz w:val="20"/>
                <w:szCs w:val="20"/>
                <w:lang w:eastAsia="es-MX"/>
              </w:rPr>
              <w:t>Depreciación 2022</w:t>
            </w:r>
          </w:p>
        </w:tc>
        <w:tc>
          <w:tcPr>
            <w:tcW w:w="1701" w:type="dxa"/>
            <w:tcBorders>
              <w:top w:val="single" w:sz="8" w:space="0" w:color="auto"/>
              <w:left w:val="nil"/>
              <w:bottom w:val="nil"/>
              <w:right w:val="single" w:sz="8" w:space="0" w:color="auto"/>
            </w:tcBorders>
            <w:shd w:val="clear" w:color="000000" w:fill="990033"/>
            <w:vAlign w:val="center"/>
            <w:hideMark/>
          </w:tcPr>
          <w:p w:rsidR="005069FD" w:rsidRPr="005B3615" w:rsidRDefault="005069FD" w:rsidP="00C07EAF">
            <w:pPr>
              <w:spacing w:after="0"/>
              <w:jc w:val="center"/>
              <w:rPr>
                <w:rFonts w:eastAsia="Times New Roman"/>
                <w:b/>
                <w:bCs/>
                <w:color w:val="FFFFFF"/>
                <w:sz w:val="20"/>
                <w:szCs w:val="20"/>
                <w:lang w:eastAsia="es-MX"/>
              </w:rPr>
            </w:pPr>
            <w:r w:rsidRPr="005B3615">
              <w:rPr>
                <w:rFonts w:eastAsia="Times New Roman"/>
                <w:b/>
                <w:bCs/>
                <w:color w:val="FFFFFF"/>
                <w:sz w:val="20"/>
                <w:szCs w:val="20"/>
                <w:lang w:eastAsia="es-MX"/>
              </w:rPr>
              <w:t>Depreciación Acumulada 2021</w:t>
            </w:r>
          </w:p>
        </w:tc>
        <w:tc>
          <w:tcPr>
            <w:tcW w:w="1297" w:type="dxa"/>
            <w:tcBorders>
              <w:top w:val="single" w:sz="8" w:space="0" w:color="auto"/>
              <w:left w:val="nil"/>
              <w:bottom w:val="nil"/>
              <w:right w:val="single" w:sz="8" w:space="0" w:color="auto"/>
            </w:tcBorders>
            <w:shd w:val="clear" w:color="000000" w:fill="990033"/>
            <w:vAlign w:val="center"/>
            <w:hideMark/>
          </w:tcPr>
          <w:p w:rsidR="005069FD" w:rsidRPr="005B3615" w:rsidRDefault="005069FD" w:rsidP="00C07EAF">
            <w:pPr>
              <w:spacing w:after="0"/>
              <w:jc w:val="center"/>
              <w:rPr>
                <w:rFonts w:eastAsia="Times New Roman"/>
                <w:b/>
                <w:bCs/>
                <w:color w:val="FFFFFF"/>
                <w:sz w:val="20"/>
                <w:szCs w:val="20"/>
                <w:lang w:eastAsia="es-MX"/>
              </w:rPr>
            </w:pPr>
            <w:r w:rsidRPr="005B3615">
              <w:rPr>
                <w:rFonts w:eastAsia="Times New Roman"/>
                <w:b/>
                <w:bCs/>
                <w:color w:val="FFFFFF"/>
                <w:sz w:val="20"/>
                <w:szCs w:val="20"/>
                <w:lang w:eastAsia="es-MX"/>
              </w:rPr>
              <w:t>Total de Depreciación</w:t>
            </w:r>
          </w:p>
        </w:tc>
      </w:tr>
      <w:tr w:rsidR="005069FD" w:rsidRPr="005B3615" w:rsidTr="00507A88">
        <w:trPr>
          <w:trHeight w:val="808"/>
        </w:trPr>
        <w:tc>
          <w:tcPr>
            <w:tcW w:w="1900" w:type="dxa"/>
            <w:tcBorders>
              <w:top w:val="nil"/>
              <w:left w:val="single" w:sz="8" w:space="0" w:color="auto"/>
              <w:bottom w:val="single" w:sz="8" w:space="0" w:color="auto"/>
              <w:right w:val="single" w:sz="8" w:space="0" w:color="auto"/>
            </w:tcBorders>
            <w:shd w:val="clear" w:color="000000" w:fill="BFBFBF"/>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Mobiliario y Equipo de Administración </w:t>
            </w:r>
          </w:p>
        </w:tc>
        <w:tc>
          <w:tcPr>
            <w:tcW w:w="1408" w:type="dxa"/>
            <w:tcBorders>
              <w:top w:val="nil"/>
              <w:left w:val="nil"/>
              <w:bottom w:val="single" w:sz="8" w:space="0" w:color="auto"/>
              <w:right w:val="single" w:sz="8" w:space="0" w:color="auto"/>
            </w:tcBorders>
            <w:shd w:val="clear" w:color="000000" w:fill="BFBFBF"/>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w:t>
            </w:r>
          </w:p>
        </w:tc>
        <w:tc>
          <w:tcPr>
            <w:tcW w:w="1550" w:type="dxa"/>
            <w:tcBorders>
              <w:top w:val="nil"/>
              <w:left w:val="nil"/>
              <w:bottom w:val="single" w:sz="8" w:space="0" w:color="auto"/>
              <w:right w:val="nil"/>
            </w:tcBorders>
            <w:shd w:val="clear" w:color="000000" w:fill="BFBFBF"/>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4,046,400 </w:t>
            </w:r>
          </w:p>
        </w:tc>
        <w:tc>
          <w:tcPr>
            <w:tcW w:w="1536"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256,184 </w:t>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3,425,718 </w:t>
            </w:r>
          </w:p>
        </w:tc>
        <w:tc>
          <w:tcPr>
            <w:tcW w:w="1297" w:type="dxa"/>
            <w:tcBorders>
              <w:top w:val="single" w:sz="8" w:space="0" w:color="auto"/>
              <w:left w:val="nil"/>
              <w:bottom w:val="single" w:sz="8" w:space="0" w:color="auto"/>
              <w:right w:val="single" w:sz="8" w:space="0" w:color="auto"/>
            </w:tcBorders>
            <w:shd w:val="clear" w:color="000000" w:fill="BFBFBF"/>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3,681,902 </w:t>
            </w:r>
          </w:p>
        </w:tc>
      </w:tr>
      <w:tr w:rsidR="005069FD" w:rsidRPr="005B3615" w:rsidTr="00507A88">
        <w:trPr>
          <w:trHeight w:val="679"/>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Muebles de Oficina y Estantería </w:t>
            </w:r>
          </w:p>
        </w:tc>
        <w:tc>
          <w:tcPr>
            <w:tcW w:w="1408"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10%</w:t>
            </w:r>
          </w:p>
        </w:tc>
        <w:tc>
          <w:tcPr>
            <w:tcW w:w="1550"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381,318.88  </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38,132 </w:t>
            </w:r>
          </w:p>
        </w:tc>
        <w:tc>
          <w:tcPr>
            <w:tcW w:w="1701"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237,329 </w:t>
            </w:r>
          </w:p>
        </w:tc>
        <w:tc>
          <w:tcPr>
            <w:tcW w:w="1297"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275,461 </w:t>
            </w:r>
          </w:p>
        </w:tc>
      </w:tr>
      <w:tr w:rsidR="005069FD" w:rsidRPr="005B3615" w:rsidTr="00507A88">
        <w:trPr>
          <w:trHeight w:val="831"/>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Muebles excepto oficina y estantería </w:t>
            </w:r>
          </w:p>
        </w:tc>
        <w:tc>
          <w:tcPr>
            <w:tcW w:w="1408"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10%</w:t>
            </w:r>
          </w:p>
        </w:tc>
        <w:tc>
          <w:tcPr>
            <w:tcW w:w="1550"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25,269.44  </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2,527 </w:t>
            </w:r>
          </w:p>
        </w:tc>
        <w:tc>
          <w:tcPr>
            <w:tcW w:w="1701"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10,108 </w:t>
            </w:r>
          </w:p>
        </w:tc>
        <w:tc>
          <w:tcPr>
            <w:tcW w:w="1297"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12,635 </w:t>
            </w:r>
          </w:p>
        </w:tc>
      </w:tr>
      <w:tr w:rsidR="005069FD" w:rsidRPr="005B3615" w:rsidTr="00507A88">
        <w:trPr>
          <w:trHeight w:val="1126"/>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Equipo de Cómputo y de Tecnologías de la Información </w:t>
            </w:r>
          </w:p>
        </w:tc>
        <w:tc>
          <w:tcPr>
            <w:tcW w:w="1408"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33.30%</w:t>
            </w:r>
          </w:p>
        </w:tc>
        <w:tc>
          <w:tcPr>
            <w:tcW w:w="1550"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3,473,234.79  </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198,868 </w:t>
            </w:r>
          </w:p>
        </w:tc>
        <w:tc>
          <w:tcPr>
            <w:tcW w:w="1701"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3,077,355 </w:t>
            </w:r>
          </w:p>
        </w:tc>
        <w:tc>
          <w:tcPr>
            <w:tcW w:w="1297"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3,276,223 </w:t>
            </w:r>
          </w:p>
        </w:tc>
      </w:tr>
      <w:tr w:rsidR="005069FD" w:rsidRPr="005B3615" w:rsidTr="00507A88">
        <w:trPr>
          <w:trHeight w:val="975"/>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Otros Mobiliarios y Equipos de Administración </w:t>
            </w:r>
          </w:p>
        </w:tc>
        <w:tc>
          <w:tcPr>
            <w:tcW w:w="1408"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10%</w:t>
            </w:r>
          </w:p>
        </w:tc>
        <w:tc>
          <w:tcPr>
            <w:tcW w:w="1550"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166,576.50  </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16,658 </w:t>
            </w:r>
          </w:p>
        </w:tc>
        <w:tc>
          <w:tcPr>
            <w:tcW w:w="1701"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100,926 </w:t>
            </w:r>
          </w:p>
        </w:tc>
        <w:tc>
          <w:tcPr>
            <w:tcW w:w="1297"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117,584 </w:t>
            </w:r>
          </w:p>
        </w:tc>
      </w:tr>
      <w:tr w:rsidR="005069FD" w:rsidRPr="005B3615" w:rsidTr="00507A88">
        <w:trPr>
          <w:trHeight w:val="936"/>
        </w:trPr>
        <w:tc>
          <w:tcPr>
            <w:tcW w:w="1900" w:type="dxa"/>
            <w:tcBorders>
              <w:top w:val="nil"/>
              <w:left w:val="single" w:sz="8" w:space="0" w:color="auto"/>
              <w:bottom w:val="single" w:sz="8" w:space="0" w:color="auto"/>
              <w:right w:val="single" w:sz="8" w:space="0" w:color="auto"/>
            </w:tcBorders>
            <w:shd w:val="clear" w:color="000000" w:fill="BFBFBF"/>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Mobiliario y Equipo Educacional y Recreativo </w:t>
            </w:r>
          </w:p>
        </w:tc>
        <w:tc>
          <w:tcPr>
            <w:tcW w:w="1408" w:type="dxa"/>
            <w:tcBorders>
              <w:top w:val="nil"/>
              <w:left w:val="nil"/>
              <w:bottom w:val="single" w:sz="8" w:space="0" w:color="auto"/>
              <w:right w:val="single" w:sz="8" w:space="0" w:color="auto"/>
            </w:tcBorders>
            <w:shd w:val="clear" w:color="000000" w:fill="BFBFBF"/>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w:t>
            </w:r>
          </w:p>
        </w:tc>
        <w:tc>
          <w:tcPr>
            <w:tcW w:w="1550" w:type="dxa"/>
            <w:tcBorders>
              <w:top w:val="nil"/>
              <w:left w:val="nil"/>
              <w:bottom w:val="single" w:sz="8" w:space="0" w:color="auto"/>
              <w:right w:val="nil"/>
            </w:tcBorders>
            <w:shd w:val="clear" w:color="000000" w:fill="BFBFBF"/>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662,457.84  </w:t>
            </w:r>
          </w:p>
        </w:tc>
        <w:tc>
          <w:tcPr>
            <w:tcW w:w="1536" w:type="dxa"/>
            <w:tcBorders>
              <w:top w:val="nil"/>
              <w:left w:val="single" w:sz="8" w:space="0" w:color="auto"/>
              <w:bottom w:val="single" w:sz="8" w:space="0" w:color="auto"/>
              <w:right w:val="single" w:sz="8" w:space="0" w:color="auto"/>
            </w:tcBorders>
            <w:shd w:val="clear" w:color="000000" w:fill="BFBFBF"/>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34,619 </w:t>
            </w:r>
          </w:p>
        </w:tc>
        <w:tc>
          <w:tcPr>
            <w:tcW w:w="1701" w:type="dxa"/>
            <w:tcBorders>
              <w:top w:val="nil"/>
              <w:left w:val="nil"/>
              <w:bottom w:val="single" w:sz="8" w:space="0" w:color="auto"/>
              <w:right w:val="single" w:sz="8" w:space="0" w:color="auto"/>
            </w:tcBorders>
            <w:shd w:val="clear" w:color="000000" w:fill="BFBFBF"/>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625,492 </w:t>
            </w:r>
          </w:p>
        </w:tc>
        <w:tc>
          <w:tcPr>
            <w:tcW w:w="1297" w:type="dxa"/>
            <w:tcBorders>
              <w:top w:val="nil"/>
              <w:left w:val="nil"/>
              <w:bottom w:val="single" w:sz="8" w:space="0" w:color="auto"/>
              <w:right w:val="single" w:sz="8" w:space="0" w:color="auto"/>
            </w:tcBorders>
            <w:shd w:val="clear" w:color="000000" w:fill="BFBFBF"/>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660,111 </w:t>
            </w:r>
          </w:p>
        </w:tc>
      </w:tr>
      <w:tr w:rsidR="005069FD" w:rsidRPr="005B3615" w:rsidTr="00507A88">
        <w:trPr>
          <w:trHeight w:val="835"/>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lastRenderedPageBreak/>
              <w:t>Equipos y Aparatos Audiovisuales </w:t>
            </w:r>
          </w:p>
        </w:tc>
        <w:tc>
          <w:tcPr>
            <w:tcW w:w="1408"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33.30%</w:t>
            </w:r>
          </w:p>
        </w:tc>
        <w:tc>
          <w:tcPr>
            <w:tcW w:w="1550"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346,647.46  </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32,265 </w:t>
            </w:r>
          </w:p>
        </w:tc>
        <w:tc>
          <w:tcPr>
            <w:tcW w:w="1701"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314,244 </w:t>
            </w:r>
          </w:p>
        </w:tc>
        <w:tc>
          <w:tcPr>
            <w:tcW w:w="1297"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346,509 </w:t>
            </w:r>
          </w:p>
        </w:tc>
      </w:tr>
      <w:tr w:rsidR="005069FD" w:rsidRPr="005B3615" w:rsidTr="00507A88">
        <w:trPr>
          <w:trHeight w:val="705"/>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Cámaras Fotográficas y de Video  </w:t>
            </w:r>
          </w:p>
        </w:tc>
        <w:tc>
          <w:tcPr>
            <w:tcW w:w="1408"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33.30%</w:t>
            </w:r>
          </w:p>
        </w:tc>
        <w:tc>
          <w:tcPr>
            <w:tcW w:w="1550"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315,810.38  </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2,354 </w:t>
            </w:r>
          </w:p>
        </w:tc>
        <w:tc>
          <w:tcPr>
            <w:tcW w:w="1701"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311,248 </w:t>
            </w:r>
          </w:p>
        </w:tc>
        <w:tc>
          <w:tcPr>
            <w:tcW w:w="1297"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313,602 </w:t>
            </w:r>
          </w:p>
        </w:tc>
      </w:tr>
      <w:tr w:rsidR="005069FD" w:rsidRPr="005B3615" w:rsidTr="00507A88">
        <w:trPr>
          <w:trHeight w:val="783"/>
        </w:trPr>
        <w:tc>
          <w:tcPr>
            <w:tcW w:w="1900" w:type="dxa"/>
            <w:tcBorders>
              <w:top w:val="nil"/>
              <w:left w:val="single" w:sz="8" w:space="0" w:color="auto"/>
              <w:bottom w:val="single" w:sz="8" w:space="0" w:color="auto"/>
              <w:right w:val="single" w:sz="8" w:space="0" w:color="auto"/>
            </w:tcBorders>
            <w:shd w:val="clear" w:color="000000" w:fill="BFBFBF"/>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Vehículos y Equipo de Transporte </w:t>
            </w:r>
          </w:p>
        </w:tc>
        <w:tc>
          <w:tcPr>
            <w:tcW w:w="1408" w:type="dxa"/>
            <w:tcBorders>
              <w:top w:val="nil"/>
              <w:left w:val="nil"/>
              <w:bottom w:val="single" w:sz="8" w:space="0" w:color="auto"/>
              <w:right w:val="single" w:sz="8" w:space="0" w:color="auto"/>
            </w:tcBorders>
            <w:shd w:val="clear" w:color="000000" w:fill="BFBFBF"/>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w:t>
            </w:r>
          </w:p>
        </w:tc>
        <w:tc>
          <w:tcPr>
            <w:tcW w:w="1550" w:type="dxa"/>
            <w:tcBorders>
              <w:top w:val="nil"/>
              <w:left w:val="nil"/>
              <w:bottom w:val="single" w:sz="8" w:space="0" w:color="auto"/>
              <w:right w:val="nil"/>
            </w:tcBorders>
            <w:shd w:val="clear" w:color="000000" w:fill="BFBFBF"/>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24,885,064.22  </w:t>
            </w:r>
          </w:p>
        </w:tc>
        <w:tc>
          <w:tcPr>
            <w:tcW w:w="1536" w:type="dxa"/>
            <w:tcBorders>
              <w:top w:val="nil"/>
              <w:left w:val="single" w:sz="8" w:space="0" w:color="auto"/>
              <w:bottom w:val="single" w:sz="8" w:space="0" w:color="auto"/>
              <w:right w:val="single" w:sz="8" w:space="0" w:color="auto"/>
            </w:tcBorders>
            <w:shd w:val="clear" w:color="000000" w:fill="BFBFBF"/>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1,912,407 </w:t>
            </w:r>
          </w:p>
        </w:tc>
        <w:tc>
          <w:tcPr>
            <w:tcW w:w="1701" w:type="dxa"/>
            <w:tcBorders>
              <w:top w:val="nil"/>
              <w:left w:val="nil"/>
              <w:bottom w:val="single" w:sz="8" w:space="0" w:color="auto"/>
              <w:right w:val="single" w:sz="8" w:space="0" w:color="auto"/>
            </w:tcBorders>
            <w:shd w:val="clear" w:color="000000" w:fill="BFBFBF"/>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21,848,764 </w:t>
            </w:r>
          </w:p>
        </w:tc>
        <w:tc>
          <w:tcPr>
            <w:tcW w:w="1297" w:type="dxa"/>
            <w:tcBorders>
              <w:top w:val="nil"/>
              <w:left w:val="nil"/>
              <w:bottom w:val="single" w:sz="8" w:space="0" w:color="auto"/>
              <w:right w:val="single" w:sz="8" w:space="0" w:color="auto"/>
            </w:tcBorders>
            <w:shd w:val="clear" w:color="000000" w:fill="BFBFBF"/>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23,761,171 </w:t>
            </w:r>
          </w:p>
        </w:tc>
      </w:tr>
      <w:tr w:rsidR="005069FD" w:rsidRPr="005B3615" w:rsidTr="00507A88">
        <w:trPr>
          <w:trHeight w:val="783"/>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Automóviles y Equipo Terrestre </w:t>
            </w:r>
          </w:p>
        </w:tc>
        <w:tc>
          <w:tcPr>
            <w:tcW w:w="1408"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20%</w:t>
            </w:r>
          </w:p>
        </w:tc>
        <w:tc>
          <w:tcPr>
            <w:tcW w:w="1550"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24,851,064.22  </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1,912,407 </w:t>
            </w:r>
          </w:p>
        </w:tc>
        <w:tc>
          <w:tcPr>
            <w:tcW w:w="1701"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21,814,765 </w:t>
            </w:r>
          </w:p>
        </w:tc>
        <w:tc>
          <w:tcPr>
            <w:tcW w:w="1297"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23,727,172 </w:t>
            </w:r>
          </w:p>
        </w:tc>
      </w:tr>
      <w:tr w:rsidR="005069FD" w:rsidRPr="005B3615" w:rsidTr="00507A88">
        <w:trPr>
          <w:trHeight w:val="527"/>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Carrocerías y Remolques </w:t>
            </w:r>
          </w:p>
        </w:tc>
        <w:tc>
          <w:tcPr>
            <w:tcW w:w="1408"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20%</w:t>
            </w:r>
          </w:p>
        </w:tc>
        <w:tc>
          <w:tcPr>
            <w:tcW w:w="1550"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34,000.00  </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w:t>
            </w:r>
          </w:p>
        </w:tc>
        <w:tc>
          <w:tcPr>
            <w:tcW w:w="1701"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33,999 </w:t>
            </w:r>
          </w:p>
        </w:tc>
        <w:tc>
          <w:tcPr>
            <w:tcW w:w="1297"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33,999 </w:t>
            </w:r>
          </w:p>
        </w:tc>
      </w:tr>
      <w:tr w:rsidR="005069FD" w:rsidRPr="005B3615" w:rsidTr="00507A88">
        <w:trPr>
          <w:trHeight w:val="944"/>
        </w:trPr>
        <w:tc>
          <w:tcPr>
            <w:tcW w:w="1900" w:type="dxa"/>
            <w:tcBorders>
              <w:top w:val="nil"/>
              <w:left w:val="single" w:sz="8" w:space="0" w:color="auto"/>
              <w:bottom w:val="single" w:sz="8" w:space="0" w:color="auto"/>
              <w:right w:val="single" w:sz="8" w:space="0" w:color="auto"/>
            </w:tcBorders>
            <w:shd w:val="clear" w:color="000000" w:fill="BFBFBF"/>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Maquinaria, Otros Equipos y Herramientas </w:t>
            </w:r>
          </w:p>
        </w:tc>
        <w:tc>
          <w:tcPr>
            <w:tcW w:w="1408" w:type="dxa"/>
            <w:tcBorders>
              <w:top w:val="nil"/>
              <w:left w:val="nil"/>
              <w:bottom w:val="single" w:sz="8" w:space="0" w:color="auto"/>
              <w:right w:val="single" w:sz="8" w:space="0" w:color="auto"/>
            </w:tcBorders>
            <w:shd w:val="clear" w:color="000000" w:fill="BFBFBF"/>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 </w:t>
            </w:r>
          </w:p>
        </w:tc>
        <w:tc>
          <w:tcPr>
            <w:tcW w:w="1550" w:type="dxa"/>
            <w:tcBorders>
              <w:top w:val="nil"/>
              <w:left w:val="nil"/>
              <w:bottom w:val="single" w:sz="8" w:space="0" w:color="auto"/>
              <w:right w:val="nil"/>
            </w:tcBorders>
            <w:shd w:val="clear" w:color="000000" w:fill="BFBFBF"/>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15,397,856.95  </w:t>
            </w:r>
          </w:p>
        </w:tc>
        <w:tc>
          <w:tcPr>
            <w:tcW w:w="1536" w:type="dxa"/>
            <w:tcBorders>
              <w:top w:val="nil"/>
              <w:left w:val="single" w:sz="8" w:space="0" w:color="auto"/>
              <w:bottom w:val="single" w:sz="8" w:space="0" w:color="auto"/>
              <w:right w:val="single" w:sz="8" w:space="0" w:color="auto"/>
            </w:tcBorders>
            <w:shd w:val="clear" w:color="000000" w:fill="BFBFBF"/>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1,620,856 </w:t>
            </w:r>
          </w:p>
        </w:tc>
        <w:tc>
          <w:tcPr>
            <w:tcW w:w="1701" w:type="dxa"/>
            <w:tcBorders>
              <w:top w:val="nil"/>
              <w:left w:val="nil"/>
              <w:bottom w:val="single" w:sz="8" w:space="0" w:color="auto"/>
              <w:right w:val="single" w:sz="8" w:space="0" w:color="auto"/>
            </w:tcBorders>
            <w:shd w:val="clear" w:color="000000" w:fill="BFBFBF"/>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10,120,412 </w:t>
            </w:r>
          </w:p>
        </w:tc>
        <w:tc>
          <w:tcPr>
            <w:tcW w:w="1297" w:type="dxa"/>
            <w:tcBorders>
              <w:top w:val="nil"/>
              <w:left w:val="nil"/>
              <w:bottom w:val="single" w:sz="8" w:space="0" w:color="auto"/>
              <w:right w:val="single" w:sz="8" w:space="0" w:color="auto"/>
            </w:tcBorders>
            <w:shd w:val="clear" w:color="000000" w:fill="BFBFBF"/>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11,741,268 </w:t>
            </w:r>
          </w:p>
        </w:tc>
      </w:tr>
      <w:tr w:rsidR="005069FD" w:rsidRPr="005B3615" w:rsidTr="00507A88">
        <w:trPr>
          <w:trHeight w:val="1039"/>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Maquinaria y Equipo Agropecuario </w:t>
            </w:r>
          </w:p>
        </w:tc>
        <w:tc>
          <w:tcPr>
            <w:tcW w:w="1408"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10%</w:t>
            </w:r>
          </w:p>
        </w:tc>
        <w:tc>
          <w:tcPr>
            <w:tcW w:w="1550"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18,250.00  </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1,825 </w:t>
            </w:r>
          </w:p>
        </w:tc>
        <w:tc>
          <w:tcPr>
            <w:tcW w:w="1701"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10,036 </w:t>
            </w:r>
          </w:p>
        </w:tc>
        <w:tc>
          <w:tcPr>
            <w:tcW w:w="1297"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11,861 </w:t>
            </w:r>
          </w:p>
        </w:tc>
      </w:tr>
      <w:tr w:rsidR="005069FD" w:rsidRPr="005B3615" w:rsidTr="00507A88">
        <w:trPr>
          <w:trHeight w:val="783"/>
        </w:trPr>
        <w:tc>
          <w:tcPr>
            <w:tcW w:w="1900" w:type="dxa"/>
            <w:tcBorders>
              <w:top w:val="nil"/>
              <w:left w:val="single" w:sz="8" w:space="0" w:color="auto"/>
              <w:bottom w:val="single" w:sz="8" w:space="0" w:color="auto"/>
              <w:right w:val="single" w:sz="8" w:space="0" w:color="auto"/>
            </w:tcBorders>
            <w:shd w:val="clear" w:color="000000" w:fill="FFFFFF"/>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Maquinaria y equipo industrial </w:t>
            </w:r>
          </w:p>
        </w:tc>
        <w:tc>
          <w:tcPr>
            <w:tcW w:w="1408" w:type="dxa"/>
            <w:tcBorders>
              <w:top w:val="nil"/>
              <w:left w:val="nil"/>
              <w:bottom w:val="single" w:sz="8" w:space="0" w:color="auto"/>
              <w:right w:val="single" w:sz="8" w:space="0" w:color="auto"/>
            </w:tcBorders>
            <w:shd w:val="clear" w:color="000000" w:fill="FFFFFF"/>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25%</w:t>
            </w:r>
          </w:p>
        </w:tc>
        <w:tc>
          <w:tcPr>
            <w:tcW w:w="1550"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1,726,344,.77  </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431,586 </w:t>
            </w:r>
          </w:p>
        </w:tc>
        <w:tc>
          <w:tcPr>
            <w:tcW w:w="1701"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998,685 </w:t>
            </w:r>
          </w:p>
        </w:tc>
        <w:tc>
          <w:tcPr>
            <w:tcW w:w="1297"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1,430,272 </w:t>
            </w:r>
          </w:p>
        </w:tc>
      </w:tr>
      <w:tr w:rsidR="005069FD" w:rsidRPr="005B3615" w:rsidTr="00507A88">
        <w:trPr>
          <w:trHeight w:val="1039"/>
        </w:trPr>
        <w:tc>
          <w:tcPr>
            <w:tcW w:w="1900" w:type="dxa"/>
            <w:tcBorders>
              <w:top w:val="nil"/>
              <w:left w:val="single" w:sz="8" w:space="0" w:color="auto"/>
              <w:bottom w:val="single" w:sz="8" w:space="0" w:color="auto"/>
              <w:right w:val="single" w:sz="8" w:space="0" w:color="auto"/>
            </w:tcBorders>
            <w:shd w:val="clear" w:color="000000" w:fill="FFFFFF"/>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Maquinaria y Equipo de Construcción </w:t>
            </w:r>
          </w:p>
        </w:tc>
        <w:tc>
          <w:tcPr>
            <w:tcW w:w="1408" w:type="dxa"/>
            <w:tcBorders>
              <w:top w:val="nil"/>
              <w:left w:val="nil"/>
              <w:bottom w:val="single" w:sz="8" w:space="0" w:color="auto"/>
              <w:right w:val="single" w:sz="8" w:space="0" w:color="auto"/>
            </w:tcBorders>
            <w:shd w:val="clear" w:color="000000" w:fill="FFFFFF"/>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10%</w:t>
            </w:r>
          </w:p>
        </w:tc>
        <w:tc>
          <w:tcPr>
            <w:tcW w:w="1550"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10,296,776.00  </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983,697 </w:t>
            </w:r>
          </w:p>
        </w:tc>
        <w:tc>
          <w:tcPr>
            <w:tcW w:w="1701"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6,323,728 </w:t>
            </w:r>
          </w:p>
        </w:tc>
        <w:tc>
          <w:tcPr>
            <w:tcW w:w="1297"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7,307,425 </w:t>
            </w:r>
          </w:p>
        </w:tc>
      </w:tr>
      <w:tr w:rsidR="005069FD" w:rsidRPr="005B3615" w:rsidTr="00507A88">
        <w:trPr>
          <w:trHeight w:val="1454"/>
        </w:trPr>
        <w:tc>
          <w:tcPr>
            <w:tcW w:w="1900" w:type="dxa"/>
            <w:tcBorders>
              <w:top w:val="nil"/>
              <w:left w:val="single" w:sz="8" w:space="0" w:color="auto"/>
              <w:bottom w:val="single" w:sz="8" w:space="0" w:color="auto"/>
              <w:right w:val="single" w:sz="8" w:space="0" w:color="auto"/>
            </w:tcBorders>
            <w:shd w:val="clear" w:color="000000" w:fill="FFFFFF"/>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Sistemas de Aire Acondicionado, Calefacción y de Refrigeración Industrial y Comercial </w:t>
            </w:r>
          </w:p>
        </w:tc>
        <w:tc>
          <w:tcPr>
            <w:tcW w:w="1408" w:type="dxa"/>
            <w:tcBorders>
              <w:top w:val="nil"/>
              <w:left w:val="nil"/>
              <w:bottom w:val="single" w:sz="8" w:space="0" w:color="auto"/>
              <w:right w:val="single" w:sz="8" w:space="0" w:color="auto"/>
            </w:tcBorders>
            <w:shd w:val="clear" w:color="000000" w:fill="FFFFFF"/>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10%</w:t>
            </w:r>
          </w:p>
        </w:tc>
        <w:tc>
          <w:tcPr>
            <w:tcW w:w="1550"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49,592.99  </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4,959 </w:t>
            </w:r>
          </w:p>
        </w:tc>
        <w:tc>
          <w:tcPr>
            <w:tcW w:w="1701"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29,404 </w:t>
            </w:r>
          </w:p>
        </w:tc>
        <w:tc>
          <w:tcPr>
            <w:tcW w:w="1297"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34,364 </w:t>
            </w:r>
          </w:p>
        </w:tc>
      </w:tr>
      <w:tr w:rsidR="005069FD" w:rsidRPr="005B3615" w:rsidTr="00507A88">
        <w:trPr>
          <w:trHeight w:val="1092"/>
        </w:trPr>
        <w:tc>
          <w:tcPr>
            <w:tcW w:w="1900" w:type="dxa"/>
            <w:tcBorders>
              <w:top w:val="nil"/>
              <w:left w:val="single" w:sz="8" w:space="0" w:color="auto"/>
              <w:bottom w:val="single" w:sz="8" w:space="0" w:color="auto"/>
              <w:right w:val="single" w:sz="8" w:space="0" w:color="auto"/>
            </w:tcBorders>
            <w:shd w:val="clear" w:color="000000" w:fill="FFFFFF"/>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Equipo de Comunicación y Telecomunicación </w:t>
            </w:r>
          </w:p>
        </w:tc>
        <w:tc>
          <w:tcPr>
            <w:tcW w:w="1408" w:type="dxa"/>
            <w:tcBorders>
              <w:top w:val="nil"/>
              <w:left w:val="nil"/>
              <w:bottom w:val="single" w:sz="8" w:space="0" w:color="auto"/>
              <w:right w:val="single" w:sz="8" w:space="0" w:color="auto"/>
            </w:tcBorders>
            <w:shd w:val="clear" w:color="000000" w:fill="FFFFFF"/>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10%</w:t>
            </w:r>
          </w:p>
        </w:tc>
        <w:tc>
          <w:tcPr>
            <w:tcW w:w="1550"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227,934.45  </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22,793 </w:t>
            </w:r>
          </w:p>
        </w:tc>
        <w:tc>
          <w:tcPr>
            <w:tcW w:w="1701"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151,228 </w:t>
            </w:r>
          </w:p>
        </w:tc>
        <w:tc>
          <w:tcPr>
            <w:tcW w:w="1297"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174,021 </w:t>
            </w:r>
          </w:p>
        </w:tc>
      </w:tr>
      <w:tr w:rsidR="005069FD" w:rsidRPr="005B3615" w:rsidTr="00507A88">
        <w:trPr>
          <w:trHeight w:val="1219"/>
        </w:trPr>
        <w:tc>
          <w:tcPr>
            <w:tcW w:w="1900" w:type="dxa"/>
            <w:tcBorders>
              <w:top w:val="nil"/>
              <w:left w:val="single" w:sz="8" w:space="0" w:color="auto"/>
              <w:bottom w:val="single" w:sz="8" w:space="0" w:color="auto"/>
              <w:right w:val="single" w:sz="8" w:space="0" w:color="auto"/>
            </w:tcBorders>
            <w:shd w:val="clear" w:color="000000" w:fill="FFFFFF"/>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 xml:space="preserve">Equipo de Generación Eléctrica, Aparatos y Accesorios Eléctricos  </w:t>
            </w:r>
          </w:p>
        </w:tc>
        <w:tc>
          <w:tcPr>
            <w:tcW w:w="1408" w:type="dxa"/>
            <w:tcBorders>
              <w:top w:val="nil"/>
              <w:left w:val="nil"/>
              <w:bottom w:val="single" w:sz="8" w:space="0" w:color="auto"/>
              <w:right w:val="single" w:sz="8" w:space="0" w:color="auto"/>
            </w:tcBorders>
            <w:shd w:val="clear" w:color="000000" w:fill="FFFFFF"/>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10%</w:t>
            </w:r>
          </w:p>
        </w:tc>
        <w:tc>
          <w:tcPr>
            <w:tcW w:w="1550"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35,333.60  </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3,533 </w:t>
            </w:r>
          </w:p>
        </w:tc>
        <w:tc>
          <w:tcPr>
            <w:tcW w:w="1701"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24,740 </w:t>
            </w:r>
          </w:p>
        </w:tc>
        <w:tc>
          <w:tcPr>
            <w:tcW w:w="1297"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28,273 </w:t>
            </w:r>
          </w:p>
        </w:tc>
      </w:tr>
      <w:tr w:rsidR="005069FD" w:rsidRPr="005B3615" w:rsidTr="00507A88">
        <w:trPr>
          <w:trHeight w:val="840"/>
        </w:trPr>
        <w:tc>
          <w:tcPr>
            <w:tcW w:w="1900" w:type="dxa"/>
            <w:tcBorders>
              <w:top w:val="nil"/>
              <w:left w:val="single" w:sz="8" w:space="0" w:color="auto"/>
              <w:bottom w:val="single" w:sz="8" w:space="0" w:color="auto"/>
              <w:right w:val="single" w:sz="8" w:space="0" w:color="auto"/>
            </w:tcBorders>
            <w:shd w:val="clear" w:color="000000" w:fill="FFFFFF"/>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Herramientas y Máquinas-Herramienta </w:t>
            </w:r>
          </w:p>
        </w:tc>
        <w:tc>
          <w:tcPr>
            <w:tcW w:w="1408" w:type="dxa"/>
            <w:tcBorders>
              <w:top w:val="nil"/>
              <w:left w:val="nil"/>
              <w:bottom w:val="single" w:sz="8" w:space="0" w:color="auto"/>
              <w:right w:val="single" w:sz="8" w:space="0" w:color="auto"/>
            </w:tcBorders>
            <w:shd w:val="clear" w:color="000000" w:fill="FFFFFF"/>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10%</w:t>
            </w:r>
          </w:p>
        </w:tc>
        <w:tc>
          <w:tcPr>
            <w:tcW w:w="1550"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1,495,986.98  </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19,063 </w:t>
            </w:r>
          </w:p>
        </w:tc>
        <w:tc>
          <w:tcPr>
            <w:tcW w:w="1701"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1,407,101 </w:t>
            </w:r>
          </w:p>
        </w:tc>
        <w:tc>
          <w:tcPr>
            <w:tcW w:w="1297"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1,426,164 </w:t>
            </w:r>
          </w:p>
        </w:tc>
      </w:tr>
      <w:tr w:rsidR="005069FD" w:rsidRPr="005B3615" w:rsidTr="00507A88">
        <w:trPr>
          <w:trHeight w:val="783"/>
        </w:trPr>
        <w:tc>
          <w:tcPr>
            <w:tcW w:w="1900" w:type="dxa"/>
            <w:tcBorders>
              <w:top w:val="nil"/>
              <w:left w:val="single" w:sz="8" w:space="0" w:color="auto"/>
              <w:bottom w:val="single" w:sz="8" w:space="0" w:color="auto"/>
              <w:right w:val="single" w:sz="8" w:space="0" w:color="auto"/>
            </w:tcBorders>
            <w:shd w:val="clear" w:color="000000" w:fill="FFFFFF"/>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Otros Equipos 09 </w:t>
            </w:r>
          </w:p>
        </w:tc>
        <w:tc>
          <w:tcPr>
            <w:tcW w:w="1408" w:type="dxa"/>
            <w:tcBorders>
              <w:top w:val="nil"/>
              <w:left w:val="nil"/>
              <w:bottom w:val="single" w:sz="8" w:space="0" w:color="auto"/>
              <w:right w:val="single" w:sz="8" w:space="0" w:color="auto"/>
            </w:tcBorders>
            <w:shd w:val="clear" w:color="000000" w:fill="FFFFFF"/>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10%</w:t>
            </w:r>
          </w:p>
        </w:tc>
        <w:tc>
          <w:tcPr>
            <w:tcW w:w="1550"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1,458,643.08  </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135,430 </w:t>
            </w:r>
          </w:p>
        </w:tc>
        <w:tc>
          <w:tcPr>
            <w:tcW w:w="1701"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1,058,391 </w:t>
            </w:r>
          </w:p>
        </w:tc>
        <w:tc>
          <w:tcPr>
            <w:tcW w:w="1297"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1,193,821 </w:t>
            </w:r>
          </w:p>
        </w:tc>
      </w:tr>
      <w:tr w:rsidR="005069FD" w:rsidRPr="005B3615" w:rsidTr="00507A88">
        <w:trPr>
          <w:trHeight w:val="527"/>
        </w:trPr>
        <w:tc>
          <w:tcPr>
            <w:tcW w:w="1900" w:type="dxa"/>
            <w:tcBorders>
              <w:top w:val="nil"/>
              <w:left w:val="single" w:sz="8" w:space="0" w:color="auto"/>
              <w:bottom w:val="single" w:sz="8" w:space="0" w:color="auto"/>
              <w:right w:val="single" w:sz="8" w:space="0" w:color="auto"/>
            </w:tcBorders>
            <w:shd w:val="clear" w:color="000000" w:fill="FFFFFF"/>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lastRenderedPageBreak/>
              <w:t>Otros Equipos 10 </w:t>
            </w:r>
          </w:p>
        </w:tc>
        <w:tc>
          <w:tcPr>
            <w:tcW w:w="1408" w:type="dxa"/>
            <w:tcBorders>
              <w:top w:val="nil"/>
              <w:left w:val="nil"/>
              <w:bottom w:val="single" w:sz="8" w:space="0" w:color="auto"/>
              <w:right w:val="single" w:sz="8" w:space="0" w:color="auto"/>
            </w:tcBorders>
            <w:shd w:val="clear" w:color="000000" w:fill="FFFFFF"/>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 </w:t>
            </w:r>
          </w:p>
        </w:tc>
        <w:tc>
          <w:tcPr>
            <w:tcW w:w="1550"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88,995.08  </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17,968 </w:t>
            </w:r>
          </w:p>
        </w:tc>
        <w:tc>
          <w:tcPr>
            <w:tcW w:w="1701"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117,099 </w:t>
            </w:r>
          </w:p>
        </w:tc>
        <w:tc>
          <w:tcPr>
            <w:tcW w:w="1297"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135,067 </w:t>
            </w:r>
          </w:p>
        </w:tc>
      </w:tr>
      <w:tr w:rsidR="005069FD" w:rsidRPr="005B3615" w:rsidTr="00507A88">
        <w:trPr>
          <w:trHeight w:val="301"/>
        </w:trPr>
        <w:tc>
          <w:tcPr>
            <w:tcW w:w="1900" w:type="dxa"/>
            <w:vMerge w:val="restart"/>
            <w:tcBorders>
              <w:top w:val="nil"/>
              <w:left w:val="single" w:sz="8" w:space="0" w:color="auto"/>
              <w:bottom w:val="single" w:sz="8" w:space="0" w:color="000000"/>
              <w:right w:val="single" w:sz="8" w:space="0" w:color="auto"/>
            </w:tcBorders>
            <w:shd w:val="clear" w:color="auto" w:fill="AB0033"/>
            <w:vAlign w:val="center"/>
            <w:hideMark/>
          </w:tcPr>
          <w:p w:rsidR="005069FD" w:rsidRPr="005B3615" w:rsidRDefault="005069FD" w:rsidP="00C07EAF">
            <w:pPr>
              <w:spacing w:after="0"/>
              <w:rPr>
                <w:rFonts w:eastAsia="Times New Roman"/>
                <w:b/>
                <w:bCs/>
                <w:color w:val="FFFFFF"/>
                <w:sz w:val="20"/>
                <w:szCs w:val="20"/>
                <w:lang w:eastAsia="es-MX"/>
              </w:rPr>
            </w:pPr>
            <w:r w:rsidRPr="005B3615">
              <w:rPr>
                <w:rFonts w:eastAsia="Times New Roman"/>
                <w:b/>
                <w:bCs/>
                <w:color w:val="FFFFFF"/>
                <w:sz w:val="20"/>
                <w:szCs w:val="20"/>
                <w:lang w:eastAsia="es-MX"/>
              </w:rPr>
              <w:t>Total de Bienes Muebles </w:t>
            </w:r>
          </w:p>
        </w:tc>
        <w:tc>
          <w:tcPr>
            <w:tcW w:w="1408" w:type="dxa"/>
            <w:vMerge w:val="restart"/>
            <w:tcBorders>
              <w:top w:val="nil"/>
              <w:left w:val="single" w:sz="8" w:space="0" w:color="auto"/>
              <w:bottom w:val="single" w:sz="8" w:space="0" w:color="000000"/>
              <w:right w:val="single" w:sz="8" w:space="0" w:color="auto"/>
            </w:tcBorders>
            <w:shd w:val="clear" w:color="auto" w:fill="AB0033"/>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 </w:t>
            </w:r>
          </w:p>
        </w:tc>
        <w:tc>
          <w:tcPr>
            <w:tcW w:w="1550" w:type="dxa"/>
            <w:tcBorders>
              <w:top w:val="nil"/>
              <w:left w:val="nil"/>
              <w:bottom w:val="nil"/>
              <w:right w:val="nil"/>
            </w:tcBorders>
            <w:shd w:val="clear" w:color="auto" w:fill="AB0033"/>
            <w:vAlign w:val="center"/>
            <w:hideMark/>
          </w:tcPr>
          <w:p w:rsidR="005069FD" w:rsidRPr="005B3615" w:rsidRDefault="005069FD" w:rsidP="00C07EAF">
            <w:pPr>
              <w:spacing w:after="0"/>
              <w:jc w:val="right"/>
              <w:rPr>
                <w:rFonts w:eastAsia="Times New Roman"/>
                <w:b/>
                <w:bCs/>
                <w:color w:val="FFFFFF"/>
                <w:sz w:val="20"/>
                <w:szCs w:val="20"/>
                <w:lang w:eastAsia="es-MX"/>
              </w:rPr>
            </w:pPr>
            <w:r w:rsidRPr="005B3615">
              <w:rPr>
                <w:rFonts w:eastAsia="Times New Roman"/>
                <w:b/>
                <w:bCs/>
                <w:color w:val="FFFFFF"/>
                <w:sz w:val="20"/>
                <w:szCs w:val="20"/>
                <w:lang w:eastAsia="es-MX"/>
              </w:rPr>
              <w:t> </w:t>
            </w:r>
          </w:p>
        </w:tc>
        <w:tc>
          <w:tcPr>
            <w:tcW w:w="1536" w:type="dxa"/>
            <w:vMerge w:val="restart"/>
            <w:tcBorders>
              <w:top w:val="nil"/>
              <w:left w:val="single" w:sz="8" w:space="0" w:color="auto"/>
              <w:bottom w:val="single" w:sz="8" w:space="0" w:color="000000"/>
              <w:right w:val="single" w:sz="8" w:space="0" w:color="auto"/>
            </w:tcBorders>
            <w:shd w:val="clear" w:color="auto" w:fill="AB0033"/>
            <w:vAlign w:val="center"/>
            <w:hideMark/>
          </w:tcPr>
          <w:p w:rsidR="005069FD" w:rsidRDefault="005069FD" w:rsidP="00C07EAF">
            <w:pPr>
              <w:spacing w:after="0"/>
              <w:jc w:val="right"/>
              <w:rPr>
                <w:rFonts w:eastAsia="Times New Roman"/>
                <w:b/>
                <w:bCs/>
                <w:color w:val="FFFFFF"/>
                <w:sz w:val="20"/>
                <w:szCs w:val="20"/>
                <w:lang w:eastAsia="es-MX"/>
              </w:rPr>
            </w:pPr>
          </w:p>
          <w:p w:rsidR="005069FD" w:rsidRDefault="005069FD" w:rsidP="00C07EAF">
            <w:pPr>
              <w:spacing w:after="0"/>
              <w:jc w:val="right"/>
              <w:rPr>
                <w:rFonts w:eastAsia="Times New Roman"/>
                <w:b/>
                <w:bCs/>
                <w:color w:val="FFFFFF"/>
                <w:sz w:val="20"/>
                <w:szCs w:val="20"/>
                <w:lang w:eastAsia="es-MX"/>
              </w:rPr>
            </w:pPr>
          </w:p>
          <w:p w:rsidR="005069FD" w:rsidRPr="005B3615" w:rsidRDefault="005069FD" w:rsidP="00C07EAF">
            <w:pPr>
              <w:spacing w:after="0"/>
              <w:jc w:val="right"/>
              <w:rPr>
                <w:rFonts w:eastAsia="Times New Roman"/>
                <w:b/>
                <w:bCs/>
                <w:color w:val="FFFFFF"/>
                <w:sz w:val="20"/>
                <w:szCs w:val="20"/>
                <w:lang w:eastAsia="es-MX"/>
              </w:rPr>
            </w:pPr>
            <w:r w:rsidRPr="005B3615">
              <w:rPr>
                <w:rFonts w:eastAsia="Times New Roman"/>
                <w:b/>
                <w:bCs/>
                <w:color w:val="FFFFFF"/>
                <w:sz w:val="20"/>
                <w:szCs w:val="20"/>
                <w:lang w:eastAsia="es-MX"/>
              </w:rPr>
              <w:t xml:space="preserve">     3,824,066 </w:t>
            </w:r>
          </w:p>
        </w:tc>
        <w:tc>
          <w:tcPr>
            <w:tcW w:w="1701" w:type="dxa"/>
            <w:tcBorders>
              <w:top w:val="nil"/>
              <w:left w:val="nil"/>
              <w:bottom w:val="nil"/>
              <w:right w:val="single" w:sz="8" w:space="0" w:color="auto"/>
            </w:tcBorders>
            <w:shd w:val="clear" w:color="auto" w:fill="AB0033"/>
            <w:vAlign w:val="center"/>
            <w:hideMark/>
          </w:tcPr>
          <w:p w:rsidR="005069FD" w:rsidRPr="005B3615" w:rsidRDefault="005069FD" w:rsidP="00C07EAF">
            <w:pPr>
              <w:spacing w:after="0"/>
              <w:jc w:val="right"/>
              <w:rPr>
                <w:rFonts w:eastAsia="Times New Roman"/>
                <w:b/>
                <w:bCs/>
                <w:color w:val="FFFFFF"/>
                <w:sz w:val="20"/>
                <w:szCs w:val="20"/>
                <w:lang w:eastAsia="es-MX"/>
              </w:rPr>
            </w:pPr>
            <w:r w:rsidRPr="005B3615">
              <w:rPr>
                <w:rFonts w:eastAsia="Times New Roman"/>
                <w:b/>
                <w:bCs/>
                <w:color w:val="FFFFFF"/>
                <w:sz w:val="20"/>
                <w:szCs w:val="20"/>
                <w:lang w:eastAsia="es-MX"/>
              </w:rPr>
              <w:t> </w:t>
            </w:r>
          </w:p>
        </w:tc>
        <w:tc>
          <w:tcPr>
            <w:tcW w:w="1297" w:type="dxa"/>
            <w:tcBorders>
              <w:top w:val="nil"/>
              <w:left w:val="nil"/>
              <w:bottom w:val="nil"/>
              <w:right w:val="single" w:sz="8" w:space="0" w:color="auto"/>
            </w:tcBorders>
            <w:shd w:val="clear" w:color="auto" w:fill="AB0033"/>
            <w:vAlign w:val="center"/>
            <w:hideMark/>
          </w:tcPr>
          <w:p w:rsidR="005069FD" w:rsidRPr="005B3615" w:rsidRDefault="005069FD" w:rsidP="00C07EAF">
            <w:pPr>
              <w:spacing w:after="0"/>
              <w:jc w:val="right"/>
              <w:rPr>
                <w:rFonts w:eastAsia="Times New Roman"/>
                <w:b/>
                <w:bCs/>
                <w:color w:val="FFFFFF"/>
                <w:sz w:val="20"/>
                <w:szCs w:val="20"/>
                <w:lang w:eastAsia="es-MX"/>
              </w:rPr>
            </w:pPr>
            <w:r w:rsidRPr="005B3615">
              <w:rPr>
                <w:rFonts w:eastAsia="Times New Roman"/>
                <w:b/>
                <w:bCs/>
                <w:color w:val="FFFFFF"/>
                <w:sz w:val="20"/>
                <w:szCs w:val="20"/>
                <w:lang w:eastAsia="es-MX"/>
              </w:rPr>
              <w:t> </w:t>
            </w:r>
          </w:p>
        </w:tc>
      </w:tr>
      <w:tr w:rsidR="005069FD" w:rsidRPr="005B3615" w:rsidTr="00507A88">
        <w:trPr>
          <w:trHeight w:val="577"/>
        </w:trPr>
        <w:tc>
          <w:tcPr>
            <w:tcW w:w="1900" w:type="dxa"/>
            <w:vMerge/>
            <w:tcBorders>
              <w:top w:val="nil"/>
              <w:left w:val="single" w:sz="8" w:space="0" w:color="auto"/>
              <w:bottom w:val="single" w:sz="8" w:space="0" w:color="000000"/>
              <w:right w:val="single" w:sz="8" w:space="0" w:color="auto"/>
            </w:tcBorders>
            <w:shd w:val="clear" w:color="auto" w:fill="AB0033"/>
            <w:vAlign w:val="center"/>
            <w:hideMark/>
          </w:tcPr>
          <w:p w:rsidR="005069FD" w:rsidRPr="005B3615" w:rsidRDefault="005069FD" w:rsidP="00C07EAF">
            <w:pPr>
              <w:spacing w:after="0"/>
              <w:rPr>
                <w:rFonts w:eastAsia="Times New Roman"/>
                <w:b/>
                <w:bCs/>
                <w:color w:val="FFFFFF"/>
                <w:sz w:val="20"/>
                <w:szCs w:val="20"/>
                <w:lang w:eastAsia="es-MX"/>
              </w:rPr>
            </w:pPr>
          </w:p>
        </w:tc>
        <w:tc>
          <w:tcPr>
            <w:tcW w:w="1408" w:type="dxa"/>
            <w:vMerge/>
            <w:tcBorders>
              <w:top w:val="nil"/>
              <w:left w:val="single" w:sz="8" w:space="0" w:color="auto"/>
              <w:bottom w:val="single" w:sz="8" w:space="0" w:color="000000"/>
              <w:right w:val="single" w:sz="8" w:space="0" w:color="auto"/>
            </w:tcBorders>
            <w:shd w:val="clear" w:color="auto" w:fill="AB0033"/>
            <w:vAlign w:val="center"/>
            <w:hideMark/>
          </w:tcPr>
          <w:p w:rsidR="005069FD" w:rsidRPr="005B3615" w:rsidRDefault="005069FD" w:rsidP="00C07EAF">
            <w:pPr>
              <w:spacing w:after="0"/>
              <w:rPr>
                <w:rFonts w:eastAsia="Times New Roman"/>
                <w:color w:val="000000"/>
                <w:sz w:val="20"/>
                <w:szCs w:val="20"/>
                <w:lang w:eastAsia="es-MX"/>
              </w:rPr>
            </w:pPr>
          </w:p>
        </w:tc>
        <w:tc>
          <w:tcPr>
            <w:tcW w:w="1550" w:type="dxa"/>
            <w:tcBorders>
              <w:top w:val="nil"/>
              <w:left w:val="nil"/>
              <w:bottom w:val="single" w:sz="8" w:space="0" w:color="auto"/>
              <w:right w:val="nil"/>
            </w:tcBorders>
            <w:shd w:val="clear" w:color="auto" w:fill="AB0033"/>
            <w:vAlign w:val="center"/>
            <w:hideMark/>
          </w:tcPr>
          <w:p w:rsidR="005069FD" w:rsidRDefault="005069FD" w:rsidP="00C07EAF">
            <w:pPr>
              <w:spacing w:after="0"/>
              <w:jc w:val="right"/>
              <w:rPr>
                <w:rFonts w:eastAsia="Times New Roman"/>
                <w:b/>
                <w:bCs/>
                <w:color w:val="FFFFFF"/>
                <w:sz w:val="20"/>
                <w:szCs w:val="20"/>
                <w:lang w:eastAsia="es-MX"/>
              </w:rPr>
            </w:pPr>
            <w:r w:rsidRPr="005B3615">
              <w:rPr>
                <w:rFonts w:eastAsia="Times New Roman"/>
                <w:b/>
                <w:bCs/>
                <w:color w:val="FFFFFF"/>
                <w:sz w:val="20"/>
                <w:szCs w:val="20"/>
                <w:lang w:eastAsia="es-MX"/>
              </w:rPr>
              <w:t xml:space="preserve">     </w:t>
            </w:r>
          </w:p>
          <w:p w:rsidR="005069FD" w:rsidRPr="005B3615" w:rsidRDefault="005069FD" w:rsidP="00C07EAF">
            <w:pPr>
              <w:spacing w:after="0"/>
              <w:jc w:val="right"/>
              <w:rPr>
                <w:rFonts w:eastAsia="Times New Roman"/>
                <w:b/>
                <w:bCs/>
                <w:color w:val="FFFFFF"/>
                <w:sz w:val="20"/>
                <w:szCs w:val="20"/>
                <w:lang w:eastAsia="es-MX"/>
              </w:rPr>
            </w:pPr>
            <w:r w:rsidRPr="005B3615">
              <w:rPr>
                <w:rFonts w:eastAsia="Times New Roman"/>
                <w:b/>
                <w:bCs/>
                <w:color w:val="FFFFFF"/>
                <w:sz w:val="20"/>
                <w:szCs w:val="20"/>
                <w:lang w:eastAsia="es-MX"/>
              </w:rPr>
              <w:t xml:space="preserve">  44,991,779 </w:t>
            </w:r>
          </w:p>
        </w:tc>
        <w:tc>
          <w:tcPr>
            <w:tcW w:w="1536" w:type="dxa"/>
            <w:vMerge/>
            <w:tcBorders>
              <w:top w:val="nil"/>
              <w:left w:val="single" w:sz="8" w:space="0" w:color="auto"/>
              <w:bottom w:val="single" w:sz="8" w:space="0" w:color="000000"/>
              <w:right w:val="single" w:sz="8" w:space="0" w:color="auto"/>
            </w:tcBorders>
            <w:shd w:val="clear" w:color="auto" w:fill="AB0033"/>
            <w:vAlign w:val="center"/>
            <w:hideMark/>
          </w:tcPr>
          <w:p w:rsidR="005069FD" w:rsidRPr="005B3615" w:rsidRDefault="005069FD" w:rsidP="00C07EAF">
            <w:pPr>
              <w:spacing w:after="0"/>
              <w:rPr>
                <w:rFonts w:eastAsia="Times New Roman"/>
                <w:b/>
                <w:bCs/>
                <w:color w:val="FFFFFF"/>
                <w:sz w:val="20"/>
                <w:szCs w:val="20"/>
                <w:lang w:eastAsia="es-MX"/>
              </w:rPr>
            </w:pPr>
          </w:p>
        </w:tc>
        <w:tc>
          <w:tcPr>
            <w:tcW w:w="1701" w:type="dxa"/>
            <w:tcBorders>
              <w:top w:val="nil"/>
              <w:left w:val="nil"/>
              <w:bottom w:val="single" w:sz="8" w:space="0" w:color="auto"/>
              <w:right w:val="single" w:sz="8" w:space="0" w:color="auto"/>
            </w:tcBorders>
            <w:shd w:val="clear" w:color="auto" w:fill="AB0033"/>
            <w:vAlign w:val="center"/>
            <w:hideMark/>
          </w:tcPr>
          <w:p w:rsidR="005069FD" w:rsidRPr="005B3615" w:rsidRDefault="005069FD" w:rsidP="00C07EAF">
            <w:pPr>
              <w:spacing w:after="0"/>
              <w:jc w:val="right"/>
              <w:rPr>
                <w:rFonts w:eastAsia="Times New Roman"/>
                <w:b/>
                <w:bCs/>
                <w:color w:val="FFFFFF"/>
                <w:sz w:val="20"/>
                <w:szCs w:val="20"/>
                <w:lang w:eastAsia="es-MX"/>
              </w:rPr>
            </w:pPr>
            <w:r w:rsidRPr="005B3615">
              <w:rPr>
                <w:rFonts w:eastAsia="Times New Roman"/>
                <w:b/>
                <w:bCs/>
                <w:color w:val="FFFFFF"/>
                <w:sz w:val="20"/>
                <w:szCs w:val="20"/>
                <w:lang w:eastAsia="es-MX"/>
              </w:rPr>
              <w:t xml:space="preserve">             36,020,386 </w:t>
            </w:r>
          </w:p>
        </w:tc>
        <w:tc>
          <w:tcPr>
            <w:tcW w:w="1297" w:type="dxa"/>
            <w:tcBorders>
              <w:top w:val="nil"/>
              <w:left w:val="nil"/>
              <w:bottom w:val="single" w:sz="8" w:space="0" w:color="auto"/>
              <w:right w:val="single" w:sz="8" w:space="0" w:color="auto"/>
            </w:tcBorders>
            <w:shd w:val="clear" w:color="auto" w:fill="AB0033"/>
            <w:vAlign w:val="center"/>
            <w:hideMark/>
          </w:tcPr>
          <w:p w:rsidR="005069FD" w:rsidRDefault="005069FD" w:rsidP="00C07EAF">
            <w:pPr>
              <w:spacing w:after="0"/>
              <w:jc w:val="right"/>
              <w:rPr>
                <w:rFonts w:eastAsia="Times New Roman"/>
                <w:b/>
                <w:bCs/>
                <w:color w:val="FFFFFF"/>
                <w:sz w:val="20"/>
                <w:szCs w:val="20"/>
                <w:lang w:eastAsia="es-MX"/>
              </w:rPr>
            </w:pPr>
            <w:r w:rsidRPr="005B3615">
              <w:rPr>
                <w:rFonts w:eastAsia="Times New Roman"/>
                <w:b/>
                <w:bCs/>
                <w:color w:val="FFFFFF"/>
                <w:sz w:val="20"/>
                <w:szCs w:val="20"/>
                <w:lang w:eastAsia="es-MX"/>
              </w:rPr>
              <w:t xml:space="preserve">         </w:t>
            </w:r>
          </w:p>
          <w:p w:rsidR="005069FD" w:rsidRPr="005B3615" w:rsidRDefault="005069FD" w:rsidP="00C07EAF">
            <w:pPr>
              <w:spacing w:after="0"/>
              <w:jc w:val="right"/>
              <w:rPr>
                <w:rFonts w:eastAsia="Times New Roman"/>
                <w:b/>
                <w:bCs/>
                <w:color w:val="FFFFFF"/>
                <w:sz w:val="20"/>
                <w:szCs w:val="20"/>
                <w:lang w:eastAsia="es-MX"/>
              </w:rPr>
            </w:pPr>
            <w:r w:rsidRPr="005B3615">
              <w:rPr>
                <w:rFonts w:eastAsia="Times New Roman"/>
                <w:b/>
                <w:bCs/>
                <w:color w:val="FFFFFF"/>
                <w:sz w:val="20"/>
                <w:szCs w:val="20"/>
                <w:lang w:eastAsia="es-MX"/>
              </w:rPr>
              <w:t xml:space="preserve"> 39,844,452 </w:t>
            </w:r>
          </w:p>
        </w:tc>
      </w:tr>
    </w:tbl>
    <w:p w:rsidR="005069FD" w:rsidRDefault="005069FD" w:rsidP="005069FD">
      <w:pPr>
        <w:pStyle w:val="INCISO"/>
        <w:tabs>
          <w:tab w:val="left" w:pos="284"/>
        </w:tabs>
        <w:spacing w:after="0" w:line="240" w:lineRule="exact"/>
        <w:ind w:left="0" w:firstLine="0"/>
        <w:rPr>
          <w:rFonts w:asciiTheme="minorHAnsi" w:hAnsiTheme="minorHAnsi"/>
          <w:sz w:val="20"/>
          <w:szCs w:val="20"/>
        </w:rPr>
      </w:pPr>
    </w:p>
    <w:p w:rsidR="002E4038" w:rsidRDefault="002E4038" w:rsidP="005069FD">
      <w:pPr>
        <w:pStyle w:val="INCISO"/>
        <w:tabs>
          <w:tab w:val="left" w:pos="284"/>
        </w:tabs>
        <w:spacing w:after="0" w:line="240" w:lineRule="exact"/>
        <w:ind w:left="0" w:firstLine="0"/>
        <w:rPr>
          <w:rFonts w:asciiTheme="minorHAnsi" w:hAnsiTheme="minorHAnsi"/>
          <w:sz w:val="20"/>
          <w:szCs w:val="20"/>
        </w:rPr>
      </w:pPr>
    </w:p>
    <w:tbl>
      <w:tblPr>
        <w:tblW w:w="9428" w:type="dxa"/>
        <w:tblInd w:w="55" w:type="dxa"/>
        <w:tblCellMar>
          <w:left w:w="70" w:type="dxa"/>
          <w:right w:w="70" w:type="dxa"/>
        </w:tblCellMar>
        <w:tblLook w:val="04A0" w:firstRow="1" w:lastRow="0" w:firstColumn="1" w:lastColumn="0" w:noHBand="0" w:noVBand="1"/>
      </w:tblPr>
      <w:tblGrid>
        <w:gridCol w:w="1379"/>
        <w:gridCol w:w="1406"/>
        <w:gridCol w:w="1579"/>
        <w:gridCol w:w="1406"/>
        <w:gridCol w:w="1896"/>
        <w:gridCol w:w="1762"/>
      </w:tblGrid>
      <w:tr w:rsidR="005069FD" w:rsidRPr="005B3615" w:rsidTr="00C07EAF">
        <w:trPr>
          <w:trHeight w:val="528"/>
        </w:trPr>
        <w:tc>
          <w:tcPr>
            <w:tcW w:w="1379" w:type="dxa"/>
            <w:tcBorders>
              <w:top w:val="nil"/>
              <w:left w:val="single" w:sz="8" w:space="0" w:color="auto"/>
              <w:bottom w:val="single" w:sz="8" w:space="0" w:color="auto"/>
              <w:right w:val="single" w:sz="8" w:space="0" w:color="auto"/>
            </w:tcBorders>
            <w:shd w:val="clear" w:color="000000" w:fill="D9D9D9"/>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Activos Intangibles </w:t>
            </w:r>
          </w:p>
        </w:tc>
        <w:tc>
          <w:tcPr>
            <w:tcW w:w="1406" w:type="dxa"/>
            <w:tcBorders>
              <w:top w:val="nil"/>
              <w:left w:val="nil"/>
              <w:bottom w:val="single" w:sz="8" w:space="0" w:color="auto"/>
              <w:right w:val="single" w:sz="8" w:space="0" w:color="auto"/>
            </w:tcBorders>
            <w:shd w:val="clear" w:color="000000" w:fill="D9D9D9"/>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 Amortización</w:t>
            </w:r>
          </w:p>
        </w:tc>
        <w:tc>
          <w:tcPr>
            <w:tcW w:w="1579" w:type="dxa"/>
            <w:tcBorders>
              <w:top w:val="nil"/>
              <w:left w:val="nil"/>
              <w:bottom w:val="single" w:sz="8" w:space="0" w:color="auto"/>
              <w:right w:val="nil"/>
            </w:tcBorders>
            <w:shd w:val="clear" w:color="000000" w:fill="D9D9D9"/>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Importe del Bien</w:t>
            </w:r>
          </w:p>
        </w:tc>
        <w:tc>
          <w:tcPr>
            <w:tcW w:w="1406" w:type="dxa"/>
            <w:tcBorders>
              <w:top w:val="nil"/>
              <w:left w:val="single" w:sz="8" w:space="0" w:color="auto"/>
              <w:bottom w:val="single" w:sz="8" w:space="0" w:color="auto"/>
              <w:right w:val="single" w:sz="8" w:space="0" w:color="auto"/>
            </w:tcBorders>
            <w:shd w:val="clear" w:color="000000" w:fill="D9D9D9"/>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Amortización 2022 </w:t>
            </w:r>
          </w:p>
        </w:tc>
        <w:tc>
          <w:tcPr>
            <w:tcW w:w="1896" w:type="dxa"/>
            <w:tcBorders>
              <w:top w:val="nil"/>
              <w:left w:val="nil"/>
              <w:bottom w:val="single" w:sz="8" w:space="0" w:color="auto"/>
              <w:right w:val="single" w:sz="8" w:space="0" w:color="auto"/>
            </w:tcBorders>
            <w:shd w:val="clear" w:color="000000" w:fill="D9D9D9"/>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Amortización acumulada 2022 </w:t>
            </w:r>
          </w:p>
        </w:tc>
        <w:tc>
          <w:tcPr>
            <w:tcW w:w="1762" w:type="dxa"/>
            <w:tcBorders>
              <w:top w:val="nil"/>
              <w:left w:val="nil"/>
              <w:bottom w:val="single" w:sz="8" w:space="0" w:color="auto"/>
              <w:right w:val="single" w:sz="8" w:space="0" w:color="auto"/>
            </w:tcBorders>
            <w:shd w:val="clear" w:color="000000" w:fill="D9D9D9"/>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Total Amortización </w:t>
            </w:r>
          </w:p>
        </w:tc>
      </w:tr>
      <w:tr w:rsidR="005069FD" w:rsidRPr="005B3615" w:rsidTr="00C07EAF">
        <w:trPr>
          <w:trHeight w:val="317"/>
        </w:trPr>
        <w:tc>
          <w:tcPr>
            <w:tcW w:w="1379" w:type="dxa"/>
            <w:tcBorders>
              <w:top w:val="nil"/>
              <w:left w:val="single" w:sz="8" w:space="0" w:color="auto"/>
              <w:bottom w:val="single" w:sz="8" w:space="0" w:color="auto"/>
              <w:right w:val="single" w:sz="8" w:space="0" w:color="auto"/>
            </w:tcBorders>
            <w:shd w:val="clear" w:color="000000" w:fill="FFFFFF"/>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Software </w:t>
            </w:r>
          </w:p>
        </w:tc>
        <w:tc>
          <w:tcPr>
            <w:tcW w:w="1406" w:type="dxa"/>
            <w:tcBorders>
              <w:top w:val="nil"/>
              <w:left w:val="nil"/>
              <w:bottom w:val="single" w:sz="8" w:space="0" w:color="auto"/>
              <w:right w:val="single" w:sz="8" w:space="0" w:color="auto"/>
            </w:tcBorders>
            <w:shd w:val="clear" w:color="000000" w:fill="FFFFFF"/>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15%</w:t>
            </w:r>
          </w:p>
        </w:tc>
        <w:tc>
          <w:tcPr>
            <w:tcW w:w="1579"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102,167.43  </w:t>
            </w:r>
          </w:p>
        </w:tc>
        <w:tc>
          <w:tcPr>
            <w:tcW w:w="140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8,683 </w:t>
            </w:r>
          </w:p>
        </w:tc>
        <w:tc>
          <w:tcPr>
            <w:tcW w:w="1896"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57,586 </w:t>
            </w:r>
          </w:p>
        </w:tc>
        <w:tc>
          <w:tcPr>
            <w:tcW w:w="1762"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66,269 </w:t>
            </w:r>
          </w:p>
        </w:tc>
      </w:tr>
      <w:tr w:rsidR="005069FD" w:rsidRPr="005B3615" w:rsidTr="00C07EAF">
        <w:trPr>
          <w:trHeight w:val="317"/>
        </w:trPr>
        <w:tc>
          <w:tcPr>
            <w:tcW w:w="1379" w:type="dxa"/>
            <w:tcBorders>
              <w:top w:val="nil"/>
              <w:left w:val="single" w:sz="8" w:space="0" w:color="auto"/>
              <w:bottom w:val="single" w:sz="8" w:space="0" w:color="auto"/>
              <w:right w:val="single" w:sz="8" w:space="0" w:color="auto"/>
            </w:tcBorders>
            <w:shd w:val="clear" w:color="000000" w:fill="FFFFFF"/>
            <w:vAlign w:val="center"/>
            <w:hideMark/>
          </w:tcPr>
          <w:p w:rsidR="005069FD" w:rsidRPr="005B3615" w:rsidRDefault="005069FD" w:rsidP="00C07EAF">
            <w:pPr>
              <w:spacing w:after="0"/>
              <w:rPr>
                <w:rFonts w:eastAsia="Times New Roman"/>
                <w:color w:val="000000"/>
                <w:sz w:val="20"/>
                <w:szCs w:val="20"/>
                <w:lang w:eastAsia="es-MX"/>
              </w:rPr>
            </w:pPr>
            <w:r w:rsidRPr="005B3615">
              <w:rPr>
                <w:rFonts w:eastAsia="Times New Roman"/>
                <w:color w:val="000000"/>
                <w:sz w:val="20"/>
                <w:szCs w:val="20"/>
                <w:lang w:eastAsia="es-MX"/>
              </w:rPr>
              <w:t>Licencias </w:t>
            </w:r>
          </w:p>
        </w:tc>
        <w:tc>
          <w:tcPr>
            <w:tcW w:w="1406" w:type="dxa"/>
            <w:tcBorders>
              <w:top w:val="nil"/>
              <w:left w:val="nil"/>
              <w:bottom w:val="single" w:sz="8" w:space="0" w:color="auto"/>
              <w:right w:val="single" w:sz="8" w:space="0" w:color="auto"/>
            </w:tcBorders>
            <w:shd w:val="clear" w:color="000000" w:fill="FFFFFF"/>
            <w:vAlign w:val="center"/>
            <w:hideMark/>
          </w:tcPr>
          <w:p w:rsidR="005069FD" w:rsidRPr="005B3615" w:rsidRDefault="005069FD" w:rsidP="00C07EAF">
            <w:pPr>
              <w:spacing w:after="0"/>
              <w:jc w:val="center"/>
              <w:rPr>
                <w:rFonts w:eastAsia="Times New Roman"/>
                <w:color w:val="000000"/>
                <w:sz w:val="20"/>
                <w:szCs w:val="20"/>
                <w:lang w:eastAsia="es-MX"/>
              </w:rPr>
            </w:pPr>
            <w:r w:rsidRPr="005B3615">
              <w:rPr>
                <w:rFonts w:eastAsia="Times New Roman"/>
                <w:color w:val="000000"/>
                <w:sz w:val="20"/>
                <w:szCs w:val="20"/>
                <w:lang w:eastAsia="es-MX"/>
              </w:rPr>
              <w:t>15%</w:t>
            </w:r>
          </w:p>
        </w:tc>
        <w:tc>
          <w:tcPr>
            <w:tcW w:w="1579" w:type="dxa"/>
            <w:tcBorders>
              <w:top w:val="nil"/>
              <w:left w:val="nil"/>
              <w:bottom w:val="single" w:sz="8" w:space="0" w:color="auto"/>
              <w:right w:val="nil"/>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279,209.68  </w:t>
            </w:r>
          </w:p>
        </w:tc>
        <w:tc>
          <w:tcPr>
            <w:tcW w:w="1406" w:type="dxa"/>
            <w:tcBorders>
              <w:top w:val="nil"/>
              <w:left w:val="single" w:sz="8" w:space="0" w:color="auto"/>
              <w:bottom w:val="single" w:sz="8" w:space="0" w:color="auto"/>
              <w:right w:val="single" w:sz="8" w:space="0" w:color="auto"/>
            </w:tcBorders>
            <w:shd w:val="clear" w:color="auto" w:fill="auto"/>
            <w:noWrap/>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17,878 </w:t>
            </w:r>
          </w:p>
        </w:tc>
        <w:tc>
          <w:tcPr>
            <w:tcW w:w="1896"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249,705 </w:t>
            </w:r>
          </w:p>
        </w:tc>
        <w:tc>
          <w:tcPr>
            <w:tcW w:w="1762" w:type="dxa"/>
            <w:tcBorders>
              <w:top w:val="nil"/>
              <w:left w:val="nil"/>
              <w:bottom w:val="single" w:sz="8" w:space="0" w:color="auto"/>
              <w:right w:val="single" w:sz="8" w:space="0" w:color="auto"/>
            </w:tcBorders>
            <w:shd w:val="clear" w:color="auto" w:fill="auto"/>
            <w:vAlign w:val="center"/>
            <w:hideMark/>
          </w:tcPr>
          <w:p w:rsidR="005069FD" w:rsidRPr="005B3615" w:rsidRDefault="005069FD" w:rsidP="00C07EAF">
            <w:pPr>
              <w:spacing w:after="0"/>
              <w:jc w:val="right"/>
              <w:rPr>
                <w:rFonts w:eastAsia="Times New Roman"/>
                <w:color w:val="000000"/>
                <w:sz w:val="20"/>
                <w:szCs w:val="20"/>
                <w:lang w:eastAsia="es-MX"/>
              </w:rPr>
            </w:pPr>
            <w:r w:rsidRPr="005B3615">
              <w:rPr>
                <w:rFonts w:eastAsia="Times New Roman"/>
                <w:color w:val="000000"/>
                <w:sz w:val="20"/>
                <w:szCs w:val="20"/>
                <w:lang w:eastAsia="es-MX"/>
              </w:rPr>
              <w:t xml:space="preserve">                267,583 </w:t>
            </w:r>
          </w:p>
        </w:tc>
      </w:tr>
      <w:tr w:rsidR="005069FD" w:rsidRPr="005B3615" w:rsidTr="00C07EAF">
        <w:trPr>
          <w:trHeight w:val="528"/>
        </w:trPr>
        <w:tc>
          <w:tcPr>
            <w:tcW w:w="1379" w:type="dxa"/>
            <w:tcBorders>
              <w:top w:val="nil"/>
              <w:left w:val="single" w:sz="8" w:space="0" w:color="auto"/>
              <w:bottom w:val="single" w:sz="8" w:space="0" w:color="auto"/>
              <w:right w:val="single" w:sz="8" w:space="0" w:color="auto"/>
            </w:tcBorders>
            <w:shd w:val="clear" w:color="auto" w:fill="AB0033"/>
            <w:vAlign w:val="center"/>
            <w:hideMark/>
          </w:tcPr>
          <w:p w:rsidR="005069FD" w:rsidRPr="005B3615" w:rsidRDefault="005069FD" w:rsidP="00C07EAF">
            <w:pPr>
              <w:spacing w:after="0"/>
              <w:rPr>
                <w:rFonts w:eastAsia="Times New Roman"/>
                <w:b/>
                <w:bCs/>
                <w:color w:val="FFFFFF"/>
                <w:sz w:val="20"/>
                <w:szCs w:val="20"/>
                <w:lang w:eastAsia="es-MX"/>
              </w:rPr>
            </w:pPr>
            <w:r w:rsidRPr="005B3615">
              <w:rPr>
                <w:rFonts w:eastAsia="Times New Roman"/>
                <w:b/>
                <w:bCs/>
                <w:color w:val="FFFFFF"/>
                <w:sz w:val="20"/>
                <w:szCs w:val="20"/>
                <w:lang w:eastAsia="es-MX"/>
              </w:rPr>
              <w:t>Activos Intangibles </w:t>
            </w:r>
          </w:p>
        </w:tc>
        <w:tc>
          <w:tcPr>
            <w:tcW w:w="1406" w:type="dxa"/>
            <w:tcBorders>
              <w:top w:val="nil"/>
              <w:left w:val="nil"/>
              <w:bottom w:val="single" w:sz="8" w:space="0" w:color="auto"/>
              <w:right w:val="single" w:sz="8" w:space="0" w:color="auto"/>
            </w:tcBorders>
            <w:shd w:val="clear" w:color="auto" w:fill="AB0033"/>
            <w:vAlign w:val="center"/>
            <w:hideMark/>
          </w:tcPr>
          <w:p w:rsidR="005069FD" w:rsidRPr="005B3615" w:rsidRDefault="005069FD" w:rsidP="00C07EAF">
            <w:pPr>
              <w:spacing w:after="0"/>
              <w:rPr>
                <w:rFonts w:eastAsia="Times New Roman"/>
                <w:b/>
                <w:bCs/>
                <w:color w:val="FFFFFF"/>
                <w:sz w:val="20"/>
                <w:szCs w:val="20"/>
                <w:lang w:eastAsia="es-MX"/>
              </w:rPr>
            </w:pPr>
            <w:r w:rsidRPr="005B3615">
              <w:rPr>
                <w:rFonts w:eastAsia="Times New Roman"/>
                <w:b/>
                <w:bCs/>
                <w:color w:val="FFFFFF"/>
                <w:sz w:val="20"/>
                <w:szCs w:val="20"/>
                <w:lang w:eastAsia="es-MX"/>
              </w:rPr>
              <w:t>  </w:t>
            </w:r>
          </w:p>
        </w:tc>
        <w:tc>
          <w:tcPr>
            <w:tcW w:w="1579" w:type="dxa"/>
            <w:tcBorders>
              <w:top w:val="nil"/>
              <w:left w:val="nil"/>
              <w:bottom w:val="single" w:sz="8" w:space="0" w:color="auto"/>
              <w:right w:val="nil"/>
            </w:tcBorders>
            <w:shd w:val="clear" w:color="auto" w:fill="AB0033"/>
            <w:vAlign w:val="center"/>
            <w:hideMark/>
          </w:tcPr>
          <w:p w:rsidR="005069FD" w:rsidRPr="005B3615" w:rsidRDefault="005069FD" w:rsidP="00C07EAF">
            <w:pPr>
              <w:spacing w:after="0"/>
              <w:jc w:val="right"/>
              <w:rPr>
                <w:rFonts w:eastAsia="Times New Roman"/>
                <w:b/>
                <w:bCs/>
                <w:color w:val="FFFFFF"/>
                <w:sz w:val="20"/>
                <w:szCs w:val="20"/>
                <w:lang w:eastAsia="es-MX"/>
              </w:rPr>
            </w:pPr>
            <w:r w:rsidRPr="005B3615">
              <w:rPr>
                <w:rFonts w:eastAsia="Times New Roman"/>
                <w:b/>
                <w:bCs/>
                <w:color w:val="FFFFFF"/>
                <w:sz w:val="20"/>
                <w:szCs w:val="20"/>
                <w:lang w:eastAsia="es-MX"/>
              </w:rPr>
              <w:t xml:space="preserve">             381,377 </w:t>
            </w:r>
          </w:p>
        </w:tc>
        <w:tc>
          <w:tcPr>
            <w:tcW w:w="1406" w:type="dxa"/>
            <w:tcBorders>
              <w:top w:val="nil"/>
              <w:left w:val="single" w:sz="8" w:space="0" w:color="auto"/>
              <w:bottom w:val="single" w:sz="8" w:space="0" w:color="auto"/>
              <w:right w:val="single" w:sz="8" w:space="0" w:color="auto"/>
            </w:tcBorders>
            <w:shd w:val="clear" w:color="auto" w:fill="AB0033"/>
            <w:noWrap/>
            <w:vAlign w:val="center"/>
            <w:hideMark/>
          </w:tcPr>
          <w:p w:rsidR="005069FD" w:rsidRPr="005B3615" w:rsidRDefault="005069FD" w:rsidP="00C07EAF">
            <w:pPr>
              <w:spacing w:after="0"/>
              <w:jc w:val="right"/>
              <w:rPr>
                <w:rFonts w:eastAsia="Times New Roman"/>
                <w:b/>
                <w:bCs/>
                <w:color w:val="FFFFFF"/>
                <w:sz w:val="20"/>
                <w:szCs w:val="20"/>
                <w:lang w:eastAsia="es-MX"/>
              </w:rPr>
            </w:pPr>
            <w:r w:rsidRPr="005B3615">
              <w:rPr>
                <w:rFonts w:eastAsia="Times New Roman"/>
                <w:b/>
                <w:bCs/>
                <w:color w:val="FFFFFF"/>
                <w:sz w:val="20"/>
                <w:szCs w:val="20"/>
                <w:lang w:eastAsia="es-MX"/>
              </w:rPr>
              <w:t xml:space="preserve">           26,561 </w:t>
            </w:r>
          </w:p>
        </w:tc>
        <w:tc>
          <w:tcPr>
            <w:tcW w:w="1896" w:type="dxa"/>
            <w:tcBorders>
              <w:top w:val="nil"/>
              <w:left w:val="nil"/>
              <w:bottom w:val="single" w:sz="8" w:space="0" w:color="auto"/>
              <w:right w:val="single" w:sz="8" w:space="0" w:color="auto"/>
            </w:tcBorders>
            <w:shd w:val="clear" w:color="auto" w:fill="AB0033"/>
            <w:vAlign w:val="center"/>
            <w:hideMark/>
          </w:tcPr>
          <w:p w:rsidR="005069FD" w:rsidRPr="005B3615" w:rsidRDefault="005069FD" w:rsidP="00C07EAF">
            <w:pPr>
              <w:spacing w:after="0"/>
              <w:jc w:val="right"/>
              <w:rPr>
                <w:rFonts w:eastAsia="Times New Roman"/>
                <w:b/>
                <w:bCs/>
                <w:color w:val="FFFFFF"/>
                <w:sz w:val="20"/>
                <w:szCs w:val="20"/>
                <w:lang w:eastAsia="es-MX"/>
              </w:rPr>
            </w:pPr>
            <w:r w:rsidRPr="005B3615">
              <w:rPr>
                <w:rFonts w:eastAsia="Times New Roman"/>
                <w:b/>
                <w:bCs/>
                <w:color w:val="FFFFFF"/>
                <w:sz w:val="20"/>
                <w:szCs w:val="20"/>
                <w:lang w:eastAsia="es-MX"/>
              </w:rPr>
              <w:t xml:space="preserve">                   307,291 </w:t>
            </w:r>
          </w:p>
        </w:tc>
        <w:tc>
          <w:tcPr>
            <w:tcW w:w="1762" w:type="dxa"/>
            <w:tcBorders>
              <w:top w:val="nil"/>
              <w:left w:val="nil"/>
              <w:bottom w:val="single" w:sz="8" w:space="0" w:color="auto"/>
              <w:right w:val="single" w:sz="8" w:space="0" w:color="auto"/>
            </w:tcBorders>
            <w:shd w:val="clear" w:color="auto" w:fill="AB0033"/>
            <w:vAlign w:val="center"/>
            <w:hideMark/>
          </w:tcPr>
          <w:p w:rsidR="005069FD" w:rsidRPr="005B3615" w:rsidRDefault="005069FD" w:rsidP="00C07EAF">
            <w:pPr>
              <w:spacing w:after="0"/>
              <w:jc w:val="right"/>
              <w:rPr>
                <w:rFonts w:eastAsia="Times New Roman"/>
                <w:b/>
                <w:bCs/>
                <w:color w:val="FFFFFF"/>
                <w:sz w:val="20"/>
                <w:szCs w:val="20"/>
                <w:lang w:eastAsia="es-MX"/>
              </w:rPr>
            </w:pPr>
            <w:r w:rsidRPr="005B3615">
              <w:rPr>
                <w:rFonts w:eastAsia="Times New Roman"/>
                <w:b/>
                <w:bCs/>
                <w:color w:val="FFFFFF"/>
                <w:sz w:val="20"/>
                <w:szCs w:val="20"/>
                <w:lang w:eastAsia="es-MX"/>
              </w:rPr>
              <w:t xml:space="preserve">                333,852 </w:t>
            </w:r>
          </w:p>
        </w:tc>
      </w:tr>
    </w:tbl>
    <w:p w:rsidR="00527F14" w:rsidRDefault="00527F14" w:rsidP="005069FD">
      <w:pPr>
        <w:pStyle w:val="INCISO"/>
        <w:tabs>
          <w:tab w:val="left" w:pos="284"/>
        </w:tabs>
        <w:spacing w:after="0" w:line="240" w:lineRule="exact"/>
        <w:ind w:left="284" w:firstLine="0"/>
        <w:rPr>
          <w:rFonts w:asciiTheme="minorHAnsi" w:hAnsiTheme="minorHAnsi"/>
          <w:sz w:val="20"/>
          <w:szCs w:val="20"/>
        </w:rPr>
      </w:pPr>
    </w:p>
    <w:p w:rsidR="005069FD" w:rsidRPr="00BA4C6E" w:rsidRDefault="005069FD" w:rsidP="005069FD">
      <w:pPr>
        <w:pStyle w:val="INCISO"/>
        <w:tabs>
          <w:tab w:val="left" w:pos="284"/>
        </w:tabs>
        <w:spacing w:after="0" w:line="240" w:lineRule="exact"/>
        <w:ind w:left="284" w:firstLine="0"/>
        <w:rPr>
          <w:rFonts w:asciiTheme="minorHAnsi" w:hAnsiTheme="minorHAnsi"/>
          <w:sz w:val="20"/>
          <w:szCs w:val="20"/>
        </w:rPr>
      </w:pPr>
      <w:r w:rsidRPr="00BA4C6E">
        <w:rPr>
          <w:rFonts w:asciiTheme="minorHAnsi" w:hAnsiTheme="minorHAnsi"/>
          <w:sz w:val="20"/>
          <w:szCs w:val="20"/>
        </w:rPr>
        <w:t>El cálculo de la depreciación de los activos fijos de este Organismo, se realizó utilizando el método de línea recta, este método de depreciación es considerada como  función del tiempo y no de la utilización de los activos. Resulta un método simple que se basa en considerar la obsolescencia progresiva como la causa primera de una vida de servicio limitada, y considerar por tanto la disminución de tal utilidad de forma constante en el tiempo. El cargo por la depreciación será igual al costo del activo menos el valor de desecho por el % de vida útil. Este método distribuye el gasto de manera equitativa de modo que el importe de la depreciación resulta el mismo para cada periodo fiscal.</w:t>
      </w:r>
    </w:p>
    <w:p w:rsidR="005069FD" w:rsidRPr="00BA4C6E" w:rsidRDefault="005069FD" w:rsidP="005069FD">
      <w:pPr>
        <w:pStyle w:val="INCISO"/>
        <w:spacing w:after="0" w:line="240" w:lineRule="exact"/>
        <w:ind w:left="0" w:firstLine="0"/>
        <w:rPr>
          <w:rFonts w:asciiTheme="minorHAnsi" w:hAnsiTheme="minorHAnsi"/>
          <w:b/>
          <w:sz w:val="20"/>
          <w:szCs w:val="20"/>
          <w:lang w:val="es-MX"/>
        </w:rPr>
      </w:pPr>
    </w:p>
    <w:p w:rsidR="005069FD" w:rsidRPr="00BA4C6E" w:rsidRDefault="005069FD" w:rsidP="005069FD">
      <w:pPr>
        <w:pStyle w:val="INCISO"/>
        <w:spacing w:after="0" w:line="240" w:lineRule="exact"/>
        <w:rPr>
          <w:rFonts w:asciiTheme="minorHAnsi" w:hAnsiTheme="minorHAnsi"/>
          <w:b/>
          <w:sz w:val="20"/>
          <w:szCs w:val="20"/>
          <w:lang w:val="es-MX"/>
        </w:rPr>
      </w:pPr>
    </w:p>
    <w:p w:rsidR="005069FD" w:rsidRPr="00BA4C6E" w:rsidRDefault="005069FD" w:rsidP="005069FD">
      <w:pPr>
        <w:pStyle w:val="INCISO"/>
        <w:spacing w:after="0" w:line="240" w:lineRule="exact"/>
        <w:rPr>
          <w:rFonts w:asciiTheme="minorHAnsi" w:hAnsiTheme="minorHAnsi"/>
          <w:b/>
          <w:sz w:val="20"/>
          <w:szCs w:val="20"/>
          <w:lang w:val="es-MX"/>
        </w:rPr>
      </w:pPr>
      <w:r w:rsidRPr="00BA4C6E">
        <w:rPr>
          <w:rFonts w:asciiTheme="minorHAnsi" w:hAnsiTheme="minorHAnsi"/>
          <w:b/>
          <w:sz w:val="20"/>
          <w:szCs w:val="20"/>
          <w:lang w:val="es-MX"/>
        </w:rPr>
        <w:t>Estimaciones y Deterioros</w:t>
      </w:r>
    </w:p>
    <w:p w:rsidR="005069FD" w:rsidRPr="00BA4C6E" w:rsidRDefault="005069FD" w:rsidP="005069FD">
      <w:pPr>
        <w:pStyle w:val="INCISO"/>
        <w:spacing w:after="0" w:line="240" w:lineRule="exact"/>
        <w:rPr>
          <w:rFonts w:asciiTheme="minorHAnsi" w:hAnsiTheme="minorHAnsi"/>
          <w:sz w:val="20"/>
          <w:szCs w:val="20"/>
          <w:lang w:val="es-MX"/>
        </w:rPr>
      </w:pP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b/>
          <w:sz w:val="20"/>
          <w:szCs w:val="20"/>
        </w:rPr>
        <w:t xml:space="preserve">Depreciación, deterioro y amortización acumulada: </w:t>
      </w:r>
      <w:r w:rsidRPr="00BA4C6E">
        <w:rPr>
          <w:rFonts w:asciiTheme="minorHAnsi" w:hAnsiTheme="minorHAnsi"/>
          <w:sz w:val="20"/>
          <w:szCs w:val="20"/>
        </w:rPr>
        <w:t xml:space="preserve">esta partida muestra un saldo por </w:t>
      </w:r>
      <w:r>
        <w:rPr>
          <w:rFonts w:asciiTheme="minorHAnsi" w:hAnsiTheme="minorHAnsi"/>
          <w:sz w:val="20"/>
          <w:szCs w:val="20"/>
        </w:rPr>
        <w:t>-</w:t>
      </w:r>
      <w:r w:rsidR="00527F14">
        <w:rPr>
          <w:rFonts w:asciiTheme="minorHAnsi" w:hAnsiTheme="minorHAnsi"/>
          <w:b/>
          <w:sz w:val="20"/>
          <w:szCs w:val="20"/>
        </w:rPr>
        <w:t>$40, 178,305</w:t>
      </w:r>
      <w:r w:rsidRPr="00BA4C6E">
        <w:rPr>
          <w:rFonts w:asciiTheme="minorHAnsi" w:hAnsiTheme="minorHAnsi"/>
          <w:b/>
          <w:bCs/>
          <w:color w:val="FFFFFF"/>
          <w:sz w:val="20"/>
          <w:szCs w:val="20"/>
        </w:rPr>
        <w:t xml:space="preserve"> </w:t>
      </w:r>
      <w:r w:rsidRPr="00BA4C6E">
        <w:rPr>
          <w:rFonts w:asciiTheme="minorHAnsi" w:hAnsiTheme="minorHAnsi"/>
          <w:sz w:val="20"/>
          <w:szCs w:val="20"/>
        </w:rPr>
        <w:t>incluyendo la depreciación de bienes muebles y la amortización de los activos intangibles.</w:t>
      </w:r>
    </w:p>
    <w:p w:rsidR="005069FD" w:rsidRPr="00BA4C6E" w:rsidRDefault="005069FD" w:rsidP="005069FD">
      <w:pPr>
        <w:pStyle w:val="INCISO"/>
        <w:spacing w:line="240" w:lineRule="exact"/>
        <w:ind w:left="284" w:firstLine="4"/>
        <w:rPr>
          <w:rFonts w:asciiTheme="minorHAnsi" w:hAnsiTheme="minorHAnsi"/>
          <w:sz w:val="20"/>
          <w:szCs w:val="20"/>
        </w:rPr>
      </w:pPr>
      <w:r w:rsidRPr="00BA4C6E">
        <w:rPr>
          <w:rFonts w:asciiTheme="minorHAnsi" w:hAnsiTheme="minorHAnsi"/>
          <w:sz w:val="20"/>
          <w:szCs w:val="20"/>
        </w:rPr>
        <w:t>Se tomó como base los parámetros de estimación de vida útil, emitido por el Consejo Nacional de Armonización Contable.</w:t>
      </w:r>
    </w:p>
    <w:p w:rsidR="005069FD" w:rsidRPr="00BA4C6E" w:rsidRDefault="005069FD" w:rsidP="005069FD">
      <w:pPr>
        <w:pStyle w:val="INCISO"/>
        <w:spacing w:line="240" w:lineRule="exact"/>
        <w:rPr>
          <w:rFonts w:asciiTheme="minorHAnsi" w:hAnsiTheme="minorHAnsi"/>
          <w:sz w:val="20"/>
          <w:szCs w:val="20"/>
        </w:rPr>
      </w:pPr>
      <w:r w:rsidRPr="00BA4C6E">
        <w:rPr>
          <w:rFonts w:asciiTheme="minorHAnsi" w:hAnsiTheme="minorHAnsi"/>
          <w:sz w:val="20"/>
          <w:szCs w:val="20"/>
        </w:rPr>
        <w:t>A continuación se muestra el importe de la depreciación y amortización acumulada al 31 de diciembre de 2022:</w:t>
      </w:r>
    </w:p>
    <w:p w:rsidR="005069FD" w:rsidRPr="00BA4C6E" w:rsidRDefault="005069FD" w:rsidP="005069FD">
      <w:pPr>
        <w:pStyle w:val="INCISO"/>
        <w:spacing w:line="240" w:lineRule="exact"/>
        <w:rPr>
          <w:rFonts w:asciiTheme="minorHAnsi" w:hAnsiTheme="minorHAnsi"/>
          <w:sz w:val="20"/>
          <w:szCs w:val="20"/>
        </w:rPr>
      </w:pPr>
    </w:p>
    <w:tbl>
      <w:tblPr>
        <w:tblW w:w="6030" w:type="dxa"/>
        <w:tblInd w:w="1837" w:type="dxa"/>
        <w:tblCellMar>
          <w:left w:w="70" w:type="dxa"/>
          <w:right w:w="70" w:type="dxa"/>
        </w:tblCellMar>
        <w:tblLook w:val="04A0" w:firstRow="1" w:lastRow="0" w:firstColumn="1" w:lastColumn="0" w:noHBand="0" w:noVBand="1"/>
      </w:tblPr>
      <w:tblGrid>
        <w:gridCol w:w="4380"/>
        <w:gridCol w:w="1650"/>
      </w:tblGrid>
      <w:tr w:rsidR="005069FD" w:rsidRPr="00BA4C6E" w:rsidTr="00C07EAF">
        <w:trPr>
          <w:trHeight w:val="525"/>
        </w:trPr>
        <w:tc>
          <w:tcPr>
            <w:tcW w:w="4380" w:type="dxa"/>
            <w:tcBorders>
              <w:top w:val="single" w:sz="4" w:space="0" w:color="auto"/>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Depreciación, deterioro y amortización acumulada de bienes</w:t>
            </w:r>
          </w:p>
        </w:tc>
        <w:tc>
          <w:tcPr>
            <w:tcW w:w="1650" w:type="dxa"/>
            <w:tcBorders>
              <w:top w:val="single" w:sz="4" w:space="0" w:color="auto"/>
              <w:left w:val="nil"/>
              <w:bottom w:val="single" w:sz="4" w:space="0" w:color="auto"/>
              <w:right w:val="single" w:sz="4" w:space="0" w:color="auto"/>
            </w:tcBorders>
            <w:shd w:val="clear" w:color="auto" w:fill="AB0033"/>
            <w:noWrap/>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Importe</w:t>
            </w:r>
          </w:p>
        </w:tc>
      </w:tr>
      <w:tr w:rsidR="005069FD" w:rsidRPr="00BA4C6E" w:rsidTr="00C07EAF">
        <w:trPr>
          <w:trHeight w:val="30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Depreciación Acumulada de Bienes Muebles</w:t>
            </w:r>
          </w:p>
        </w:tc>
        <w:tc>
          <w:tcPr>
            <w:tcW w:w="1650"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  -39,844,452 </w:t>
            </w:r>
          </w:p>
        </w:tc>
      </w:tr>
      <w:tr w:rsidR="005069FD" w:rsidRPr="00BA4C6E" w:rsidTr="00C07EAF">
        <w:trPr>
          <w:trHeight w:val="30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Amortización Acumulada de Activos Intangibles</w:t>
            </w:r>
          </w:p>
        </w:tc>
        <w:tc>
          <w:tcPr>
            <w:tcW w:w="1650" w:type="dxa"/>
            <w:tcBorders>
              <w:top w:val="nil"/>
              <w:left w:val="nil"/>
              <w:bottom w:val="single" w:sz="4" w:space="0" w:color="auto"/>
              <w:right w:val="single" w:sz="4" w:space="0" w:color="auto"/>
            </w:tcBorders>
            <w:shd w:val="clear" w:color="auto" w:fill="auto"/>
            <w:noWrap/>
            <w:vAlign w:val="center"/>
          </w:tcPr>
          <w:p w:rsidR="005069FD" w:rsidRPr="00BA4C6E" w:rsidRDefault="00527F14"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       -333,853</w:t>
            </w:r>
            <w:r w:rsidR="005069FD">
              <w:rPr>
                <w:color w:val="000000"/>
                <w:sz w:val="20"/>
                <w:szCs w:val="20"/>
              </w:rPr>
              <w:t xml:space="preserve"> </w:t>
            </w:r>
          </w:p>
        </w:tc>
      </w:tr>
      <w:tr w:rsidR="005069FD" w:rsidRPr="00BA4C6E" w:rsidTr="00C07EAF">
        <w:trPr>
          <w:trHeight w:val="525"/>
        </w:trPr>
        <w:tc>
          <w:tcPr>
            <w:tcW w:w="4380" w:type="dxa"/>
            <w:tcBorders>
              <w:top w:val="nil"/>
              <w:left w:val="single" w:sz="4" w:space="0" w:color="auto"/>
              <w:bottom w:val="nil"/>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Total de depreciación, deterioro y amortización acumulada de bienes</w:t>
            </w:r>
          </w:p>
        </w:tc>
        <w:tc>
          <w:tcPr>
            <w:tcW w:w="1650" w:type="dxa"/>
            <w:tcBorders>
              <w:top w:val="nil"/>
              <w:left w:val="nil"/>
              <w:bottom w:val="nil"/>
              <w:right w:val="single" w:sz="4" w:space="0" w:color="auto"/>
            </w:tcBorders>
            <w:shd w:val="clear" w:color="auto" w:fill="AB0033"/>
            <w:noWrap/>
            <w:vAlign w:val="center"/>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7C030A">
              <w:rPr>
                <w:rFonts w:asciiTheme="minorHAnsi" w:eastAsia="Times New Roman" w:hAnsiTheme="minorHAnsi" w:cs="Arial"/>
                <w:b/>
                <w:bCs/>
                <w:color w:val="FFFFFF"/>
                <w:sz w:val="20"/>
                <w:szCs w:val="20"/>
                <w:lang w:eastAsia="es-MX"/>
              </w:rPr>
              <w:t xml:space="preserve"> $ </w:t>
            </w:r>
            <w:r>
              <w:rPr>
                <w:rFonts w:asciiTheme="minorHAnsi" w:eastAsia="Times New Roman" w:hAnsiTheme="minorHAnsi" w:cs="Arial"/>
                <w:b/>
                <w:bCs/>
                <w:color w:val="FFFFFF"/>
                <w:sz w:val="20"/>
                <w:szCs w:val="20"/>
                <w:lang w:eastAsia="es-MX"/>
              </w:rPr>
              <w:t>-</w:t>
            </w:r>
            <w:r w:rsidR="00527F14">
              <w:rPr>
                <w:rFonts w:asciiTheme="minorHAnsi" w:eastAsia="Times New Roman" w:hAnsiTheme="minorHAnsi" w:cs="Arial"/>
                <w:b/>
                <w:bCs/>
                <w:color w:val="FFFFFF"/>
                <w:sz w:val="20"/>
                <w:szCs w:val="20"/>
                <w:lang w:eastAsia="es-MX"/>
              </w:rPr>
              <w:t xml:space="preserve"> 40,178,305</w:t>
            </w:r>
            <w:r w:rsidRPr="007C030A">
              <w:rPr>
                <w:rFonts w:asciiTheme="minorHAnsi" w:eastAsia="Times New Roman" w:hAnsiTheme="minorHAnsi" w:cs="Arial"/>
                <w:b/>
                <w:bCs/>
                <w:color w:val="FFFFFF"/>
                <w:sz w:val="20"/>
                <w:szCs w:val="20"/>
                <w:lang w:eastAsia="es-MX"/>
              </w:rPr>
              <w:t xml:space="preserve"> </w:t>
            </w:r>
          </w:p>
        </w:tc>
      </w:tr>
    </w:tbl>
    <w:p w:rsidR="005069FD" w:rsidRPr="00BA4C6E" w:rsidRDefault="005069FD" w:rsidP="005069FD">
      <w:pPr>
        <w:pStyle w:val="INCISO"/>
        <w:spacing w:after="0" w:line="240" w:lineRule="exact"/>
        <w:ind w:left="0" w:firstLine="0"/>
        <w:rPr>
          <w:rFonts w:asciiTheme="minorHAnsi" w:hAnsiTheme="minorHAnsi"/>
          <w:sz w:val="20"/>
          <w:szCs w:val="20"/>
          <w:lang w:val="es-MX"/>
        </w:rPr>
      </w:pPr>
    </w:p>
    <w:p w:rsidR="005069FD" w:rsidRPr="00BA4C6E" w:rsidRDefault="005069FD" w:rsidP="005069FD">
      <w:pPr>
        <w:pStyle w:val="INCISO"/>
        <w:spacing w:after="0" w:line="240" w:lineRule="exact"/>
        <w:rPr>
          <w:rFonts w:asciiTheme="minorHAnsi" w:hAnsiTheme="minorHAnsi"/>
          <w:b/>
          <w:sz w:val="20"/>
          <w:szCs w:val="20"/>
          <w:lang w:val="es-MX"/>
        </w:rPr>
      </w:pPr>
    </w:p>
    <w:p w:rsidR="005069FD" w:rsidRPr="00BA4C6E" w:rsidRDefault="005069FD" w:rsidP="005069FD">
      <w:pPr>
        <w:pStyle w:val="INCISO"/>
        <w:spacing w:after="0" w:line="240" w:lineRule="exact"/>
        <w:rPr>
          <w:rFonts w:asciiTheme="minorHAnsi" w:hAnsiTheme="minorHAnsi"/>
          <w:b/>
          <w:sz w:val="20"/>
          <w:szCs w:val="20"/>
          <w:lang w:val="es-MX"/>
        </w:rPr>
      </w:pPr>
      <w:r w:rsidRPr="00BA4C6E">
        <w:rPr>
          <w:rFonts w:asciiTheme="minorHAnsi" w:hAnsiTheme="minorHAnsi"/>
          <w:b/>
          <w:sz w:val="20"/>
          <w:szCs w:val="20"/>
          <w:lang w:val="es-MX"/>
        </w:rPr>
        <w:t>Otros Activos</w:t>
      </w:r>
    </w:p>
    <w:p w:rsidR="005069FD" w:rsidRPr="00BA4C6E" w:rsidRDefault="005069FD" w:rsidP="005069FD">
      <w:pPr>
        <w:pStyle w:val="INCISO"/>
        <w:spacing w:after="0" w:line="240" w:lineRule="exact"/>
        <w:rPr>
          <w:rFonts w:asciiTheme="minorHAnsi" w:hAnsiTheme="minorHAnsi"/>
          <w:sz w:val="20"/>
          <w:szCs w:val="20"/>
          <w:lang w:val="es-MX"/>
        </w:rPr>
      </w:pPr>
    </w:p>
    <w:p w:rsidR="005069FD" w:rsidRPr="00BA4C6E" w:rsidRDefault="005069FD" w:rsidP="005069FD">
      <w:pPr>
        <w:pStyle w:val="INCISO"/>
        <w:tabs>
          <w:tab w:val="left" w:pos="284"/>
        </w:tabs>
        <w:spacing w:line="240" w:lineRule="exact"/>
        <w:ind w:left="284" w:firstLine="4"/>
        <w:rPr>
          <w:rFonts w:asciiTheme="minorHAnsi" w:hAnsiTheme="minorHAnsi"/>
          <w:sz w:val="20"/>
          <w:szCs w:val="20"/>
          <w:lang w:val="es-MX"/>
        </w:rPr>
      </w:pPr>
      <w:r w:rsidRPr="00BA4C6E">
        <w:rPr>
          <w:rFonts w:asciiTheme="minorHAnsi" w:hAnsiTheme="minorHAnsi"/>
          <w:b/>
          <w:sz w:val="20"/>
          <w:szCs w:val="20"/>
        </w:rPr>
        <w:t xml:space="preserve">Activos intangibles: </w:t>
      </w:r>
      <w:r w:rsidRPr="00BA4C6E">
        <w:rPr>
          <w:rFonts w:asciiTheme="minorHAnsi" w:hAnsiTheme="minorHAnsi"/>
          <w:sz w:val="20"/>
          <w:szCs w:val="20"/>
        </w:rPr>
        <w:t>esta partida está integrada por el Software y Licencias informáticas adquiridas en ejercicios anteriores.</w:t>
      </w:r>
      <w:r w:rsidRPr="00BA4C6E">
        <w:rPr>
          <w:rFonts w:asciiTheme="minorHAnsi" w:hAnsiTheme="minorHAnsi"/>
          <w:sz w:val="20"/>
          <w:szCs w:val="20"/>
          <w:lang w:val="es-MX"/>
        </w:rPr>
        <w:t xml:space="preserve"> </w:t>
      </w:r>
    </w:p>
    <w:tbl>
      <w:tblPr>
        <w:tblpPr w:leftFromText="141" w:rightFromText="141" w:vertAnchor="text" w:horzAnchor="margin" w:tblpXSpec="center" w:tblpY="86"/>
        <w:tblW w:w="5620" w:type="dxa"/>
        <w:tblCellMar>
          <w:left w:w="70" w:type="dxa"/>
          <w:right w:w="70" w:type="dxa"/>
        </w:tblCellMar>
        <w:tblLook w:val="04A0" w:firstRow="1" w:lastRow="0" w:firstColumn="1" w:lastColumn="0" w:noHBand="0" w:noVBand="1"/>
      </w:tblPr>
      <w:tblGrid>
        <w:gridCol w:w="4380"/>
        <w:gridCol w:w="1240"/>
      </w:tblGrid>
      <w:tr w:rsidR="005069FD" w:rsidRPr="00BA4C6E" w:rsidTr="00C07EAF">
        <w:trPr>
          <w:trHeight w:val="300"/>
        </w:trPr>
        <w:tc>
          <w:tcPr>
            <w:tcW w:w="4380" w:type="dxa"/>
            <w:tcBorders>
              <w:top w:val="single" w:sz="4" w:space="0" w:color="auto"/>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Activos Intangibles</w:t>
            </w:r>
          </w:p>
        </w:tc>
        <w:tc>
          <w:tcPr>
            <w:tcW w:w="1240" w:type="dxa"/>
            <w:tcBorders>
              <w:top w:val="single" w:sz="4" w:space="0" w:color="auto"/>
              <w:left w:val="nil"/>
              <w:bottom w:val="single" w:sz="4" w:space="0" w:color="auto"/>
              <w:right w:val="single" w:sz="4" w:space="0" w:color="auto"/>
            </w:tcBorders>
            <w:shd w:val="clear" w:color="auto" w:fill="AB0033"/>
            <w:noWrap/>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Importe</w:t>
            </w:r>
          </w:p>
        </w:tc>
      </w:tr>
      <w:tr w:rsidR="005069FD" w:rsidRPr="00BA4C6E" w:rsidTr="00C07EAF">
        <w:trPr>
          <w:trHeight w:val="30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Software</w:t>
            </w:r>
          </w:p>
        </w:tc>
        <w:tc>
          <w:tcPr>
            <w:tcW w:w="1240" w:type="dxa"/>
            <w:tcBorders>
              <w:top w:val="nil"/>
              <w:left w:val="nil"/>
              <w:bottom w:val="single" w:sz="4" w:space="0" w:color="auto"/>
              <w:right w:val="single" w:sz="4" w:space="0" w:color="auto"/>
            </w:tcBorders>
            <w:shd w:val="clear" w:color="auto" w:fill="auto"/>
            <w:noWrap/>
            <w:vAlign w:val="center"/>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102,167</w:t>
            </w:r>
          </w:p>
        </w:tc>
      </w:tr>
      <w:tr w:rsidR="005069FD" w:rsidRPr="00BA4C6E" w:rsidTr="00C07EAF">
        <w:trPr>
          <w:trHeight w:val="300"/>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Licencias</w:t>
            </w:r>
          </w:p>
        </w:tc>
        <w:tc>
          <w:tcPr>
            <w:tcW w:w="1240" w:type="dxa"/>
            <w:tcBorders>
              <w:top w:val="nil"/>
              <w:left w:val="nil"/>
              <w:bottom w:val="single" w:sz="4" w:space="0" w:color="auto"/>
              <w:right w:val="single" w:sz="4" w:space="0" w:color="auto"/>
            </w:tcBorders>
            <w:shd w:val="clear" w:color="auto" w:fill="auto"/>
            <w:noWrap/>
            <w:vAlign w:val="center"/>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279,210</w:t>
            </w:r>
          </w:p>
        </w:tc>
      </w:tr>
      <w:tr w:rsidR="005069FD" w:rsidRPr="00BA4C6E" w:rsidTr="00C07EAF">
        <w:trPr>
          <w:trHeight w:val="300"/>
        </w:trPr>
        <w:tc>
          <w:tcPr>
            <w:tcW w:w="4380" w:type="dxa"/>
            <w:tcBorders>
              <w:top w:val="nil"/>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Total de Activos intangibles</w:t>
            </w:r>
          </w:p>
        </w:tc>
        <w:tc>
          <w:tcPr>
            <w:tcW w:w="1240" w:type="dxa"/>
            <w:tcBorders>
              <w:top w:val="nil"/>
              <w:left w:val="nil"/>
              <w:bottom w:val="single" w:sz="4" w:space="0" w:color="auto"/>
              <w:right w:val="single" w:sz="4" w:space="0" w:color="auto"/>
            </w:tcBorders>
            <w:shd w:val="clear" w:color="auto" w:fill="AB0033"/>
            <w:noWrap/>
            <w:vAlign w:val="center"/>
            <w:hideMark/>
          </w:tcPr>
          <w:p w:rsidR="005069FD" w:rsidRPr="00BA4C6E" w:rsidRDefault="005069FD" w:rsidP="00C07EAF">
            <w:pPr>
              <w:spacing w:after="0"/>
              <w:jc w:val="right"/>
              <w:rPr>
                <w:rFonts w:asciiTheme="minorHAnsi" w:eastAsia="Times New Roman" w:hAnsiTheme="minorHAnsi" w:cs="Arial"/>
                <w:b/>
                <w:bCs/>
                <w:color w:val="FFFFFF"/>
                <w:sz w:val="20"/>
                <w:szCs w:val="20"/>
                <w:lang w:eastAsia="es-MX"/>
              </w:rPr>
            </w:pPr>
            <w:r>
              <w:rPr>
                <w:b/>
                <w:bCs/>
                <w:color w:val="FFFFFF"/>
                <w:sz w:val="20"/>
                <w:szCs w:val="20"/>
              </w:rPr>
              <w:t>381,377</w:t>
            </w:r>
          </w:p>
        </w:tc>
      </w:tr>
    </w:tbl>
    <w:p w:rsidR="005069FD" w:rsidRPr="00BA4C6E" w:rsidRDefault="005069FD" w:rsidP="005069FD">
      <w:pPr>
        <w:pStyle w:val="INCISO"/>
        <w:spacing w:after="0" w:line="240" w:lineRule="exact"/>
        <w:rPr>
          <w:rFonts w:asciiTheme="minorHAnsi" w:hAnsiTheme="minorHAnsi"/>
          <w:sz w:val="20"/>
          <w:szCs w:val="20"/>
        </w:rPr>
      </w:pPr>
    </w:p>
    <w:p w:rsidR="005069FD" w:rsidRPr="00BA4C6E" w:rsidRDefault="005069FD" w:rsidP="005069FD">
      <w:pPr>
        <w:pStyle w:val="INCISO"/>
        <w:spacing w:after="0" w:line="240" w:lineRule="exact"/>
        <w:ind w:left="432"/>
        <w:rPr>
          <w:rFonts w:asciiTheme="minorHAnsi" w:hAnsiTheme="minorHAnsi"/>
          <w:sz w:val="20"/>
          <w:szCs w:val="20"/>
          <w:lang w:val="es-MX"/>
        </w:rPr>
      </w:pPr>
    </w:p>
    <w:p w:rsidR="005069FD" w:rsidRPr="00BA4C6E" w:rsidRDefault="005069FD" w:rsidP="005069FD">
      <w:pPr>
        <w:pStyle w:val="INCISO"/>
        <w:spacing w:after="0" w:line="240" w:lineRule="exact"/>
        <w:ind w:left="432"/>
        <w:rPr>
          <w:rFonts w:asciiTheme="minorHAnsi" w:hAnsiTheme="minorHAnsi"/>
          <w:sz w:val="20"/>
          <w:szCs w:val="20"/>
          <w:lang w:val="es-MX"/>
        </w:rPr>
      </w:pPr>
    </w:p>
    <w:p w:rsidR="005069FD" w:rsidRPr="00BA4C6E" w:rsidRDefault="005069FD" w:rsidP="005069FD">
      <w:pPr>
        <w:pStyle w:val="INCISO"/>
        <w:spacing w:after="0" w:line="240" w:lineRule="exact"/>
        <w:ind w:left="432"/>
        <w:rPr>
          <w:rFonts w:asciiTheme="minorHAnsi" w:hAnsiTheme="minorHAnsi"/>
          <w:sz w:val="20"/>
          <w:szCs w:val="20"/>
          <w:lang w:val="es-MX"/>
        </w:rPr>
      </w:pPr>
    </w:p>
    <w:p w:rsidR="005069FD" w:rsidRPr="00BA4C6E" w:rsidRDefault="005069FD" w:rsidP="005069FD">
      <w:pPr>
        <w:pStyle w:val="INCISO"/>
        <w:spacing w:after="0" w:line="240" w:lineRule="exact"/>
        <w:ind w:left="432"/>
        <w:rPr>
          <w:rFonts w:asciiTheme="minorHAnsi" w:hAnsiTheme="minorHAnsi"/>
          <w:sz w:val="20"/>
          <w:szCs w:val="20"/>
          <w:lang w:val="es-MX"/>
        </w:rPr>
      </w:pPr>
    </w:p>
    <w:p w:rsidR="005069FD" w:rsidRPr="00BA4C6E" w:rsidRDefault="005069FD" w:rsidP="005069FD">
      <w:pPr>
        <w:pStyle w:val="INCISO"/>
        <w:spacing w:after="0" w:line="240" w:lineRule="exact"/>
        <w:ind w:left="0" w:firstLine="0"/>
        <w:rPr>
          <w:rFonts w:asciiTheme="minorHAnsi" w:hAnsiTheme="minorHAnsi"/>
          <w:sz w:val="20"/>
          <w:szCs w:val="20"/>
          <w:lang w:val="es-MX"/>
        </w:rPr>
      </w:pPr>
    </w:p>
    <w:p w:rsidR="005069FD" w:rsidRPr="00BA4C6E" w:rsidRDefault="005069FD" w:rsidP="005069FD">
      <w:pPr>
        <w:pStyle w:val="INCISO"/>
        <w:tabs>
          <w:tab w:val="left" w:pos="284"/>
        </w:tabs>
        <w:spacing w:after="0" w:line="240" w:lineRule="exact"/>
        <w:ind w:left="284" w:firstLine="0"/>
        <w:rPr>
          <w:rFonts w:asciiTheme="minorHAnsi" w:hAnsiTheme="minorHAnsi"/>
          <w:b/>
          <w:sz w:val="20"/>
          <w:szCs w:val="20"/>
          <w:lang w:val="es-MX"/>
        </w:rPr>
      </w:pPr>
    </w:p>
    <w:p w:rsidR="005069FD" w:rsidRDefault="005069FD" w:rsidP="005069FD">
      <w:pPr>
        <w:pStyle w:val="INCISO"/>
        <w:tabs>
          <w:tab w:val="left" w:pos="284"/>
        </w:tabs>
        <w:spacing w:after="0" w:line="240" w:lineRule="exact"/>
        <w:ind w:left="284" w:firstLine="0"/>
        <w:rPr>
          <w:rFonts w:asciiTheme="minorHAnsi" w:hAnsiTheme="minorHAnsi"/>
          <w:b/>
          <w:sz w:val="20"/>
          <w:szCs w:val="20"/>
          <w:lang w:val="es-MX"/>
        </w:rPr>
      </w:pPr>
      <w:r w:rsidRPr="00BA4C6E">
        <w:rPr>
          <w:rFonts w:asciiTheme="minorHAnsi" w:hAnsiTheme="minorHAnsi"/>
          <w:b/>
          <w:sz w:val="20"/>
          <w:szCs w:val="20"/>
          <w:lang w:val="es-MX"/>
        </w:rPr>
        <w:t xml:space="preserve">Activos diferidos: </w:t>
      </w:r>
      <w:r w:rsidRPr="00BA4C6E">
        <w:rPr>
          <w:rFonts w:asciiTheme="minorHAnsi" w:hAnsiTheme="minorHAnsi"/>
          <w:sz w:val="20"/>
          <w:szCs w:val="20"/>
          <w:lang w:val="es-MX"/>
        </w:rPr>
        <w:t xml:space="preserve">En esta partida se refleja el registro de la elaboración de estudios formulación y evaluación de proyectos de obra, al 31 de diciembre refleja un importe de </w:t>
      </w:r>
      <w:r w:rsidRPr="00BA4C6E">
        <w:rPr>
          <w:rFonts w:asciiTheme="minorHAnsi" w:hAnsiTheme="minorHAnsi"/>
          <w:b/>
          <w:sz w:val="20"/>
          <w:szCs w:val="20"/>
          <w:lang w:val="es-MX"/>
        </w:rPr>
        <w:t>$130, 750,910</w:t>
      </w:r>
      <w:r w:rsidR="00527F14">
        <w:rPr>
          <w:rFonts w:asciiTheme="minorHAnsi" w:hAnsiTheme="minorHAnsi"/>
          <w:b/>
          <w:sz w:val="20"/>
          <w:szCs w:val="20"/>
          <w:lang w:val="es-MX"/>
        </w:rPr>
        <w:t>.</w:t>
      </w:r>
    </w:p>
    <w:p w:rsidR="00527F14" w:rsidRDefault="00527F14" w:rsidP="005069FD">
      <w:pPr>
        <w:pStyle w:val="INCISO"/>
        <w:tabs>
          <w:tab w:val="left" w:pos="284"/>
        </w:tabs>
        <w:spacing w:after="0" w:line="240" w:lineRule="exact"/>
        <w:ind w:left="284" w:firstLine="0"/>
        <w:rPr>
          <w:rFonts w:asciiTheme="minorHAnsi" w:hAnsiTheme="minorHAnsi"/>
          <w:b/>
          <w:sz w:val="20"/>
          <w:szCs w:val="20"/>
          <w:lang w:val="es-MX"/>
        </w:rPr>
      </w:pPr>
    </w:p>
    <w:p w:rsidR="005069FD" w:rsidRDefault="005069FD" w:rsidP="005069FD">
      <w:pPr>
        <w:pStyle w:val="INCISO"/>
        <w:spacing w:after="0" w:line="240" w:lineRule="exact"/>
        <w:ind w:left="432"/>
        <w:rPr>
          <w:rFonts w:asciiTheme="minorHAnsi" w:hAnsiTheme="minorHAnsi"/>
          <w:b/>
          <w:sz w:val="20"/>
          <w:szCs w:val="20"/>
          <w:lang w:val="es-MX"/>
        </w:rPr>
      </w:pPr>
      <w:r w:rsidRPr="00BA4C6E">
        <w:rPr>
          <w:rFonts w:asciiTheme="minorHAnsi" w:hAnsiTheme="minorHAnsi"/>
          <w:b/>
          <w:sz w:val="20"/>
          <w:szCs w:val="20"/>
          <w:lang w:val="es-MX"/>
        </w:rPr>
        <w:t>PASIVO</w:t>
      </w:r>
    </w:p>
    <w:p w:rsidR="005069FD" w:rsidRDefault="005069FD" w:rsidP="005069FD">
      <w:pPr>
        <w:pStyle w:val="INCISO"/>
        <w:spacing w:after="0" w:line="240" w:lineRule="exact"/>
        <w:ind w:left="432"/>
        <w:rPr>
          <w:rFonts w:asciiTheme="minorHAnsi" w:hAnsiTheme="minorHAnsi"/>
          <w:b/>
          <w:sz w:val="20"/>
          <w:szCs w:val="20"/>
          <w:lang w:val="es-MX"/>
        </w:rPr>
      </w:pPr>
    </w:p>
    <w:p w:rsidR="005069FD" w:rsidRDefault="005069FD" w:rsidP="005069FD">
      <w:pPr>
        <w:pStyle w:val="INCISO"/>
        <w:spacing w:after="0" w:line="240" w:lineRule="exact"/>
        <w:ind w:left="432"/>
        <w:rPr>
          <w:rFonts w:asciiTheme="minorHAnsi" w:hAnsiTheme="minorHAnsi"/>
          <w:b/>
          <w:sz w:val="20"/>
          <w:szCs w:val="20"/>
          <w:lang w:val="es-MX"/>
        </w:rPr>
      </w:pP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b/>
          <w:sz w:val="20"/>
          <w:szCs w:val="20"/>
        </w:rPr>
        <w:t xml:space="preserve">Cuentas por pagar a corto plazo: </w:t>
      </w:r>
      <w:r w:rsidRPr="00BA4C6E">
        <w:rPr>
          <w:rFonts w:asciiTheme="minorHAnsi" w:hAnsiTheme="minorHAnsi"/>
          <w:sz w:val="20"/>
          <w:szCs w:val="20"/>
        </w:rPr>
        <w:t xml:space="preserve">esta partida muestra un importe al termino del ejercicio por  </w:t>
      </w:r>
      <w:r w:rsidRPr="00BA4C6E">
        <w:rPr>
          <w:rFonts w:asciiTheme="minorHAnsi" w:hAnsiTheme="minorHAnsi"/>
          <w:b/>
          <w:sz w:val="20"/>
          <w:szCs w:val="20"/>
        </w:rPr>
        <w:t>$ 3,797,90</w:t>
      </w:r>
      <w:r>
        <w:rPr>
          <w:rFonts w:asciiTheme="minorHAnsi" w:hAnsiTheme="minorHAnsi"/>
          <w:b/>
          <w:sz w:val="20"/>
          <w:szCs w:val="20"/>
        </w:rPr>
        <w:t xml:space="preserve">7 </w:t>
      </w:r>
      <w:r w:rsidRPr="00BA4C6E">
        <w:rPr>
          <w:rFonts w:asciiTheme="minorHAnsi" w:hAnsiTheme="minorHAnsi"/>
          <w:sz w:val="20"/>
          <w:szCs w:val="20"/>
        </w:rPr>
        <w:t>correspondiente a proveedores por pagar, contratistas, retenciones y contribuciones por pagar y otras cuentas por pagar a corto plazo; a continuación se detallan los importes por pagar :</w:t>
      </w:r>
    </w:p>
    <w:tbl>
      <w:tblPr>
        <w:tblpPr w:leftFromText="141" w:rightFromText="141" w:vertAnchor="text" w:horzAnchor="margin" w:tblpXSpec="center" w:tblpY="144"/>
        <w:tblW w:w="6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0"/>
        <w:gridCol w:w="1440"/>
      </w:tblGrid>
      <w:tr w:rsidR="005069FD" w:rsidRPr="00BA4C6E" w:rsidTr="00C07EAF">
        <w:trPr>
          <w:trHeight w:val="300"/>
        </w:trPr>
        <w:tc>
          <w:tcPr>
            <w:tcW w:w="5380" w:type="dxa"/>
            <w:shd w:val="clear" w:color="auto" w:fill="AB0033"/>
            <w:noWrap/>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Cuentas por pagar a Corto Plazo</w:t>
            </w:r>
          </w:p>
        </w:tc>
        <w:tc>
          <w:tcPr>
            <w:tcW w:w="1440" w:type="dxa"/>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Importe</w:t>
            </w:r>
          </w:p>
        </w:tc>
      </w:tr>
      <w:tr w:rsidR="005069FD" w:rsidRPr="00BA4C6E" w:rsidTr="00C07EAF">
        <w:trPr>
          <w:trHeight w:val="300"/>
        </w:trPr>
        <w:tc>
          <w:tcPr>
            <w:tcW w:w="5380" w:type="dxa"/>
            <w:shd w:val="clear" w:color="auto" w:fill="auto"/>
            <w:vAlign w:val="center"/>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Servicios Personales por Pagar a Corto Plazo</w:t>
            </w:r>
          </w:p>
        </w:tc>
        <w:tc>
          <w:tcPr>
            <w:tcW w:w="1440" w:type="dxa"/>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276,141 </w:t>
            </w:r>
          </w:p>
        </w:tc>
      </w:tr>
      <w:tr w:rsidR="005069FD" w:rsidRPr="00BA4C6E" w:rsidTr="00C07EAF">
        <w:trPr>
          <w:trHeight w:val="300"/>
        </w:trPr>
        <w:tc>
          <w:tcPr>
            <w:tcW w:w="5380" w:type="dxa"/>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Proveedores por Pagar a corto Plazo</w:t>
            </w:r>
          </w:p>
        </w:tc>
        <w:tc>
          <w:tcPr>
            <w:tcW w:w="1440" w:type="dxa"/>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300,326 </w:t>
            </w:r>
          </w:p>
        </w:tc>
      </w:tr>
      <w:tr w:rsidR="005069FD" w:rsidRPr="00BA4C6E" w:rsidTr="00C07EAF">
        <w:trPr>
          <w:trHeight w:val="285"/>
        </w:trPr>
        <w:tc>
          <w:tcPr>
            <w:tcW w:w="5380" w:type="dxa"/>
            <w:shd w:val="clear" w:color="auto" w:fill="auto"/>
            <w:vAlign w:val="center"/>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Contratistas por obras públicas por pagar a corto plazo</w:t>
            </w:r>
          </w:p>
        </w:tc>
        <w:tc>
          <w:tcPr>
            <w:tcW w:w="1440" w:type="dxa"/>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0</w:t>
            </w:r>
          </w:p>
        </w:tc>
      </w:tr>
      <w:tr w:rsidR="005069FD" w:rsidRPr="00BA4C6E" w:rsidTr="00C07EAF">
        <w:trPr>
          <w:trHeight w:val="285"/>
        </w:trPr>
        <w:tc>
          <w:tcPr>
            <w:tcW w:w="5380" w:type="dxa"/>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Retenciones y contribuciones por Pagar a Corto Plazo</w:t>
            </w:r>
          </w:p>
        </w:tc>
        <w:tc>
          <w:tcPr>
            <w:tcW w:w="1440" w:type="dxa"/>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3,219,584 </w:t>
            </w:r>
          </w:p>
        </w:tc>
      </w:tr>
      <w:tr w:rsidR="005069FD" w:rsidRPr="00BA4C6E" w:rsidTr="00C07EAF">
        <w:trPr>
          <w:trHeight w:val="285"/>
        </w:trPr>
        <w:tc>
          <w:tcPr>
            <w:tcW w:w="5380" w:type="dxa"/>
            <w:shd w:val="clear" w:color="auto" w:fill="auto"/>
            <w:vAlign w:val="center"/>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Otras cuentas por pagar a corto plazo</w:t>
            </w:r>
          </w:p>
        </w:tc>
        <w:tc>
          <w:tcPr>
            <w:tcW w:w="1440" w:type="dxa"/>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1,855 </w:t>
            </w:r>
          </w:p>
        </w:tc>
      </w:tr>
      <w:tr w:rsidR="005069FD" w:rsidRPr="00BA4C6E" w:rsidTr="00C07EAF">
        <w:trPr>
          <w:trHeight w:val="300"/>
        </w:trPr>
        <w:tc>
          <w:tcPr>
            <w:tcW w:w="5380" w:type="dxa"/>
            <w:shd w:val="clear" w:color="auto" w:fill="AB0033"/>
            <w:noWrap/>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Total de cuentas por pagar a corto plazo</w:t>
            </w:r>
          </w:p>
        </w:tc>
        <w:tc>
          <w:tcPr>
            <w:tcW w:w="1440" w:type="dxa"/>
            <w:shd w:val="clear" w:color="auto" w:fill="AB0033"/>
            <w:noWrap/>
            <w:vAlign w:val="center"/>
          </w:tcPr>
          <w:p w:rsidR="005069FD" w:rsidRPr="00BA4C6E" w:rsidRDefault="005069FD" w:rsidP="00C07EAF">
            <w:pPr>
              <w:spacing w:after="0"/>
              <w:jc w:val="right"/>
              <w:rPr>
                <w:rFonts w:asciiTheme="minorHAnsi" w:eastAsia="Times New Roman" w:hAnsiTheme="minorHAnsi" w:cs="Arial"/>
                <w:b/>
                <w:bCs/>
                <w:color w:val="FFFFFF"/>
                <w:sz w:val="20"/>
                <w:szCs w:val="20"/>
                <w:lang w:eastAsia="es-MX"/>
              </w:rPr>
            </w:pPr>
            <w:r>
              <w:rPr>
                <w:b/>
                <w:bCs/>
                <w:color w:val="FFFFFF"/>
                <w:sz w:val="20"/>
                <w:szCs w:val="20"/>
              </w:rPr>
              <w:t xml:space="preserve">       3,797,907 </w:t>
            </w:r>
          </w:p>
        </w:tc>
      </w:tr>
    </w:tbl>
    <w:p w:rsidR="005069FD" w:rsidRPr="00BA4C6E" w:rsidRDefault="005069FD" w:rsidP="005069FD">
      <w:pPr>
        <w:pStyle w:val="INCISO"/>
        <w:spacing w:line="240" w:lineRule="exact"/>
        <w:ind w:left="432"/>
        <w:rPr>
          <w:rFonts w:asciiTheme="minorHAnsi" w:hAnsiTheme="minorHAnsi"/>
          <w:sz w:val="20"/>
          <w:szCs w:val="20"/>
        </w:rPr>
      </w:pPr>
    </w:p>
    <w:p w:rsidR="005069FD" w:rsidRPr="00BA4C6E" w:rsidRDefault="005069FD" w:rsidP="005069FD">
      <w:pPr>
        <w:pStyle w:val="INCISO"/>
        <w:spacing w:line="240" w:lineRule="exact"/>
        <w:ind w:left="432"/>
        <w:rPr>
          <w:rFonts w:asciiTheme="minorHAnsi" w:hAnsiTheme="minorHAnsi"/>
          <w:sz w:val="20"/>
          <w:szCs w:val="20"/>
        </w:rPr>
      </w:pPr>
    </w:p>
    <w:p w:rsidR="005069FD" w:rsidRPr="00BA4C6E" w:rsidRDefault="005069FD" w:rsidP="005069FD">
      <w:pPr>
        <w:pStyle w:val="INCISO"/>
        <w:spacing w:line="240" w:lineRule="exact"/>
        <w:ind w:left="432"/>
        <w:rPr>
          <w:rFonts w:asciiTheme="minorHAnsi" w:hAnsiTheme="minorHAnsi"/>
          <w:sz w:val="20"/>
          <w:szCs w:val="20"/>
        </w:rPr>
      </w:pPr>
    </w:p>
    <w:p w:rsidR="005069FD" w:rsidRPr="00BA4C6E" w:rsidRDefault="005069FD" w:rsidP="005069FD">
      <w:pPr>
        <w:pStyle w:val="INCISO"/>
        <w:spacing w:line="240" w:lineRule="exact"/>
        <w:ind w:left="432"/>
        <w:rPr>
          <w:rFonts w:asciiTheme="minorHAnsi" w:hAnsiTheme="minorHAnsi"/>
          <w:sz w:val="20"/>
          <w:szCs w:val="20"/>
        </w:rPr>
      </w:pPr>
      <w:r w:rsidRPr="00BA4C6E">
        <w:rPr>
          <w:rFonts w:asciiTheme="minorHAnsi" w:hAnsiTheme="minorHAnsi"/>
          <w:sz w:val="20"/>
          <w:szCs w:val="20"/>
        </w:rPr>
        <w:t xml:space="preserve">  </w:t>
      </w: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sz w:val="20"/>
          <w:szCs w:val="20"/>
        </w:rPr>
        <w:t xml:space="preserve"> </w:t>
      </w:r>
    </w:p>
    <w:p w:rsidR="005069FD" w:rsidRPr="00BA4C6E" w:rsidRDefault="005069FD" w:rsidP="005069FD">
      <w:pPr>
        <w:pStyle w:val="INCISO"/>
        <w:tabs>
          <w:tab w:val="left" w:pos="284"/>
        </w:tabs>
        <w:spacing w:line="240" w:lineRule="exact"/>
        <w:ind w:left="0" w:firstLine="0"/>
        <w:rPr>
          <w:rFonts w:asciiTheme="minorHAnsi" w:hAnsiTheme="minorHAnsi"/>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sz w:val="20"/>
          <w:szCs w:val="20"/>
        </w:rPr>
        <w:t>Las cuentas por pagar a corto plazo, serán liquidadas en el mes de enero de 2023.</w:t>
      </w:r>
    </w:p>
    <w:p w:rsidR="005069FD" w:rsidRDefault="005069FD" w:rsidP="005069FD">
      <w:pPr>
        <w:spacing w:after="0" w:line="240" w:lineRule="exact"/>
        <w:ind w:left="360"/>
        <w:jc w:val="center"/>
        <w:rPr>
          <w:rFonts w:asciiTheme="minorHAnsi" w:hAnsiTheme="minorHAnsi" w:cs="Arial"/>
          <w:b/>
          <w:smallCaps/>
          <w:sz w:val="28"/>
          <w:szCs w:val="20"/>
        </w:rPr>
      </w:pPr>
    </w:p>
    <w:p w:rsidR="008A6CB5" w:rsidRDefault="008A6CB5" w:rsidP="005069FD">
      <w:pPr>
        <w:spacing w:after="0" w:line="240" w:lineRule="exact"/>
        <w:ind w:left="360"/>
        <w:jc w:val="center"/>
        <w:rPr>
          <w:rFonts w:asciiTheme="minorHAnsi" w:hAnsiTheme="minorHAnsi" w:cs="Arial"/>
          <w:b/>
          <w:smallCaps/>
          <w:sz w:val="28"/>
          <w:szCs w:val="20"/>
        </w:rPr>
      </w:pPr>
    </w:p>
    <w:p w:rsidR="008A6CB5" w:rsidRDefault="008A6CB5" w:rsidP="005069FD">
      <w:pPr>
        <w:spacing w:after="0" w:line="240" w:lineRule="exact"/>
        <w:ind w:left="360"/>
        <w:jc w:val="center"/>
        <w:rPr>
          <w:rFonts w:asciiTheme="minorHAnsi" w:hAnsiTheme="minorHAnsi" w:cs="Arial"/>
          <w:b/>
          <w:smallCaps/>
          <w:sz w:val="28"/>
          <w:szCs w:val="20"/>
        </w:rPr>
      </w:pPr>
    </w:p>
    <w:p w:rsidR="008A6CB5" w:rsidRDefault="008A6CB5" w:rsidP="005069FD">
      <w:pPr>
        <w:spacing w:after="0" w:line="240" w:lineRule="exact"/>
        <w:ind w:left="360"/>
        <w:jc w:val="center"/>
        <w:rPr>
          <w:rFonts w:asciiTheme="minorHAnsi" w:hAnsiTheme="minorHAnsi" w:cs="Arial"/>
          <w:b/>
          <w:smallCaps/>
          <w:sz w:val="28"/>
          <w:szCs w:val="20"/>
        </w:rPr>
      </w:pPr>
    </w:p>
    <w:p w:rsidR="005069FD" w:rsidRPr="00BA4C6E" w:rsidRDefault="005069FD" w:rsidP="005069FD">
      <w:pPr>
        <w:spacing w:after="0" w:line="240" w:lineRule="exact"/>
        <w:ind w:left="360"/>
        <w:jc w:val="center"/>
        <w:rPr>
          <w:rFonts w:asciiTheme="minorHAnsi" w:hAnsiTheme="minorHAnsi" w:cs="Arial"/>
          <w:b/>
          <w:smallCaps/>
          <w:sz w:val="28"/>
          <w:szCs w:val="20"/>
        </w:rPr>
      </w:pPr>
      <w:r w:rsidRPr="00BA4C6E">
        <w:rPr>
          <w:rFonts w:asciiTheme="minorHAnsi" w:hAnsiTheme="minorHAnsi" w:cs="Arial"/>
          <w:b/>
          <w:smallCaps/>
          <w:sz w:val="28"/>
          <w:szCs w:val="20"/>
        </w:rPr>
        <w:t>II)</w:t>
      </w:r>
      <w:r w:rsidRPr="00BA4C6E">
        <w:rPr>
          <w:rFonts w:asciiTheme="minorHAnsi" w:hAnsiTheme="minorHAnsi" w:cs="Arial"/>
          <w:b/>
          <w:smallCaps/>
          <w:sz w:val="28"/>
          <w:szCs w:val="20"/>
        </w:rPr>
        <w:tab/>
        <w:t>notas al estado de actividades</w:t>
      </w:r>
    </w:p>
    <w:p w:rsidR="005069FD" w:rsidRDefault="005069FD" w:rsidP="005069FD">
      <w:pPr>
        <w:spacing w:after="0" w:line="240" w:lineRule="exact"/>
        <w:rPr>
          <w:rFonts w:asciiTheme="minorHAnsi" w:hAnsiTheme="minorHAnsi"/>
          <w:b/>
          <w:smallCaps/>
          <w:sz w:val="20"/>
          <w:szCs w:val="20"/>
        </w:rPr>
      </w:pPr>
    </w:p>
    <w:p w:rsidR="005069FD" w:rsidRPr="00BA4C6E" w:rsidRDefault="005069FD" w:rsidP="005069FD">
      <w:pPr>
        <w:spacing w:after="0" w:line="240" w:lineRule="exact"/>
        <w:rPr>
          <w:rFonts w:asciiTheme="minorHAnsi" w:hAnsiTheme="minorHAnsi"/>
          <w:b/>
          <w:smallCaps/>
          <w:sz w:val="20"/>
          <w:szCs w:val="20"/>
        </w:rPr>
      </w:pPr>
    </w:p>
    <w:p w:rsidR="005069FD" w:rsidRPr="00BA4C6E" w:rsidRDefault="005069FD" w:rsidP="005069FD">
      <w:pPr>
        <w:pStyle w:val="INCISO"/>
        <w:spacing w:after="0" w:line="240" w:lineRule="exact"/>
        <w:ind w:left="0" w:firstLine="0"/>
        <w:rPr>
          <w:rFonts w:asciiTheme="minorHAnsi" w:hAnsiTheme="minorHAnsi"/>
          <w:sz w:val="20"/>
          <w:szCs w:val="20"/>
          <w:lang w:val="es-MX"/>
        </w:rPr>
      </w:pPr>
    </w:p>
    <w:p w:rsidR="005069FD" w:rsidRPr="00BA4C6E" w:rsidRDefault="005069FD" w:rsidP="005069FD">
      <w:pPr>
        <w:pStyle w:val="INCISO"/>
        <w:tabs>
          <w:tab w:val="left" w:pos="284"/>
        </w:tabs>
        <w:spacing w:after="0" w:line="240" w:lineRule="exact"/>
        <w:ind w:left="284" w:firstLine="0"/>
        <w:rPr>
          <w:rFonts w:asciiTheme="minorHAnsi" w:hAnsiTheme="minorHAnsi"/>
          <w:b/>
          <w:sz w:val="20"/>
          <w:szCs w:val="20"/>
          <w:lang w:val="es-MX"/>
        </w:rPr>
      </w:pPr>
      <w:r w:rsidRPr="00BA4C6E">
        <w:rPr>
          <w:rFonts w:asciiTheme="minorHAnsi" w:hAnsiTheme="minorHAnsi"/>
          <w:b/>
          <w:sz w:val="20"/>
          <w:szCs w:val="20"/>
          <w:lang w:val="es-MX"/>
        </w:rPr>
        <w:t>Ingresos de gestión</w:t>
      </w:r>
    </w:p>
    <w:p w:rsidR="005069FD" w:rsidRPr="00BA4C6E" w:rsidRDefault="005069FD" w:rsidP="005069FD">
      <w:pPr>
        <w:pStyle w:val="INCISO"/>
        <w:tabs>
          <w:tab w:val="left" w:pos="284"/>
        </w:tabs>
        <w:spacing w:after="0" w:line="240" w:lineRule="exact"/>
        <w:ind w:left="284" w:firstLine="0"/>
        <w:rPr>
          <w:rFonts w:asciiTheme="minorHAnsi" w:hAnsiTheme="minorHAnsi"/>
          <w:sz w:val="20"/>
          <w:szCs w:val="20"/>
          <w:lang w:val="es-MX"/>
        </w:rPr>
      </w:pPr>
    </w:p>
    <w:p w:rsidR="005069FD" w:rsidRPr="00BA4C6E" w:rsidRDefault="005069FD" w:rsidP="005069FD">
      <w:pPr>
        <w:pStyle w:val="INCISO"/>
        <w:tabs>
          <w:tab w:val="left" w:pos="284"/>
        </w:tabs>
        <w:spacing w:line="240" w:lineRule="exact"/>
        <w:ind w:left="284" w:firstLine="0"/>
        <w:rPr>
          <w:rFonts w:asciiTheme="minorHAnsi" w:hAnsiTheme="minorHAnsi"/>
          <w:b/>
          <w:sz w:val="20"/>
          <w:szCs w:val="20"/>
        </w:rPr>
      </w:pPr>
      <w:r w:rsidRPr="00BA4C6E">
        <w:rPr>
          <w:rFonts w:asciiTheme="minorHAnsi" w:hAnsiTheme="minorHAnsi"/>
          <w:b/>
          <w:sz w:val="20"/>
          <w:szCs w:val="20"/>
        </w:rPr>
        <w:t>Ingresos por Ventas de Bienes y Servicios de Organismos Descentralizados:</w:t>
      </w: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sz w:val="20"/>
          <w:szCs w:val="20"/>
        </w:rPr>
        <w:t xml:space="preserve">Representa un importe de </w:t>
      </w:r>
      <w:r w:rsidRPr="00BA4C6E">
        <w:rPr>
          <w:rFonts w:asciiTheme="minorHAnsi" w:hAnsiTheme="minorHAnsi"/>
          <w:b/>
          <w:sz w:val="20"/>
          <w:szCs w:val="20"/>
        </w:rPr>
        <w:t>$ 3,724</w:t>
      </w:r>
      <w:r w:rsidRPr="00BA4C6E">
        <w:rPr>
          <w:rFonts w:asciiTheme="minorHAnsi" w:hAnsiTheme="minorHAnsi"/>
          <w:sz w:val="20"/>
          <w:szCs w:val="20"/>
        </w:rPr>
        <w:t xml:space="preserve"> correspondiente a los ingresos propios de esta comisión por concepto de asesoría química y suministro de cloro, integrado por la venta de reactivos químicos como: hipoclorito de calcio, hipoclorito de sodio, gas cloro y refacciones químicas utilizadas por diferentes usuarios y organismos operadores de agua.</w:t>
      </w: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sz w:val="20"/>
          <w:szCs w:val="20"/>
        </w:rPr>
        <w:t>El recurso generado con el ingreso propio está incluido en el presupuesto de ingresos y egresos de esta comisión, necesario para su administración y operación.</w:t>
      </w:r>
    </w:p>
    <w:p w:rsidR="005069FD" w:rsidRDefault="005069FD" w:rsidP="005069FD">
      <w:pPr>
        <w:pStyle w:val="INCISO"/>
        <w:tabs>
          <w:tab w:val="left" w:pos="284"/>
        </w:tabs>
        <w:spacing w:line="240" w:lineRule="exact"/>
        <w:ind w:left="284" w:firstLine="0"/>
        <w:rPr>
          <w:rFonts w:asciiTheme="minorHAnsi" w:hAnsiTheme="minorHAnsi"/>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b/>
          <w:sz w:val="20"/>
          <w:szCs w:val="20"/>
        </w:rPr>
      </w:pPr>
      <w:r w:rsidRPr="00BA4C6E">
        <w:rPr>
          <w:rFonts w:asciiTheme="minorHAnsi" w:hAnsiTheme="minorHAnsi"/>
          <w:b/>
          <w:sz w:val="20"/>
          <w:szCs w:val="20"/>
        </w:rPr>
        <w:t>Participaciones, Aportaciones, Convenios, Incentivos Derivados de la Colaboración Fiscal, Fondos Distintos de Aportaciones, Transferencias, asignaciones, subsidios y Subvenciones y Pensiones y Jubilaciones.</w:t>
      </w:r>
    </w:p>
    <w:p w:rsidR="005069FD" w:rsidRPr="00BA4C6E" w:rsidRDefault="005069FD" w:rsidP="005069FD">
      <w:pPr>
        <w:pStyle w:val="INCISO"/>
        <w:tabs>
          <w:tab w:val="left" w:pos="284"/>
        </w:tabs>
        <w:spacing w:line="240" w:lineRule="exact"/>
        <w:ind w:left="284" w:firstLine="0"/>
        <w:rPr>
          <w:rFonts w:asciiTheme="minorHAnsi" w:hAnsiTheme="minorHAnsi"/>
          <w:b/>
          <w:sz w:val="20"/>
          <w:szCs w:val="20"/>
        </w:rPr>
      </w:pPr>
    </w:p>
    <w:p w:rsidR="00B06762" w:rsidRDefault="005069FD" w:rsidP="0036590F">
      <w:pPr>
        <w:tabs>
          <w:tab w:val="left" w:pos="284"/>
        </w:tabs>
        <w:spacing w:after="101" w:line="240" w:lineRule="exact"/>
        <w:jc w:val="both"/>
        <w:rPr>
          <w:rFonts w:asciiTheme="minorHAnsi" w:hAnsiTheme="minorHAnsi"/>
          <w:b/>
          <w:sz w:val="20"/>
          <w:szCs w:val="20"/>
        </w:rPr>
      </w:pPr>
      <w:r w:rsidRPr="00BA4C6E">
        <w:rPr>
          <w:rFonts w:asciiTheme="minorHAnsi" w:hAnsiTheme="minorHAnsi" w:cs="Arial"/>
          <w:b/>
          <w:sz w:val="20"/>
          <w:szCs w:val="20"/>
        </w:rPr>
        <w:t xml:space="preserve">Subsidios y subvenciones: </w:t>
      </w:r>
      <w:r w:rsidRPr="00BA4C6E">
        <w:rPr>
          <w:rFonts w:asciiTheme="minorHAnsi" w:hAnsiTheme="minorHAnsi" w:cs="Arial"/>
          <w:sz w:val="20"/>
          <w:szCs w:val="20"/>
        </w:rPr>
        <w:t xml:space="preserve">el importe que refleja esta partida es por </w:t>
      </w:r>
      <w:r w:rsidRPr="00BA4C6E">
        <w:rPr>
          <w:rFonts w:asciiTheme="minorHAnsi" w:hAnsiTheme="minorHAnsi" w:cs="Arial"/>
          <w:b/>
          <w:sz w:val="20"/>
          <w:szCs w:val="20"/>
        </w:rPr>
        <w:t>$ 90,</w:t>
      </w:r>
      <w:r>
        <w:rPr>
          <w:rFonts w:asciiTheme="minorHAnsi" w:hAnsiTheme="minorHAnsi" w:cs="Arial"/>
          <w:b/>
          <w:sz w:val="20"/>
          <w:szCs w:val="20"/>
        </w:rPr>
        <w:t>291,277</w:t>
      </w:r>
      <w:r w:rsidRPr="00BA4C6E">
        <w:rPr>
          <w:rFonts w:asciiTheme="minorHAnsi" w:hAnsiTheme="minorHAnsi" w:cs="Arial"/>
          <w:b/>
          <w:sz w:val="20"/>
          <w:szCs w:val="20"/>
        </w:rPr>
        <w:t xml:space="preserve"> </w:t>
      </w:r>
      <w:r w:rsidRPr="00BA4C6E">
        <w:rPr>
          <w:rFonts w:asciiTheme="minorHAnsi" w:hAnsiTheme="minorHAnsi" w:cs="Arial"/>
          <w:sz w:val="20"/>
          <w:szCs w:val="20"/>
        </w:rPr>
        <w:t>y se integra de los recursos que proporciona el gobierno del estado a esta comisión para cubrir sueldos del personal, gasto corriente y los gastos de operación de proyectos productivos necesarios para cubrir diversas necesidades de agua potable en el estado.</w:t>
      </w:r>
      <w:r w:rsidRPr="00BA4C6E">
        <w:rPr>
          <w:rFonts w:asciiTheme="minorHAnsi" w:eastAsia="Times New Roman" w:hAnsiTheme="minorHAnsi" w:cs="Arial"/>
          <w:sz w:val="20"/>
          <w:szCs w:val="20"/>
          <w:lang w:val="es-ES" w:eastAsia="es-ES"/>
        </w:rPr>
        <w:t xml:space="preserve"> </w:t>
      </w:r>
    </w:p>
    <w:p w:rsidR="005069FD" w:rsidRPr="00BA4C6E" w:rsidRDefault="005069FD" w:rsidP="005069FD">
      <w:pPr>
        <w:pStyle w:val="INCISO"/>
        <w:tabs>
          <w:tab w:val="left" w:pos="284"/>
        </w:tabs>
        <w:spacing w:line="240" w:lineRule="exact"/>
        <w:ind w:left="284" w:firstLine="0"/>
        <w:rPr>
          <w:rFonts w:asciiTheme="minorHAnsi" w:hAnsiTheme="minorHAnsi"/>
          <w:b/>
          <w:sz w:val="20"/>
          <w:szCs w:val="20"/>
        </w:rPr>
      </w:pPr>
      <w:r w:rsidRPr="00BA4C6E">
        <w:rPr>
          <w:rFonts w:asciiTheme="minorHAnsi" w:hAnsiTheme="minorHAnsi"/>
          <w:b/>
          <w:sz w:val="20"/>
          <w:szCs w:val="20"/>
        </w:rPr>
        <w:t>Otros ingresos y beneficios</w:t>
      </w:r>
    </w:p>
    <w:p w:rsidR="005069FD" w:rsidRPr="00BA4C6E" w:rsidRDefault="005069FD" w:rsidP="005069FD">
      <w:pPr>
        <w:pStyle w:val="INCISO"/>
        <w:tabs>
          <w:tab w:val="left" w:pos="284"/>
        </w:tabs>
        <w:spacing w:line="240" w:lineRule="exact"/>
        <w:ind w:left="284" w:firstLine="0"/>
        <w:rPr>
          <w:rFonts w:asciiTheme="minorHAnsi" w:hAnsiTheme="minorHAnsi"/>
          <w:b/>
          <w:sz w:val="20"/>
          <w:szCs w:val="20"/>
        </w:rPr>
      </w:pPr>
      <w:r w:rsidRPr="00BA4C6E">
        <w:rPr>
          <w:rFonts w:asciiTheme="minorHAnsi" w:hAnsiTheme="minorHAnsi"/>
          <w:b/>
          <w:sz w:val="20"/>
          <w:szCs w:val="20"/>
        </w:rPr>
        <w:lastRenderedPageBreak/>
        <w:t>Ingresos financieros.</w:t>
      </w:r>
    </w:p>
    <w:p w:rsidR="005069FD" w:rsidRDefault="005069FD" w:rsidP="005069FD">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b/>
          <w:sz w:val="20"/>
          <w:szCs w:val="20"/>
        </w:rPr>
        <w:t xml:space="preserve">Intereses ganados de valores, créditos, bonos y otros.- </w:t>
      </w:r>
      <w:r w:rsidRPr="00BA4C6E">
        <w:rPr>
          <w:rFonts w:asciiTheme="minorHAnsi" w:hAnsiTheme="minorHAnsi"/>
          <w:sz w:val="20"/>
          <w:szCs w:val="20"/>
        </w:rPr>
        <w:t xml:space="preserve">Esta partida muestra un saldo al 31 de diciembre de 2022 por </w:t>
      </w:r>
      <w:r w:rsidRPr="00BA4C6E">
        <w:rPr>
          <w:rFonts w:asciiTheme="minorHAnsi" w:hAnsiTheme="minorHAnsi"/>
          <w:b/>
          <w:sz w:val="20"/>
          <w:szCs w:val="20"/>
        </w:rPr>
        <w:t>$18,83</w:t>
      </w:r>
      <w:r>
        <w:rPr>
          <w:rFonts w:asciiTheme="minorHAnsi" w:hAnsiTheme="minorHAnsi"/>
          <w:b/>
          <w:sz w:val="20"/>
          <w:szCs w:val="20"/>
        </w:rPr>
        <w:t>4</w:t>
      </w:r>
      <w:r w:rsidRPr="00BA4C6E">
        <w:rPr>
          <w:rFonts w:asciiTheme="minorHAnsi" w:hAnsiTheme="minorHAnsi"/>
          <w:b/>
          <w:sz w:val="20"/>
          <w:szCs w:val="20"/>
        </w:rPr>
        <w:t xml:space="preserve"> </w:t>
      </w:r>
      <w:r w:rsidRPr="00BA4C6E">
        <w:rPr>
          <w:rFonts w:asciiTheme="minorHAnsi" w:hAnsiTheme="minorHAnsi"/>
          <w:sz w:val="20"/>
          <w:szCs w:val="20"/>
        </w:rPr>
        <w:t>correspondiente a intereses generados de las cuentas bancarias.</w:t>
      </w:r>
    </w:p>
    <w:p w:rsidR="00B06762" w:rsidRDefault="00B06762" w:rsidP="005069FD">
      <w:pPr>
        <w:pStyle w:val="INCISO"/>
        <w:tabs>
          <w:tab w:val="left" w:pos="284"/>
        </w:tabs>
        <w:spacing w:after="0" w:line="240" w:lineRule="exact"/>
        <w:ind w:left="284" w:firstLine="0"/>
        <w:rPr>
          <w:rFonts w:asciiTheme="minorHAnsi" w:hAnsiTheme="minorHAnsi"/>
          <w:sz w:val="20"/>
          <w:szCs w:val="20"/>
          <w:lang w:val="es-MX"/>
        </w:rPr>
      </w:pPr>
    </w:p>
    <w:p w:rsidR="005069FD" w:rsidRPr="00D37B4A" w:rsidRDefault="005069FD" w:rsidP="005069FD">
      <w:pPr>
        <w:pStyle w:val="INCISO"/>
        <w:tabs>
          <w:tab w:val="left" w:pos="284"/>
        </w:tabs>
        <w:spacing w:after="0" w:line="240" w:lineRule="exact"/>
        <w:ind w:left="284" w:firstLine="0"/>
        <w:rPr>
          <w:rFonts w:asciiTheme="minorHAnsi" w:hAnsiTheme="minorHAnsi"/>
          <w:sz w:val="20"/>
          <w:szCs w:val="20"/>
          <w:lang w:val="es-MX"/>
        </w:rPr>
      </w:pPr>
      <w:r w:rsidRPr="00D37B4A">
        <w:rPr>
          <w:rFonts w:asciiTheme="minorHAnsi" w:hAnsiTheme="minorHAnsi"/>
          <w:sz w:val="20"/>
          <w:szCs w:val="20"/>
          <w:lang w:val="es-MX"/>
        </w:rPr>
        <w:t xml:space="preserve">El importe de los ingresos de la Comisión Estatal del Agua de Tamaulipas, reflejado en el Estado de Actividades al 31 de diciembre de 2022, es por  </w:t>
      </w:r>
      <w:r w:rsidRPr="0013650A">
        <w:rPr>
          <w:rFonts w:asciiTheme="minorHAnsi" w:hAnsiTheme="minorHAnsi"/>
          <w:b/>
          <w:sz w:val="20"/>
          <w:szCs w:val="20"/>
          <w:lang w:val="es-MX"/>
        </w:rPr>
        <w:t>$ 90</w:t>
      </w:r>
      <w:proofErr w:type="gramStart"/>
      <w:r w:rsidRPr="0013650A">
        <w:rPr>
          <w:rFonts w:asciiTheme="minorHAnsi" w:hAnsiTheme="minorHAnsi"/>
          <w:b/>
          <w:sz w:val="20"/>
          <w:szCs w:val="20"/>
          <w:lang w:val="es-MX"/>
        </w:rPr>
        <w:t>,313,835</w:t>
      </w:r>
      <w:proofErr w:type="gramEnd"/>
      <w:r w:rsidRPr="0013650A">
        <w:rPr>
          <w:rFonts w:asciiTheme="minorHAnsi" w:hAnsiTheme="minorHAnsi"/>
          <w:b/>
          <w:sz w:val="20"/>
          <w:szCs w:val="20"/>
          <w:lang w:val="es-MX"/>
        </w:rPr>
        <w:t>,</w:t>
      </w:r>
      <w:r w:rsidRPr="00D37B4A">
        <w:rPr>
          <w:rFonts w:asciiTheme="minorHAnsi" w:hAnsiTheme="minorHAnsi"/>
          <w:sz w:val="20"/>
          <w:szCs w:val="20"/>
          <w:lang w:val="es-MX"/>
        </w:rPr>
        <w:t xml:space="preserve"> de los cuales </w:t>
      </w:r>
      <w:r w:rsidRPr="0013650A">
        <w:rPr>
          <w:rFonts w:asciiTheme="minorHAnsi" w:hAnsiTheme="minorHAnsi"/>
          <w:b/>
          <w:sz w:val="20"/>
          <w:szCs w:val="20"/>
          <w:lang w:val="es-MX"/>
        </w:rPr>
        <w:t>$ 90,291,277</w:t>
      </w:r>
      <w:r w:rsidRPr="00D37B4A">
        <w:rPr>
          <w:rFonts w:asciiTheme="minorHAnsi" w:hAnsiTheme="minorHAnsi"/>
          <w:sz w:val="20"/>
          <w:szCs w:val="20"/>
          <w:lang w:val="es-MX"/>
        </w:rPr>
        <w:t xml:space="preserve"> corresponde a Ingresos por subsidio, depositados por la Secretaría de Finanzas del Gobierno del Estado de Tamaulipas.</w:t>
      </w:r>
    </w:p>
    <w:p w:rsidR="005069FD" w:rsidRDefault="005069FD" w:rsidP="005069FD">
      <w:pPr>
        <w:pStyle w:val="INCISO"/>
        <w:tabs>
          <w:tab w:val="left" w:pos="284"/>
        </w:tabs>
        <w:spacing w:after="0" w:line="240" w:lineRule="exact"/>
        <w:ind w:left="284" w:firstLine="0"/>
        <w:rPr>
          <w:rFonts w:asciiTheme="minorHAnsi" w:hAnsiTheme="minorHAnsi"/>
          <w:sz w:val="20"/>
          <w:szCs w:val="20"/>
          <w:lang w:val="es-MX"/>
        </w:rPr>
      </w:pPr>
    </w:p>
    <w:p w:rsidR="005069FD" w:rsidRDefault="005069FD" w:rsidP="005069FD">
      <w:pPr>
        <w:pStyle w:val="INCISO"/>
        <w:tabs>
          <w:tab w:val="left" w:pos="284"/>
        </w:tabs>
        <w:spacing w:after="0" w:line="240" w:lineRule="exact"/>
        <w:ind w:left="284" w:firstLine="0"/>
        <w:rPr>
          <w:rFonts w:asciiTheme="minorHAnsi" w:hAnsiTheme="minorHAnsi"/>
          <w:sz w:val="20"/>
          <w:szCs w:val="20"/>
          <w:lang w:val="es-MX"/>
        </w:rPr>
      </w:pPr>
      <w:r w:rsidRPr="00D37B4A">
        <w:rPr>
          <w:rFonts w:asciiTheme="minorHAnsi" w:hAnsiTheme="minorHAnsi"/>
          <w:sz w:val="20"/>
          <w:szCs w:val="20"/>
          <w:lang w:val="es-MX"/>
        </w:rPr>
        <w:t>Lo reflejado en la conciliación realizada el 23 de enero de 2023 CEAT-SFGE refleja lo siguiente:</w:t>
      </w:r>
    </w:p>
    <w:p w:rsidR="005069FD" w:rsidRPr="00D37B4A" w:rsidRDefault="005069FD" w:rsidP="005069FD">
      <w:pPr>
        <w:pStyle w:val="INCISO"/>
        <w:tabs>
          <w:tab w:val="left" w:pos="284"/>
        </w:tabs>
        <w:spacing w:after="0" w:line="240" w:lineRule="exact"/>
        <w:ind w:left="284" w:firstLine="0"/>
        <w:rPr>
          <w:rFonts w:asciiTheme="minorHAnsi" w:hAnsiTheme="minorHAnsi"/>
          <w:sz w:val="20"/>
          <w:szCs w:val="20"/>
          <w:lang w:val="es-MX"/>
        </w:rPr>
      </w:pPr>
    </w:p>
    <w:p w:rsidR="005069FD" w:rsidRDefault="005069FD" w:rsidP="005069FD">
      <w:pPr>
        <w:pStyle w:val="INCISO"/>
        <w:numPr>
          <w:ilvl w:val="0"/>
          <w:numId w:val="35"/>
        </w:numPr>
        <w:tabs>
          <w:tab w:val="left" w:pos="284"/>
        </w:tabs>
        <w:spacing w:after="0" w:line="240" w:lineRule="exact"/>
        <w:rPr>
          <w:rFonts w:asciiTheme="minorHAnsi" w:hAnsiTheme="minorHAnsi"/>
          <w:sz w:val="20"/>
          <w:szCs w:val="20"/>
          <w:lang w:val="es-MX"/>
        </w:rPr>
      </w:pPr>
      <w:r w:rsidRPr="0094756B">
        <w:rPr>
          <w:rFonts w:asciiTheme="minorHAnsi" w:hAnsiTheme="minorHAnsi"/>
          <w:b/>
          <w:sz w:val="20"/>
          <w:szCs w:val="20"/>
          <w:lang w:val="es-MX"/>
        </w:rPr>
        <w:t>$ 3</w:t>
      </w:r>
      <w:proofErr w:type="gramStart"/>
      <w:r w:rsidRPr="0094756B">
        <w:rPr>
          <w:rFonts w:asciiTheme="minorHAnsi" w:hAnsiTheme="minorHAnsi"/>
          <w:b/>
          <w:sz w:val="20"/>
          <w:szCs w:val="20"/>
          <w:lang w:val="es-MX"/>
        </w:rPr>
        <w:t>,594,060</w:t>
      </w:r>
      <w:proofErr w:type="gramEnd"/>
      <w:r w:rsidRPr="00D37B4A">
        <w:rPr>
          <w:rFonts w:asciiTheme="minorHAnsi" w:hAnsiTheme="minorHAnsi"/>
          <w:sz w:val="20"/>
          <w:szCs w:val="20"/>
          <w:lang w:val="es-MX"/>
        </w:rPr>
        <w:t xml:space="preserve"> correspondiente a la elaboración y entrega de cheque a usuarios del Distrito 026 Bajo R</w:t>
      </w:r>
      <w:r>
        <w:rPr>
          <w:rFonts w:asciiTheme="minorHAnsi" w:hAnsiTheme="minorHAnsi"/>
          <w:sz w:val="20"/>
          <w:szCs w:val="20"/>
          <w:lang w:val="es-MX"/>
        </w:rPr>
        <w:t>ío</w:t>
      </w:r>
      <w:r w:rsidRPr="00D37B4A">
        <w:rPr>
          <w:rFonts w:asciiTheme="minorHAnsi" w:hAnsiTheme="minorHAnsi"/>
          <w:sz w:val="20"/>
          <w:szCs w:val="20"/>
          <w:lang w:val="es-MX"/>
        </w:rPr>
        <w:t xml:space="preserve"> San Juan, los cuales fueron realizados por la SFGE a favor de cada uno de los beneficiarios, por lo tanto el recurso no ingresa a la CEAT.</w:t>
      </w:r>
    </w:p>
    <w:p w:rsidR="005069FD" w:rsidRDefault="005069FD" w:rsidP="005069FD">
      <w:pPr>
        <w:pStyle w:val="INCISO"/>
        <w:numPr>
          <w:ilvl w:val="0"/>
          <w:numId w:val="35"/>
        </w:numPr>
        <w:tabs>
          <w:tab w:val="left" w:pos="284"/>
        </w:tabs>
        <w:spacing w:after="0" w:line="240" w:lineRule="exact"/>
        <w:rPr>
          <w:rFonts w:asciiTheme="minorHAnsi" w:hAnsiTheme="minorHAnsi"/>
          <w:sz w:val="20"/>
          <w:szCs w:val="20"/>
          <w:lang w:val="es-MX"/>
        </w:rPr>
      </w:pPr>
      <w:r w:rsidRPr="0094756B">
        <w:rPr>
          <w:rFonts w:asciiTheme="minorHAnsi" w:hAnsiTheme="minorHAnsi"/>
          <w:b/>
          <w:sz w:val="20"/>
          <w:szCs w:val="20"/>
          <w:lang w:val="es-MX"/>
        </w:rPr>
        <w:t>$ 250,000</w:t>
      </w:r>
      <w:r>
        <w:rPr>
          <w:rFonts w:asciiTheme="minorHAnsi" w:hAnsiTheme="minorHAnsi"/>
          <w:sz w:val="20"/>
          <w:szCs w:val="20"/>
          <w:lang w:val="es-MX"/>
        </w:rPr>
        <w:t xml:space="preserve"> correspondiente a convenio de coordinación para el fortalecimiento Cuenca Río Bravo, el cual fue depositado directamente a la cuenta bancaria de dicho Organismo.</w:t>
      </w:r>
    </w:p>
    <w:p w:rsidR="005069FD" w:rsidRPr="00520A9F" w:rsidRDefault="005069FD" w:rsidP="005069FD">
      <w:pPr>
        <w:pStyle w:val="INCISO"/>
        <w:numPr>
          <w:ilvl w:val="0"/>
          <w:numId w:val="35"/>
        </w:numPr>
        <w:tabs>
          <w:tab w:val="left" w:pos="284"/>
        </w:tabs>
        <w:spacing w:after="0" w:line="240" w:lineRule="exact"/>
        <w:rPr>
          <w:rFonts w:asciiTheme="minorHAnsi" w:hAnsiTheme="minorHAnsi"/>
          <w:sz w:val="20"/>
          <w:szCs w:val="20"/>
          <w:lang w:val="es-MX"/>
        </w:rPr>
      </w:pPr>
      <w:r>
        <w:rPr>
          <w:rFonts w:asciiTheme="minorHAnsi" w:hAnsiTheme="minorHAnsi"/>
          <w:b/>
          <w:sz w:val="20"/>
          <w:szCs w:val="20"/>
          <w:lang w:val="es-MX"/>
        </w:rPr>
        <w:t>$ 2</w:t>
      </w:r>
      <w:proofErr w:type="gramStart"/>
      <w:r>
        <w:rPr>
          <w:rFonts w:asciiTheme="minorHAnsi" w:hAnsiTheme="minorHAnsi"/>
          <w:b/>
          <w:sz w:val="20"/>
          <w:szCs w:val="20"/>
          <w:lang w:val="es-MX"/>
        </w:rPr>
        <w:t>,118,450</w:t>
      </w:r>
      <w:proofErr w:type="gramEnd"/>
      <w:r>
        <w:rPr>
          <w:rFonts w:asciiTheme="minorHAnsi" w:hAnsiTheme="minorHAnsi"/>
          <w:b/>
          <w:sz w:val="20"/>
          <w:szCs w:val="20"/>
          <w:lang w:val="es-MX"/>
        </w:rPr>
        <w:t xml:space="preserve"> </w:t>
      </w:r>
      <w:r w:rsidRPr="00520A9F">
        <w:rPr>
          <w:rFonts w:asciiTheme="minorHAnsi" w:hAnsiTheme="minorHAnsi"/>
          <w:sz w:val="20"/>
          <w:szCs w:val="20"/>
          <w:lang w:val="es-MX"/>
        </w:rPr>
        <w:t>correspondiente a recursos depositados  por el Fondo de Fomento Agropecuario del Estado de Tamaulipas (FOFAET).</w:t>
      </w:r>
    </w:p>
    <w:p w:rsidR="005069FD" w:rsidRDefault="005069FD" w:rsidP="005069FD">
      <w:pPr>
        <w:pStyle w:val="INCISO"/>
        <w:tabs>
          <w:tab w:val="left" w:pos="284"/>
        </w:tabs>
        <w:spacing w:after="0" w:line="240" w:lineRule="exact"/>
        <w:ind w:left="284" w:firstLine="0"/>
        <w:rPr>
          <w:rFonts w:asciiTheme="minorHAnsi" w:hAnsiTheme="minorHAnsi"/>
          <w:b/>
          <w:sz w:val="20"/>
          <w:szCs w:val="20"/>
          <w:lang w:val="es-MX"/>
        </w:rPr>
      </w:pPr>
    </w:p>
    <w:p w:rsidR="005069FD" w:rsidRPr="00374036" w:rsidRDefault="005069FD" w:rsidP="005069FD">
      <w:pPr>
        <w:pStyle w:val="INCISO"/>
        <w:tabs>
          <w:tab w:val="left" w:pos="284"/>
        </w:tabs>
        <w:spacing w:line="240" w:lineRule="exact"/>
        <w:ind w:left="284" w:firstLine="0"/>
        <w:jc w:val="center"/>
        <w:rPr>
          <w:rFonts w:asciiTheme="minorHAnsi" w:hAnsiTheme="minorHAnsi"/>
          <w:b/>
          <w:sz w:val="20"/>
          <w:szCs w:val="20"/>
        </w:rPr>
      </w:pPr>
      <w:r w:rsidRPr="00374036">
        <w:rPr>
          <w:rFonts w:asciiTheme="minorHAnsi" w:hAnsiTheme="minorHAnsi"/>
          <w:b/>
          <w:sz w:val="20"/>
          <w:szCs w:val="20"/>
        </w:rPr>
        <w:t>Ingresos en el estado de actividades</w:t>
      </w:r>
    </w:p>
    <w:p w:rsidR="005069FD" w:rsidRDefault="005069FD" w:rsidP="005069FD">
      <w:pPr>
        <w:pStyle w:val="INCISO"/>
        <w:tabs>
          <w:tab w:val="left" w:pos="284"/>
        </w:tabs>
        <w:spacing w:line="240" w:lineRule="exact"/>
        <w:ind w:left="0" w:firstLine="0"/>
        <w:rPr>
          <w:rFonts w:asciiTheme="minorHAnsi" w:hAnsiTheme="minorHAnsi"/>
          <w:sz w:val="20"/>
          <w:szCs w:val="20"/>
        </w:rPr>
      </w:pPr>
    </w:p>
    <w:tbl>
      <w:tblPr>
        <w:tblpPr w:leftFromText="141" w:rightFromText="141" w:vertAnchor="text" w:horzAnchor="margin" w:tblpXSpec="center" w:tblpY="55"/>
        <w:tblW w:w="7400" w:type="dxa"/>
        <w:tblCellMar>
          <w:left w:w="70" w:type="dxa"/>
          <w:right w:w="70" w:type="dxa"/>
        </w:tblCellMar>
        <w:tblLook w:val="04A0" w:firstRow="1" w:lastRow="0" w:firstColumn="1" w:lastColumn="0" w:noHBand="0" w:noVBand="1"/>
      </w:tblPr>
      <w:tblGrid>
        <w:gridCol w:w="4920"/>
        <w:gridCol w:w="2480"/>
      </w:tblGrid>
      <w:tr w:rsidR="005069FD" w:rsidRPr="00E5469E" w:rsidTr="00C07EAF">
        <w:trPr>
          <w:trHeight w:val="315"/>
        </w:trPr>
        <w:tc>
          <w:tcPr>
            <w:tcW w:w="4920" w:type="dxa"/>
            <w:tcBorders>
              <w:top w:val="nil"/>
              <w:left w:val="single" w:sz="8" w:space="0" w:color="auto"/>
              <w:bottom w:val="single" w:sz="8" w:space="0" w:color="auto"/>
              <w:right w:val="single" w:sz="8" w:space="0" w:color="auto"/>
            </w:tcBorders>
            <w:shd w:val="clear" w:color="auto" w:fill="AB0033"/>
            <w:vAlign w:val="center"/>
            <w:hideMark/>
          </w:tcPr>
          <w:p w:rsidR="005069FD" w:rsidRPr="00E5469E" w:rsidRDefault="005069FD" w:rsidP="00C07EAF">
            <w:pPr>
              <w:spacing w:after="0"/>
              <w:jc w:val="center"/>
              <w:rPr>
                <w:rFonts w:eastAsia="Times New Roman"/>
                <w:b/>
                <w:bCs/>
                <w:color w:val="FFFFFF"/>
                <w:sz w:val="16"/>
                <w:szCs w:val="16"/>
                <w:lang w:eastAsia="es-MX"/>
              </w:rPr>
            </w:pPr>
            <w:r w:rsidRPr="00E5469E">
              <w:rPr>
                <w:rFonts w:eastAsia="Times New Roman"/>
                <w:b/>
                <w:bCs/>
                <w:color w:val="FFFFFF"/>
                <w:sz w:val="16"/>
                <w:szCs w:val="16"/>
                <w:lang w:eastAsia="es-MX"/>
              </w:rPr>
              <w:t xml:space="preserve">Total Ingresos </w:t>
            </w:r>
          </w:p>
        </w:tc>
        <w:tc>
          <w:tcPr>
            <w:tcW w:w="2480" w:type="dxa"/>
            <w:tcBorders>
              <w:top w:val="nil"/>
              <w:left w:val="nil"/>
              <w:bottom w:val="single" w:sz="8" w:space="0" w:color="auto"/>
              <w:right w:val="single" w:sz="8" w:space="0" w:color="auto"/>
            </w:tcBorders>
            <w:shd w:val="clear" w:color="auto" w:fill="AB0033"/>
            <w:noWrap/>
            <w:vAlign w:val="center"/>
            <w:hideMark/>
          </w:tcPr>
          <w:p w:rsidR="005069FD" w:rsidRPr="00E5469E" w:rsidRDefault="005069FD" w:rsidP="00C07EAF">
            <w:pPr>
              <w:spacing w:after="0"/>
              <w:jc w:val="right"/>
              <w:rPr>
                <w:rFonts w:eastAsia="Times New Roman"/>
                <w:b/>
                <w:bCs/>
                <w:color w:val="FFFFFF"/>
                <w:sz w:val="16"/>
                <w:szCs w:val="16"/>
                <w:lang w:eastAsia="es-MX"/>
              </w:rPr>
            </w:pPr>
            <w:r w:rsidRPr="00E5469E">
              <w:rPr>
                <w:rFonts w:eastAsia="Times New Roman"/>
                <w:b/>
                <w:bCs/>
                <w:color w:val="FFFFFF"/>
                <w:sz w:val="16"/>
                <w:szCs w:val="16"/>
                <w:lang w:eastAsia="es-MX"/>
              </w:rPr>
              <w:t> </w:t>
            </w:r>
          </w:p>
        </w:tc>
      </w:tr>
      <w:tr w:rsidR="005069FD" w:rsidRPr="00E5469E" w:rsidTr="00C07EAF">
        <w:trPr>
          <w:trHeight w:val="315"/>
        </w:trPr>
        <w:tc>
          <w:tcPr>
            <w:tcW w:w="4920" w:type="dxa"/>
            <w:tcBorders>
              <w:top w:val="nil"/>
              <w:left w:val="single" w:sz="8" w:space="0" w:color="auto"/>
              <w:bottom w:val="single" w:sz="8" w:space="0" w:color="auto"/>
              <w:right w:val="single" w:sz="8" w:space="0" w:color="auto"/>
            </w:tcBorders>
            <w:shd w:val="clear" w:color="auto" w:fill="auto"/>
            <w:vAlign w:val="center"/>
            <w:hideMark/>
          </w:tcPr>
          <w:p w:rsidR="005069FD" w:rsidRPr="00E5469E" w:rsidRDefault="005069FD" w:rsidP="00C07EAF">
            <w:pPr>
              <w:spacing w:after="0"/>
              <w:rPr>
                <w:rFonts w:eastAsia="Times New Roman"/>
                <w:color w:val="000000"/>
                <w:sz w:val="16"/>
                <w:szCs w:val="16"/>
                <w:lang w:eastAsia="es-MX"/>
              </w:rPr>
            </w:pPr>
            <w:r w:rsidRPr="00E5469E">
              <w:rPr>
                <w:rFonts w:eastAsia="Times New Roman"/>
                <w:color w:val="000000"/>
                <w:sz w:val="16"/>
                <w:szCs w:val="16"/>
                <w:lang w:eastAsia="es-MX"/>
              </w:rPr>
              <w:t>Ingresos por Subsidios y subvenciones</w:t>
            </w:r>
          </w:p>
        </w:tc>
        <w:tc>
          <w:tcPr>
            <w:tcW w:w="2480" w:type="dxa"/>
            <w:tcBorders>
              <w:top w:val="nil"/>
              <w:left w:val="nil"/>
              <w:bottom w:val="single" w:sz="8" w:space="0" w:color="auto"/>
              <w:right w:val="single" w:sz="8" w:space="0" w:color="auto"/>
            </w:tcBorders>
            <w:shd w:val="clear" w:color="auto" w:fill="auto"/>
            <w:noWrap/>
            <w:vAlign w:val="center"/>
            <w:hideMark/>
          </w:tcPr>
          <w:p w:rsidR="005069FD" w:rsidRPr="00E5469E" w:rsidRDefault="005069FD" w:rsidP="00C07EAF">
            <w:pPr>
              <w:spacing w:after="0"/>
              <w:jc w:val="right"/>
              <w:rPr>
                <w:rFonts w:eastAsia="Times New Roman"/>
                <w:color w:val="000000"/>
                <w:sz w:val="16"/>
                <w:szCs w:val="16"/>
                <w:lang w:eastAsia="es-MX"/>
              </w:rPr>
            </w:pPr>
            <w:r w:rsidRPr="00E5469E">
              <w:rPr>
                <w:rFonts w:eastAsia="Times New Roman"/>
                <w:color w:val="000000"/>
                <w:sz w:val="16"/>
                <w:szCs w:val="16"/>
                <w:lang w:eastAsia="es-MX"/>
              </w:rPr>
              <w:t>90,291,277</w:t>
            </w:r>
          </w:p>
        </w:tc>
      </w:tr>
      <w:tr w:rsidR="005069FD" w:rsidRPr="00E5469E" w:rsidTr="00C07EAF">
        <w:trPr>
          <w:trHeight w:val="315"/>
        </w:trPr>
        <w:tc>
          <w:tcPr>
            <w:tcW w:w="4920" w:type="dxa"/>
            <w:tcBorders>
              <w:top w:val="nil"/>
              <w:left w:val="single" w:sz="8" w:space="0" w:color="auto"/>
              <w:bottom w:val="single" w:sz="8" w:space="0" w:color="auto"/>
              <w:right w:val="single" w:sz="8" w:space="0" w:color="auto"/>
            </w:tcBorders>
            <w:shd w:val="clear" w:color="auto" w:fill="auto"/>
            <w:vAlign w:val="center"/>
            <w:hideMark/>
          </w:tcPr>
          <w:p w:rsidR="005069FD" w:rsidRPr="00E5469E" w:rsidRDefault="005069FD" w:rsidP="00C07EAF">
            <w:pPr>
              <w:spacing w:after="0"/>
              <w:rPr>
                <w:rFonts w:eastAsia="Times New Roman"/>
                <w:color w:val="000000"/>
                <w:sz w:val="16"/>
                <w:szCs w:val="16"/>
                <w:lang w:eastAsia="es-MX"/>
              </w:rPr>
            </w:pPr>
            <w:r w:rsidRPr="00E5469E">
              <w:rPr>
                <w:rFonts w:eastAsia="Times New Roman"/>
                <w:color w:val="000000"/>
                <w:sz w:val="16"/>
                <w:szCs w:val="16"/>
                <w:lang w:eastAsia="es-MX"/>
              </w:rPr>
              <w:t xml:space="preserve">Ingresos por Ventas de Bienes Y Servicios </w:t>
            </w:r>
          </w:p>
        </w:tc>
        <w:tc>
          <w:tcPr>
            <w:tcW w:w="2480" w:type="dxa"/>
            <w:tcBorders>
              <w:top w:val="nil"/>
              <w:left w:val="nil"/>
              <w:bottom w:val="single" w:sz="8" w:space="0" w:color="auto"/>
              <w:right w:val="single" w:sz="8" w:space="0" w:color="auto"/>
            </w:tcBorders>
            <w:shd w:val="clear" w:color="auto" w:fill="auto"/>
            <w:noWrap/>
            <w:vAlign w:val="center"/>
            <w:hideMark/>
          </w:tcPr>
          <w:p w:rsidR="005069FD" w:rsidRPr="00E5469E" w:rsidRDefault="005069FD" w:rsidP="00C07EAF">
            <w:pPr>
              <w:spacing w:after="0"/>
              <w:jc w:val="right"/>
              <w:rPr>
                <w:rFonts w:eastAsia="Times New Roman"/>
                <w:color w:val="000000"/>
                <w:sz w:val="16"/>
                <w:szCs w:val="16"/>
                <w:lang w:eastAsia="es-MX"/>
              </w:rPr>
            </w:pPr>
            <w:r w:rsidRPr="00E5469E">
              <w:rPr>
                <w:rFonts w:eastAsia="Times New Roman"/>
                <w:color w:val="000000"/>
                <w:sz w:val="16"/>
                <w:szCs w:val="16"/>
                <w:lang w:eastAsia="es-MX"/>
              </w:rPr>
              <w:t>3,724</w:t>
            </w:r>
          </w:p>
        </w:tc>
      </w:tr>
      <w:tr w:rsidR="005069FD" w:rsidRPr="00E5469E" w:rsidTr="00C07EAF">
        <w:trPr>
          <w:trHeight w:val="315"/>
        </w:trPr>
        <w:tc>
          <w:tcPr>
            <w:tcW w:w="4920" w:type="dxa"/>
            <w:tcBorders>
              <w:top w:val="nil"/>
              <w:left w:val="single" w:sz="8" w:space="0" w:color="auto"/>
              <w:bottom w:val="single" w:sz="8" w:space="0" w:color="auto"/>
              <w:right w:val="single" w:sz="8" w:space="0" w:color="auto"/>
            </w:tcBorders>
            <w:shd w:val="clear" w:color="auto" w:fill="auto"/>
            <w:vAlign w:val="center"/>
            <w:hideMark/>
          </w:tcPr>
          <w:p w:rsidR="005069FD" w:rsidRPr="00E5469E" w:rsidRDefault="005069FD" w:rsidP="00C07EAF">
            <w:pPr>
              <w:spacing w:after="0"/>
              <w:rPr>
                <w:rFonts w:eastAsia="Times New Roman"/>
                <w:color w:val="000000"/>
                <w:sz w:val="16"/>
                <w:szCs w:val="16"/>
                <w:lang w:eastAsia="es-MX"/>
              </w:rPr>
            </w:pPr>
            <w:r w:rsidRPr="00E5469E">
              <w:rPr>
                <w:rFonts w:eastAsia="Times New Roman"/>
                <w:color w:val="000000"/>
                <w:sz w:val="16"/>
                <w:szCs w:val="16"/>
                <w:lang w:eastAsia="es-MX"/>
              </w:rPr>
              <w:t xml:space="preserve">Ingresos Financieros </w:t>
            </w:r>
          </w:p>
        </w:tc>
        <w:tc>
          <w:tcPr>
            <w:tcW w:w="2480" w:type="dxa"/>
            <w:tcBorders>
              <w:top w:val="nil"/>
              <w:left w:val="nil"/>
              <w:bottom w:val="single" w:sz="8" w:space="0" w:color="auto"/>
              <w:right w:val="single" w:sz="8" w:space="0" w:color="auto"/>
            </w:tcBorders>
            <w:shd w:val="clear" w:color="auto" w:fill="auto"/>
            <w:noWrap/>
            <w:vAlign w:val="center"/>
            <w:hideMark/>
          </w:tcPr>
          <w:p w:rsidR="005069FD" w:rsidRPr="00E5469E" w:rsidRDefault="005069FD" w:rsidP="00C07EAF">
            <w:pPr>
              <w:spacing w:after="0"/>
              <w:jc w:val="right"/>
              <w:rPr>
                <w:rFonts w:eastAsia="Times New Roman"/>
                <w:color w:val="000000"/>
                <w:sz w:val="16"/>
                <w:szCs w:val="16"/>
                <w:lang w:eastAsia="es-MX"/>
              </w:rPr>
            </w:pPr>
            <w:r w:rsidRPr="00E5469E">
              <w:rPr>
                <w:rFonts w:eastAsia="Times New Roman"/>
                <w:color w:val="000000"/>
                <w:sz w:val="16"/>
                <w:szCs w:val="16"/>
                <w:lang w:eastAsia="es-MX"/>
              </w:rPr>
              <w:t>18,834</w:t>
            </w:r>
          </w:p>
        </w:tc>
      </w:tr>
      <w:tr w:rsidR="005069FD" w:rsidRPr="00E5469E" w:rsidTr="00C07EAF">
        <w:trPr>
          <w:trHeight w:val="315"/>
        </w:trPr>
        <w:tc>
          <w:tcPr>
            <w:tcW w:w="4920" w:type="dxa"/>
            <w:tcBorders>
              <w:top w:val="nil"/>
              <w:left w:val="single" w:sz="8" w:space="0" w:color="auto"/>
              <w:bottom w:val="single" w:sz="8" w:space="0" w:color="auto"/>
              <w:right w:val="single" w:sz="8" w:space="0" w:color="auto"/>
            </w:tcBorders>
            <w:shd w:val="clear" w:color="auto" w:fill="AB0033"/>
            <w:vAlign w:val="center"/>
            <w:hideMark/>
          </w:tcPr>
          <w:p w:rsidR="005069FD" w:rsidRPr="00E5469E" w:rsidRDefault="005069FD" w:rsidP="00C07EAF">
            <w:pPr>
              <w:spacing w:after="0"/>
              <w:jc w:val="center"/>
              <w:rPr>
                <w:rFonts w:eastAsia="Times New Roman"/>
                <w:b/>
                <w:bCs/>
                <w:color w:val="FFFFFF"/>
                <w:sz w:val="16"/>
                <w:szCs w:val="16"/>
                <w:lang w:eastAsia="es-MX"/>
              </w:rPr>
            </w:pPr>
            <w:r w:rsidRPr="00E5469E">
              <w:rPr>
                <w:rFonts w:eastAsia="Times New Roman"/>
                <w:b/>
                <w:bCs/>
                <w:color w:val="FFFFFF"/>
                <w:sz w:val="16"/>
                <w:szCs w:val="16"/>
                <w:lang w:eastAsia="es-MX"/>
              </w:rPr>
              <w:t xml:space="preserve">Total Ingresos </w:t>
            </w:r>
            <w:r>
              <w:rPr>
                <w:rFonts w:eastAsia="Times New Roman"/>
                <w:b/>
                <w:bCs/>
                <w:color w:val="FFFFFF"/>
                <w:sz w:val="16"/>
                <w:szCs w:val="16"/>
                <w:lang w:eastAsia="es-MX"/>
              </w:rPr>
              <w:t>en el Estado de Actividades</w:t>
            </w:r>
          </w:p>
        </w:tc>
        <w:tc>
          <w:tcPr>
            <w:tcW w:w="2480" w:type="dxa"/>
            <w:tcBorders>
              <w:top w:val="nil"/>
              <w:left w:val="nil"/>
              <w:bottom w:val="single" w:sz="8" w:space="0" w:color="auto"/>
              <w:right w:val="single" w:sz="8" w:space="0" w:color="auto"/>
            </w:tcBorders>
            <w:shd w:val="clear" w:color="auto" w:fill="AB0033"/>
            <w:noWrap/>
            <w:vAlign w:val="center"/>
            <w:hideMark/>
          </w:tcPr>
          <w:p w:rsidR="005069FD" w:rsidRPr="00E5469E" w:rsidRDefault="005069FD" w:rsidP="00C07EAF">
            <w:pPr>
              <w:spacing w:after="0"/>
              <w:jc w:val="right"/>
              <w:rPr>
                <w:rFonts w:eastAsia="Times New Roman"/>
                <w:b/>
                <w:bCs/>
                <w:color w:val="FFFFFF"/>
                <w:sz w:val="16"/>
                <w:szCs w:val="16"/>
                <w:lang w:eastAsia="es-MX"/>
              </w:rPr>
            </w:pPr>
            <w:r w:rsidRPr="00E5469E">
              <w:rPr>
                <w:rFonts w:eastAsia="Times New Roman"/>
                <w:b/>
                <w:bCs/>
                <w:color w:val="FFFFFF"/>
                <w:sz w:val="16"/>
                <w:szCs w:val="16"/>
                <w:lang w:eastAsia="es-MX"/>
              </w:rPr>
              <w:t>90,313,835</w:t>
            </w:r>
          </w:p>
        </w:tc>
      </w:tr>
      <w:tr w:rsidR="005069FD" w:rsidRPr="00E5469E" w:rsidTr="00C07EAF">
        <w:trPr>
          <w:trHeight w:val="300"/>
        </w:trPr>
        <w:tc>
          <w:tcPr>
            <w:tcW w:w="4920" w:type="dxa"/>
            <w:tcBorders>
              <w:top w:val="nil"/>
              <w:left w:val="nil"/>
              <w:bottom w:val="nil"/>
              <w:right w:val="nil"/>
            </w:tcBorders>
            <w:shd w:val="clear" w:color="auto" w:fill="auto"/>
            <w:noWrap/>
            <w:vAlign w:val="bottom"/>
            <w:hideMark/>
          </w:tcPr>
          <w:p w:rsidR="005069FD" w:rsidRDefault="005069FD" w:rsidP="00C07EAF">
            <w:pPr>
              <w:spacing w:after="0"/>
              <w:rPr>
                <w:rFonts w:eastAsia="Times New Roman"/>
                <w:color w:val="000000"/>
                <w:sz w:val="16"/>
                <w:szCs w:val="16"/>
                <w:lang w:eastAsia="es-MX"/>
              </w:rPr>
            </w:pPr>
          </w:p>
          <w:p w:rsidR="005069FD" w:rsidRDefault="005069FD" w:rsidP="00C07EAF">
            <w:pPr>
              <w:spacing w:after="0"/>
              <w:rPr>
                <w:rFonts w:eastAsia="Times New Roman"/>
                <w:color w:val="000000"/>
                <w:sz w:val="16"/>
                <w:szCs w:val="16"/>
                <w:lang w:eastAsia="es-MX"/>
              </w:rPr>
            </w:pPr>
          </w:p>
          <w:p w:rsidR="005069FD" w:rsidRPr="00E5469E" w:rsidRDefault="005069FD" w:rsidP="00C07EAF">
            <w:pPr>
              <w:spacing w:after="0"/>
              <w:rPr>
                <w:rFonts w:eastAsia="Times New Roman"/>
                <w:color w:val="000000"/>
                <w:sz w:val="16"/>
                <w:szCs w:val="16"/>
                <w:lang w:eastAsia="es-MX"/>
              </w:rPr>
            </w:pPr>
          </w:p>
        </w:tc>
        <w:tc>
          <w:tcPr>
            <w:tcW w:w="2480" w:type="dxa"/>
            <w:tcBorders>
              <w:top w:val="nil"/>
              <w:left w:val="nil"/>
              <w:bottom w:val="nil"/>
              <w:right w:val="nil"/>
            </w:tcBorders>
            <w:shd w:val="clear" w:color="auto" w:fill="auto"/>
            <w:noWrap/>
            <w:vAlign w:val="bottom"/>
            <w:hideMark/>
          </w:tcPr>
          <w:p w:rsidR="005069FD" w:rsidRPr="00E5469E" w:rsidRDefault="005069FD" w:rsidP="00C07EAF">
            <w:pPr>
              <w:spacing w:after="0"/>
              <w:rPr>
                <w:rFonts w:eastAsia="Times New Roman"/>
                <w:color w:val="000000"/>
                <w:sz w:val="16"/>
                <w:szCs w:val="16"/>
                <w:lang w:eastAsia="es-MX"/>
              </w:rPr>
            </w:pPr>
          </w:p>
        </w:tc>
      </w:tr>
      <w:tr w:rsidR="005069FD" w:rsidRPr="00E5469E" w:rsidTr="00C07EAF">
        <w:trPr>
          <w:trHeight w:val="315"/>
        </w:trPr>
        <w:tc>
          <w:tcPr>
            <w:tcW w:w="4920" w:type="dxa"/>
            <w:tcBorders>
              <w:top w:val="nil"/>
              <w:left w:val="single" w:sz="8" w:space="0" w:color="auto"/>
              <w:bottom w:val="single" w:sz="8" w:space="0" w:color="auto"/>
              <w:right w:val="single" w:sz="8" w:space="0" w:color="auto"/>
            </w:tcBorders>
            <w:shd w:val="clear" w:color="auto" w:fill="AB0033"/>
            <w:vAlign w:val="center"/>
            <w:hideMark/>
          </w:tcPr>
          <w:p w:rsidR="005069FD" w:rsidRPr="00E5469E" w:rsidRDefault="005069FD" w:rsidP="00C07EAF">
            <w:pPr>
              <w:spacing w:after="0"/>
              <w:jc w:val="center"/>
              <w:rPr>
                <w:rFonts w:eastAsia="Times New Roman"/>
                <w:b/>
                <w:bCs/>
                <w:color w:val="FFFFFF"/>
                <w:sz w:val="16"/>
                <w:szCs w:val="16"/>
                <w:lang w:eastAsia="es-MX"/>
              </w:rPr>
            </w:pPr>
            <w:r w:rsidRPr="00E5469E">
              <w:rPr>
                <w:rFonts w:eastAsia="Times New Roman"/>
                <w:b/>
                <w:bCs/>
                <w:color w:val="FFFFFF"/>
                <w:sz w:val="16"/>
                <w:szCs w:val="16"/>
                <w:lang w:eastAsia="es-MX"/>
              </w:rPr>
              <w:t xml:space="preserve">Conciliación </w:t>
            </w:r>
            <w:r>
              <w:rPr>
                <w:rFonts w:eastAsia="Times New Roman"/>
                <w:b/>
                <w:bCs/>
                <w:color w:val="FFFFFF"/>
                <w:sz w:val="16"/>
                <w:szCs w:val="16"/>
                <w:lang w:eastAsia="es-MX"/>
              </w:rPr>
              <w:t>CEAT – Secretaría de Finanza</w:t>
            </w:r>
            <w:r w:rsidRPr="00E5469E">
              <w:rPr>
                <w:rFonts w:eastAsia="Times New Roman"/>
                <w:b/>
                <w:bCs/>
                <w:color w:val="FFFFFF"/>
                <w:sz w:val="16"/>
                <w:szCs w:val="16"/>
                <w:lang w:eastAsia="es-MX"/>
              </w:rPr>
              <w:t xml:space="preserve"> </w:t>
            </w:r>
          </w:p>
        </w:tc>
        <w:tc>
          <w:tcPr>
            <w:tcW w:w="2480" w:type="dxa"/>
            <w:tcBorders>
              <w:top w:val="nil"/>
              <w:left w:val="nil"/>
              <w:bottom w:val="single" w:sz="8" w:space="0" w:color="auto"/>
              <w:right w:val="single" w:sz="8" w:space="0" w:color="auto"/>
            </w:tcBorders>
            <w:shd w:val="clear" w:color="auto" w:fill="AB0033"/>
            <w:noWrap/>
            <w:vAlign w:val="center"/>
            <w:hideMark/>
          </w:tcPr>
          <w:p w:rsidR="005069FD" w:rsidRPr="00E5469E" w:rsidRDefault="00B06762" w:rsidP="00C07EAF">
            <w:pPr>
              <w:spacing w:after="0"/>
              <w:jc w:val="right"/>
              <w:rPr>
                <w:rFonts w:eastAsia="Times New Roman"/>
                <w:b/>
                <w:bCs/>
                <w:color w:val="FFFFFF"/>
                <w:sz w:val="16"/>
                <w:szCs w:val="16"/>
                <w:lang w:eastAsia="es-MX"/>
              </w:rPr>
            </w:pPr>
            <w:r>
              <w:rPr>
                <w:rFonts w:eastAsia="Times New Roman"/>
                <w:b/>
                <w:bCs/>
                <w:color w:val="FFFFFF"/>
                <w:sz w:val="16"/>
                <w:szCs w:val="16"/>
                <w:lang w:eastAsia="es-MX"/>
              </w:rPr>
              <w:t>92,016,888</w:t>
            </w:r>
          </w:p>
        </w:tc>
      </w:tr>
      <w:tr w:rsidR="005069FD" w:rsidRPr="00E5469E" w:rsidTr="00C07EAF">
        <w:trPr>
          <w:trHeight w:val="315"/>
        </w:trPr>
        <w:tc>
          <w:tcPr>
            <w:tcW w:w="4920" w:type="dxa"/>
            <w:tcBorders>
              <w:top w:val="nil"/>
              <w:left w:val="single" w:sz="8" w:space="0" w:color="auto"/>
              <w:bottom w:val="single" w:sz="8" w:space="0" w:color="auto"/>
              <w:right w:val="single" w:sz="8" w:space="0" w:color="auto"/>
            </w:tcBorders>
            <w:shd w:val="clear" w:color="auto" w:fill="auto"/>
            <w:vAlign w:val="center"/>
            <w:hideMark/>
          </w:tcPr>
          <w:p w:rsidR="005069FD" w:rsidRPr="00E5469E" w:rsidRDefault="005069FD" w:rsidP="00C07EAF">
            <w:pPr>
              <w:spacing w:after="0"/>
              <w:rPr>
                <w:rFonts w:eastAsia="Times New Roman"/>
                <w:color w:val="000000"/>
                <w:sz w:val="16"/>
                <w:szCs w:val="16"/>
                <w:lang w:eastAsia="es-MX"/>
              </w:rPr>
            </w:pPr>
            <w:r w:rsidRPr="00E5469E">
              <w:rPr>
                <w:rFonts w:eastAsia="Times New Roman"/>
                <w:color w:val="000000"/>
                <w:sz w:val="16"/>
                <w:szCs w:val="16"/>
                <w:lang w:eastAsia="es-MX"/>
              </w:rPr>
              <w:t xml:space="preserve">Saldo del Organismo </w:t>
            </w:r>
            <w:r>
              <w:rPr>
                <w:rFonts w:eastAsia="Times New Roman"/>
                <w:color w:val="000000"/>
                <w:sz w:val="16"/>
                <w:szCs w:val="16"/>
                <w:lang w:eastAsia="es-MX"/>
              </w:rPr>
              <w:t>(CEAT)</w:t>
            </w:r>
          </w:p>
        </w:tc>
        <w:tc>
          <w:tcPr>
            <w:tcW w:w="2480" w:type="dxa"/>
            <w:tcBorders>
              <w:top w:val="nil"/>
              <w:left w:val="nil"/>
              <w:bottom w:val="single" w:sz="8" w:space="0" w:color="auto"/>
              <w:right w:val="single" w:sz="8" w:space="0" w:color="auto"/>
            </w:tcBorders>
            <w:shd w:val="clear" w:color="auto" w:fill="auto"/>
            <w:noWrap/>
            <w:vAlign w:val="center"/>
            <w:hideMark/>
          </w:tcPr>
          <w:p w:rsidR="005069FD" w:rsidRPr="00E5469E" w:rsidRDefault="005069FD" w:rsidP="00C07EAF">
            <w:pPr>
              <w:spacing w:after="0"/>
              <w:jc w:val="right"/>
              <w:rPr>
                <w:rFonts w:eastAsia="Times New Roman"/>
                <w:color w:val="000000"/>
                <w:sz w:val="16"/>
                <w:szCs w:val="16"/>
                <w:lang w:eastAsia="es-MX"/>
              </w:rPr>
            </w:pPr>
            <w:r w:rsidRPr="00E5469E">
              <w:rPr>
                <w:rFonts w:eastAsia="Times New Roman"/>
                <w:color w:val="000000"/>
                <w:sz w:val="16"/>
                <w:szCs w:val="16"/>
                <w:lang w:eastAsia="es-MX"/>
              </w:rPr>
              <w:t>90,291,277</w:t>
            </w:r>
          </w:p>
        </w:tc>
      </w:tr>
      <w:tr w:rsidR="005069FD" w:rsidRPr="00E5469E" w:rsidTr="00C07EAF">
        <w:trPr>
          <w:trHeight w:val="315"/>
        </w:trPr>
        <w:tc>
          <w:tcPr>
            <w:tcW w:w="4920" w:type="dxa"/>
            <w:tcBorders>
              <w:top w:val="nil"/>
              <w:left w:val="single" w:sz="8" w:space="0" w:color="auto"/>
              <w:bottom w:val="single" w:sz="8" w:space="0" w:color="auto"/>
              <w:right w:val="single" w:sz="8" w:space="0" w:color="auto"/>
            </w:tcBorders>
            <w:shd w:val="clear" w:color="auto" w:fill="auto"/>
            <w:vAlign w:val="center"/>
            <w:hideMark/>
          </w:tcPr>
          <w:p w:rsidR="005069FD" w:rsidRPr="00E5469E" w:rsidRDefault="005069FD" w:rsidP="00C07EAF">
            <w:pPr>
              <w:spacing w:after="0"/>
              <w:rPr>
                <w:rFonts w:eastAsia="Times New Roman"/>
                <w:color w:val="000000"/>
                <w:sz w:val="16"/>
                <w:szCs w:val="16"/>
                <w:lang w:eastAsia="es-MX"/>
              </w:rPr>
            </w:pPr>
            <w:r>
              <w:rPr>
                <w:rFonts w:eastAsia="Times New Roman"/>
                <w:color w:val="000000"/>
                <w:sz w:val="16"/>
                <w:szCs w:val="16"/>
                <w:lang w:eastAsia="es-MX"/>
              </w:rPr>
              <w:t>+ Cheques entregados a beneficiarios del Distrito 026 Bajo Río San Juan no ingresados en cuentas bancarias de CEAT</w:t>
            </w:r>
          </w:p>
        </w:tc>
        <w:tc>
          <w:tcPr>
            <w:tcW w:w="2480" w:type="dxa"/>
            <w:tcBorders>
              <w:top w:val="nil"/>
              <w:left w:val="nil"/>
              <w:bottom w:val="single" w:sz="8" w:space="0" w:color="auto"/>
              <w:right w:val="single" w:sz="8" w:space="0" w:color="auto"/>
            </w:tcBorders>
            <w:shd w:val="clear" w:color="auto" w:fill="auto"/>
            <w:noWrap/>
            <w:vAlign w:val="center"/>
            <w:hideMark/>
          </w:tcPr>
          <w:p w:rsidR="005069FD" w:rsidRPr="00E5469E" w:rsidRDefault="005069FD" w:rsidP="00C07EAF">
            <w:pPr>
              <w:spacing w:after="0"/>
              <w:jc w:val="right"/>
              <w:rPr>
                <w:rFonts w:eastAsia="Times New Roman"/>
                <w:color w:val="000000"/>
                <w:sz w:val="16"/>
                <w:szCs w:val="16"/>
                <w:lang w:eastAsia="es-MX"/>
              </w:rPr>
            </w:pPr>
            <w:r>
              <w:rPr>
                <w:rFonts w:eastAsia="Times New Roman"/>
                <w:color w:val="000000"/>
                <w:sz w:val="16"/>
                <w:szCs w:val="16"/>
                <w:lang w:eastAsia="es-MX"/>
              </w:rPr>
              <w:t>3,594,060</w:t>
            </w:r>
          </w:p>
        </w:tc>
      </w:tr>
      <w:tr w:rsidR="005069FD" w:rsidRPr="00E5469E" w:rsidTr="00C07EAF">
        <w:trPr>
          <w:trHeight w:val="315"/>
        </w:trPr>
        <w:tc>
          <w:tcPr>
            <w:tcW w:w="4920" w:type="dxa"/>
            <w:tcBorders>
              <w:top w:val="nil"/>
              <w:left w:val="single" w:sz="8" w:space="0" w:color="auto"/>
              <w:bottom w:val="single" w:sz="8" w:space="0" w:color="auto"/>
              <w:right w:val="single" w:sz="8" w:space="0" w:color="auto"/>
            </w:tcBorders>
            <w:shd w:val="clear" w:color="auto" w:fill="auto"/>
            <w:vAlign w:val="center"/>
            <w:hideMark/>
          </w:tcPr>
          <w:p w:rsidR="005069FD" w:rsidRPr="00E5469E" w:rsidRDefault="005069FD" w:rsidP="00C07EAF">
            <w:pPr>
              <w:spacing w:after="0"/>
              <w:rPr>
                <w:rFonts w:eastAsia="Times New Roman"/>
                <w:color w:val="000000"/>
                <w:sz w:val="16"/>
                <w:szCs w:val="16"/>
                <w:lang w:eastAsia="es-MX"/>
              </w:rPr>
            </w:pPr>
            <w:r>
              <w:rPr>
                <w:rFonts w:eastAsia="Times New Roman"/>
                <w:color w:val="000000"/>
                <w:sz w:val="16"/>
                <w:szCs w:val="16"/>
                <w:lang w:eastAsia="es-MX"/>
              </w:rPr>
              <w:t>+ Convenio de Coordinación para el Fortalecimiento Cuenca Río Bravo, no ingresado en cuentas bancarias de CEAT.</w:t>
            </w:r>
          </w:p>
        </w:tc>
        <w:tc>
          <w:tcPr>
            <w:tcW w:w="2480" w:type="dxa"/>
            <w:tcBorders>
              <w:top w:val="nil"/>
              <w:left w:val="nil"/>
              <w:bottom w:val="single" w:sz="8" w:space="0" w:color="auto"/>
              <w:right w:val="single" w:sz="8" w:space="0" w:color="auto"/>
            </w:tcBorders>
            <w:shd w:val="clear" w:color="auto" w:fill="auto"/>
            <w:noWrap/>
            <w:vAlign w:val="center"/>
            <w:hideMark/>
          </w:tcPr>
          <w:p w:rsidR="005069FD" w:rsidRPr="00E5469E" w:rsidRDefault="005069FD" w:rsidP="00C07EAF">
            <w:pPr>
              <w:spacing w:after="0"/>
              <w:jc w:val="right"/>
              <w:rPr>
                <w:rFonts w:eastAsia="Times New Roman"/>
                <w:color w:val="000000"/>
                <w:sz w:val="16"/>
                <w:szCs w:val="16"/>
                <w:lang w:eastAsia="es-MX"/>
              </w:rPr>
            </w:pPr>
            <w:r>
              <w:rPr>
                <w:rFonts w:eastAsia="Times New Roman"/>
                <w:color w:val="000000"/>
                <w:sz w:val="16"/>
                <w:szCs w:val="16"/>
                <w:lang w:eastAsia="es-MX"/>
              </w:rPr>
              <w:t>250,000</w:t>
            </w:r>
          </w:p>
        </w:tc>
      </w:tr>
      <w:tr w:rsidR="005069FD" w:rsidRPr="00E5469E" w:rsidTr="00C07EAF">
        <w:trPr>
          <w:trHeight w:val="525"/>
        </w:trPr>
        <w:tc>
          <w:tcPr>
            <w:tcW w:w="4920" w:type="dxa"/>
            <w:tcBorders>
              <w:top w:val="nil"/>
              <w:left w:val="single" w:sz="8" w:space="0" w:color="auto"/>
              <w:bottom w:val="single" w:sz="8" w:space="0" w:color="auto"/>
              <w:right w:val="single" w:sz="8" w:space="0" w:color="auto"/>
            </w:tcBorders>
            <w:shd w:val="clear" w:color="auto" w:fill="auto"/>
            <w:vAlign w:val="center"/>
            <w:hideMark/>
          </w:tcPr>
          <w:p w:rsidR="005069FD" w:rsidRPr="00E5469E" w:rsidRDefault="005069FD" w:rsidP="00C07EAF">
            <w:pPr>
              <w:spacing w:after="0"/>
              <w:rPr>
                <w:rFonts w:eastAsia="Times New Roman"/>
                <w:color w:val="000000"/>
                <w:sz w:val="16"/>
                <w:szCs w:val="16"/>
                <w:lang w:eastAsia="es-MX"/>
              </w:rPr>
            </w:pPr>
            <w:r>
              <w:rPr>
                <w:rFonts w:eastAsia="Times New Roman"/>
                <w:color w:val="000000"/>
                <w:sz w:val="16"/>
                <w:szCs w:val="16"/>
                <w:lang w:eastAsia="es-MX"/>
              </w:rPr>
              <w:t>- Recursos depositados por FOFAET 2022</w:t>
            </w:r>
            <w:r w:rsidRPr="00E5469E">
              <w:rPr>
                <w:rFonts w:eastAsia="Times New Roman"/>
                <w:color w:val="000000"/>
                <w:sz w:val="16"/>
                <w:szCs w:val="16"/>
                <w:lang w:eastAsia="es-MX"/>
              </w:rPr>
              <w:t xml:space="preserve"> </w:t>
            </w:r>
            <w:r>
              <w:rPr>
                <w:rFonts w:eastAsia="Times New Roman"/>
                <w:color w:val="000000"/>
                <w:sz w:val="16"/>
                <w:szCs w:val="16"/>
                <w:lang w:eastAsia="es-MX"/>
              </w:rPr>
              <w:t>( No son recursos depositados por SFGET)</w:t>
            </w:r>
          </w:p>
        </w:tc>
        <w:tc>
          <w:tcPr>
            <w:tcW w:w="2480" w:type="dxa"/>
            <w:tcBorders>
              <w:top w:val="nil"/>
              <w:left w:val="nil"/>
              <w:bottom w:val="single" w:sz="8" w:space="0" w:color="auto"/>
              <w:right w:val="single" w:sz="8" w:space="0" w:color="auto"/>
            </w:tcBorders>
            <w:shd w:val="clear" w:color="auto" w:fill="auto"/>
            <w:noWrap/>
            <w:vAlign w:val="center"/>
            <w:hideMark/>
          </w:tcPr>
          <w:p w:rsidR="005069FD" w:rsidRPr="00E5469E" w:rsidRDefault="005069FD" w:rsidP="00C07EAF">
            <w:pPr>
              <w:spacing w:after="0"/>
              <w:jc w:val="right"/>
              <w:rPr>
                <w:rFonts w:eastAsia="Times New Roman"/>
                <w:color w:val="000000"/>
                <w:sz w:val="16"/>
                <w:szCs w:val="16"/>
                <w:lang w:eastAsia="es-MX"/>
              </w:rPr>
            </w:pPr>
            <w:r>
              <w:rPr>
                <w:rFonts w:eastAsia="Times New Roman"/>
                <w:color w:val="000000"/>
                <w:sz w:val="16"/>
                <w:szCs w:val="16"/>
                <w:lang w:eastAsia="es-MX"/>
              </w:rPr>
              <w:t>2,118,450</w:t>
            </w:r>
          </w:p>
        </w:tc>
      </w:tr>
      <w:tr w:rsidR="005069FD" w:rsidRPr="00E5469E" w:rsidTr="00C07EAF">
        <w:trPr>
          <w:trHeight w:val="315"/>
        </w:trPr>
        <w:tc>
          <w:tcPr>
            <w:tcW w:w="4920" w:type="dxa"/>
            <w:tcBorders>
              <w:top w:val="nil"/>
              <w:left w:val="single" w:sz="8" w:space="0" w:color="auto"/>
              <w:bottom w:val="single" w:sz="8" w:space="0" w:color="auto"/>
              <w:right w:val="single" w:sz="8" w:space="0" w:color="auto"/>
            </w:tcBorders>
            <w:shd w:val="clear" w:color="auto" w:fill="AB0033"/>
            <w:vAlign w:val="center"/>
            <w:hideMark/>
          </w:tcPr>
          <w:p w:rsidR="005069FD" w:rsidRPr="00E5469E" w:rsidRDefault="005069FD" w:rsidP="00C07EAF">
            <w:pPr>
              <w:spacing w:after="0"/>
              <w:jc w:val="center"/>
              <w:rPr>
                <w:rFonts w:eastAsia="Times New Roman"/>
                <w:b/>
                <w:bCs/>
                <w:color w:val="FFFFFF"/>
                <w:sz w:val="16"/>
                <w:szCs w:val="16"/>
                <w:lang w:eastAsia="es-MX"/>
              </w:rPr>
            </w:pPr>
            <w:r w:rsidRPr="00E5469E">
              <w:rPr>
                <w:rFonts w:eastAsia="Times New Roman"/>
                <w:b/>
                <w:bCs/>
                <w:color w:val="FFFFFF"/>
                <w:sz w:val="16"/>
                <w:szCs w:val="16"/>
                <w:lang w:eastAsia="es-MX"/>
              </w:rPr>
              <w:t xml:space="preserve">  </w:t>
            </w:r>
            <w:r>
              <w:rPr>
                <w:rFonts w:eastAsia="Times New Roman"/>
                <w:b/>
                <w:bCs/>
                <w:color w:val="FFFFFF"/>
                <w:sz w:val="16"/>
                <w:szCs w:val="16"/>
                <w:lang w:eastAsia="es-MX"/>
              </w:rPr>
              <w:t>Saldo de secretaría de Finanzas del Gobierno del Estado de Tamaulipas</w:t>
            </w:r>
          </w:p>
        </w:tc>
        <w:tc>
          <w:tcPr>
            <w:tcW w:w="2480" w:type="dxa"/>
            <w:tcBorders>
              <w:top w:val="nil"/>
              <w:left w:val="nil"/>
              <w:bottom w:val="single" w:sz="8" w:space="0" w:color="auto"/>
              <w:right w:val="single" w:sz="8" w:space="0" w:color="auto"/>
            </w:tcBorders>
            <w:shd w:val="clear" w:color="auto" w:fill="AB0033"/>
            <w:noWrap/>
            <w:vAlign w:val="center"/>
            <w:hideMark/>
          </w:tcPr>
          <w:p w:rsidR="005069FD" w:rsidRPr="00E5469E" w:rsidRDefault="00B06762" w:rsidP="00C07EAF">
            <w:pPr>
              <w:spacing w:after="0"/>
              <w:jc w:val="right"/>
              <w:rPr>
                <w:rFonts w:eastAsia="Times New Roman"/>
                <w:b/>
                <w:bCs/>
                <w:color w:val="FFFFFF"/>
                <w:sz w:val="16"/>
                <w:szCs w:val="16"/>
                <w:lang w:eastAsia="es-MX"/>
              </w:rPr>
            </w:pPr>
            <w:r>
              <w:rPr>
                <w:rFonts w:eastAsia="Times New Roman"/>
                <w:b/>
                <w:bCs/>
                <w:color w:val="FFFFFF"/>
                <w:sz w:val="16"/>
                <w:szCs w:val="16"/>
                <w:lang w:eastAsia="es-MX"/>
              </w:rPr>
              <w:t>92,016,888</w:t>
            </w:r>
          </w:p>
        </w:tc>
      </w:tr>
    </w:tbl>
    <w:p w:rsidR="005069FD" w:rsidRDefault="005069FD" w:rsidP="005069FD">
      <w:pPr>
        <w:pStyle w:val="INCISO"/>
        <w:tabs>
          <w:tab w:val="left" w:pos="284"/>
        </w:tabs>
        <w:spacing w:line="240" w:lineRule="exact"/>
        <w:ind w:left="284" w:firstLine="0"/>
        <w:rPr>
          <w:rFonts w:asciiTheme="minorHAnsi" w:hAnsiTheme="minorHAnsi"/>
          <w:sz w:val="20"/>
          <w:szCs w:val="20"/>
        </w:rPr>
      </w:pPr>
    </w:p>
    <w:p w:rsidR="005069FD" w:rsidRDefault="005069FD" w:rsidP="005069FD">
      <w:pPr>
        <w:pStyle w:val="INCISO"/>
        <w:tabs>
          <w:tab w:val="left" w:pos="284"/>
        </w:tabs>
        <w:spacing w:line="240" w:lineRule="exact"/>
        <w:ind w:left="284" w:firstLine="0"/>
        <w:rPr>
          <w:rFonts w:asciiTheme="minorHAnsi" w:hAnsiTheme="minorHAnsi"/>
          <w:sz w:val="20"/>
          <w:szCs w:val="20"/>
        </w:rPr>
      </w:pPr>
    </w:p>
    <w:p w:rsidR="005069FD" w:rsidRDefault="005069FD" w:rsidP="005069FD">
      <w:pPr>
        <w:pStyle w:val="INCISO"/>
        <w:tabs>
          <w:tab w:val="left" w:pos="284"/>
        </w:tabs>
        <w:spacing w:line="240" w:lineRule="exact"/>
        <w:ind w:left="284" w:firstLine="0"/>
        <w:rPr>
          <w:rFonts w:asciiTheme="minorHAnsi" w:hAnsiTheme="minorHAnsi"/>
          <w:sz w:val="20"/>
          <w:szCs w:val="20"/>
        </w:rPr>
      </w:pPr>
    </w:p>
    <w:p w:rsidR="005069FD" w:rsidRDefault="005069FD" w:rsidP="005069FD">
      <w:pPr>
        <w:pStyle w:val="INCISO"/>
        <w:tabs>
          <w:tab w:val="left" w:pos="284"/>
        </w:tabs>
        <w:spacing w:line="240" w:lineRule="exact"/>
        <w:ind w:left="284" w:firstLine="0"/>
        <w:rPr>
          <w:rFonts w:asciiTheme="minorHAnsi" w:hAnsiTheme="minorHAnsi"/>
          <w:sz w:val="20"/>
          <w:szCs w:val="20"/>
        </w:rPr>
      </w:pPr>
    </w:p>
    <w:p w:rsidR="005069FD" w:rsidRDefault="005069FD" w:rsidP="005069FD">
      <w:pPr>
        <w:pStyle w:val="INCISO"/>
        <w:tabs>
          <w:tab w:val="left" w:pos="284"/>
        </w:tabs>
        <w:spacing w:line="240" w:lineRule="exact"/>
        <w:ind w:left="284" w:firstLine="0"/>
        <w:rPr>
          <w:rFonts w:asciiTheme="minorHAnsi" w:hAnsiTheme="minorHAnsi"/>
          <w:sz w:val="20"/>
          <w:szCs w:val="20"/>
        </w:rPr>
      </w:pPr>
    </w:p>
    <w:p w:rsidR="005069FD" w:rsidRDefault="005069FD" w:rsidP="005069FD">
      <w:pPr>
        <w:pStyle w:val="INCISO"/>
        <w:tabs>
          <w:tab w:val="left" w:pos="284"/>
        </w:tabs>
        <w:spacing w:line="240" w:lineRule="exact"/>
        <w:ind w:left="284" w:firstLine="0"/>
        <w:rPr>
          <w:rFonts w:asciiTheme="minorHAnsi" w:hAnsiTheme="minorHAnsi"/>
          <w:b/>
          <w:sz w:val="20"/>
          <w:szCs w:val="20"/>
          <w:highlight w:val="yellow"/>
        </w:rPr>
      </w:pPr>
    </w:p>
    <w:p w:rsidR="005069FD" w:rsidRDefault="005069FD" w:rsidP="005069FD">
      <w:pPr>
        <w:pStyle w:val="INCISO"/>
        <w:tabs>
          <w:tab w:val="left" w:pos="284"/>
        </w:tabs>
        <w:spacing w:line="240" w:lineRule="exact"/>
        <w:ind w:left="284" w:firstLine="0"/>
        <w:rPr>
          <w:rFonts w:asciiTheme="minorHAnsi" w:hAnsiTheme="minorHAnsi"/>
          <w:b/>
          <w:sz w:val="20"/>
          <w:szCs w:val="20"/>
          <w:highlight w:val="yellow"/>
        </w:rPr>
      </w:pPr>
    </w:p>
    <w:p w:rsidR="005069FD" w:rsidRPr="00BA4C6E" w:rsidRDefault="005069FD" w:rsidP="005069FD">
      <w:pPr>
        <w:pStyle w:val="INCISO"/>
        <w:tabs>
          <w:tab w:val="left" w:pos="284"/>
        </w:tabs>
        <w:spacing w:after="0" w:line="240" w:lineRule="exact"/>
        <w:ind w:left="0" w:firstLine="0"/>
        <w:rPr>
          <w:rFonts w:asciiTheme="minorHAnsi" w:hAnsiTheme="minorHAnsi"/>
          <w:b/>
          <w:sz w:val="20"/>
          <w:szCs w:val="20"/>
          <w:lang w:val="es-MX"/>
        </w:rPr>
      </w:pPr>
    </w:p>
    <w:p w:rsidR="005069FD" w:rsidRPr="00BA4C6E" w:rsidRDefault="005069FD" w:rsidP="005069FD">
      <w:pPr>
        <w:pStyle w:val="INCISO"/>
        <w:tabs>
          <w:tab w:val="left" w:pos="284"/>
        </w:tabs>
        <w:spacing w:after="0" w:line="240" w:lineRule="exact"/>
        <w:ind w:left="284" w:firstLine="0"/>
        <w:rPr>
          <w:rFonts w:asciiTheme="minorHAnsi" w:hAnsiTheme="minorHAnsi"/>
          <w:b/>
          <w:sz w:val="20"/>
          <w:szCs w:val="20"/>
          <w:lang w:val="es-MX"/>
        </w:rPr>
      </w:pPr>
    </w:p>
    <w:p w:rsidR="005069FD" w:rsidRDefault="005069FD" w:rsidP="005069FD">
      <w:pPr>
        <w:pStyle w:val="INCISO"/>
        <w:tabs>
          <w:tab w:val="left" w:pos="284"/>
        </w:tabs>
        <w:spacing w:after="0" w:line="240" w:lineRule="exact"/>
        <w:ind w:left="284" w:firstLine="0"/>
        <w:rPr>
          <w:rFonts w:asciiTheme="minorHAnsi" w:hAnsiTheme="minorHAnsi"/>
          <w:b/>
          <w:sz w:val="20"/>
          <w:szCs w:val="20"/>
          <w:lang w:val="es-MX"/>
        </w:rPr>
      </w:pPr>
    </w:p>
    <w:p w:rsidR="005069FD" w:rsidRDefault="005069FD" w:rsidP="005069FD">
      <w:pPr>
        <w:pStyle w:val="INCISO"/>
        <w:tabs>
          <w:tab w:val="left" w:pos="284"/>
        </w:tabs>
        <w:spacing w:after="0" w:line="240" w:lineRule="exact"/>
        <w:ind w:left="284" w:firstLine="0"/>
        <w:rPr>
          <w:rFonts w:asciiTheme="minorHAnsi" w:hAnsiTheme="minorHAnsi"/>
          <w:b/>
          <w:sz w:val="20"/>
          <w:szCs w:val="20"/>
          <w:lang w:val="es-MX"/>
        </w:rPr>
      </w:pPr>
    </w:p>
    <w:p w:rsidR="005069FD" w:rsidRDefault="005069FD" w:rsidP="005069FD">
      <w:pPr>
        <w:pStyle w:val="INCISO"/>
        <w:tabs>
          <w:tab w:val="left" w:pos="284"/>
        </w:tabs>
        <w:spacing w:after="0" w:line="240" w:lineRule="exact"/>
        <w:ind w:left="284" w:firstLine="0"/>
        <w:rPr>
          <w:rFonts w:asciiTheme="minorHAnsi" w:hAnsiTheme="minorHAnsi"/>
          <w:b/>
          <w:sz w:val="20"/>
          <w:szCs w:val="20"/>
          <w:lang w:val="es-MX"/>
        </w:rPr>
      </w:pPr>
    </w:p>
    <w:p w:rsidR="005069FD" w:rsidRDefault="005069FD" w:rsidP="005069FD">
      <w:pPr>
        <w:pStyle w:val="INCISO"/>
        <w:tabs>
          <w:tab w:val="left" w:pos="284"/>
        </w:tabs>
        <w:spacing w:after="0" w:line="240" w:lineRule="exact"/>
        <w:ind w:left="284" w:firstLine="0"/>
        <w:rPr>
          <w:rFonts w:asciiTheme="minorHAnsi" w:hAnsiTheme="minorHAnsi"/>
          <w:b/>
          <w:sz w:val="20"/>
          <w:szCs w:val="20"/>
          <w:lang w:val="es-MX"/>
        </w:rPr>
      </w:pPr>
    </w:p>
    <w:p w:rsidR="005069FD" w:rsidRDefault="005069FD" w:rsidP="005069FD">
      <w:pPr>
        <w:pStyle w:val="INCISO"/>
        <w:tabs>
          <w:tab w:val="left" w:pos="284"/>
        </w:tabs>
        <w:spacing w:after="0" w:line="240" w:lineRule="exact"/>
        <w:ind w:left="284" w:firstLine="0"/>
        <w:rPr>
          <w:rFonts w:asciiTheme="minorHAnsi" w:hAnsiTheme="minorHAnsi"/>
          <w:b/>
          <w:sz w:val="20"/>
          <w:szCs w:val="20"/>
          <w:lang w:val="es-MX"/>
        </w:rPr>
      </w:pPr>
    </w:p>
    <w:p w:rsidR="005069FD" w:rsidRDefault="005069FD" w:rsidP="005069FD">
      <w:pPr>
        <w:pStyle w:val="INCISO"/>
        <w:tabs>
          <w:tab w:val="left" w:pos="284"/>
        </w:tabs>
        <w:spacing w:after="0" w:line="240" w:lineRule="exact"/>
        <w:ind w:left="284" w:firstLine="0"/>
        <w:rPr>
          <w:rFonts w:asciiTheme="minorHAnsi" w:hAnsiTheme="minorHAnsi"/>
          <w:b/>
          <w:sz w:val="20"/>
          <w:szCs w:val="20"/>
          <w:lang w:val="es-MX"/>
        </w:rPr>
      </w:pPr>
    </w:p>
    <w:p w:rsidR="005069FD" w:rsidRDefault="005069FD" w:rsidP="005069FD">
      <w:pPr>
        <w:pStyle w:val="INCISO"/>
        <w:tabs>
          <w:tab w:val="left" w:pos="284"/>
        </w:tabs>
        <w:spacing w:after="0" w:line="240" w:lineRule="exact"/>
        <w:ind w:left="284" w:firstLine="0"/>
        <w:rPr>
          <w:rFonts w:asciiTheme="minorHAnsi" w:hAnsiTheme="minorHAnsi"/>
          <w:b/>
          <w:sz w:val="20"/>
          <w:szCs w:val="20"/>
          <w:lang w:val="es-MX"/>
        </w:rPr>
      </w:pPr>
    </w:p>
    <w:p w:rsidR="005069FD" w:rsidRDefault="005069FD" w:rsidP="005069FD">
      <w:pPr>
        <w:pStyle w:val="INCISO"/>
        <w:tabs>
          <w:tab w:val="left" w:pos="284"/>
        </w:tabs>
        <w:spacing w:after="0" w:line="240" w:lineRule="exact"/>
        <w:ind w:left="284" w:firstLine="0"/>
        <w:rPr>
          <w:rFonts w:asciiTheme="minorHAnsi" w:hAnsiTheme="minorHAnsi"/>
          <w:b/>
          <w:sz w:val="20"/>
          <w:szCs w:val="20"/>
          <w:lang w:val="es-MX"/>
        </w:rPr>
      </w:pPr>
    </w:p>
    <w:p w:rsidR="005069FD" w:rsidRDefault="005069FD" w:rsidP="005069FD">
      <w:pPr>
        <w:pStyle w:val="INCISO"/>
        <w:tabs>
          <w:tab w:val="left" w:pos="284"/>
        </w:tabs>
        <w:spacing w:after="0" w:line="240" w:lineRule="exact"/>
        <w:ind w:left="284" w:firstLine="0"/>
        <w:rPr>
          <w:rFonts w:asciiTheme="minorHAnsi" w:hAnsiTheme="minorHAnsi"/>
          <w:b/>
          <w:sz w:val="20"/>
          <w:szCs w:val="20"/>
          <w:lang w:val="es-MX"/>
        </w:rPr>
      </w:pPr>
    </w:p>
    <w:p w:rsidR="005069FD" w:rsidRDefault="005069FD" w:rsidP="005069FD">
      <w:pPr>
        <w:pStyle w:val="INCISO"/>
        <w:tabs>
          <w:tab w:val="left" w:pos="284"/>
        </w:tabs>
        <w:spacing w:after="0" w:line="240" w:lineRule="exact"/>
        <w:ind w:left="284" w:firstLine="0"/>
        <w:rPr>
          <w:rFonts w:asciiTheme="minorHAnsi" w:hAnsiTheme="minorHAnsi"/>
          <w:b/>
          <w:sz w:val="20"/>
          <w:szCs w:val="20"/>
          <w:lang w:val="es-MX"/>
        </w:rPr>
      </w:pPr>
    </w:p>
    <w:p w:rsidR="00B06762" w:rsidRDefault="00B06762" w:rsidP="005069FD">
      <w:pPr>
        <w:pStyle w:val="INCISO"/>
        <w:tabs>
          <w:tab w:val="left" w:pos="284"/>
        </w:tabs>
        <w:spacing w:after="0" w:line="240" w:lineRule="exact"/>
        <w:ind w:left="284" w:firstLine="0"/>
        <w:rPr>
          <w:rFonts w:asciiTheme="minorHAnsi" w:hAnsiTheme="minorHAnsi"/>
          <w:b/>
          <w:sz w:val="20"/>
          <w:szCs w:val="20"/>
          <w:lang w:val="es-MX"/>
        </w:rPr>
      </w:pPr>
    </w:p>
    <w:p w:rsidR="005069FD" w:rsidRDefault="005069FD" w:rsidP="005069FD">
      <w:pPr>
        <w:pStyle w:val="INCISO"/>
        <w:tabs>
          <w:tab w:val="left" w:pos="284"/>
        </w:tabs>
        <w:spacing w:after="0" w:line="240" w:lineRule="exact"/>
        <w:ind w:left="284" w:firstLine="0"/>
        <w:rPr>
          <w:rFonts w:asciiTheme="minorHAnsi" w:hAnsiTheme="minorHAnsi"/>
          <w:b/>
          <w:sz w:val="20"/>
          <w:szCs w:val="20"/>
          <w:lang w:val="es-MX"/>
        </w:rPr>
      </w:pPr>
    </w:p>
    <w:p w:rsidR="005069FD" w:rsidRPr="00BA4C6E" w:rsidRDefault="005069FD" w:rsidP="005069FD">
      <w:pPr>
        <w:pStyle w:val="INCISO"/>
        <w:tabs>
          <w:tab w:val="left" w:pos="284"/>
        </w:tabs>
        <w:spacing w:after="0" w:line="240" w:lineRule="exact"/>
        <w:ind w:left="284" w:firstLine="0"/>
        <w:rPr>
          <w:rFonts w:asciiTheme="minorHAnsi" w:hAnsiTheme="minorHAnsi"/>
          <w:b/>
          <w:sz w:val="20"/>
          <w:szCs w:val="20"/>
          <w:lang w:val="es-MX"/>
        </w:rPr>
      </w:pPr>
      <w:r w:rsidRPr="00BA4C6E">
        <w:rPr>
          <w:rFonts w:asciiTheme="minorHAnsi" w:hAnsiTheme="minorHAnsi"/>
          <w:b/>
          <w:sz w:val="20"/>
          <w:szCs w:val="20"/>
          <w:lang w:val="es-MX"/>
        </w:rPr>
        <w:t>Gastos y otras pérdidas:</w:t>
      </w:r>
    </w:p>
    <w:p w:rsidR="005069FD" w:rsidRPr="00BA4C6E" w:rsidRDefault="005069FD" w:rsidP="005069FD">
      <w:pPr>
        <w:pStyle w:val="INCISO"/>
        <w:tabs>
          <w:tab w:val="left" w:pos="284"/>
        </w:tabs>
        <w:spacing w:line="240" w:lineRule="exact"/>
        <w:rPr>
          <w:rFonts w:asciiTheme="minorHAnsi" w:hAnsiTheme="minorHAnsi"/>
          <w:b/>
          <w:sz w:val="20"/>
          <w:szCs w:val="20"/>
        </w:rPr>
      </w:pPr>
    </w:p>
    <w:p w:rsidR="005069FD" w:rsidRPr="00BA4C6E" w:rsidRDefault="005069FD" w:rsidP="005069FD">
      <w:pPr>
        <w:pStyle w:val="INCISO"/>
        <w:tabs>
          <w:tab w:val="left" w:pos="284"/>
        </w:tabs>
        <w:spacing w:line="240" w:lineRule="exact"/>
        <w:rPr>
          <w:rFonts w:asciiTheme="minorHAnsi" w:hAnsiTheme="minorHAnsi"/>
          <w:b/>
          <w:sz w:val="20"/>
          <w:szCs w:val="20"/>
        </w:rPr>
      </w:pPr>
      <w:r w:rsidRPr="00BA4C6E">
        <w:rPr>
          <w:rFonts w:asciiTheme="minorHAnsi" w:hAnsiTheme="minorHAnsi"/>
          <w:b/>
          <w:sz w:val="20"/>
          <w:szCs w:val="20"/>
        </w:rPr>
        <w:t>Gastos de funcionamiento</w:t>
      </w:r>
    </w:p>
    <w:p w:rsidR="005069FD" w:rsidRDefault="005069FD" w:rsidP="005069FD">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b/>
          <w:sz w:val="20"/>
          <w:szCs w:val="20"/>
        </w:rPr>
        <w:t>Servicios personales:</w:t>
      </w:r>
      <w:r w:rsidRPr="00BA4C6E">
        <w:rPr>
          <w:rFonts w:asciiTheme="minorHAnsi" w:hAnsiTheme="minorHAnsi"/>
          <w:sz w:val="20"/>
          <w:szCs w:val="20"/>
        </w:rPr>
        <w:t xml:space="preserve"> el importe que integra esta partida es por </w:t>
      </w:r>
      <w:r w:rsidRPr="00BA4C6E">
        <w:rPr>
          <w:rFonts w:asciiTheme="minorHAnsi" w:hAnsiTheme="minorHAnsi"/>
          <w:b/>
          <w:sz w:val="20"/>
          <w:szCs w:val="20"/>
        </w:rPr>
        <w:t>$ 53,</w:t>
      </w:r>
      <w:r>
        <w:rPr>
          <w:rFonts w:asciiTheme="minorHAnsi" w:hAnsiTheme="minorHAnsi"/>
          <w:b/>
          <w:sz w:val="20"/>
          <w:szCs w:val="20"/>
        </w:rPr>
        <w:t xml:space="preserve"> 022,166</w:t>
      </w:r>
      <w:r w:rsidRPr="00BA4C6E">
        <w:rPr>
          <w:rFonts w:asciiTheme="minorHAnsi" w:hAnsiTheme="minorHAnsi"/>
          <w:b/>
          <w:sz w:val="20"/>
          <w:szCs w:val="20"/>
        </w:rPr>
        <w:t xml:space="preserve"> </w:t>
      </w:r>
      <w:r w:rsidRPr="00BA4C6E">
        <w:rPr>
          <w:rFonts w:asciiTheme="minorHAnsi" w:hAnsiTheme="minorHAnsi"/>
          <w:sz w:val="20"/>
          <w:szCs w:val="20"/>
        </w:rPr>
        <w:t xml:space="preserve">este capítulo agrupa las remuneraciones del personal al servicio de esta comisión, detallados a continuación: </w:t>
      </w:r>
    </w:p>
    <w:p w:rsidR="0036590F" w:rsidRDefault="0036590F" w:rsidP="005069FD">
      <w:pPr>
        <w:pStyle w:val="INCISO"/>
        <w:tabs>
          <w:tab w:val="left" w:pos="284"/>
        </w:tabs>
        <w:spacing w:line="240" w:lineRule="exact"/>
        <w:ind w:left="284" w:firstLine="0"/>
        <w:rPr>
          <w:rFonts w:asciiTheme="minorHAnsi" w:hAnsiTheme="minorHAnsi"/>
          <w:sz w:val="20"/>
          <w:szCs w:val="20"/>
        </w:rPr>
      </w:pPr>
      <w:bookmarkStart w:id="0" w:name="_GoBack"/>
      <w:bookmarkEnd w:id="0"/>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p>
    <w:tbl>
      <w:tblPr>
        <w:tblW w:w="5599" w:type="dxa"/>
        <w:jc w:val="center"/>
        <w:tblCellMar>
          <w:left w:w="70" w:type="dxa"/>
          <w:right w:w="70" w:type="dxa"/>
        </w:tblCellMar>
        <w:tblLook w:val="04A0" w:firstRow="1" w:lastRow="0" w:firstColumn="1" w:lastColumn="0" w:noHBand="0" w:noVBand="1"/>
      </w:tblPr>
      <w:tblGrid>
        <w:gridCol w:w="4039"/>
        <w:gridCol w:w="1560"/>
      </w:tblGrid>
      <w:tr w:rsidR="005069FD" w:rsidRPr="00BA4C6E" w:rsidTr="00C07EAF">
        <w:trPr>
          <w:trHeight w:val="375"/>
          <w:jc w:val="center"/>
        </w:trPr>
        <w:tc>
          <w:tcPr>
            <w:tcW w:w="4039" w:type="dxa"/>
            <w:tcBorders>
              <w:top w:val="single" w:sz="4" w:space="0" w:color="auto"/>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lastRenderedPageBreak/>
              <w:t>Servicios Personales</w:t>
            </w:r>
          </w:p>
        </w:tc>
        <w:tc>
          <w:tcPr>
            <w:tcW w:w="1560" w:type="dxa"/>
            <w:tcBorders>
              <w:top w:val="single" w:sz="4" w:space="0" w:color="auto"/>
              <w:left w:val="nil"/>
              <w:bottom w:val="single" w:sz="4" w:space="0" w:color="auto"/>
              <w:right w:val="single" w:sz="4" w:space="0" w:color="auto"/>
            </w:tcBorders>
            <w:shd w:val="clear" w:color="auto" w:fill="AB0033"/>
            <w:vAlign w:val="center"/>
            <w:hideMark/>
          </w:tcPr>
          <w:p w:rsidR="005069FD" w:rsidRPr="00BA4C6E" w:rsidRDefault="005069FD" w:rsidP="00C07EAF">
            <w:pPr>
              <w:spacing w:after="0"/>
              <w:jc w:val="right"/>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Importe</w:t>
            </w:r>
          </w:p>
        </w:tc>
      </w:tr>
      <w:tr w:rsidR="005069FD" w:rsidRPr="00BA4C6E" w:rsidTr="00C07EAF">
        <w:trPr>
          <w:trHeight w:val="168"/>
          <w:jc w:val="center"/>
        </w:trPr>
        <w:tc>
          <w:tcPr>
            <w:tcW w:w="4039"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Remuneraciones al Personal de Carácter Permanente</w:t>
            </w:r>
          </w:p>
        </w:tc>
        <w:tc>
          <w:tcPr>
            <w:tcW w:w="1560"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sz w:val="20"/>
                <w:szCs w:val="20"/>
                <w:lang w:eastAsia="es-MX"/>
              </w:rPr>
            </w:pPr>
            <w:r>
              <w:rPr>
                <w:color w:val="000000"/>
                <w:sz w:val="20"/>
                <w:szCs w:val="20"/>
              </w:rPr>
              <w:t xml:space="preserve">          11,863,732 </w:t>
            </w:r>
          </w:p>
        </w:tc>
      </w:tr>
      <w:tr w:rsidR="005069FD" w:rsidRPr="00BA4C6E" w:rsidTr="00C07EAF">
        <w:trPr>
          <w:trHeight w:val="213"/>
          <w:jc w:val="center"/>
        </w:trPr>
        <w:tc>
          <w:tcPr>
            <w:tcW w:w="4039"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Remuneraciones Adicionales y Especiales</w:t>
            </w:r>
          </w:p>
        </w:tc>
        <w:tc>
          <w:tcPr>
            <w:tcW w:w="1560"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sz w:val="20"/>
                <w:szCs w:val="20"/>
                <w:lang w:eastAsia="es-MX"/>
              </w:rPr>
            </w:pPr>
            <w:r>
              <w:rPr>
                <w:color w:val="000000"/>
                <w:sz w:val="20"/>
                <w:szCs w:val="20"/>
              </w:rPr>
              <w:t xml:space="preserve">          20,653,242 </w:t>
            </w:r>
          </w:p>
        </w:tc>
      </w:tr>
      <w:tr w:rsidR="005069FD" w:rsidRPr="00BA4C6E" w:rsidTr="00C07EAF">
        <w:trPr>
          <w:trHeight w:val="196"/>
          <w:jc w:val="center"/>
        </w:trPr>
        <w:tc>
          <w:tcPr>
            <w:tcW w:w="4039"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Seguridad Social</w:t>
            </w:r>
          </w:p>
        </w:tc>
        <w:tc>
          <w:tcPr>
            <w:tcW w:w="1560"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sz w:val="20"/>
                <w:szCs w:val="20"/>
                <w:lang w:eastAsia="es-MX"/>
              </w:rPr>
            </w:pPr>
            <w:r>
              <w:rPr>
                <w:color w:val="000000"/>
                <w:sz w:val="20"/>
                <w:szCs w:val="20"/>
              </w:rPr>
              <w:t xml:space="preserve">            5,061,138 </w:t>
            </w:r>
          </w:p>
        </w:tc>
      </w:tr>
      <w:tr w:rsidR="005069FD" w:rsidRPr="00BA4C6E" w:rsidTr="00C07EAF">
        <w:trPr>
          <w:trHeight w:val="136"/>
          <w:jc w:val="center"/>
        </w:trPr>
        <w:tc>
          <w:tcPr>
            <w:tcW w:w="4039"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Otras Prestaciones Sociales y Económicas</w:t>
            </w:r>
          </w:p>
        </w:tc>
        <w:tc>
          <w:tcPr>
            <w:tcW w:w="1560"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sz w:val="20"/>
                <w:szCs w:val="20"/>
                <w:lang w:eastAsia="es-MX"/>
              </w:rPr>
            </w:pPr>
            <w:r>
              <w:rPr>
                <w:color w:val="000000"/>
                <w:sz w:val="20"/>
                <w:szCs w:val="20"/>
              </w:rPr>
              <w:t xml:space="preserve">          14,062,602 </w:t>
            </w:r>
          </w:p>
        </w:tc>
      </w:tr>
      <w:tr w:rsidR="005069FD" w:rsidRPr="00BA4C6E" w:rsidTr="00C07EAF">
        <w:trPr>
          <w:trHeight w:val="159"/>
          <w:jc w:val="center"/>
        </w:trPr>
        <w:tc>
          <w:tcPr>
            <w:tcW w:w="4039"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Pago de Estímulos a Servidores Públicos</w:t>
            </w:r>
          </w:p>
        </w:tc>
        <w:tc>
          <w:tcPr>
            <w:tcW w:w="1560"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sz w:val="20"/>
                <w:szCs w:val="20"/>
                <w:lang w:eastAsia="es-MX"/>
              </w:rPr>
            </w:pPr>
            <w:r>
              <w:rPr>
                <w:color w:val="000000"/>
                <w:sz w:val="20"/>
                <w:szCs w:val="20"/>
              </w:rPr>
              <w:t xml:space="preserve">            1,381,452 </w:t>
            </w:r>
          </w:p>
        </w:tc>
      </w:tr>
      <w:tr w:rsidR="005069FD" w:rsidRPr="00BA4C6E" w:rsidTr="00C07EAF">
        <w:trPr>
          <w:trHeight w:val="300"/>
          <w:jc w:val="center"/>
        </w:trPr>
        <w:tc>
          <w:tcPr>
            <w:tcW w:w="4039" w:type="dxa"/>
            <w:tcBorders>
              <w:top w:val="nil"/>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Total Servicios Personales</w:t>
            </w:r>
          </w:p>
        </w:tc>
        <w:tc>
          <w:tcPr>
            <w:tcW w:w="1560" w:type="dxa"/>
            <w:tcBorders>
              <w:top w:val="nil"/>
              <w:left w:val="nil"/>
              <w:bottom w:val="single" w:sz="4" w:space="0" w:color="auto"/>
              <w:right w:val="single" w:sz="4" w:space="0" w:color="auto"/>
            </w:tcBorders>
            <w:shd w:val="clear" w:color="auto" w:fill="AB0033"/>
            <w:noWrap/>
            <w:vAlign w:val="center"/>
          </w:tcPr>
          <w:p w:rsidR="005069FD" w:rsidRPr="00BA4C6E" w:rsidRDefault="005069FD" w:rsidP="00C07EAF">
            <w:pPr>
              <w:spacing w:after="0"/>
              <w:jc w:val="right"/>
              <w:rPr>
                <w:rFonts w:asciiTheme="minorHAnsi" w:eastAsia="Times New Roman" w:hAnsiTheme="minorHAnsi" w:cs="Arial"/>
                <w:b/>
                <w:bCs/>
                <w:color w:val="FFFFFF"/>
                <w:sz w:val="20"/>
                <w:szCs w:val="20"/>
                <w:lang w:eastAsia="es-MX"/>
              </w:rPr>
            </w:pPr>
            <w:r>
              <w:rPr>
                <w:b/>
                <w:bCs/>
                <w:color w:val="FFFFFF"/>
                <w:sz w:val="20"/>
                <w:szCs w:val="20"/>
              </w:rPr>
              <w:t xml:space="preserve">          53,022,166 </w:t>
            </w:r>
          </w:p>
        </w:tc>
      </w:tr>
    </w:tbl>
    <w:p w:rsidR="005069FD" w:rsidRDefault="005069FD" w:rsidP="005069FD">
      <w:pPr>
        <w:pStyle w:val="INCISO"/>
        <w:spacing w:line="240" w:lineRule="exact"/>
        <w:ind w:left="0" w:firstLine="0"/>
        <w:rPr>
          <w:rFonts w:asciiTheme="minorHAnsi" w:hAnsiTheme="minorHAnsi"/>
          <w:color w:val="0000FF"/>
          <w:sz w:val="20"/>
          <w:szCs w:val="20"/>
        </w:rPr>
      </w:pPr>
    </w:p>
    <w:p w:rsidR="005069FD" w:rsidRDefault="005069FD" w:rsidP="005069FD">
      <w:pPr>
        <w:pStyle w:val="INCISO"/>
        <w:spacing w:line="240" w:lineRule="exact"/>
        <w:ind w:left="0" w:firstLine="0"/>
        <w:rPr>
          <w:rFonts w:asciiTheme="minorHAnsi" w:hAnsiTheme="minorHAnsi"/>
          <w:color w:val="0000FF"/>
          <w:sz w:val="20"/>
          <w:szCs w:val="20"/>
        </w:rPr>
      </w:pPr>
    </w:p>
    <w:p w:rsidR="005069FD" w:rsidRDefault="005069FD" w:rsidP="005069FD">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b/>
          <w:sz w:val="20"/>
          <w:szCs w:val="20"/>
        </w:rPr>
        <w:t>Materiales y suministros: $ 5,938,92</w:t>
      </w:r>
      <w:r>
        <w:rPr>
          <w:rFonts w:asciiTheme="minorHAnsi" w:hAnsiTheme="minorHAnsi"/>
          <w:b/>
          <w:sz w:val="20"/>
          <w:szCs w:val="20"/>
        </w:rPr>
        <w:t xml:space="preserve">4 </w:t>
      </w:r>
      <w:r w:rsidRPr="00BA4C6E">
        <w:rPr>
          <w:rFonts w:asciiTheme="minorHAnsi" w:hAnsiTheme="minorHAnsi"/>
          <w:sz w:val="20"/>
          <w:szCs w:val="20"/>
        </w:rPr>
        <w:t>este capítulo del gasto agrupa las asignaciones destinadas a la adquisición de toda clase de insumos y suministros requeridos para la prestación de bienes y servicios y para el desempeño de las actividades administrativas de la Comisión Estatal del Agua de Tamaulipas; está integrado por las siguientes partidas:</w:t>
      </w: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p>
    <w:tbl>
      <w:tblPr>
        <w:tblpPr w:leftFromText="141" w:rightFromText="141" w:vertAnchor="text" w:horzAnchor="page" w:tblpX="2705" w:tblpY="161"/>
        <w:tblW w:w="0" w:type="auto"/>
        <w:tblCellMar>
          <w:left w:w="70" w:type="dxa"/>
          <w:right w:w="70" w:type="dxa"/>
        </w:tblCellMar>
        <w:tblLook w:val="04A0" w:firstRow="1" w:lastRow="0" w:firstColumn="1" w:lastColumn="0" w:noHBand="0" w:noVBand="1"/>
      </w:tblPr>
      <w:tblGrid>
        <w:gridCol w:w="5975"/>
        <w:gridCol w:w="1070"/>
      </w:tblGrid>
      <w:tr w:rsidR="005069FD" w:rsidRPr="00BA4C6E" w:rsidTr="00C07EAF">
        <w:trPr>
          <w:trHeight w:val="300"/>
        </w:trPr>
        <w:tc>
          <w:tcPr>
            <w:tcW w:w="5975" w:type="dxa"/>
            <w:tcBorders>
              <w:top w:val="single" w:sz="4" w:space="0" w:color="auto"/>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Materiales y Suministros</w:t>
            </w:r>
          </w:p>
        </w:tc>
        <w:tc>
          <w:tcPr>
            <w:tcW w:w="0" w:type="auto"/>
            <w:tcBorders>
              <w:top w:val="single" w:sz="4" w:space="0" w:color="auto"/>
              <w:left w:val="nil"/>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Importe</w:t>
            </w:r>
          </w:p>
        </w:tc>
      </w:tr>
      <w:tr w:rsidR="005069FD" w:rsidRPr="00BA4C6E" w:rsidTr="00C07EAF">
        <w:trPr>
          <w:trHeight w:val="237"/>
        </w:trPr>
        <w:tc>
          <w:tcPr>
            <w:tcW w:w="5975"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Materiales de Administración, Emisión de Documentos y Artículos Oficiales</w:t>
            </w:r>
          </w:p>
        </w:tc>
        <w:tc>
          <w:tcPr>
            <w:tcW w:w="0" w:type="auto"/>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248,959 </w:t>
            </w:r>
          </w:p>
        </w:tc>
      </w:tr>
      <w:tr w:rsidR="005069FD" w:rsidRPr="00BA4C6E" w:rsidTr="00C07EAF">
        <w:trPr>
          <w:trHeight w:val="130"/>
        </w:trPr>
        <w:tc>
          <w:tcPr>
            <w:tcW w:w="5975"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Alimentos y Utensilios</w:t>
            </w:r>
          </w:p>
        </w:tc>
        <w:tc>
          <w:tcPr>
            <w:tcW w:w="0" w:type="auto"/>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39,613 </w:t>
            </w:r>
          </w:p>
        </w:tc>
      </w:tr>
      <w:tr w:rsidR="005069FD" w:rsidRPr="00BA4C6E" w:rsidTr="00C07EAF">
        <w:trPr>
          <w:trHeight w:val="263"/>
        </w:trPr>
        <w:tc>
          <w:tcPr>
            <w:tcW w:w="5975" w:type="dxa"/>
            <w:tcBorders>
              <w:top w:val="nil"/>
              <w:left w:val="single" w:sz="4" w:space="0" w:color="auto"/>
              <w:bottom w:val="single" w:sz="4" w:space="0" w:color="auto"/>
              <w:right w:val="single" w:sz="4" w:space="0" w:color="auto"/>
            </w:tcBorders>
            <w:shd w:val="clear" w:color="auto" w:fill="auto"/>
            <w:vAlign w:val="center"/>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Materias primas y materiales de producción y comercialización</w:t>
            </w:r>
          </w:p>
        </w:tc>
        <w:tc>
          <w:tcPr>
            <w:tcW w:w="0" w:type="auto"/>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 </w:t>
            </w:r>
          </w:p>
        </w:tc>
      </w:tr>
      <w:tr w:rsidR="005069FD" w:rsidRPr="00BA4C6E" w:rsidTr="00C07EAF">
        <w:trPr>
          <w:trHeight w:val="266"/>
        </w:trPr>
        <w:tc>
          <w:tcPr>
            <w:tcW w:w="5975"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Materiales y Artículos de Construcción y de Reparación</w:t>
            </w:r>
          </w:p>
        </w:tc>
        <w:tc>
          <w:tcPr>
            <w:tcW w:w="0" w:type="auto"/>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10,207 </w:t>
            </w:r>
          </w:p>
        </w:tc>
      </w:tr>
      <w:tr w:rsidR="005069FD" w:rsidRPr="00BA4C6E" w:rsidTr="00C07EAF">
        <w:trPr>
          <w:trHeight w:val="279"/>
        </w:trPr>
        <w:tc>
          <w:tcPr>
            <w:tcW w:w="5975"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Productos, Químicos, Farmacéuticos y de Laboratorio</w:t>
            </w:r>
          </w:p>
        </w:tc>
        <w:tc>
          <w:tcPr>
            <w:tcW w:w="0" w:type="auto"/>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2,476,953 </w:t>
            </w:r>
          </w:p>
        </w:tc>
      </w:tr>
      <w:tr w:rsidR="005069FD" w:rsidRPr="00BA4C6E" w:rsidTr="00C07EAF">
        <w:trPr>
          <w:trHeight w:val="228"/>
        </w:trPr>
        <w:tc>
          <w:tcPr>
            <w:tcW w:w="5975"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Combustibles, lubricantes y aditivos</w:t>
            </w:r>
          </w:p>
        </w:tc>
        <w:tc>
          <w:tcPr>
            <w:tcW w:w="0" w:type="auto"/>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2,150,199 </w:t>
            </w:r>
          </w:p>
        </w:tc>
      </w:tr>
      <w:tr w:rsidR="005069FD" w:rsidRPr="00BA4C6E" w:rsidTr="00C07EAF">
        <w:trPr>
          <w:trHeight w:val="164"/>
        </w:trPr>
        <w:tc>
          <w:tcPr>
            <w:tcW w:w="5975" w:type="dxa"/>
            <w:tcBorders>
              <w:top w:val="nil"/>
              <w:left w:val="single" w:sz="4" w:space="0" w:color="auto"/>
              <w:bottom w:val="single" w:sz="4" w:space="0" w:color="auto"/>
              <w:right w:val="single" w:sz="4" w:space="0" w:color="auto"/>
            </w:tcBorders>
            <w:shd w:val="clear" w:color="auto" w:fill="auto"/>
            <w:vAlign w:val="center"/>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Vestuario, blancos, prendas de protección y artículos deportivos</w:t>
            </w:r>
          </w:p>
        </w:tc>
        <w:tc>
          <w:tcPr>
            <w:tcW w:w="0" w:type="auto"/>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1,432 </w:t>
            </w:r>
          </w:p>
        </w:tc>
      </w:tr>
      <w:tr w:rsidR="005069FD" w:rsidRPr="00BA4C6E" w:rsidTr="00C07EAF">
        <w:trPr>
          <w:trHeight w:val="262"/>
        </w:trPr>
        <w:tc>
          <w:tcPr>
            <w:tcW w:w="5975"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Herramientas Refacciones y Accesorios Menores</w:t>
            </w:r>
          </w:p>
        </w:tc>
        <w:tc>
          <w:tcPr>
            <w:tcW w:w="0" w:type="auto"/>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1,011,560 </w:t>
            </w:r>
          </w:p>
        </w:tc>
      </w:tr>
      <w:tr w:rsidR="005069FD" w:rsidRPr="00BA4C6E" w:rsidTr="00C07EAF">
        <w:trPr>
          <w:trHeight w:val="285"/>
        </w:trPr>
        <w:tc>
          <w:tcPr>
            <w:tcW w:w="5975" w:type="dxa"/>
            <w:tcBorders>
              <w:top w:val="nil"/>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Materiales y Suministros</w:t>
            </w:r>
          </w:p>
        </w:tc>
        <w:tc>
          <w:tcPr>
            <w:tcW w:w="0" w:type="auto"/>
            <w:tcBorders>
              <w:top w:val="nil"/>
              <w:left w:val="nil"/>
              <w:bottom w:val="single" w:sz="4" w:space="0" w:color="auto"/>
              <w:right w:val="single" w:sz="4" w:space="0" w:color="auto"/>
            </w:tcBorders>
            <w:shd w:val="clear" w:color="auto" w:fill="AB0033"/>
            <w:noWrap/>
            <w:vAlign w:val="center"/>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Pr>
                <w:b/>
                <w:bCs/>
                <w:color w:val="FFFFFF"/>
                <w:sz w:val="20"/>
                <w:szCs w:val="20"/>
              </w:rPr>
              <w:t xml:space="preserve">  5,938,924 </w:t>
            </w:r>
          </w:p>
        </w:tc>
      </w:tr>
    </w:tbl>
    <w:p w:rsidR="005069FD" w:rsidRPr="00BA4C6E" w:rsidRDefault="005069FD" w:rsidP="005069FD">
      <w:pPr>
        <w:pStyle w:val="INCISO"/>
        <w:spacing w:line="240" w:lineRule="exact"/>
        <w:ind w:left="1140"/>
        <w:rPr>
          <w:rFonts w:asciiTheme="minorHAnsi" w:hAnsiTheme="minorHAnsi"/>
          <w:sz w:val="20"/>
          <w:szCs w:val="20"/>
        </w:rPr>
      </w:pPr>
    </w:p>
    <w:p w:rsidR="005069FD" w:rsidRPr="00BA4C6E" w:rsidRDefault="005069FD" w:rsidP="005069FD">
      <w:pPr>
        <w:pStyle w:val="INCISO"/>
        <w:spacing w:line="240" w:lineRule="exact"/>
        <w:ind w:left="1140"/>
        <w:rPr>
          <w:rFonts w:asciiTheme="minorHAnsi" w:hAnsiTheme="minorHAnsi"/>
          <w:b/>
          <w:sz w:val="20"/>
          <w:szCs w:val="20"/>
        </w:rPr>
      </w:pPr>
    </w:p>
    <w:p w:rsidR="005069FD" w:rsidRPr="00BA4C6E" w:rsidRDefault="005069FD" w:rsidP="005069FD">
      <w:pPr>
        <w:pStyle w:val="INCISO"/>
        <w:spacing w:line="240" w:lineRule="exact"/>
        <w:ind w:left="1140"/>
        <w:rPr>
          <w:rFonts w:asciiTheme="minorHAnsi" w:hAnsiTheme="minorHAnsi"/>
          <w:b/>
          <w:sz w:val="20"/>
          <w:szCs w:val="20"/>
        </w:rPr>
      </w:pPr>
    </w:p>
    <w:p w:rsidR="005069FD" w:rsidRPr="00BA4C6E" w:rsidRDefault="005069FD" w:rsidP="005069FD">
      <w:pPr>
        <w:pStyle w:val="INCISO"/>
        <w:spacing w:line="240" w:lineRule="exact"/>
        <w:ind w:left="1140"/>
        <w:rPr>
          <w:rFonts w:asciiTheme="minorHAnsi" w:hAnsiTheme="minorHAnsi"/>
          <w:sz w:val="20"/>
          <w:szCs w:val="20"/>
        </w:rPr>
      </w:pPr>
    </w:p>
    <w:p w:rsidR="005069FD" w:rsidRPr="00BA4C6E" w:rsidRDefault="005069FD" w:rsidP="005069FD">
      <w:pPr>
        <w:pStyle w:val="INCISO"/>
        <w:spacing w:line="240" w:lineRule="exact"/>
        <w:ind w:left="1140"/>
        <w:rPr>
          <w:rFonts w:asciiTheme="minorHAnsi" w:hAnsiTheme="minorHAnsi"/>
          <w:sz w:val="20"/>
          <w:szCs w:val="20"/>
        </w:rPr>
      </w:pPr>
    </w:p>
    <w:p w:rsidR="005069FD" w:rsidRPr="00BA4C6E" w:rsidRDefault="005069FD" w:rsidP="005069FD">
      <w:pPr>
        <w:pStyle w:val="INCISO"/>
        <w:spacing w:line="240" w:lineRule="exact"/>
        <w:ind w:left="1140"/>
        <w:rPr>
          <w:rFonts w:asciiTheme="minorHAnsi" w:hAnsiTheme="minorHAnsi"/>
          <w:sz w:val="20"/>
          <w:szCs w:val="20"/>
        </w:rPr>
      </w:pPr>
    </w:p>
    <w:p w:rsidR="005069FD" w:rsidRPr="00BA4C6E" w:rsidRDefault="005069FD" w:rsidP="005069FD">
      <w:pPr>
        <w:pStyle w:val="INCISO"/>
        <w:spacing w:line="240" w:lineRule="exact"/>
        <w:ind w:left="1140"/>
        <w:rPr>
          <w:rFonts w:asciiTheme="minorHAnsi" w:hAnsiTheme="minorHAnsi"/>
          <w:sz w:val="20"/>
          <w:szCs w:val="20"/>
        </w:rPr>
      </w:pPr>
    </w:p>
    <w:p w:rsidR="005069FD" w:rsidRPr="00BA4C6E" w:rsidRDefault="005069FD" w:rsidP="005069FD">
      <w:pPr>
        <w:pStyle w:val="INCISO"/>
        <w:spacing w:line="240" w:lineRule="exact"/>
        <w:ind w:left="0" w:firstLine="0"/>
        <w:rPr>
          <w:rFonts w:asciiTheme="minorHAnsi" w:hAnsiTheme="minorHAnsi"/>
          <w:b/>
          <w:sz w:val="20"/>
          <w:szCs w:val="20"/>
        </w:rPr>
      </w:pPr>
    </w:p>
    <w:p w:rsidR="005069FD" w:rsidRDefault="005069FD" w:rsidP="005069FD">
      <w:pPr>
        <w:pStyle w:val="INCISO"/>
        <w:tabs>
          <w:tab w:val="left" w:pos="284"/>
        </w:tabs>
        <w:spacing w:line="240" w:lineRule="exact"/>
        <w:ind w:left="0" w:firstLine="0"/>
        <w:rPr>
          <w:rFonts w:asciiTheme="minorHAnsi" w:hAnsiTheme="minorHAnsi"/>
          <w:b/>
          <w:sz w:val="20"/>
          <w:szCs w:val="20"/>
        </w:rPr>
      </w:pPr>
    </w:p>
    <w:p w:rsidR="005069FD" w:rsidRDefault="005069FD" w:rsidP="005069FD">
      <w:pPr>
        <w:pStyle w:val="INCISO"/>
        <w:tabs>
          <w:tab w:val="left" w:pos="284"/>
        </w:tabs>
        <w:spacing w:line="240" w:lineRule="exact"/>
        <w:ind w:left="0" w:firstLine="0"/>
        <w:rPr>
          <w:rFonts w:asciiTheme="minorHAnsi" w:hAnsiTheme="minorHAnsi"/>
          <w:b/>
          <w:sz w:val="20"/>
          <w:szCs w:val="20"/>
        </w:rPr>
      </w:pPr>
    </w:p>
    <w:p w:rsidR="005069FD" w:rsidRPr="00BA4C6E" w:rsidRDefault="005069FD" w:rsidP="005069FD">
      <w:pPr>
        <w:pStyle w:val="INCISO"/>
        <w:tabs>
          <w:tab w:val="left" w:pos="284"/>
        </w:tabs>
        <w:spacing w:line="240" w:lineRule="exact"/>
        <w:ind w:left="0" w:firstLine="0"/>
        <w:rPr>
          <w:rFonts w:asciiTheme="minorHAnsi" w:hAnsiTheme="minorHAnsi"/>
          <w:b/>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b/>
          <w:sz w:val="20"/>
          <w:szCs w:val="20"/>
        </w:rPr>
        <w:t xml:space="preserve">Servicios generales: </w:t>
      </w:r>
      <w:r w:rsidRPr="00BA4C6E">
        <w:rPr>
          <w:rFonts w:asciiTheme="minorHAnsi" w:hAnsiTheme="minorHAnsi"/>
          <w:sz w:val="20"/>
          <w:szCs w:val="20"/>
        </w:rPr>
        <w:t xml:space="preserve">el importe que muestra este capítulo es por </w:t>
      </w:r>
      <w:r w:rsidRPr="00BA4C6E">
        <w:rPr>
          <w:rFonts w:asciiTheme="minorHAnsi" w:hAnsiTheme="minorHAnsi"/>
          <w:b/>
          <w:sz w:val="20"/>
          <w:szCs w:val="20"/>
        </w:rPr>
        <w:t xml:space="preserve">$ </w:t>
      </w:r>
      <w:r>
        <w:rPr>
          <w:rFonts w:asciiTheme="minorHAnsi" w:hAnsiTheme="minorHAnsi"/>
          <w:b/>
          <w:sz w:val="20"/>
          <w:szCs w:val="20"/>
        </w:rPr>
        <w:t>6,681,200</w:t>
      </w:r>
      <w:r w:rsidRPr="00BA4C6E">
        <w:rPr>
          <w:rFonts w:asciiTheme="minorHAnsi" w:hAnsiTheme="minorHAnsi"/>
          <w:b/>
          <w:sz w:val="20"/>
          <w:szCs w:val="20"/>
        </w:rPr>
        <w:t xml:space="preserve"> </w:t>
      </w:r>
      <w:r w:rsidRPr="00BA4C6E">
        <w:rPr>
          <w:rFonts w:asciiTheme="minorHAnsi" w:hAnsiTheme="minorHAnsi"/>
          <w:sz w:val="20"/>
          <w:szCs w:val="20"/>
        </w:rPr>
        <w:t xml:space="preserve"> agrupa las asignaciones destinadas a cubrir el costo de todo tipo de servicios que se contratan con particulares o instituciones del propio sector público; así como los servicios oficiales requeridos para el desempeño de las actividades atribuidas a esta comisión, está integrado de la siguiente manera:</w:t>
      </w:r>
    </w:p>
    <w:tbl>
      <w:tblPr>
        <w:tblpPr w:leftFromText="141" w:rightFromText="141" w:vertAnchor="text" w:horzAnchor="margin" w:tblpXSpec="center" w:tblpY="134"/>
        <w:tblW w:w="7386" w:type="dxa"/>
        <w:tblCellMar>
          <w:left w:w="70" w:type="dxa"/>
          <w:right w:w="70" w:type="dxa"/>
        </w:tblCellMar>
        <w:tblLook w:val="04A0" w:firstRow="1" w:lastRow="0" w:firstColumn="1" w:lastColumn="0" w:noHBand="0" w:noVBand="1"/>
      </w:tblPr>
      <w:tblGrid>
        <w:gridCol w:w="5966"/>
        <w:gridCol w:w="1420"/>
      </w:tblGrid>
      <w:tr w:rsidR="005069FD" w:rsidRPr="00BA4C6E" w:rsidTr="00C07EAF">
        <w:trPr>
          <w:trHeight w:val="300"/>
        </w:trPr>
        <w:tc>
          <w:tcPr>
            <w:tcW w:w="5966" w:type="dxa"/>
            <w:tcBorders>
              <w:top w:val="single" w:sz="4" w:space="0" w:color="auto"/>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Servicios generales</w:t>
            </w:r>
          </w:p>
        </w:tc>
        <w:tc>
          <w:tcPr>
            <w:tcW w:w="1420" w:type="dxa"/>
            <w:tcBorders>
              <w:top w:val="single" w:sz="4" w:space="0" w:color="auto"/>
              <w:left w:val="nil"/>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Importe</w:t>
            </w:r>
          </w:p>
        </w:tc>
      </w:tr>
      <w:tr w:rsidR="005069FD" w:rsidRPr="00BA4C6E" w:rsidTr="00C07EAF">
        <w:trPr>
          <w:trHeight w:val="249"/>
        </w:trPr>
        <w:tc>
          <w:tcPr>
            <w:tcW w:w="5966"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Servicios Básicos</w:t>
            </w:r>
          </w:p>
        </w:tc>
        <w:tc>
          <w:tcPr>
            <w:tcW w:w="1420"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63,800 </w:t>
            </w:r>
          </w:p>
        </w:tc>
      </w:tr>
      <w:tr w:rsidR="005069FD" w:rsidRPr="00BA4C6E" w:rsidTr="00C07EAF">
        <w:trPr>
          <w:trHeight w:val="282"/>
        </w:trPr>
        <w:tc>
          <w:tcPr>
            <w:tcW w:w="5966" w:type="dxa"/>
            <w:tcBorders>
              <w:top w:val="nil"/>
              <w:left w:val="single" w:sz="4" w:space="0" w:color="auto"/>
              <w:bottom w:val="single" w:sz="4" w:space="0" w:color="auto"/>
              <w:right w:val="single" w:sz="4" w:space="0" w:color="auto"/>
            </w:tcBorders>
            <w:shd w:val="clear" w:color="auto" w:fill="auto"/>
            <w:vAlign w:val="center"/>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Servicios de Arrendamiento</w:t>
            </w:r>
          </w:p>
        </w:tc>
        <w:tc>
          <w:tcPr>
            <w:tcW w:w="1420"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125,280 </w:t>
            </w:r>
          </w:p>
        </w:tc>
      </w:tr>
      <w:tr w:rsidR="005069FD" w:rsidRPr="00BA4C6E" w:rsidTr="00C07EAF">
        <w:trPr>
          <w:trHeight w:val="248"/>
        </w:trPr>
        <w:tc>
          <w:tcPr>
            <w:tcW w:w="5966"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Servicios Profesionales, Científicos y Técnicos y Otros Servicios</w:t>
            </w:r>
          </w:p>
        </w:tc>
        <w:tc>
          <w:tcPr>
            <w:tcW w:w="1420"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3,673,630 </w:t>
            </w:r>
          </w:p>
        </w:tc>
      </w:tr>
      <w:tr w:rsidR="005069FD" w:rsidRPr="00BA4C6E" w:rsidTr="00C07EAF">
        <w:trPr>
          <w:trHeight w:val="275"/>
        </w:trPr>
        <w:tc>
          <w:tcPr>
            <w:tcW w:w="5966"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Servicios Financieros, Bancarios y Comerciales</w:t>
            </w:r>
          </w:p>
        </w:tc>
        <w:tc>
          <w:tcPr>
            <w:tcW w:w="1420"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13,113 </w:t>
            </w:r>
          </w:p>
        </w:tc>
      </w:tr>
      <w:tr w:rsidR="005069FD" w:rsidRPr="00BA4C6E" w:rsidTr="00C07EAF">
        <w:trPr>
          <w:trHeight w:val="265"/>
        </w:trPr>
        <w:tc>
          <w:tcPr>
            <w:tcW w:w="5966"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Servicios de Instalación, Reparación, Mantenimiento y Conservación</w:t>
            </w:r>
          </w:p>
        </w:tc>
        <w:tc>
          <w:tcPr>
            <w:tcW w:w="1420"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785,855 </w:t>
            </w:r>
          </w:p>
        </w:tc>
      </w:tr>
      <w:tr w:rsidR="005069FD" w:rsidRPr="00BA4C6E" w:rsidTr="00C07EAF">
        <w:trPr>
          <w:trHeight w:val="269"/>
        </w:trPr>
        <w:tc>
          <w:tcPr>
            <w:tcW w:w="5966" w:type="dxa"/>
            <w:tcBorders>
              <w:top w:val="nil"/>
              <w:left w:val="single" w:sz="4" w:space="0" w:color="auto"/>
              <w:bottom w:val="single" w:sz="4" w:space="0" w:color="auto"/>
              <w:right w:val="single" w:sz="4" w:space="0" w:color="auto"/>
            </w:tcBorders>
            <w:shd w:val="clear" w:color="auto" w:fill="auto"/>
            <w:vAlign w:val="center"/>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Servicios de Comunicación Social y Publicidad</w:t>
            </w:r>
          </w:p>
        </w:tc>
        <w:tc>
          <w:tcPr>
            <w:tcW w:w="1420"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696 </w:t>
            </w:r>
          </w:p>
        </w:tc>
      </w:tr>
      <w:tr w:rsidR="005069FD" w:rsidRPr="00BA4C6E" w:rsidTr="00C07EAF">
        <w:trPr>
          <w:trHeight w:val="302"/>
        </w:trPr>
        <w:tc>
          <w:tcPr>
            <w:tcW w:w="5966"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Servicios de Traslado y Viáticos</w:t>
            </w:r>
          </w:p>
        </w:tc>
        <w:tc>
          <w:tcPr>
            <w:tcW w:w="1420"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145,588 </w:t>
            </w:r>
          </w:p>
        </w:tc>
      </w:tr>
      <w:tr w:rsidR="005069FD" w:rsidRPr="00BA4C6E" w:rsidTr="00C07EAF">
        <w:trPr>
          <w:trHeight w:val="250"/>
        </w:trPr>
        <w:tc>
          <w:tcPr>
            <w:tcW w:w="5966"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Servicios Oficiales</w:t>
            </w:r>
          </w:p>
        </w:tc>
        <w:tc>
          <w:tcPr>
            <w:tcW w:w="1420"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375,182 </w:t>
            </w:r>
          </w:p>
        </w:tc>
      </w:tr>
      <w:tr w:rsidR="005069FD" w:rsidRPr="00BA4C6E" w:rsidTr="00C07EAF">
        <w:trPr>
          <w:trHeight w:val="294"/>
        </w:trPr>
        <w:tc>
          <w:tcPr>
            <w:tcW w:w="5966"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Otros Servicios Generales</w:t>
            </w:r>
          </w:p>
        </w:tc>
        <w:tc>
          <w:tcPr>
            <w:tcW w:w="1420"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color w:val="000000"/>
                <w:sz w:val="20"/>
                <w:szCs w:val="20"/>
              </w:rPr>
              <w:t xml:space="preserve">      1,498,055 </w:t>
            </w:r>
          </w:p>
        </w:tc>
      </w:tr>
      <w:tr w:rsidR="005069FD" w:rsidRPr="00BA4C6E" w:rsidTr="00C07EAF">
        <w:trPr>
          <w:trHeight w:val="281"/>
        </w:trPr>
        <w:tc>
          <w:tcPr>
            <w:tcW w:w="5966" w:type="dxa"/>
            <w:tcBorders>
              <w:top w:val="nil"/>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Total de servicios generales</w:t>
            </w:r>
          </w:p>
        </w:tc>
        <w:tc>
          <w:tcPr>
            <w:tcW w:w="1420" w:type="dxa"/>
            <w:tcBorders>
              <w:top w:val="nil"/>
              <w:left w:val="nil"/>
              <w:bottom w:val="single" w:sz="4" w:space="0" w:color="auto"/>
              <w:right w:val="single" w:sz="4" w:space="0" w:color="auto"/>
            </w:tcBorders>
            <w:shd w:val="clear" w:color="auto" w:fill="AB0033"/>
            <w:noWrap/>
            <w:vAlign w:val="center"/>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Pr>
                <w:b/>
                <w:bCs/>
                <w:color w:val="FFFFFF"/>
                <w:sz w:val="20"/>
                <w:szCs w:val="20"/>
              </w:rPr>
              <w:t xml:space="preserve">      6,681,200 </w:t>
            </w:r>
          </w:p>
        </w:tc>
      </w:tr>
    </w:tbl>
    <w:p w:rsidR="005069FD" w:rsidRPr="00BA4C6E" w:rsidRDefault="005069FD" w:rsidP="005069FD">
      <w:pPr>
        <w:pStyle w:val="INCISO"/>
        <w:spacing w:line="240" w:lineRule="exact"/>
        <w:ind w:left="1140"/>
        <w:rPr>
          <w:rFonts w:asciiTheme="minorHAnsi" w:hAnsiTheme="minorHAnsi"/>
          <w:sz w:val="20"/>
          <w:szCs w:val="20"/>
        </w:rPr>
      </w:pPr>
    </w:p>
    <w:p w:rsidR="005069FD" w:rsidRPr="00BA4C6E" w:rsidRDefault="005069FD" w:rsidP="005069FD">
      <w:pPr>
        <w:pStyle w:val="INCISO"/>
        <w:spacing w:line="240" w:lineRule="exact"/>
        <w:ind w:left="1140"/>
        <w:rPr>
          <w:rFonts w:asciiTheme="minorHAnsi" w:hAnsiTheme="minorHAnsi"/>
          <w:sz w:val="20"/>
          <w:szCs w:val="20"/>
        </w:rPr>
      </w:pPr>
    </w:p>
    <w:p w:rsidR="005069FD" w:rsidRPr="00BA4C6E" w:rsidRDefault="005069FD" w:rsidP="005069FD">
      <w:pPr>
        <w:pStyle w:val="INCISO"/>
        <w:spacing w:line="240" w:lineRule="exact"/>
        <w:ind w:left="1140"/>
        <w:rPr>
          <w:rFonts w:asciiTheme="minorHAnsi" w:hAnsiTheme="minorHAnsi"/>
          <w:sz w:val="20"/>
          <w:szCs w:val="20"/>
        </w:rPr>
      </w:pPr>
    </w:p>
    <w:p w:rsidR="005069FD" w:rsidRPr="00BA4C6E" w:rsidRDefault="005069FD" w:rsidP="005069FD">
      <w:pPr>
        <w:pStyle w:val="INCISO"/>
        <w:tabs>
          <w:tab w:val="left" w:pos="284"/>
        </w:tabs>
        <w:spacing w:line="240" w:lineRule="exact"/>
        <w:ind w:left="0" w:firstLine="0"/>
        <w:rPr>
          <w:rFonts w:asciiTheme="minorHAnsi" w:hAnsiTheme="minorHAnsi"/>
          <w:b/>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b/>
          <w:sz w:val="20"/>
          <w:szCs w:val="20"/>
        </w:rPr>
      </w:pPr>
    </w:p>
    <w:p w:rsidR="005069FD" w:rsidRPr="00BA4C6E" w:rsidRDefault="005069FD" w:rsidP="005069FD">
      <w:pPr>
        <w:pStyle w:val="INCISO"/>
        <w:tabs>
          <w:tab w:val="left" w:pos="284"/>
        </w:tabs>
        <w:spacing w:line="240" w:lineRule="exact"/>
        <w:ind w:left="0" w:firstLine="0"/>
        <w:rPr>
          <w:rFonts w:asciiTheme="minorHAnsi" w:hAnsiTheme="minorHAnsi"/>
          <w:b/>
          <w:sz w:val="20"/>
          <w:szCs w:val="20"/>
        </w:rPr>
      </w:pPr>
    </w:p>
    <w:p w:rsidR="005069FD" w:rsidRDefault="005069FD" w:rsidP="005069FD">
      <w:pPr>
        <w:pStyle w:val="INCISO"/>
        <w:tabs>
          <w:tab w:val="left" w:pos="284"/>
        </w:tabs>
        <w:spacing w:line="240" w:lineRule="exact"/>
        <w:ind w:left="284" w:firstLine="0"/>
        <w:rPr>
          <w:rFonts w:asciiTheme="minorHAnsi" w:hAnsiTheme="minorHAnsi"/>
          <w:b/>
          <w:sz w:val="20"/>
          <w:szCs w:val="20"/>
        </w:rPr>
      </w:pPr>
    </w:p>
    <w:p w:rsidR="005069FD" w:rsidRDefault="005069FD" w:rsidP="005069FD">
      <w:pPr>
        <w:pStyle w:val="INCISO"/>
        <w:tabs>
          <w:tab w:val="left" w:pos="284"/>
        </w:tabs>
        <w:spacing w:line="240" w:lineRule="exact"/>
        <w:ind w:left="284" w:firstLine="0"/>
        <w:rPr>
          <w:rFonts w:asciiTheme="minorHAnsi" w:hAnsiTheme="minorHAnsi"/>
          <w:b/>
          <w:sz w:val="20"/>
          <w:szCs w:val="20"/>
        </w:rPr>
      </w:pPr>
    </w:p>
    <w:p w:rsidR="005069FD" w:rsidRDefault="005069FD" w:rsidP="005069FD">
      <w:pPr>
        <w:pStyle w:val="INCISO"/>
        <w:tabs>
          <w:tab w:val="left" w:pos="284"/>
        </w:tabs>
        <w:spacing w:line="240" w:lineRule="exact"/>
        <w:ind w:left="284" w:firstLine="0"/>
        <w:rPr>
          <w:rFonts w:asciiTheme="minorHAnsi" w:hAnsiTheme="minorHAnsi"/>
          <w:b/>
          <w:sz w:val="20"/>
          <w:szCs w:val="20"/>
        </w:rPr>
      </w:pPr>
    </w:p>
    <w:p w:rsidR="005069FD" w:rsidRDefault="005069FD" w:rsidP="005069FD">
      <w:pPr>
        <w:pStyle w:val="INCISO"/>
        <w:tabs>
          <w:tab w:val="left" w:pos="284"/>
        </w:tabs>
        <w:spacing w:line="240" w:lineRule="exact"/>
        <w:ind w:left="284" w:firstLine="0"/>
        <w:rPr>
          <w:rFonts w:asciiTheme="minorHAnsi" w:hAnsiTheme="minorHAnsi"/>
          <w:b/>
          <w:sz w:val="20"/>
          <w:szCs w:val="20"/>
        </w:rPr>
      </w:pPr>
    </w:p>
    <w:p w:rsidR="005069FD" w:rsidRDefault="005069FD" w:rsidP="005069FD">
      <w:pPr>
        <w:pStyle w:val="INCISO"/>
        <w:tabs>
          <w:tab w:val="left" w:pos="284"/>
        </w:tabs>
        <w:spacing w:line="240" w:lineRule="exact"/>
        <w:ind w:left="284" w:firstLine="0"/>
        <w:rPr>
          <w:rFonts w:asciiTheme="minorHAnsi" w:hAnsiTheme="minorHAnsi"/>
          <w:b/>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b/>
          <w:sz w:val="20"/>
          <w:szCs w:val="20"/>
        </w:rPr>
        <w:lastRenderedPageBreak/>
        <w:t>Transferencias, asignaciones, subsidios y otras ayudas</w:t>
      </w:r>
      <w:proofErr w:type="gramStart"/>
      <w:r w:rsidRPr="00BA4C6E">
        <w:rPr>
          <w:rFonts w:asciiTheme="minorHAnsi" w:hAnsiTheme="minorHAnsi"/>
          <w:b/>
          <w:sz w:val="20"/>
          <w:szCs w:val="20"/>
        </w:rPr>
        <w:t>:</w:t>
      </w:r>
      <w:r>
        <w:rPr>
          <w:rFonts w:asciiTheme="minorHAnsi" w:hAnsiTheme="minorHAnsi"/>
          <w:b/>
          <w:sz w:val="20"/>
          <w:szCs w:val="20"/>
        </w:rPr>
        <w:t>$</w:t>
      </w:r>
      <w:proofErr w:type="gramEnd"/>
      <w:r>
        <w:rPr>
          <w:rFonts w:asciiTheme="minorHAnsi" w:hAnsiTheme="minorHAnsi"/>
          <w:b/>
          <w:sz w:val="20"/>
          <w:szCs w:val="20"/>
        </w:rPr>
        <w:t xml:space="preserve"> 14,117,113</w:t>
      </w:r>
      <w:r w:rsidRPr="00BA4C6E">
        <w:rPr>
          <w:rFonts w:asciiTheme="minorHAnsi" w:hAnsiTheme="minorHAnsi"/>
          <w:b/>
          <w:sz w:val="20"/>
          <w:szCs w:val="20"/>
        </w:rPr>
        <w:t xml:space="preserve">, </w:t>
      </w:r>
      <w:r w:rsidRPr="00BA4C6E">
        <w:rPr>
          <w:rFonts w:asciiTheme="minorHAnsi" w:hAnsiTheme="minorHAnsi"/>
          <w:sz w:val="20"/>
          <w:szCs w:val="20"/>
        </w:rPr>
        <w:t>en este capítulo se agrupan las asignaciones y apoyos destinados en forma directa o indirecta a los sectores públicos, organismos operadores, con el objeto de sufragar gastos inherentes a sus atribuciones, está integrado como sigue:</w:t>
      </w: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p>
    <w:tbl>
      <w:tblPr>
        <w:tblpPr w:leftFromText="141" w:rightFromText="141" w:vertAnchor="text" w:horzAnchor="page" w:tblpX="2786" w:tblpY="-23"/>
        <w:tblW w:w="7386" w:type="dxa"/>
        <w:tblCellMar>
          <w:left w:w="70" w:type="dxa"/>
          <w:right w:w="70" w:type="dxa"/>
        </w:tblCellMar>
        <w:tblLook w:val="04A0" w:firstRow="1" w:lastRow="0" w:firstColumn="1" w:lastColumn="0" w:noHBand="0" w:noVBand="1"/>
      </w:tblPr>
      <w:tblGrid>
        <w:gridCol w:w="5966"/>
        <w:gridCol w:w="1420"/>
      </w:tblGrid>
      <w:tr w:rsidR="005069FD" w:rsidRPr="00BA4C6E" w:rsidTr="00C07EAF">
        <w:trPr>
          <w:trHeight w:val="300"/>
        </w:trPr>
        <w:tc>
          <w:tcPr>
            <w:tcW w:w="5966" w:type="dxa"/>
            <w:tcBorders>
              <w:top w:val="single" w:sz="4" w:space="0" w:color="auto"/>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Transferencias, asignaciones, subsidios y otras ayudas</w:t>
            </w:r>
          </w:p>
        </w:tc>
        <w:tc>
          <w:tcPr>
            <w:tcW w:w="1420" w:type="dxa"/>
            <w:tcBorders>
              <w:top w:val="single" w:sz="4" w:space="0" w:color="auto"/>
              <w:left w:val="nil"/>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Importe</w:t>
            </w:r>
          </w:p>
        </w:tc>
      </w:tr>
      <w:tr w:rsidR="005069FD" w:rsidRPr="00BA4C6E" w:rsidTr="00C07EAF">
        <w:trPr>
          <w:trHeight w:val="249"/>
        </w:trPr>
        <w:tc>
          <w:tcPr>
            <w:tcW w:w="5966"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hAnsiTheme="minorHAnsi"/>
                <w:bCs/>
                <w:iCs/>
                <w:color w:val="000000"/>
              </w:rPr>
              <w:t>Transferencias al resto del sector Público</w:t>
            </w:r>
          </w:p>
        </w:tc>
        <w:tc>
          <w:tcPr>
            <w:tcW w:w="1420" w:type="dxa"/>
            <w:tcBorders>
              <w:top w:val="nil"/>
              <w:left w:val="nil"/>
              <w:bottom w:val="single" w:sz="4" w:space="0" w:color="auto"/>
              <w:right w:val="single" w:sz="4" w:space="0" w:color="auto"/>
            </w:tcBorders>
            <w:shd w:val="clear" w:color="auto" w:fill="auto"/>
            <w:noWrap/>
            <w:vAlign w:val="bottom"/>
          </w:tcPr>
          <w:p w:rsidR="005069FD" w:rsidRPr="00076EF5" w:rsidRDefault="005069FD" w:rsidP="00C07EAF">
            <w:pPr>
              <w:spacing w:after="0"/>
              <w:jc w:val="right"/>
              <w:rPr>
                <w:rFonts w:asciiTheme="minorHAnsi" w:hAnsiTheme="minorHAnsi"/>
                <w:bCs/>
                <w:color w:val="000000"/>
              </w:rPr>
            </w:pPr>
            <w:r w:rsidRPr="00BA4C6E">
              <w:rPr>
                <w:rFonts w:asciiTheme="minorHAnsi" w:hAnsiTheme="minorHAnsi"/>
                <w:bCs/>
                <w:color w:val="000000"/>
              </w:rPr>
              <w:t>9,945,685</w:t>
            </w:r>
          </w:p>
        </w:tc>
      </w:tr>
      <w:tr w:rsidR="005069FD" w:rsidRPr="00BA4C6E" w:rsidTr="00C07EAF">
        <w:trPr>
          <w:trHeight w:val="282"/>
        </w:trPr>
        <w:tc>
          <w:tcPr>
            <w:tcW w:w="5966" w:type="dxa"/>
            <w:tcBorders>
              <w:top w:val="nil"/>
              <w:left w:val="single" w:sz="4" w:space="0" w:color="auto"/>
              <w:bottom w:val="single" w:sz="4" w:space="0" w:color="auto"/>
              <w:right w:val="single" w:sz="4" w:space="0" w:color="auto"/>
            </w:tcBorders>
            <w:shd w:val="clear" w:color="auto" w:fill="auto"/>
            <w:vAlign w:val="center"/>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hAnsiTheme="minorHAnsi"/>
                <w:bCs/>
                <w:iCs/>
                <w:color w:val="000000"/>
              </w:rPr>
              <w:t>Subsidios y Subvenciones, Ayudas Sociales, Pensiones y Jubilaciones</w:t>
            </w:r>
          </w:p>
        </w:tc>
        <w:tc>
          <w:tcPr>
            <w:tcW w:w="1420" w:type="dxa"/>
            <w:tcBorders>
              <w:top w:val="nil"/>
              <w:left w:val="nil"/>
              <w:bottom w:val="single" w:sz="4" w:space="0" w:color="auto"/>
              <w:right w:val="single" w:sz="4" w:space="0" w:color="auto"/>
            </w:tcBorders>
            <w:shd w:val="clear" w:color="auto" w:fill="auto"/>
            <w:noWrap/>
            <w:vAlign w:val="bottom"/>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hAnsiTheme="minorHAnsi"/>
                <w:bCs/>
                <w:color w:val="000000"/>
                <w:sz w:val="20"/>
                <w:szCs w:val="20"/>
              </w:rPr>
              <w:t>3,973,76</w:t>
            </w:r>
            <w:r>
              <w:rPr>
                <w:rFonts w:asciiTheme="minorHAnsi" w:hAnsiTheme="minorHAnsi"/>
                <w:bCs/>
                <w:color w:val="000000"/>
                <w:sz w:val="20"/>
                <w:szCs w:val="20"/>
              </w:rPr>
              <w:t>8</w:t>
            </w:r>
          </w:p>
        </w:tc>
      </w:tr>
      <w:tr w:rsidR="005069FD" w:rsidRPr="00BA4C6E" w:rsidTr="00C07EAF">
        <w:trPr>
          <w:trHeight w:val="248"/>
        </w:trPr>
        <w:tc>
          <w:tcPr>
            <w:tcW w:w="5966" w:type="dxa"/>
            <w:tcBorders>
              <w:top w:val="nil"/>
              <w:left w:val="single" w:sz="4" w:space="0" w:color="auto"/>
              <w:bottom w:val="single" w:sz="4" w:space="0" w:color="auto"/>
              <w:right w:val="single" w:sz="4" w:space="0" w:color="auto"/>
            </w:tcBorders>
            <w:shd w:val="clear" w:color="auto" w:fill="auto"/>
            <w:vAlign w:val="center"/>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hAnsiTheme="minorHAnsi"/>
                <w:bCs/>
                <w:color w:val="000000"/>
                <w:sz w:val="20"/>
                <w:szCs w:val="20"/>
              </w:rPr>
              <w:t>Ayudas Sociales</w:t>
            </w:r>
          </w:p>
        </w:tc>
        <w:tc>
          <w:tcPr>
            <w:tcW w:w="1420" w:type="dxa"/>
            <w:tcBorders>
              <w:top w:val="nil"/>
              <w:left w:val="nil"/>
              <w:bottom w:val="single" w:sz="4" w:space="0" w:color="auto"/>
              <w:right w:val="single" w:sz="4" w:space="0" w:color="auto"/>
            </w:tcBorders>
            <w:shd w:val="clear" w:color="auto" w:fill="auto"/>
            <w:noWrap/>
            <w:vAlign w:val="bottom"/>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hAnsiTheme="minorHAnsi"/>
                <w:bCs/>
                <w:color w:val="000000"/>
                <w:sz w:val="20"/>
                <w:szCs w:val="20"/>
              </w:rPr>
              <w:t>197,660</w:t>
            </w:r>
          </w:p>
        </w:tc>
      </w:tr>
      <w:tr w:rsidR="005069FD" w:rsidRPr="00BA4C6E" w:rsidTr="00C07EAF">
        <w:trPr>
          <w:trHeight w:val="281"/>
        </w:trPr>
        <w:tc>
          <w:tcPr>
            <w:tcW w:w="5966" w:type="dxa"/>
            <w:tcBorders>
              <w:top w:val="nil"/>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Total de servicios generales</w:t>
            </w:r>
          </w:p>
        </w:tc>
        <w:tc>
          <w:tcPr>
            <w:tcW w:w="1420" w:type="dxa"/>
            <w:tcBorders>
              <w:top w:val="nil"/>
              <w:left w:val="nil"/>
              <w:bottom w:val="single" w:sz="4" w:space="0" w:color="auto"/>
              <w:right w:val="single" w:sz="4" w:space="0" w:color="auto"/>
            </w:tcBorders>
            <w:shd w:val="clear" w:color="auto" w:fill="AB0033"/>
            <w:noWrap/>
            <w:vAlign w:val="center"/>
          </w:tcPr>
          <w:p w:rsidR="005069FD" w:rsidRPr="00BA4C6E" w:rsidRDefault="005069FD" w:rsidP="00C07EAF">
            <w:pPr>
              <w:spacing w:after="0"/>
              <w:jc w:val="right"/>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14,117,113</w:t>
            </w:r>
          </w:p>
        </w:tc>
      </w:tr>
    </w:tbl>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b/>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b/>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b/>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b/>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b/>
          <w:sz w:val="20"/>
          <w:szCs w:val="20"/>
        </w:rPr>
        <w:t xml:space="preserve">Transferencias al resto del sector público: </w:t>
      </w:r>
      <w:r w:rsidRPr="00BA4C6E">
        <w:rPr>
          <w:rFonts w:asciiTheme="minorHAnsi" w:hAnsiTheme="minorHAnsi"/>
          <w:sz w:val="20"/>
          <w:szCs w:val="20"/>
        </w:rPr>
        <w:t>Asignaciones y apoyos destinados en forma directa o indirecta a los sectores públicos, organismos operadores, con el objeto de sufragar gastos inherentes a sus atribuciones.</w:t>
      </w:r>
    </w:p>
    <w:p w:rsidR="005069FD" w:rsidRPr="00BA4C6E" w:rsidRDefault="005069FD" w:rsidP="005069FD">
      <w:pPr>
        <w:pStyle w:val="INCISO"/>
        <w:spacing w:line="240" w:lineRule="exact"/>
        <w:ind w:left="1140"/>
        <w:rPr>
          <w:rFonts w:asciiTheme="minorHAnsi" w:hAnsiTheme="minorHAnsi"/>
          <w:b/>
          <w:sz w:val="20"/>
          <w:szCs w:val="20"/>
        </w:rPr>
      </w:pPr>
    </w:p>
    <w:p w:rsidR="005069FD" w:rsidRPr="00BA4C6E" w:rsidRDefault="005069FD" w:rsidP="005069FD">
      <w:pPr>
        <w:pStyle w:val="INCISO"/>
        <w:tabs>
          <w:tab w:val="left" w:pos="284"/>
        </w:tabs>
        <w:spacing w:line="240" w:lineRule="exact"/>
        <w:ind w:left="284" w:firstLine="4"/>
        <w:rPr>
          <w:rFonts w:asciiTheme="minorHAnsi" w:hAnsiTheme="minorHAnsi"/>
          <w:sz w:val="20"/>
          <w:szCs w:val="20"/>
        </w:rPr>
      </w:pPr>
      <w:r w:rsidRPr="00BA4C6E">
        <w:rPr>
          <w:rFonts w:asciiTheme="minorHAnsi" w:hAnsiTheme="minorHAnsi"/>
          <w:b/>
          <w:sz w:val="20"/>
          <w:szCs w:val="20"/>
        </w:rPr>
        <w:t xml:space="preserve">Ayudas Sociales: </w:t>
      </w:r>
      <w:r w:rsidRPr="00BA4C6E">
        <w:rPr>
          <w:rFonts w:asciiTheme="minorHAnsi" w:hAnsiTheme="minorHAnsi"/>
          <w:bCs/>
          <w:sz w:val="20"/>
          <w:szCs w:val="20"/>
        </w:rPr>
        <w:t>R</w:t>
      </w:r>
      <w:r w:rsidRPr="00BA4C6E">
        <w:rPr>
          <w:rFonts w:asciiTheme="minorHAnsi" w:hAnsiTheme="minorHAnsi"/>
          <w:sz w:val="20"/>
          <w:szCs w:val="20"/>
        </w:rPr>
        <w:t>ecurso utilizado para el pago de becas a trabajadores e hijos de acuerdo a la normatividad establecida por la Dirección General de Recursos Humanos de Gobierno del Estado de Tamaulipas.</w:t>
      </w:r>
    </w:p>
    <w:p w:rsidR="005069FD" w:rsidRPr="00BA4C6E" w:rsidRDefault="005069FD" w:rsidP="005069FD">
      <w:pPr>
        <w:pStyle w:val="INCISO"/>
        <w:tabs>
          <w:tab w:val="left" w:pos="284"/>
        </w:tabs>
        <w:spacing w:line="240" w:lineRule="exact"/>
        <w:ind w:left="284" w:firstLine="0"/>
        <w:rPr>
          <w:rFonts w:asciiTheme="minorHAnsi" w:hAnsiTheme="minorHAnsi"/>
          <w:b/>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b/>
          <w:sz w:val="20"/>
          <w:szCs w:val="20"/>
        </w:rPr>
        <w:t>Otros gastos y pérdidas extraordinarias: $ 3</w:t>
      </w:r>
      <w:r>
        <w:rPr>
          <w:rFonts w:asciiTheme="minorHAnsi" w:hAnsiTheme="minorHAnsi"/>
          <w:b/>
          <w:sz w:val="20"/>
          <w:szCs w:val="20"/>
        </w:rPr>
        <w:t>, 850,627</w:t>
      </w:r>
      <w:r w:rsidRPr="00BA4C6E">
        <w:rPr>
          <w:rFonts w:asciiTheme="minorHAnsi" w:hAnsiTheme="minorHAnsi"/>
          <w:b/>
          <w:sz w:val="20"/>
          <w:szCs w:val="20"/>
        </w:rPr>
        <w:t xml:space="preserve"> </w:t>
      </w:r>
      <w:r w:rsidRPr="00BA4C6E">
        <w:rPr>
          <w:rFonts w:asciiTheme="minorHAnsi" w:hAnsiTheme="minorHAnsi"/>
          <w:sz w:val="20"/>
          <w:szCs w:val="20"/>
        </w:rPr>
        <w:t>estos gastos están integrados de la siguiente manera:</w:t>
      </w:r>
    </w:p>
    <w:p w:rsidR="005069FD" w:rsidRPr="00BA4C6E" w:rsidRDefault="005069FD" w:rsidP="005069FD">
      <w:pPr>
        <w:pStyle w:val="INCISO"/>
        <w:tabs>
          <w:tab w:val="left" w:pos="284"/>
        </w:tabs>
        <w:spacing w:line="240" w:lineRule="exact"/>
        <w:rPr>
          <w:rFonts w:asciiTheme="minorHAnsi" w:hAnsiTheme="minorHAnsi"/>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b/>
          <w:sz w:val="20"/>
          <w:szCs w:val="20"/>
        </w:rPr>
        <w:t>Estimaciones, depreciaciones, deterioros, obsolescencia y amortizaciones: $ 3</w:t>
      </w:r>
      <w:r>
        <w:rPr>
          <w:rFonts w:asciiTheme="minorHAnsi" w:hAnsiTheme="minorHAnsi"/>
          <w:b/>
          <w:sz w:val="20"/>
          <w:szCs w:val="20"/>
        </w:rPr>
        <w:t>, 850,627</w:t>
      </w:r>
      <w:r w:rsidRPr="00BA4C6E">
        <w:rPr>
          <w:rFonts w:asciiTheme="minorHAnsi" w:hAnsiTheme="minorHAnsi"/>
          <w:b/>
          <w:sz w:val="20"/>
          <w:szCs w:val="20"/>
        </w:rPr>
        <w:t xml:space="preserve">  </w:t>
      </w:r>
      <w:r w:rsidRPr="00BA4C6E">
        <w:rPr>
          <w:rFonts w:asciiTheme="minorHAnsi" w:hAnsiTheme="minorHAnsi"/>
          <w:sz w:val="20"/>
          <w:szCs w:val="20"/>
        </w:rPr>
        <w:t>corresponde al registro de la depreciación de los bienes muebles y amortización de los activos intangibles de esta comisión al 31 de diciembre de 2022, se incluye la disminución de bienes por pérdida, obsolescencia y deterioro de activos fijos.</w:t>
      </w:r>
    </w:p>
    <w:tbl>
      <w:tblPr>
        <w:tblpPr w:leftFromText="141" w:rightFromText="141" w:vertAnchor="text" w:horzAnchor="page" w:tblpX="3424" w:tblpY="191"/>
        <w:tblW w:w="6252" w:type="dxa"/>
        <w:tblCellMar>
          <w:left w:w="70" w:type="dxa"/>
          <w:right w:w="70" w:type="dxa"/>
        </w:tblCellMar>
        <w:tblLook w:val="04A0" w:firstRow="1" w:lastRow="0" w:firstColumn="1" w:lastColumn="0" w:noHBand="0" w:noVBand="1"/>
      </w:tblPr>
      <w:tblGrid>
        <w:gridCol w:w="4693"/>
        <w:gridCol w:w="1559"/>
      </w:tblGrid>
      <w:tr w:rsidR="005069FD" w:rsidRPr="00BA4C6E" w:rsidTr="00C07EAF">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Otros Gastos y Perdidas Extraordinarias</w:t>
            </w:r>
          </w:p>
        </w:tc>
        <w:tc>
          <w:tcPr>
            <w:tcW w:w="1559" w:type="dxa"/>
            <w:tcBorders>
              <w:top w:val="single" w:sz="4" w:space="0" w:color="auto"/>
              <w:left w:val="nil"/>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Importe</w:t>
            </w:r>
          </w:p>
        </w:tc>
      </w:tr>
      <w:tr w:rsidR="005069FD" w:rsidRPr="00BA4C6E" w:rsidTr="00C07EAF">
        <w:trPr>
          <w:trHeight w:val="381"/>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Depreciación de Bienes Muebles</w:t>
            </w:r>
          </w:p>
        </w:tc>
        <w:tc>
          <w:tcPr>
            <w:tcW w:w="1559"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3,824,066</w:t>
            </w:r>
          </w:p>
        </w:tc>
      </w:tr>
      <w:tr w:rsidR="005069FD" w:rsidRPr="00BA4C6E" w:rsidTr="00C07EAF">
        <w:trPr>
          <w:trHeight w:val="283"/>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Amortización de Activos Intangibles</w:t>
            </w:r>
          </w:p>
        </w:tc>
        <w:tc>
          <w:tcPr>
            <w:tcW w:w="1559"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26,561</w:t>
            </w:r>
          </w:p>
        </w:tc>
      </w:tr>
      <w:tr w:rsidR="005069FD" w:rsidRPr="00BA4C6E" w:rsidTr="00C07EAF">
        <w:trPr>
          <w:trHeight w:val="273"/>
        </w:trPr>
        <w:tc>
          <w:tcPr>
            <w:tcW w:w="4693" w:type="dxa"/>
            <w:tcBorders>
              <w:top w:val="nil"/>
              <w:left w:val="single" w:sz="4" w:space="0" w:color="auto"/>
              <w:bottom w:val="single" w:sz="4" w:space="0" w:color="auto"/>
              <w:right w:val="single" w:sz="4" w:space="0" w:color="auto"/>
            </w:tcBorders>
            <w:shd w:val="clear" w:color="auto" w:fill="auto"/>
            <w:vAlign w:val="center"/>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Otros Gastos</w:t>
            </w:r>
          </w:p>
        </w:tc>
        <w:tc>
          <w:tcPr>
            <w:tcW w:w="1559" w:type="dxa"/>
            <w:tcBorders>
              <w:top w:val="nil"/>
              <w:left w:val="nil"/>
              <w:bottom w:val="single" w:sz="4" w:space="0" w:color="auto"/>
              <w:right w:val="single" w:sz="4" w:space="0" w:color="auto"/>
            </w:tcBorders>
            <w:shd w:val="clear" w:color="auto" w:fill="auto"/>
            <w:noWrap/>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300"/>
        </w:trPr>
        <w:tc>
          <w:tcPr>
            <w:tcW w:w="4693" w:type="dxa"/>
            <w:tcBorders>
              <w:top w:val="nil"/>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Total Otros Gastos y Pérdidas Extraordinarias</w:t>
            </w:r>
          </w:p>
        </w:tc>
        <w:tc>
          <w:tcPr>
            <w:tcW w:w="1559" w:type="dxa"/>
            <w:tcBorders>
              <w:top w:val="nil"/>
              <w:left w:val="nil"/>
              <w:bottom w:val="single" w:sz="4" w:space="0" w:color="auto"/>
              <w:right w:val="single" w:sz="4" w:space="0" w:color="auto"/>
            </w:tcBorders>
            <w:shd w:val="clear" w:color="auto" w:fill="AB0033"/>
            <w:noWrap/>
            <w:vAlign w:val="center"/>
            <w:hideMark/>
          </w:tcPr>
          <w:p w:rsidR="005069FD" w:rsidRPr="00BA4C6E" w:rsidRDefault="005069FD" w:rsidP="00C07EAF">
            <w:pPr>
              <w:spacing w:after="0"/>
              <w:jc w:val="right"/>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3,850,627</w:t>
            </w:r>
          </w:p>
        </w:tc>
      </w:tr>
    </w:tbl>
    <w:p w:rsidR="005069FD" w:rsidRPr="00BA4C6E" w:rsidRDefault="005069FD" w:rsidP="005069FD">
      <w:pPr>
        <w:pStyle w:val="INCISO"/>
        <w:spacing w:line="240" w:lineRule="exact"/>
        <w:ind w:left="1140"/>
        <w:rPr>
          <w:rFonts w:asciiTheme="minorHAnsi" w:hAnsiTheme="minorHAnsi"/>
          <w:sz w:val="20"/>
          <w:szCs w:val="20"/>
        </w:rPr>
      </w:pPr>
    </w:p>
    <w:p w:rsidR="005069FD" w:rsidRPr="00BA4C6E" w:rsidRDefault="005069FD" w:rsidP="005069FD">
      <w:pPr>
        <w:pStyle w:val="INCISO"/>
        <w:spacing w:line="240" w:lineRule="exact"/>
        <w:ind w:left="1140"/>
        <w:rPr>
          <w:rFonts w:asciiTheme="minorHAnsi" w:hAnsiTheme="minorHAnsi"/>
          <w:sz w:val="20"/>
          <w:szCs w:val="20"/>
        </w:rPr>
      </w:pPr>
    </w:p>
    <w:p w:rsidR="005069FD" w:rsidRPr="00BA4C6E" w:rsidRDefault="005069FD" w:rsidP="005069FD">
      <w:pPr>
        <w:pStyle w:val="INCISO"/>
        <w:spacing w:line="240" w:lineRule="exact"/>
        <w:ind w:left="1140"/>
        <w:rPr>
          <w:rFonts w:asciiTheme="minorHAnsi" w:hAnsiTheme="minorHAnsi"/>
          <w:sz w:val="20"/>
          <w:szCs w:val="20"/>
        </w:rPr>
      </w:pPr>
    </w:p>
    <w:p w:rsidR="005069FD" w:rsidRPr="00BA4C6E" w:rsidRDefault="005069FD" w:rsidP="005069FD">
      <w:pPr>
        <w:pStyle w:val="INCISO"/>
        <w:spacing w:line="240" w:lineRule="exact"/>
        <w:ind w:left="1140"/>
        <w:rPr>
          <w:rFonts w:asciiTheme="minorHAnsi" w:hAnsiTheme="minorHAnsi"/>
          <w:b/>
          <w:sz w:val="20"/>
          <w:szCs w:val="20"/>
        </w:rPr>
      </w:pPr>
    </w:p>
    <w:p w:rsidR="005069FD" w:rsidRPr="00BA4C6E" w:rsidRDefault="005069FD" w:rsidP="005069FD">
      <w:pPr>
        <w:spacing w:after="0" w:line="240" w:lineRule="exact"/>
        <w:rPr>
          <w:rFonts w:asciiTheme="minorHAnsi" w:hAnsiTheme="minorHAnsi"/>
          <w:b/>
          <w:smallCaps/>
          <w:sz w:val="20"/>
          <w:szCs w:val="20"/>
        </w:rPr>
      </w:pPr>
    </w:p>
    <w:p w:rsidR="005069FD" w:rsidRPr="00BA4C6E" w:rsidRDefault="005069FD" w:rsidP="005069FD">
      <w:pPr>
        <w:spacing w:after="0" w:line="240" w:lineRule="exact"/>
        <w:ind w:left="360"/>
        <w:jc w:val="center"/>
        <w:rPr>
          <w:rFonts w:asciiTheme="minorHAnsi" w:hAnsiTheme="minorHAnsi"/>
          <w:b/>
          <w:smallCaps/>
          <w:sz w:val="20"/>
          <w:szCs w:val="20"/>
        </w:rPr>
      </w:pPr>
    </w:p>
    <w:p w:rsidR="005069FD" w:rsidRPr="00BA4C6E" w:rsidRDefault="005069FD" w:rsidP="005069FD">
      <w:pPr>
        <w:spacing w:after="0" w:line="240" w:lineRule="exact"/>
        <w:rPr>
          <w:rFonts w:asciiTheme="minorHAnsi" w:hAnsiTheme="minorHAnsi"/>
          <w:b/>
          <w:smallCaps/>
          <w:sz w:val="20"/>
          <w:szCs w:val="20"/>
        </w:rPr>
      </w:pPr>
    </w:p>
    <w:p w:rsidR="005069FD" w:rsidRPr="00BA4C6E" w:rsidRDefault="005069FD" w:rsidP="005069FD">
      <w:pPr>
        <w:spacing w:after="0" w:line="240" w:lineRule="exact"/>
        <w:rPr>
          <w:rFonts w:asciiTheme="minorHAnsi" w:hAnsiTheme="minorHAnsi"/>
          <w:b/>
          <w:smallCaps/>
          <w:sz w:val="20"/>
          <w:szCs w:val="20"/>
        </w:rPr>
      </w:pPr>
    </w:p>
    <w:p w:rsidR="005069FD" w:rsidRPr="00BA4C6E" w:rsidRDefault="005069FD" w:rsidP="005069FD">
      <w:pPr>
        <w:spacing w:after="0" w:line="240" w:lineRule="exact"/>
        <w:ind w:left="360"/>
        <w:jc w:val="center"/>
        <w:rPr>
          <w:rFonts w:asciiTheme="minorHAnsi" w:hAnsiTheme="minorHAnsi" w:cs="Arial"/>
          <w:b/>
          <w:smallCaps/>
          <w:szCs w:val="20"/>
        </w:rPr>
      </w:pPr>
      <w:r w:rsidRPr="00BA4C6E">
        <w:rPr>
          <w:rFonts w:asciiTheme="minorHAnsi" w:hAnsiTheme="minorHAnsi" w:cs="Arial"/>
          <w:b/>
          <w:smallCaps/>
          <w:szCs w:val="20"/>
        </w:rPr>
        <w:t>III)</w:t>
      </w:r>
      <w:r w:rsidRPr="00BA4C6E">
        <w:rPr>
          <w:rFonts w:asciiTheme="minorHAnsi" w:hAnsiTheme="minorHAnsi" w:cs="Arial"/>
          <w:b/>
          <w:smallCaps/>
          <w:szCs w:val="20"/>
        </w:rPr>
        <w:tab/>
        <w:t>notas al estado de variación en la hacienda pública</w:t>
      </w:r>
    </w:p>
    <w:p w:rsidR="005069FD" w:rsidRPr="00BA4C6E" w:rsidRDefault="005069FD" w:rsidP="005069FD">
      <w:pPr>
        <w:spacing w:after="0" w:line="240" w:lineRule="exact"/>
        <w:ind w:left="360"/>
        <w:rPr>
          <w:rFonts w:asciiTheme="minorHAnsi" w:hAnsiTheme="minorHAnsi" w:cs="Arial"/>
          <w:b/>
          <w:smallCaps/>
          <w:sz w:val="20"/>
          <w:szCs w:val="20"/>
        </w:rPr>
      </w:pPr>
    </w:p>
    <w:p w:rsidR="005069FD" w:rsidRPr="00BA4C6E" w:rsidRDefault="005069FD" w:rsidP="005069FD">
      <w:pPr>
        <w:spacing w:after="0"/>
        <w:ind w:left="284"/>
        <w:jc w:val="both"/>
        <w:rPr>
          <w:rFonts w:asciiTheme="minorHAnsi" w:hAnsiTheme="minorHAnsi" w:cs="Arial"/>
          <w:color w:val="FF0000"/>
          <w:sz w:val="20"/>
          <w:szCs w:val="20"/>
        </w:rPr>
      </w:pPr>
      <w:r w:rsidRPr="00BA4C6E">
        <w:rPr>
          <w:rFonts w:asciiTheme="minorHAnsi" w:hAnsiTheme="minorHAnsi" w:cs="Arial"/>
          <w:sz w:val="20"/>
          <w:szCs w:val="20"/>
        </w:rPr>
        <w:t>En el estado de variaciones en la hacienda pública/patrimonio, se reflejan los cambios efectuados al patrimonio contribuido, patrimonio generado de ejercicios anteriores y al patrimonio generado del ejercicio. A continuación se muestra un resumen de los cambios efectuados al 31 de diciembre de 2022:</w:t>
      </w:r>
    </w:p>
    <w:p w:rsidR="005069FD" w:rsidRPr="00BA4C6E" w:rsidRDefault="005069FD" w:rsidP="005069FD">
      <w:pPr>
        <w:spacing w:after="0"/>
        <w:ind w:left="284"/>
        <w:jc w:val="both"/>
        <w:rPr>
          <w:rFonts w:asciiTheme="minorHAnsi" w:hAnsiTheme="minorHAnsi" w:cs="Arial"/>
          <w:sz w:val="20"/>
          <w:szCs w:val="20"/>
        </w:rPr>
      </w:pPr>
    </w:p>
    <w:p w:rsidR="005069FD" w:rsidRPr="00BA4C6E" w:rsidRDefault="005069FD" w:rsidP="005069FD">
      <w:pPr>
        <w:spacing w:after="0"/>
        <w:ind w:left="284"/>
        <w:jc w:val="both"/>
        <w:rPr>
          <w:rFonts w:asciiTheme="minorHAnsi" w:hAnsiTheme="minorHAnsi" w:cs="Arial"/>
          <w:sz w:val="20"/>
          <w:szCs w:val="20"/>
        </w:rPr>
      </w:pPr>
      <w:r w:rsidRPr="00BA4C6E">
        <w:rPr>
          <w:rFonts w:asciiTheme="minorHAnsi" w:hAnsiTheme="minorHAnsi" w:cs="Arial"/>
          <w:sz w:val="20"/>
          <w:szCs w:val="20"/>
        </w:rPr>
        <w:t xml:space="preserve">La cuenta de </w:t>
      </w:r>
      <w:r w:rsidRPr="00BA4C6E">
        <w:rPr>
          <w:rFonts w:asciiTheme="minorHAnsi" w:hAnsiTheme="minorHAnsi" w:cs="Arial"/>
          <w:b/>
          <w:sz w:val="20"/>
          <w:szCs w:val="20"/>
        </w:rPr>
        <w:t>Patrimonio Contribuido</w:t>
      </w:r>
      <w:r w:rsidRPr="00BA4C6E">
        <w:rPr>
          <w:rFonts w:asciiTheme="minorHAnsi" w:hAnsiTheme="minorHAnsi" w:cs="Arial"/>
          <w:sz w:val="20"/>
          <w:szCs w:val="20"/>
        </w:rPr>
        <w:t xml:space="preserve"> muestra un saldo al 31 de diciembre de 2022 por </w:t>
      </w:r>
      <w:r w:rsidRPr="00BA4C6E">
        <w:rPr>
          <w:rFonts w:asciiTheme="minorHAnsi" w:hAnsiTheme="minorHAnsi" w:cs="Arial"/>
          <w:b/>
          <w:sz w:val="20"/>
          <w:szCs w:val="20"/>
        </w:rPr>
        <w:t>$9, 922,658</w:t>
      </w:r>
      <w:r w:rsidRPr="00BA4C6E">
        <w:rPr>
          <w:rFonts w:asciiTheme="minorHAnsi" w:hAnsiTheme="minorHAnsi" w:cs="Arial"/>
          <w:sz w:val="20"/>
          <w:szCs w:val="20"/>
        </w:rPr>
        <w:t xml:space="preserve">  integrado de la siguiente manera:</w:t>
      </w:r>
    </w:p>
    <w:p w:rsidR="005069FD" w:rsidRPr="00BA4C6E" w:rsidRDefault="005069FD" w:rsidP="005069FD">
      <w:pPr>
        <w:spacing w:after="0"/>
        <w:jc w:val="both"/>
        <w:rPr>
          <w:rFonts w:asciiTheme="minorHAnsi" w:hAnsiTheme="minorHAnsi" w:cs="Arial"/>
          <w:sz w:val="20"/>
          <w:szCs w:val="20"/>
        </w:rPr>
      </w:pPr>
    </w:p>
    <w:tbl>
      <w:tblPr>
        <w:tblW w:w="6820" w:type="dxa"/>
        <w:tblInd w:w="1268" w:type="dxa"/>
        <w:tblCellMar>
          <w:left w:w="70" w:type="dxa"/>
          <w:right w:w="70" w:type="dxa"/>
        </w:tblCellMar>
        <w:tblLook w:val="04A0" w:firstRow="1" w:lastRow="0" w:firstColumn="1" w:lastColumn="0" w:noHBand="0" w:noVBand="1"/>
      </w:tblPr>
      <w:tblGrid>
        <w:gridCol w:w="5380"/>
        <w:gridCol w:w="1440"/>
      </w:tblGrid>
      <w:tr w:rsidR="005069FD" w:rsidRPr="00BA4C6E" w:rsidTr="00C07EAF">
        <w:trPr>
          <w:trHeight w:val="300"/>
        </w:trPr>
        <w:tc>
          <w:tcPr>
            <w:tcW w:w="5380" w:type="dxa"/>
            <w:tcBorders>
              <w:top w:val="single" w:sz="4" w:space="0" w:color="auto"/>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Hacienda Pública/Patrimonio Contribuido</w:t>
            </w:r>
          </w:p>
        </w:tc>
        <w:tc>
          <w:tcPr>
            <w:tcW w:w="1440" w:type="dxa"/>
            <w:tcBorders>
              <w:top w:val="single" w:sz="4" w:space="0" w:color="auto"/>
              <w:left w:val="nil"/>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Importe</w:t>
            </w:r>
          </w:p>
        </w:tc>
      </w:tr>
      <w:tr w:rsidR="005069FD" w:rsidRPr="00BA4C6E" w:rsidTr="00C07EAF">
        <w:trPr>
          <w:trHeight w:val="300"/>
        </w:trPr>
        <w:tc>
          <w:tcPr>
            <w:tcW w:w="5380"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Aportaciones</w:t>
            </w:r>
          </w:p>
        </w:tc>
        <w:tc>
          <w:tcPr>
            <w:tcW w:w="1440" w:type="dxa"/>
            <w:tcBorders>
              <w:top w:val="nil"/>
              <w:left w:val="nil"/>
              <w:bottom w:val="single" w:sz="4" w:space="0" w:color="auto"/>
              <w:right w:val="single" w:sz="4" w:space="0" w:color="auto"/>
            </w:tcBorders>
            <w:shd w:val="clear" w:color="auto" w:fill="auto"/>
            <w:noWrap/>
            <w:vAlign w:val="center"/>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rFonts w:asciiTheme="minorHAnsi" w:eastAsia="Times New Roman" w:hAnsiTheme="minorHAnsi" w:cs="Arial"/>
                <w:color w:val="000000"/>
                <w:sz w:val="20"/>
                <w:szCs w:val="20"/>
                <w:lang w:eastAsia="es-MX"/>
              </w:rPr>
              <w:t>6,714,061</w:t>
            </w:r>
          </w:p>
        </w:tc>
      </w:tr>
      <w:tr w:rsidR="005069FD" w:rsidRPr="00BA4C6E" w:rsidTr="00C07EAF">
        <w:trPr>
          <w:trHeight w:val="300"/>
        </w:trPr>
        <w:tc>
          <w:tcPr>
            <w:tcW w:w="5380"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Donaciones de Capital</w:t>
            </w:r>
          </w:p>
        </w:tc>
        <w:tc>
          <w:tcPr>
            <w:tcW w:w="1440" w:type="dxa"/>
            <w:tcBorders>
              <w:top w:val="nil"/>
              <w:left w:val="nil"/>
              <w:bottom w:val="single" w:sz="4" w:space="0" w:color="auto"/>
              <w:right w:val="single" w:sz="4" w:space="0" w:color="auto"/>
            </w:tcBorders>
            <w:shd w:val="clear" w:color="auto" w:fill="auto"/>
            <w:noWrap/>
            <w:vAlign w:val="center"/>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Pr>
                <w:rFonts w:asciiTheme="minorHAnsi" w:eastAsia="Times New Roman" w:hAnsiTheme="minorHAnsi" w:cs="Arial"/>
                <w:color w:val="000000"/>
                <w:sz w:val="20"/>
                <w:szCs w:val="20"/>
                <w:lang w:eastAsia="es-MX"/>
              </w:rPr>
              <w:t>3,208,597</w:t>
            </w:r>
          </w:p>
        </w:tc>
      </w:tr>
      <w:tr w:rsidR="005069FD" w:rsidRPr="00BA4C6E" w:rsidTr="00C07EAF">
        <w:trPr>
          <w:trHeight w:val="247"/>
        </w:trPr>
        <w:tc>
          <w:tcPr>
            <w:tcW w:w="5380" w:type="dxa"/>
            <w:tcBorders>
              <w:top w:val="nil"/>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Hacienda Pública/Patrimonio Contribuido</w:t>
            </w:r>
          </w:p>
        </w:tc>
        <w:tc>
          <w:tcPr>
            <w:tcW w:w="1440" w:type="dxa"/>
            <w:tcBorders>
              <w:top w:val="nil"/>
              <w:left w:val="nil"/>
              <w:bottom w:val="single" w:sz="4" w:space="0" w:color="auto"/>
              <w:right w:val="single" w:sz="4" w:space="0" w:color="auto"/>
            </w:tcBorders>
            <w:shd w:val="clear" w:color="auto" w:fill="AB0033"/>
            <w:noWrap/>
            <w:vAlign w:val="bottom"/>
            <w:hideMark/>
          </w:tcPr>
          <w:p w:rsidR="005069FD" w:rsidRPr="00BA4C6E" w:rsidRDefault="005069FD" w:rsidP="00C07EAF">
            <w:pPr>
              <w:spacing w:after="0"/>
              <w:jc w:val="right"/>
              <w:rPr>
                <w:rFonts w:asciiTheme="minorHAnsi" w:eastAsia="Times New Roman" w:hAnsiTheme="minorHAnsi" w:cs="Arial"/>
                <w:b/>
                <w:bCs/>
                <w:color w:val="FFFFFF"/>
                <w:sz w:val="20"/>
                <w:szCs w:val="20"/>
                <w:lang w:eastAsia="es-MX"/>
              </w:rPr>
            </w:pPr>
            <w:r>
              <w:rPr>
                <w:rFonts w:asciiTheme="minorHAnsi" w:eastAsia="Times New Roman" w:hAnsiTheme="minorHAnsi" w:cs="Arial"/>
                <w:b/>
                <w:bCs/>
                <w:color w:val="FFFFFF"/>
                <w:sz w:val="20"/>
                <w:szCs w:val="20"/>
                <w:lang w:eastAsia="es-MX"/>
              </w:rPr>
              <w:t>9,922,658</w:t>
            </w:r>
          </w:p>
        </w:tc>
      </w:tr>
    </w:tbl>
    <w:p w:rsidR="005069FD" w:rsidRPr="00BA4C6E" w:rsidRDefault="005069FD" w:rsidP="005069FD">
      <w:pPr>
        <w:pStyle w:val="INCISO"/>
        <w:tabs>
          <w:tab w:val="left" w:pos="284"/>
        </w:tabs>
        <w:spacing w:line="240" w:lineRule="exact"/>
        <w:ind w:left="0" w:firstLine="0"/>
        <w:rPr>
          <w:rFonts w:asciiTheme="minorHAnsi" w:eastAsia="Calibri" w:hAnsiTheme="minorHAnsi"/>
          <w:sz w:val="20"/>
          <w:szCs w:val="20"/>
          <w:lang w:val="es-MX" w:eastAsia="en-US"/>
        </w:rPr>
      </w:pPr>
    </w:p>
    <w:p w:rsidR="005069FD" w:rsidRPr="00BA4C6E" w:rsidRDefault="005069FD" w:rsidP="005069FD">
      <w:pPr>
        <w:pStyle w:val="INCISO"/>
        <w:tabs>
          <w:tab w:val="left" w:pos="284"/>
        </w:tabs>
        <w:spacing w:line="240" w:lineRule="exact"/>
        <w:ind w:left="0" w:firstLine="0"/>
        <w:rPr>
          <w:rFonts w:asciiTheme="minorHAnsi" w:eastAsia="Calibri" w:hAnsiTheme="minorHAnsi"/>
          <w:sz w:val="20"/>
          <w:szCs w:val="20"/>
          <w:lang w:val="es-MX" w:eastAsia="en-US"/>
        </w:rPr>
      </w:pPr>
      <w:r w:rsidRPr="00BA4C6E">
        <w:rPr>
          <w:rFonts w:asciiTheme="minorHAnsi" w:eastAsia="Calibri" w:hAnsiTheme="minorHAnsi"/>
          <w:sz w:val="20"/>
          <w:szCs w:val="20"/>
          <w:lang w:val="es-MX" w:eastAsia="en-US"/>
        </w:rPr>
        <w:tab/>
      </w:r>
    </w:p>
    <w:p w:rsidR="005069FD" w:rsidRPr="00BA4C6E" w:rsidRDefault="005069FD" w:rsidP="005069FD">
      <w:pPr>
        <w:pStyle w:val="INCISO"/>
        <w:tabs>
          <w:tab w:val="left" w:pos="284"/>
        </w:tabs>
        <w:spacing w:line="240" w:lineRule="exact"/>
        <w:ind w:left="0" w:firstLine="0"/>
        <w:rPr>
          <w:rFonts w:asciiTheme="minorHAnsi" w:hAnsiTheme="minorHAnsi"/>
          <w:b/>
          <w:sz w:val="20"/>
          <w:szCs w:val="20"/>
        </w:rPr>
      </w:pPr>
      <w:r w:rsidRPr="00BA4C6E">
        <w:rPr>
          <w:rFonts w:asciiTheme="minorHAnsi" w:hAnsiTheme="minorHAnsi"/>
          <w:b/>
          <w:sz w:val="20"/>
          <w:szCs w:val="20"/>
        </w:rPr>
        <w:lastRenderedPageBreak/>
        <w:t>Hacienda Pública / Patrimonio Contribuido</w:t>
      </w: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b/>
          <w:sz w:val="20"/>
          <w:szCs w:val="20"/>
        </w:rPr>
        <w:t xml:space="preserve">Aportaciones: </w:t>
      </w:r>
      <w:r w:rsidRPr="00BA4C6E">
        <w:rPr>
          <w:rFonts w:asciiTheme="minorHAnsi" w:hAnsiTheme="minorHAnsi"/>
          <w:sz w:val="20"/>
          <w:szCs w:val="20"/>
        </w:rPr>
        <w:t xml:space="preserve">En esta partida se agrupa el Patrimonio de Bienes Muebles e Inmuebles por un saldo al 31 de diciembre del 2022 de </w:t>
      </w:r>
      <w:r>
        <w:rPr>
          <w:rFonts w:asciiTheme="minorHAnsi" w:hAnsiTheme="minorHAnsi"/>
          <w:b/>
          <w:sz w:val="20"/>
          <w:szCs w:val="20"/>
        </w:rPr>
        <w:t>$6,714,061</w:t>
      </w:r>
      <w:r w:rsidRPr="00BA4C6E">
        <w:rPr>
          <w:rFonts w:asciiTheme="minorHAnsi" w:hAnsiTheme="minorHAnsi"/>
          <w:b/>
          <w:sz w:val="20"/>
          <w:szCs w:val="20"/>
        </w:rPr>
        <w:t xml:space="preserve"> </w:t>
      </w:r>
      <w:r w:rsidRPr="00BA4C6E">
        <w:rPr>
          <w:rFonts w:asciiTheme="minorHAnsi" w:hAnsiTheme="minorHAnsi"/>
          <w:sz w:val="20"/>
          <w:szCs w:val="20"/>
        </w:rPr>
        <w:t>mismo que</w:t>
      </w:r>
      <w:r w:rsidRPr="00BA4C6E">
        <w:rPr>
          <w:rFonts w:asciiTheme="minorHAnsi" w:hAnsiTheme="minorHAnsi"/>
          <w:b/>
          <w:sz w:val="20"/>
          <w:szCs w:val="20"/>
        </w:rPr>
        <w:t xml:space="preserve"> </w:t>
      </w:r>
      <w:r w:rsidRPr="00BA4C6E">
        <w:rPr>
          <w:rFonts w:asciiTheme="minorHAnsi" w:hAnsiTheme="minorHAnsi"/>
          <w:sz w:val="20"/>
          <w:szCs w:val="20"/>
        </w:rPr>
        <w:t>refleja una disminución debido a la revaluación de activos fijos Adquiridos en Ejercicios Anteriores y que disminuyeron o incrementaron su valor para su registro contable con valores actuales, esto para dar cumplimiento a la ley general de contabilidad gubernamental en lo relativo a las reglas para el registro y valoración del patrimonio, emitidas por el Consejo Nacional de Armonización Contable.</w:t>
      </w: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b/>
          <w:sz w:val="20"/>
          <w:szCs w:val="20"/>
        </w:rPr>
        <w:t xml:space="preserve">Donaciones de capital: </w:t>
      </w:r>
      <w:r w:rsidRPr="00BA4C6E">
        <w:rPr>
          <w:rFonts w:asciiTheme="minorHAnsi" w:hAnsiTheme="minorHAnsi"/>
          <w:sz w:val="20"/>
          <w:szCs w:val="20"/>
        </w:rPr>
        <w:t xml:space="preserve"> </w:t>
      </w:r>
      <w:r w:rsidRPr="00BA4C6E">
        <w:rPr>
          <w:rFonts w:asciiTheme="minorHAnsi" w:hAnsiTheme="minorHAnsi"/>
          <w:b/>
          <w:sz w:val="20"/>
          <w:szCs w:val="20"/>
        </w:rPr>
        <w:t>$ 3,208,597</w:t>
      </w:r>
      <w:r w:rsidRPr="00BA4C6E">
        <w:rPr>
          <w:rFonts w:asciiTheme="minorHAnsi" w:hAnsiTheme="minorHAnsi"/>
          <w:sz w:val="20"/>
          <w:szCs w:val="20"/>
        </w:rPr>
        <w:t xml:space="preserve"> en esta partida se refleja el importe de los Bienes Muebles donados por la Dirección de Patrimonio Estatal y el cual fue valuado de acuerdo a los lineamientos establecidos por el Consejo Nacional de Armonización Contable y registrado contablemente en las partidas de Activo Fijo correspondientes.</w:t>
      </w:r>
    </w:p>
    <w:p w:rsidR="005069FD" w:rsidRPr="00BA4C6E" w:rsidRDefault="005069FD" w:rsidP="005069FD">
      <w:pPr>
        <w:pStyle w:val="INCISO"/>
        <w:tabs>
          <w:tab w:val="left" w:pos="284"/>
        </w:tabs>
        <w:spacing w:line="240" w:lineRule="exact"/>
        <w:ind w:left="0" w:firstLine="0"/>
        <w:rPr>
          <w:rFonts w:asciiTheme="minorHAnsi" w:hAnsiTheme="minorHAnsi"/>
          <w:b/>
          <w:sz w:val="20"/>
          <w:szCs w:val="20"/>
        </w:rPr>
      </w:pPr>
    </w:p>
    <w:p w:rsidR="005069FD" w:rsidRPr="00BA4C6E" w:rsidRDefault="005069FD" w:rsidP="005069FD">
      <w:pPr>
        <w:pStyle w:val="INCISO"/>
        <w:tabs>
          <w:tab w:val="left" w:pos="284"/>
        </w:tabs>
        <w:spacing w:line="240" w:lineRule="exact"/>
        <w:ind w:left="0" w:firstLine="0"/>
        <w:rPr>
          <w:rFonts w:asciiTheme="minorHAnsi" w:hAnsiTheme="minorHAnsi"/>
          <w:b/>
          <w:sz w:val="20"/>
          <w:szCs w:val="20"/>
        </w:rPr>
      </w:pPr>
      <w:r w:rsidRPr="00BA4C6E">
        <w:rPr>
          <w:rFonts w:asciiTheme="minorHAnsi" w:hAnsiTheme="minorHAnsi"/>
          <w:b/>
          <w:sz w:val="20"/>
          <w:szCs w:val="20"/>
        </w:rPr>
        <w:t>Hacienda Pública/patrimonio generado</w:t>
      </w:r>
    </w:p>
    <w:p w:rsidR="005069FD" w:rsidRPr="00BA4C6E" w:rsidRDefault="005069FD" w:rsidP="005069FD">
      <w:pPr>
        <w:pStyle w:val="INCISO"/>
        <w:tabs>
          <w:tab w:val="left" w:pos="284"/>
        </w:tabs>
        <w:spacing w:line="240" w:lineRule="exact"/>
        <w:ind w:left="284" w:firstLine="0"/>
        <w:rPr>
          <w:rFonts w:asciiTheme="minorHAnsi" w:hAnsiTheme="minorHAnsi"/>
          <w:b/>
          <w:sz w:val="20"/>
          <w:szCs w:val="20"/>
        </w:rPr>
      </w:pPr>
      <w:r w:rsidRPr="00BA4C6E">
        <w:rPr>
          <w:rFonts w:asciiTheme="minorHAnsi" w:hAnsiTheme="minorHAnsi"/>
          <w:b/>
          <w:sz w:val="20"/>
          <w:szCs w:val="20"/>
        </w:rPr>
        <w:t>El Patrimonio Generado</w:t>
      </w:r>
      <w:r w:rsidRPr="00BA4C6E">
        <w:rPr>
          <w:rFonts w:asciiTheme="minorHAnsi" w:hAnsiTheme="minorHAnsi"/>
          <w:sz w:val="20"/>
          <w:szCs w:val="20"/>
        </w:rPr>
        <w:t xml:space="preserve">  está integrado de la siguiente manera</w:t>
      </w:r>
      <w:r w:rsidRPr="00BA4C6E">
        <w:rPr>
          <w:rFonts w:asciiTheme="minorHAnsi" w:hAnsiTheme="minorHAnsi"/>
          <w:b/>
          <w:sz w:val="20"/>
          <w:szCs w:val="20"/>
        </w:rPr>
        <w:t>:</w:t>
      </w:r>
    </w:p>
    <w:p w:rsidR="005069FD" w:rsidRPr="00BA4C6E" w:rsidRDefault="005069FD" w:rsidP="005069FD">
      <w:pPr>
        <w:pStyle w:val="INCISO"/>
        <w:tabs>
          <w:tab w:val="left" w:pos="284"/>
        </w:tabs>
        <w:spacing w:after="0" w:line="240" w:lineRule="exact"/>
        <w:ind w:left="284" w:firstLine="0"/>
        <w:rPr>
          <w:rFonts w:asciiTheme="minorHAnsi" w:hAnsiTheme="minorHAnsi"/>
          <w:sz w:val="20"/>
          <w:szCs w:val="20"/>
        </w:rPr>
      </w:pPr>
      <w:r w:rsidRPr="00BA4C6E">
        <w:rPr>
          <w:rFonts w:asciiTheme="minorHAnsi" w:hAnsiTheme="minorHAnsi"/>
          <w:b/>
          <w:sz w:val="20"/>
          <w:szCs w:val="20"/>
        </w:rPr>
        <w:t xml:space="preserve">Resultados del ejercicio (Ahorro/Desahorro): </w:t>
      </w:r>
      <w:r w:rsidRPr="00BA4C6E">
        <w:rPr>
          <w:rFonts w:asciiTheme="minorHAnsi" w:hAnsiTheme="minorHAnsi"/>
          <w:sz w:val="20"/>
          <w:szCs w:val="20"/>
        </w:rPr>
        <w:t xml:space="preserve">el resultado al 31 de diciembre de 2022, muestra un importe de </w:t>
      </w:r>
      <w:r w:rsidRPr="00BA4C6E">
        <w:rPr>
          <w:rFonts w:asciiTheme="minorHAnsi" w:hAnsiTheme="minorHAnsi"/>
          <w:b/>
          <w:color w:val="000000" w:themeColor="text1"/>
          <w:sz w:val="20"/>
          <w:szCs w:val="20"/>
        </w:rPr>
        <w:t>$</w:t>
      </w:r>
      <w:r>
        <w:rPr>
          <w:rFonts w:asciiTheme="minorHAnsi" w:hAnsiTheme="minorHAnsi"/>
          <w:b/>
          <w:color w:val="000000" w:themeColor="text1"/>
          <w:sz w:val="20"/>
          <w:szCs w:val="20"/>
        </w:rPr>
        <w:t>6</w:t>
      </w:r>
      <w:proofErr w:type="gramStart"/>
      <w:r>
        <w:rPr>
          <w:rFonts w:asciiTheme="minorHAnsi" w:hAnsiTheme="minorHAnsi"/>
          <w:b/>
          <w:color w:val="000000" w:themeColor="text1"/>
          <w:sz w:val="20"/>
          <w:szCs w:val="20"/>
        </w:rPr>
        <w:t>,703,805</w:t>
      </w:r>
      <w:proofErr w:type="gramEnd"/>
      <w:r w:rsidRPr="00BA4C6E">
        <w:rPr>
          <w:rFonts w:asciiTheme="minorHAnsi" w:hAnsiTheme="minorHAnsi"/>
          <w:b/>
          <w:color w:val="000000" w:themeColor="text1"/>
          <w:sz w:val="20"/>
          <w:szCs w:val="20"/>
        </w:rPr>
        <w:t xml:space="preserve"> </w:t>
      </w:r>
      <w:r w:rsidRPr="00BA4C6E">
        <w:rPr>
          <w:rFonts w:asciiTheme="minorHAnsi" w:hAnsiTheme="minorHAnsi"/>
          <w:color w:val="000000" w:themeColor="text1"/>
          <w:sz w:val="20"/>
          <w:szCs w:val="20"/>
        </w:rPr>
        <w:t xml:space="preserve"> </w:t>
      </w:r>
      <w:r w:rsidRPr="00BA4C6E">
        <w:rPr>
          <w:rFonts w:asciiTheme="minorHAnsi" w:hAnsiTheme="minorHAnsi"/>
          <w:sz w:val="20"/>
          <w:szCs w:val="20"/>
        </w:rPr>
        <w:t xml:space="preserve">y es el resultado de la gestión del ejercicio respecto a los Ingresos y Gastos Corrientes. </w:t>
      </w:r>
    </w:p>
    <w:p w:rsidR="005069FD" w:rsidRPr="00BA4C6E" w:rsidRDefault="005069FD" w:rsidP="005069FD">
      <w:pPr>
        <w:pStyle w:val="INCISO"/>
        <w:spacing w:line="240" w:lineRule="exact"/>
        <w:ind w:left="432"/>
        <w:rPr>
          <w:rFonts w:asciiTheme="minorHAnsi" w:hAnsiTheme="minorHAnsi"/>
          <w:b/>
          <w:sz w:val="20"/>
          <w:szCs w:val="20"/>
        </w:rPr>
      </w:pPr>
    </w:p>
    <w:p w:rsidR="005069FD" w:rsidRPr="00BA4C6E" w:rsidRDefault="005069FD" w:rsidP="005069FD">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b/>
          <w:sz w:val="20"/>
          <w:szCs w:val="20"/>
        </w:rPr>
        <w:t>Resultado de ejercicios anteriores: $ 125</w:t>
      </w:r>
      <w:proofErr w:type="gramStart"/>
      <w:r w:rsidRPr="00BA4C6E">
        <w:rPr>
          <w:rFonts w:asciiTheme="minorHAnsi" w:hAnsiTheme="minorHAnsi"/>
          <w:b/>
          <w:sz w:val="20"/>
          <w:szCs w:val="20"/>
        </w:rPr>
        <w:t>,</w:t>
      </w:r>
      <w:r>
        <w:rPr>
          <w:rFonts w:asciiTheme="minorHAnsi" w:hAnsiTheme="minorHAnsi"/>
          <w:b/>
          <w:sz w:val="20"/>
          <w:szCs w:val="20"/>
        </w:rPr>
        <w:t>283,463</w:t>
      </w:r>
      <w:proofErr w:type="gramEnd"/>
      <w:r w:rsidRPr="00BA4C6E">
        <w:rPr>
          <w:rFonts w:asciiTheme="minorHAnsi" w:hAnsiTheme="minorHAnsi"/>
          <w:b/>
          <w:sz w:val="20"/>
          <w:szCs w:val="20"/>
        </w:rPr>
        <w:t xml:space="preserve"> </w:t>
      </w:r>
      <w:r w:rsidRPr="00BA4C6E">
        <w:rPr>
          <w:rFonts w:asciiTheme="minorHAnsi" w:hAnsiTheme="minorHAnsi"/>
          <w:sz w:val="20"/>
          <w:szCs w:val="20"/>
        </w:rPr>
        <w:t>representa el monto correspondiente de resultados de la gestión acumulados provenientes de ejercicios anteriores.</w:t>
      </w:r>
    </w:p>
    <w:p w:rsidR="005069FD" w:rsidRPr="00BA4C6E" w:rsidRDefault="005069FD" w:rsidP="005069FD">
      <w:pPr>
        <w:tabs>
          <w:tab w:val="left" w:pos="3799"/>
        </w:tabs>
        <w:spacing w:after="0"/>
        <w:ind w:left="284"/>
        <w:jc w:val="both"/>
        <w:rPr>
          <w:rFonts w:asciiTheme="minorHAnsi" w:eastAsiaTheme="minorHAnsi" w:hAnsiTheme="minorHAnsi" w:cs="Arial"/>
          <w:sz w:val="20"/>
          <w:szCs w:val="20"/>
        </w:rPr>
      </w:pPr>
      <w:r w:rsidRPr="00BA4C6E">
        <w:rPr>
          <w:rFonts w:asciiTheme="minorHAnsi" w:eastAsiaTheme="minorHAnsi" w:hAnsiTheme="minorHAnsi" w:cs="Arial"/>
          <w:b/>
          <w:sz w:val="20"/>
          <w:szCs w:val="20"/>
          <w:lang w:val="es-ES"/>
        </w:rPr>
        <w:t>R</w:t>
      </w:r>
      <w:proofErr w:type="spellStart"/>
      <w:r w:rsidRPr="00BA4C6E">
        <w:rPr>
          <w:rFonts w:asciiTheme="minorHAnsi" w:eastAsiaTheme="minorHAnsi" w:hAnsiTheme="minorHAnsi" w:cs="Arial"/>
          <w:b/>
          <w:sz w:val="20"/>
          <w:szCs w:val="20"/>
        </w:rPr>
        <w:t>evalúos</w:t>
      </w:r>
      <w:proofErr w:type="spellEnd"/>
      <w:r w:rsidRPr="00BA4C6E">
        <w:rPr>
          <w:rFonts w:asciiTheme="minorHAnsi" w:eastAsiaTheme="minorHAnsi" w:hAnsiTheme="minorHAnsi" w:cs="Arial"/>
          <w:b/>
          <w:sz w:val="20"/>
          <w:szCs w:val="20"/>
        </w:rPr>
        <w:t>:</w:t>
      </w:r>
      <w:r w:rsidRPr="00BA4C6E">
        <w:rPr>
          <w:rFonts w:asciiTheme="minorHAnsi" w:eastAsiaTheme="minorHAnsi" w:hAnsiTheme="minorHAnsi" w:cs="Arial"/>
          <w:sz w:val="20"/>
          <w:szCs w:val="20"/>
        </w:rPr>
        <w:t xml:space="preserve"> el importe que muestra esta partida es por </w:t>
      </w:r>
      <w:r w:rsidRPr="00BA4C6E">
        <w:rPr>
          <w:rFonts w:asciiTheme="minorHAnsi" w:eastAsiaTheme="minorHAnsi" w:hAnsiTheme="minorHAnsi" w:cs="Arial"/>
          <w:b/>
          <w:sz w:val="20"/>
          <w:szCs w:val="20"/>
        </w:rPr>
        <w:t>$6</w:t>
      </w:r>
      <w:proofErr w:type="gramStart"/>
      <w:r w:rsidRPr="00BA4C6E">
        <w:rPr>
          <w:rFonts w:asciiTheme="minorHAnsi" w:eastAsiaTheme="minorHAnsi" w:hAnsiTheme="minorHAnsi" w:cs="Arial"/>
          <w:b/>
          <w:sz w:val="20"/>
          <w:szCs w:val="20"/>
        </w:rPr>
        <w:t>,920,525</w:t>
      </w:r>
      <w:proofErr w:type="gramEnd"/>
      <w:r w:rsidRPr="00BA4C6E">
        <w:rPr>
          <w:rFonts w:asciiTheme="minorHAnsi" w:eastAsiaTheme="minorHAnsi" w:hAnsiTheme="minorHAnsi" w:cs="Arial"/>
          <w:sz w:val="20"/>
          <w:szCs w:val="20"/>
        </w:rPr>
        <w:t xml:space="preserve"> y representa el valor actualizado de los bienes muebles, que les fue asignado un nuevo valor, atendiendo a las reglas para el registro y valoración del patrimonio emitidas por el consejo nacional de armonización contable.</w:t>
      </w:r>
    </w:p>
    <w:p w:rsidR="005069FD" w:rsidRDefault="005069FD" w:rsidP="005069FD">
      <w:pPr>
        <w:pStyle w:val="INCISO"/>
        <w:tabs>
          <w:tab w:val="left" w:pos="284"/>
        </w:tabs>
        <w:spacing w:line="240" w:lineRule="exact"/>
        <w:ind w:left="0" w:firstLine="0"/>
        <w:rPr>
          <w:rFonts w:asciiTheme="minorHAnsi" w:hAnsiTheme="minorHAnsi"/>
          <w:b/>
          <w:sz w:val="20"/>
          <w:szCs w:val="20"/>
          <w:lang w:val="es-MX"/>
        </w:rPr>
      </w:pPr>
    </w:p>
    <w:p w:rsidR="005069FD" w:rsidRPr="00BA4C6E" w:rsidRDefault="005069FD" w:rsidP="005069FD">
      <w:pPr>
        <w:spacing w:after="0" w:line="240" w:lineRule="exact"/>
        <w:ind w:left="360"/>
        <w:jc w:val="center"/>
        <w:rPr>
          <w:rFonts w:asciiTheme="minorHAnsi" w:hAnsiTheme="minorHAnsi" w:cs="Arial"/>
          <w:b/>
          <w:smallCaps/>
          <w:szCs w:val="20"/>
        </w:rPr>
      </w:pPr>
      <w:r w:rsidRPr="00BA4C6E">
        <w:rPr>
          <w:rFonts w:asciiTheme="minorHAnsi" w:hAnsiTheme="minorHAnsi" w:cs="Arial"/>
          <w:b/>
          <w:smallCaps/>
          <w:szCs w:val="20"/>
        </w:rPr>
        <w:t>IV)</w:t>
      </w:r>
      <w:r w:rsidRPr="00BA4C6E">
        <w:rPr>
          <w:rFonts w:asciiTheme="minorHAnsi" w:hAnsiTheme="minorHAnsi" w:cs="Arial"/>
          <w:b/>
          <w:smallCaps/>
          <w:szCs w:val="20"/>
        </w:rPr>
        <w:tab/>
        <w:t>NOTAS AL ESTADO DE FLUJOS DE EFECTIVO</w:t>
      </w:r>
    </w:p>
    <w:p w:rsidR="005069FD" w:rsidRPr="00BA4C6E" w:rsidRDefault="005069FD" w:rsidP="005069FD">
      <w:pPr>
        <w:pStyle w:val="INCISO"/>
        <w:tabs>
          <w:tab w:val="left" w:pos="284"/>
        </w:tabs>
        <w:spacing w:after="0" w:line="240" w:lineRule="exact"/>
        <w:ind w:left="284" w:firstLine="0"/>
        <w:rPr>
          <w:rFonts w:asciiTheme="minorHAnsi" w:hAnsiTheme="minorHAnsi"/>
          <w:b/>
          <w:sz w:val="20"/>
          <w:szCs w:val="20"/>
          <w:lang w:val="es-MX"/>
        </w:rPr>
      </w:pPr>
    </w:p>
    <w:p w:rsidR="005069FD" w:rsidRPr="00BA4C6E" w:rsidRDefault="005069FD" w:rsidP="005069FD">
      <w:pPr>
        <w:pStyle w:val="INCISO"/>
        <w:tabs>
          <w:tab w:val="left" w:pos="284"/>
        </w:tabs>
        <w:spacing w:after="0" w:line="240" w:lineRule="exact"/>
        <w:ind w:left="284" w:firstLine="0"/>
        <w:rPr>
          <w:rFonts w:asciiTheme="minorHAnsi" w:hAnsiTheme="minorHAnsi"/>
          <w:b/>
          <w:sz w:val="20"/>
          <w:szCs w:val="20"/>
          <w:lang w:val="es-MX"/>
        </w:rPr>
      </w:pPr>
      <w:r w:rsidRPr="00BA4C6E">
        <w:rPr>
          <w:rFonts w:asciiTheme="minorHAnsi" w:hAnsiTheme="minorHAnsi"/>
          <w:b/>
          <w:sz w:val="20"/>
          <w:szCs w:val="20"/>
          <w:lang w:val="es-MX"/>
        </w:rPr>
        <w:t>Efectivo y equivalentes</w:t>
      </w:r>
    </w:p>
    <w:p w:rsidR="005069FD" w:rsidRPr="00BA4C6E" w:rsidRDefault="005069FD" w:rsidP="005069FD">
      <w:pPr>
        <w:pStyle w:val="INCISO"/>
        <w:tabs>
          <w:tab w:val="left" w:pos="284"/>
        </w:tabs>
        <w:spacing w:after="0" w:line="240" w:lineRule="exact"/>
        <w:ind w:left="284" w:firstLine="0"/>
        <w:rPr>
          <w:rFonts w:asciiTheme="minorHAnsi" w:hAnsiTheme="minorHAnsi"/>
          <w:b/>
          <w:sz w:val="20"/>
          <w:szCs w:val="20"/>
          <w:lang w:val="es-MX"/>
        </w:rPr>
      </w:pPr>
    </w:p>
    <w:p w:rsidR="005069FD" w:rsidRPr="00BA4C6E" w:rsidRDefault="005069FD" w:rsidP="005069FD">
      <w:pPr>
        <w:tabs>
          <w:tab w:val="left" w:pos="284"/>
        </w:tabs>
        <w:spacing w:after="0"/>
        <w:ind w:left="284"/>
        <w:jc w:val="both"/>
        <w:rPr>
          <w:rFonts w:asciiTheme="minorHAnsi" w:hAnsiTheme="minorHAnsi" w:cs="Arial"/>
          <w:sz w:val="20"/>
          <w:szCs w:val="20"/>
        </w:rPr>
      </w:pPr>
      <w:r w:rsidRPr="00BA4C6E">
        <w:rPr>
          <w:rFonts w:asciiTheme="minorHAnsi" w:hAnsiTheme="minorHAnsi" w:cs="Arial"/>
          <w:sz w:val="20"/>
          <w:szCs w:val="20"/>
        </w:rPr>
        <w:t>El estado de flujo de efectivo de la Comisión Estatal del Agua de Tamaulipas tiene como finalidad proveer de información sobre las fuentes de entradas y salidas de recursos, proporciona una base para evaluar la capacidad de generar efectivo y equivalentes del efectivo.</w:t>
      </w:r>
    </w:p>
    <w:p w:rsidR="005069FD" w:rsidRPr="00BA4C6E" w:rsidRDefault="005069FD" w:rsidP="005069FD">
      <w:pPr>
        <w:spacing w:after="0"/>
        <w:jc w:val="both"/>
        <w:rPr>
          <w:rFonts w:asciiTheme="minorHAnsi" w:hAnsiTheme="minorHAnsi" w:cs="Arial"/>
          <w:sz w:val="20"/>
          <w:szCs w:val="20"/>
        </w:rPr>
      </w:pPr>
    </w:p>
    <w:p w:rsidR="005069FD" w:rsidRDefault="005069FD" w:rsidP="005069FD">
      <w:pPr>
        <w:spacing w:after="0"/>
        <w:ind w:left="284"/>
        <w:jc w:val="both"/>
        <w:rPr>
          <w:rFonts w:asciiTheme="minorHAnsi" w:hAnsiTheme="minorHAnsi" w:cs="Arial"/>
          <w:sz w:val="20"/>
          <w:szCs w:val="20"/>
        </w:rPr>
      </w:pPr>
      <w:r w:rsidRPr="00BA4C6E">
        <w:rPr>
          <w:rFonts w:asciiTheme="minorHAnsi" w:hAnsiTheme="minorHAnsi" w:cs="Arial"/>
          <w:sz w:val="20"/>
          <w:szCs w:val="20"/>
        </w:rPr>
        <w:t xml:space="preserve">El importe del efectivo y equivalentes al 31 de diciembre 2022, es por </w:t>
      </w:r>
      <w:r w:rsidRPr="00BA4C6E">
        <w:rPr>
          <w:rFonts w:asciiTheme="minorHAnsi" w:hAnsiTheme="minorHAnsi" w:cs="Arial"/>
          <w:b/>
          <w:sz w:val="20"/>
          <w:szCs w:val="20"/>
        </w:rPr>
        <w:t>$12</w:t>
      </w:r>
      <w:proofErr w:type="gramStart"/>
      <w:r w:rsidRPr="00BA4C6E">
        <w:rPr>
          <w:rFonts w:asciiTheme="minorHAnsi" w:hAnsiTheme="minorHAnsi" w:cs="Arial"/>
          <w:b/>
          <w:sz w:val="20"/>
          <w:szCs w:val="20"/>
        </w:rPr>
        <w:t>,932,98</w:t>
      </w:r>
      <w:r>
        <w:rPr>
          <w:rFonts w:asciiTheme="minorHAnsi" w:hAnsiTheme="minorHAnsi" w:cs="Arial"/>
          <w:b/>
          <w:sz w:val="20"/>
          <w:szCs w:val="20"/>
        </w:rPr>
        <w:t>8</w:t>
      </w:r>
      <w:proofErr w:type="gramEnd"/>
      <w:r>
        <w:rPr>
          <w:rFonts w:asciiTheme="minorHAnsi" w:hAnsiTheme="minorHAnsi" w:cs="Arial"/>
          <w:b/>
          <w:sz w:val="20"/>
          <w:szCs w:val="20"/>
        </w:rPr>
        <w:t xml:space="preserve"> </w:t>
      </w:r>
      <w:r w:rsidRPr="00BA4C6E">
        <w:rPr>
          <w:rFonts w:asciiTheme="minorHAnsi" w:hAnsiTheme="minorHAnsi" w:cs="Arial"/>
          <w:sz w:val="20"/>
          <w:szCs w:val="20"/>
        </w:rPr>
        <w:t>y representa el importe en bancos y efectivos.</w:t>
      </w:r>
    </w:p>
    <w:p w:rsidR="005069FD" w:rsidRPr="00BA4C6E" w:rsidRDefault="005069FD" w:rsidP="005069FD">
      <w:pPr>
        <w:spacing w:after="0"/>
        <w:ind w:left="284"/>
        <w:jc w:val="both"/>
        <w:rPr>
          <w:rFonts w:asciiTheme="minorHAnsi" w:hAnsiTheme="minorHAnsi" w:cs="Arial"/>
          <w:sz w:val="20"/>
          <w:szCs w:val="20"/>
        </w:rPr>
      </w:pPr>
    </w:p>
    <w:p w:rsidR="005069FD" w:rsidRPr="00BA4C6E" w:rsidRDefault="005069FD" w:rsidP="005069FD">
      <w:pPr>
        <w:spacing w:after="0"/>
        <w:ind w:left="284"/>
        <w:contextualSpacing/>
        <w:jc w:val="both"/>
        <w:rPr>
          <w:rFonts w:asciiTheme="minorHAnsi" w:hAnsiTheme="minorHAnsi" w:cs="Arial"/>
          <w:sz w:val="20"/>
          <w:szCs w:val="20"/>
        </w:rPr>
      </w:pPr>
      <w:r w:rsidRPr="00BA4C6E">
        <w:rPr>
          <w:rFonts w:asciiTheme="minorHAnsi" w:hAnsiTheme="minorHAnsi" w:cs="Arial"/>
          <w:sz w:val="20"/>
          <w:szCs w:val="20"/>
        </w:rPr>
        <w:t>El saldo de la cuenta de efectivo y equivalentes que se muestra en el Estado de Flujo de Efectivo es la siguiente:</w:t>
      </w:r>
    </w:p>
    <w:p w:rsidR="005069FD" w:rsidRPr="00BA4C6E" w:rsidRDefault="005069FD" w:rsidP="005069FD">
      <w:pPr>
        <w:spacing w:after="0"/>
        <w:contextualSpacing/>
        <w:jc w:val="both"/>
        <w:rPr>
          <w:rFonts w:asciiTheme="minorHAnsi" w:hAnsiTheme="minorHAnsi" w:cs="Arial"/>
          <w:sz w:val="20"/>
          <w:szCs w:val="20"/>
        </w:rPr>
      </w:pPr>
    </w:p>
    <w:tbl>
      <w:tblPr>
        <w:tblpPr w:leftFromText="141" w:rightFromText="141" w:vertAnchor="text" w:horzAnchor="margin" w:tblpXSpec="center" w:tblpY="73"/>
        <w:tblW w:w="6399" w:type="dxa"/>
        <w:tblCellMar>
          <w:left w:w="70" w:type="dxa"/>
          <w:right w:w="70" w:type="dxa"/>
        </w:tblCellMar>
        <w:tblLook w:val="04A0" w:firstRow="1" w:lastRow="0" w:firstColumn="1" w:lastColumn="0" w:noHBand="0" w:noVBand="1"/>
      </w:tblPr>
      <w:tblGrid>
        <w:gridCol w:w="3559"/>
        <w:gridCol w:w="1420"/>
        <w:gridCol w:w="1420"/>
      </w:tblGrid>
      <w:tr w:rsidR="005069FD" w:rsidRPr="00BA4C6E" w:rsidTr="00C07EAF">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Concepto</w:t>
            </w:r>
          </w:p>
        </w:tc>
        <w:tc>
          <w:tcPr>
            <w:tcW w:w="1420" w:type="dxa"/>
            <w:tcBorders>
              <w:top w:val="single" w:sz="4" w:space="0" w:color="auto"/>
              <w:left w:val="nil"/>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2022</w:t>
            </w:r>
          </w:p>
        </w:tc>
        <w:tc>
          <w:tcPr>
            <w:tcW w:w="1420" w:type="dxa"/>
            <w:tcBorders>
              <w:top w:val="single" w:sz="4" w:space="0" w:color="auto"/>
              <w:left w:val="nil"/>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2021</w:t>
            </w:r>
          </w:p>
        </w:tc>
      </w:tr>
      <w:tr w:rsidR="005069FD" w:rsidRPr="00BA4C6E" w:rsidTr="00C07EAF">
        <w:trPr>
          <w:trHeight w:val="246"/>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Efectivo</w:t>
            </w:r>
          </w:p>
        </w:tc>
        <w:tc>
          <w:tcPr>
            <w:tcW w:w="1420" w:type="dxa"/>
            <w:tcBorders>
              <w:top w:val="nil"/>
              <w:left w:val="nil"/>
              <w:bottom w:val="single" w:sz="4" w:space="0" w:color="auto"/>
              <w:right w:val="single" w:sz="4" w:space="0" w:color="auto"/>
            </w:tcBorders>
            <w:shd w:val="clear" w:color="auto" w:fill="auto"/>
            <w:noWrap/>
            <w:vAlign w:val="center"/>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0.00</w:t>
            </w:r>
          </w:p>
        </w:tc>
        <w:tc>
          <w:tcPr>
            <w:tcW w:w="1420" w:type="dxa"/>
            <w:tcBorders>
              <w:top w:val="nil"/>
              <w:left w:val="nil"/>
              <w:bottom w:val="single" w:sz="4" w:space="0" w:color="auto"/>
              <w:right w:val="single" w:sz="4" w:space="0" w:color="auto"/>
            </w:tcBorders>
            <w:shd w:val="clear" w:color="auto" w:fill="auto"/>
            <w:noWrap/>
            <w:vAlign w:val="center"/>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0.00</w:t>
            </w:r>
          </w:p>
        </w:tc>
      </w:tr>
      <w:tr w:rsidR="005069FD" w:rsidRPr="00BA4C6E" w:rsidTr="00C07EAF">
        <w:trPr>
          <w:trHeight w:val="277"/>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Bancos Tesorería</w:t>
            </w:r>
          </w:p>
        </w:tc>
        <w:tc>
          <w:tcPr>
            <w:tcW w:w="1420" w:type="dxa"/>
            <w:tcBorders>
              <w:top w:val="nil"/>
              <w:left w:val="nil"/>
              <w:bottom w:val="single" w:sz="4" w:space="0" w:color="auto"/>
              <w:right w:val="single" w:sz="4" w:space="0" w:color="auto"/>
            </w:tcBorders>
            <w:shd w:val="clear" w:color="auto" w:fill="auto"/>
            <w:noWrap/>
            <w:vAlign w:val="center"/>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12,932,98</w:t>
            </w:r>
            <w:r>
              <w:rPr>
                <w:rFonts w:asciiTheme="minorHAnsi" w:eastAsia="Times New Roman" w:hAnsiTheme="minorHAnsi" w:cs="Arial"/>
                <w:color w:val="000000"/>
                <w:sz w:val="20"/>
                <w:szCs w:val="20"/>
                <w:lang w:eastAsia="es-MX"/>
              </w:rPr>
              <w:t>8</w:t>
            </w:r>
          </w:p>
        </w:tc>
        <w:tc>
          <w:tcPr>
            <w:tcW w:w="1420" w:type="dxa"/>
            <w:tcBorders>
              <w:top w:val="nil"/>
              <w:left w:val="nil"/>
              <w:bottom w:val="single" w:sz="4" w:space="0" w:color="auto"/>
              <w:right w:val="single" w:sz="4" w:space="0" w:color="auto"/>
            </w:tcBorders>
            <w:shd w:val="clear" w:color="auto" w:fill="auto"/>
            <w:noWrap/>
            <w:vAlign w:val="center"/>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9,107,225</w:t>
            </w:r>
          </w:p>
        </w:tc>
      </w:tr>
      <w:tr w:rsidR="005069FD" w:rsidRPr="00BA4C6E" w:rsidTr="00C07EAF">
        <w:trPr>
          <w:trHeight w:val="2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Bancos/ Dependencias y Otros</w:t>
            </w:r>
          </w:p>
        </w:tc>
        <w:tc>
          <w:tcPr>
            <w:tcW w:w="1420" w:type="dxa"/>
            <w:tcBorders>
              <w:top w:val="nil"/>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0.00</w:t>
            </w:r>
          </w:p>
        </w:tc>
        <w:tc>
          <w:tcPr>
            <w:tcW w:w="1420" w:type="dxa"/>
            <w:tcBorders>
              <w:top w:val="nil"/>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0.00</w:t>
            </w:r>
          </w:p>
        </w:tc>
      </w:tr>
      <w:tr w:rsidR="005069FD" w:rsidRPr="00BA4C6E" w:rsidTr="00C07EAF">
        <w:trPr>
          <w:trHeight w:val="300"/>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Inversiones Temporales (hasta tres meses)</w:t>
            </w:r>
          </w:p>
        </w:tc>
        <w:tc>
          <w:tcPr>
            <w:tcW w:w="1420" w:type="dxa"/>
            <w:tcBorders>
              <w:top w:val="nil"/>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0.00</w:t>
            </w:r>
          </w:p>
        </w:tc>
        <w:tc>
          <w:tcPr>
            <w:tcW w:w="1420" w:type="dxa"/>
            <w:tcBorders>
              <w:top w:val="nil"/>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0.00</w:t>
            </w:r>
          </w:p>
        </w:tc>
      </w:tr>
      <w:tr w:rsidR="005069FD" w:rsidRPr="00BA4C6E" w:rsidTr="00C07EAF">
        <w:trPr>
          <w:trHeight w:val="30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Fondos con Afectación Especifica</w:t>
            </w:r>
          </w:p>
        </w:tc>
        <w:tc>
          <w:tcPr>
            <w:tcW w:w="1420" w:type="dxa"/>
            <w:tcBorders>
              <w:top w:val="nil"/>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0.00</w:t>
            </w:r>
          </w:p>
        </w:tc>
        <w:tc>
          <w:tcPr>
            <w:tcW w:w="1420" w:type="dxa"/>
            <w:tcBorders>
              <w:top w:val="nil"/>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0.00</w:t>
            </w:r>
          </w:p>
        </w:tc>
      </w:tr>
      <w:tr w:rsidR="005069FD" w:rsidRPr="00BA4C6E" w:rsidTr="00C07EAF">
        <w:trPr>
          <w:trHeight w:val="300"/>
        </w:trPr>
        <w:tc>
          <w:tcPr>
            <w:tcW w:w="3559" w:type="dxa"/>
            <w:tcBorders>
              <w:top w:val="nil"/>
              <w:left w:val="single" w:sz="4" w:space="0" w:color="auto"/>
              <w:bottom w:val="single" w:sz="4" w:space="0" w:color="auto"/>
              <w:right w:val="single" w:sz="4" w:space="0" w:color="auto"/>
            </w:tcBorders>
            <w:shd w:val="clear" w:color="auto" w:fill="auto"/>
            <w:vAlign w:val="center"/>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Depósitos de Fondos de Terceros en Garantía y/o Administración</w:t>
            </w:r>
          </w:p>
        </w:tc>
        <w:tc>
          <w:tcPr>
            <w:tcW w:w="1420" w:type="dxa"/>
            <w:tcBorders>
              <w:top w:val="nil"/>
              <w:left w:val="nil"/>
              <w:bottom w:val="single" w:sz="4" w:space="0" w:color="auto"/>
              <w:right w:val="single" w:sz="4" w:space="0" w:color="auto"/>
            </w:tcBorders>
            <w:shd w:val="clear" w:color="auto" w:fill="auto"/>
            <w:noWrap/>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0.00</w:t>
            </w:r>
          </w:p>
        </w:tc>
        <w:tc>
          <w:tcPr>
            <w:tcW w:w="1420" w:type="dxa"/>
            <w:tcBorders>
              <w:top w:val="nil"/>
              <w:left w:val="nil"/>
              <w:bottom w:val="single" w:sz="4" w:space="0" w:color="auto"/>
              <w:right w:val="single" w:sz="4" w:space="0" w:color="auto"/>
            </w:tcBorders>
            <w:shd w:val="clear" w:color="auto" w:fill="auto"/>
            <w:noWrap/>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0.00</w:t>
            </w:r>
          </w:p>
        </w:tc>
      </w:tr>
      <w:tr w:rsidR="005069FD" w:rsidRPr="00BA4C6E" w:rsidTr="00C07EAF">
        <w:trPr>
          <w:trHeight w:val="300"/>
        </w:trPr>
        <w:tc>
          <w:tcPr>
            <w:tcW w:w="3559" w:type="dxa"/>
            <w:tcBorders>
              <w:top w:val="nil"/>
              <w:left w:val="single" w:sz="4" w:space="0" w:color="auto"/>
              <w:bottom w:val="single" w:sz="4" w:space="0" w:color="auto"/>
              <w:right w:val="single" w:sz="4" w:space="0" w:color="auto"/>
            </w:tcBorders>
            <w:shd w:val="clear" w:color="auto" w:fill="auto"/>
            <w:vAlign w:val="center"/>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Otros Efectivos y Equivalentes</w:t>
            </w:r>
          </w:p>
        </w:tc>
        <w:tc>
          <w:tcPr>
            <w:tcW w:w="1420" w:type="dxa"/>
            <w:tcBorders>
              <w:top w:val="nil"/>
              <w:left w:val="nil"/>
              <w:bottom w:val="single" w:sz="4" w:space="0" w:color="auto"/>
              <w:right w:val="single" w:sz="4" w:space="0" w:color="auto"/>
            </w:tcBorders>
            <w:shd w:val="clear" w:color="auto" w:fill="auto"/>
            <w:noWrap/>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0.00</w:t>
            </w:r>
          </w:p>
        </w:tc>
        <w:tc>
          <w:tcPr>
            <w:tcW w:w="1420" w:type="dxa"/>
            <w:tcBorders>
              <w:top w:val="nil"/>
              <w:left w:val="nil"/>
              <w:bottom w:val="single" w:sz="4" w:space="0" w:color="auto"/>
              <w:right w:val="single" w:sz="4" w:space="0" w:color="auto"/>
            </w:tcBorders>
            <w:shd w:val="clear" w:color="auto" w:fill="auto"/>
            <w:noWrap/>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hAnsiTheme="minorHAnsi" w:cs="Arial"/>
                <w:sz w:val="20"/>
                <w:szCs w:val="20"/>
              </w:rPr>
              <w:t>0.00</w:t>
            </w:r>
          </w:p>
        </w:tc>
      </w:tr>
      <w:tr w:rsidR="005069FD" w:rsidRPr="00BA4C6E" w:rsidTr="00C07EAF">
        <w:trPr>
          <w:trHeight w:val="300"/>
        </w:trPr>
        <w:tc>
          <w:tcPr>
            <w:tcW w:w="3559" w:type="dxa"/>
            <w:tcBorders>
              <w:top w:val="nil"/>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Total Equivalente y Efectivo</w:t>
            </w:r>
          </w:p>
        </w:tc>
        <w:tc>
          <w:tcPr>
            <w:tcW w:w="1420" w:type="dxa"/>
            <w:tcBorders>
              <w:top w:val="nil"/>
              <w:left w:val="nil"/>
              <w:bottom w:val="single" w:sz="4" w:space="0" w:color="auto"/>
              <w:right w:val="single" w:sz="4" w:space="0" w:color="auto"/>
            </w:tcBorders>
            <w:shd w:val="clear" w:color="auto" w:fill="AB0033"/>
            <w:noWrap/>
            <w:vAlign w:val="center"/>
            <w:hideMark/>
          </w:tcPr>
          <w:p w:rsidR="005069FD" w:rsidRPr="00BA4C6E" w:rsidRDefault="005069FD" w:rsidP="00C07EAF">
            <w:pPr>
              <w:spacing w:after="0"/>
              <w:jc w:val="right"/>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12,932,98</w:t>
            </w:r>
            <w:r>
              <w:rPr>
                <w:rFonts w:asciiTheme="minorHAnsi" w:eastAsia="Times New Roman" w:hAnsiTheme="minorHAnsi" w:cs="Arial"/>
                <w:b/>
                <w:bCs/>
                <w:color w:val="FFFFFF"/>
                <w:sz w:val="20"/>
                <w:szCs w:val="20"/>
                <w:lang w:eastAsia="es-MX"/>
              </w:rPr>
              <w:t>8</w:t>
            </w:r>
          </w:p>
        </w:tc>
        <w:tc>
          <w:tcPr>
            <w:tcW w:w="1420" w:type="dxa"/>
            <w:tcBorders>
              <w:top w:val="nil"/>
              <w:left w:val="nil"/>
              <w:bottom w:val="single" w:sz="4" w:space="0" w:color="auto"/>
              <w:right w:val="single" w:sz="4" w:space="0" w:color="auto"/>
            </w:tcBorders>
            <w:shd w:val="clear" w:color="auto" w:fill="AB0033"/>
            <w:noWrap/>
            <w:vAlign w:val="center"/>
            <w:hideMark/>
          </w:tcPr>
          <w:p w:rsidR="005069FD" w:rsidRPr="00BA4C6E" w:rsidRDefault="005069FD" w:rsidP="00C07EAF">
            <w:pPr>
              <w:spacing w:after="0"/>
              <w:jc w:val="right"/>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9,107,225</w:t>
            </w:r>
          </w:p>
        </w:tc>
      </w:tr>
    </w:tbl>
    <w:p w:rsidR="005069FD" w:rsidRPr="00BA4C6E" w:rsidRDefault="005069FD" w:rsidP="005069FD">
      <w:pPr>
        <w:spacing w:after="0"/>
        <w:contextualSpacing/>
        <w:jc w:val="both"/>
        <w:rPr>
          <w:rFonts w:asciiTheme="minorHAnsi" w:hAnsiTheme="minorHAnsi" w:cs="Arial"/>
          <w:sz w:val="20"/>
          <w:szCs w:val="20"/>
        </w:rPr>
      </w:pPr>
    </w:p>
    <w:p w:rsidR="005069FD" w:rsidRPr="00BA4C6E" w:rsidRDefault="005069FD" w:rsidP="005069FD">
      <w:pPr>
        <w:spacing w:after="0"/>
        <w:contextualSpacing/>
        <w:jc w:val="both"/>
        <w:rPr>
          <w:rFonts w:asciiTheme="minorHAnsi" w:hAnsiTheme="minorHAnsi" w:cs="Arial"/>
          <w:sz w:val="20"/>
          <w:szCs w:val="20"/>
        </w:rPr>
      </w:pPr>
    </w:p>
    <w:p w:rsidR="005069FD" w:rsidRPr="00BA4C6E" w:rsidRDefault="005069FD" w:rsidP="005069FD">
      <w:pPr>
        <w:spacing w:after="0"/>
        <w:ind w:left="720"/>
        <w:contextualSpacing/>
        <w:jc w:val="both"/>
        <w:rPr>
          <w:rFonts w:asciiTheme="minorHAnsi" w:hAnsiTheme="minorHAnsi" w:cs="Arial"/>
          <w:sz w:val="20"/>
          <w:szCs w:val="20"/>
        </w:rPr>
      </w:pPr>
    </w:p>
    <w:p w:rsidR="005069FD" w:rsidRPr="00BA4C6E" w:rsidRDefault="005069FD" w:rsidP="005069FD">
      <w:pPr>
        <w:spacing w:after="0"/>
        <w:ind w:left="720"/>
        <w:contextualSpacing/>
        <w:jc w:val="both"/>
        <w:rPr>
          <w:rFonts w:asciiTheme="minorHAnsi" w:hAnsiTheme="minorHAnsi" w:cs="Arial"/>
          <w:sz w:val="20"/>
          <w:szCs w:val="20"/>
        </w:rPr>
      </w:pPr>
    </w:p>
    <w:p w:rsidR="005069FD" w:rsidRPr="00BA4C6E" w:rsidRDefault="005069FD" w:rsidP="005069FD">
      <w:pPr>
        <w:spacing w:after="0"/>
        <w:ind w:left="720"/>
        <w:contextualSpacing/>
        <w:jc w:val="both"/>
        <w:rPr>
          <w:rFonts w:asciiTheme="minorHAnsi" w:hAnsiTheme="minorHAnsi" w:cs="Arial"/>
          <w:sz w:val="20"/>
          <w:szCs w:val="20"/>
        </w:rPr>
      </w:pPr>
    </w:p>
    <w:p w:rsidR="005069FD" w:rsidRPr="00BA4C6E" w:rsidRDefault="005069FD" w:rsidP="005069FD">
      <w:pPr>
        <w:tabs>
          <w:tab w:val="left" w:pos="8145"/>
        </w:tabs>
        <w:ind w:left="284"/>
        <w:contextualSpacing/>
        <w:jc w:val="both"/>
        <w:rPr>
          <w:rFonts w:asciiTheme="minorHAnsi" w:hAnsiTheme="minorHAnsi" w:cs="Arial"/>
          <w:sz w:val="20"/>
          <w:szCs w:val="20"/>
        </w:rPr>
      </w:pPr>
    </w:p>
    <w:p w:rsidR="005069FD" w:rsidRPr="00BA4C6E" w:rsidRDefault="005069FD" w:rsidP="005069FD">
      <w:pPr>
        <w:tabs>
          <w:tab w:val="left" w:pos="8145"/>
        </w:tabs>
        <w:ind w:left="284"/>
        <w:contextualSpacing/>
        <w:jc w:val="both"/>
        <w:rPr>
          <w:rFonts w:asciiTheme="minorHAnsi" w:hAnsiTheme="minorHAnsi" w:cs="Arial"/>
          <w:sz w:val="20"/>
          <w:szCs w:val="20"/>
        </w:rPr>
      </w:pPr>
    </w:p>
    <w:p w:rsidR="00374036" w:rsidRDefault="00374036" w:rsidP="00C07EAF">
      <w:pPr>
        <w:tabs>
          <w:tab w:val="left" w:pos="8145"/>
        </w:tabs>
        <w:ind w:left="284"/>
        <w:contextualSpacing/>
        <w:jc w:val="both"/>
        <w:rPr>
          <w:rFonts w:asciiTheme="minorHAnsi" w:hAnsiTheme="minorHAnsi" w:cs="Arial"/>
          <w:sz w:val="20"/>
          <w:szCs w:val="20"/>
        </w:rPr>
      </w:pPr>
    </w:p>
    <w:p w:rsidR="00374036" w:rsidRDefault="00374036" w:rsidP="00C07EAF">
      <w:pPr>
        <w:tabs>
          <w:tab w:val="left" w:pos="8145"/>
        </w:tabs>
        <w:ind w:left="284"/>
        <w:contextualSpacing/>
        <w:jc w:val="both"/>
        <w:rPr>
          <w:rFonts w:asciiTheme="minorHAnsi" w:hAnsiTheme="minorHAnsi" w:cs="Arial"/>
          <w:sz w:val="20"/>
          <w:szCs w:val="20"/>
        </w:rPr>
      </w:pPr>
    </w:p>
    <w:p w:rsidR="00374036" w:rsidRDefault="00374036" w:rsidP="00C07EAF">
      <w:pPr>
        <w:tabs>
          <w:tab w:val="left" w:pos="8145"/>
        </w:tabs>
        <w:ind w:left="284"/>
        <w:contextualSpacing/>
        <w:jc w:val="both"/>
        <w:rPr>
          <w:rFonts w:asciiTheme="minorHAnsi" w:hAnsiTheme="minorHAnsi" w:cs="Arial"/>
          <w:sz w:val="20"/>
          <w:szCs w:val="20"/>
        </w:rPr>
      </w:pPr>
    </w:p>
    <w:p w:rsidR="00374036" w:rsidRDefault="00374036" w:rsidP="00C07EAF">
      <w:pPr>
        <w:tabs>
          <w:tab w:val="left" w:pos="8145"/>
        </w:tabs>
        <w:ind w:left="284"/>
        <w:contextualSpacing/>
        <w:jc w:val="both"/>
        <w:rPr>
          <w:rFonts w:asciiTheme="minorHAnsi" w:hAnsiTheme="minorHAnsi" w:cs="Arial"/>
          <w:sz w:val="20"/>
          <w:szCs w:val="20"/>
        </w:rPr>
      </w:pPr>
    </w:p>
    <w:p w:rsidR="00374036" w:rsidRDefault="00374036" w:rsidP="00C07EAF">
      <w:pPr>
        <w:tabs>
          <w:tab w:val="left" w:pos="8145"/>
        </w:tabs>
        <w:ind w:left="284"/>
        <w:contextualSpacing/>
        <w:jc w:val="both"/>
        <w:rPr>
          <w:rFonts w:asciiTheme="minorHAnsi" w:hAnsiTheme="minorHAnsi" w:cs="Arial"/>
          <w:sz w:val="20"/>
          <w:szCs w:val="20"/>
        </w:rPr>
      </w:pPr>
    </w:p>
    <w:p w:rsidR="005069FD" w:rsidRPr="00BA4C6E" w:rsidRDefault="005069FD" w:rsidP="00C07EAF">
      <w:pPr>
        <w:tabs>
          <w:tab w:val="left" w:pos="8145"/>
        </w:tabs>
        <w:ind w:left="284"/>
        <w:contextualSpacing/>
        <w:jc w:val="both"/>
        <w:rPr>
          <w:rFonts w:asciiTheme="minorHAnsi" w:hAnsiTheme="minorHAnsi" w:cs="Arial"/>
          <w:sz w:val="20"/>
          <w:szCs w:val="20"/>
        </w:rPr>
      </w:pPr>
      <w:r w:rsidRPr="00BA4C6E">
        <w:rPr>
          <w:rFonts w:asciiTheme="minorHAnsi" w:hAnsiTheme="minorHAnsi" w:cs="Arial"/>
          <w:sz w:val="20"/>
          <w:szCs w:val="20"/>
        </w:rPr>
        <w:lastRenderedPageBreak/>
        <w:t xml:space="preserve">Las adquisiciones de bienes muebles e inmuebles adquiridas en el ejercicio 2022, reflejadas en el flujo de efectivo  por </w:t>
      </w:r>
      <w:r w:rsidRPr="00BA4C6E">
        <w:rPr>
          <w:rFonts w:asciiTheme="minorHAnsi" w:hAnsiTheme="minorHAnsi" w:cs="Arial"/>
          <w:b/>
          <w:sz w:val="20"/>
          <w:szCs w:val="20"/>
        </w:rPr>
        <w:t>$ 0.00</w:t>
      </w:r>
      <w:r w:rsidRPr="00BA4C6E">
        <w:rPr>
          <w:rFonts w:asciiTheme="minorHAnsi" w:hAnsiTheme="minorHAnsi" w:cs="Arial"/>
          <w:sz w:val="20"/>
          <w:szCs w:val="20"/>
        </w:rPr>
        <w:t>. El formato de dichas adquisiciones se muestra en las Notas al Estado de Situación Financiera.</w:t>
      </w:r>
    </w:p>
    <w:p w:rsidR="005069FD" w:rsidRDefault="005069FD" w:rsidP="00FC1C31">
      <w:pPr>
        <w:tabs>
          <w:tab w:val="left" w:pos="8145"/>
        </w:tabs>
        <w:ind w:left="284"/>
        <w:contextualSpacing/>
        <w:jc w:val="both"/>
        <w:rPr>
          <w:rFonts w:asciiTheme="minorHAnsi" w:hAnsiTheme="minorHAnsi" w:cs="Arial"/>
          <w:b/>
          <w:smallCaps/>
          <w:szCs w:val="20"/>
        </w:rPr>
      </w:pPr>
      <w:r w:rsidRPr="00BA4C6E">
        <w:rPr>
          <w:rFonts w:asciiTheme="minorHAnsi" w:hAnsiTheme="minorHAnsi" w:cs="Arial"/>
          <w:sz w:val="20"/>
          <w:szCs w:val="20"/>
        </w:rPr>
        <w:t>A continuación se muestra la conciliación de los flujos de efectivo netos de las actividades de operación y la cuenta de ahorro/desahorro.</w:t>
      </w:r>
    </w:p>
    <w:tbl>
      <w:tblPr>
        <w:tblpPr w:leftFromText="141" w:rightFromText="141" w:vertAnchor="text" w:horzAnchor="margin" w:tblpXSpec="center" w:tblpY="28"/>
        <w:tblW w:w="10820" w:type="dxa"/>
        <w:tblCellMar>
          <w:left w:w="70" w:type="dxa"/>
          <w:right w:w="70" w:type="dxa"/>
        </w:tblCellMar>
        <w:tblLook w:val="04A0" w:firstRow="1" w:lastRow="0" w:firstColumn="1" w:lastColumn="0" w:noHBand="0" w:noVBand="1"/>
      </w:tblPr>
      <w:tblGrid>
        <w:gridCol w:w="5140"/>
        <w:gridCol w:w="2840"/>
        <w:gridCol w:w="2840"/>
      </w:tblGrid>
      <w:tr w:rsidR="00C07EAF" w:rsidRPr="00C07EAF" w:rsidTr="00C07EAF">
        <w:trPr>
          <w:trHeight w:val="330"/>
        </w:trPr>
        <w:tc>
          <w:tcPr>
            <w:tcW w:w="5140" w:type="dxa"/>
            <w:tcBorders>
              <w:top w:val="single" w:sz="8" w:space="0" w:color="auto"/>
              <w:left w:val="single" w:sz="8" w:space="0" w:color="auto"/>
              <w:bottom w:val="single" w:sz="8" w:space="0" w:color="auto"/>
              <w:right w:val="single" w:sz="8" w:space="0" w:color="auto"/>
            </w:tcBorders>
            <w:shd w:val="clear" w:color="000000" w:fill="AB0033"/>
            <w:vAlign w:val="center"/>
            <w:hideMark/>
          </w:tcPr>
          <w:p w:rsidR="00C07EAF" w:rsidRPr="00C07EAF" w:rsidRDefault="00C07EAF" w:rsidP="00C07EAF">
            <w:pPr>
              <w:spacing w:after="0" w:line="240" w:lineRule="auto"/>
              <w:rPr>
                <w:rFonts w:ascii="Cambria" w:eastAsia="Times New Roman" w:hAnsi="Cambria" w:cs="Calibri"/>
                <w:color w:val="000000"/>
                <w:sz w:val="20"/>
                <w:szCs w:val="20"/>
                <w:lang w:eastAsia="es-MX"/>
              </w:rPr>
            </w:pPr>
            <w:r w:rsidRPr="00C07EAF">
              <w:rPr>
                <w:rFonts w:ascii="Cambria" w:eastAsia="Times New Roman" w:hAnsi="Cambria" w:cs="Calibri"/>
                <w:color w:val="000000"/>
                <w:sz w:val="20"/>
                <w:szCs w:val="20"/>
                <w:lang w:eastAsia="es-MX"/>
              </w:rPr>
              <w:t> </w:t>
            </w:r>
          </w:p>
        </w:tc>
        <w:tc>
          <w:tcPr>
            <w:tcW w:w="2840" w:type="dxa"/>
            <w:tcBorders>
              <w:top w:val="single" w:sz="8" w:space="0" w:color="auto"/>
              <w:left w:val="nil"/>
              <w:bottom w:val="single" w:sz="8" w:space="0" w:color="auto"/>
              <w:right w:val="single" w:sz="8" w:space="0" w:color="auto"/>
            </w:tcBorders>
            <w:shd w:val="clear" w:color="000000" w:fill="AB0033"/>
            <w:vAlign w:val="center"/>
            <w:hideMark/>
          </w:tcPr>
          <w:p w:rsidR="00C07EAF" w:rsidRPr="00C07EAF" w:rsidRDefault="00C07EAF" w:rsidP="00C07EAF">
            <w:pPr>
              <w:spacing w:after="0" w:line="240" w:lineRule="auto"/>
              <w:jc w:val="center"/>
              <w:rPr>
                <w:rFonts w:eastAsia="Times New Roman" w:cs="Calibri"/>
                <w:b/>
                <w:bCs/>
                <w:color w:val="FFFFFF"/>
                <w:sz w:val="24"/>
                <w:szCs w:val="24"/>
                <w:lang w:eastAsia="es-MX"/>
              </w:rPr>
            </w:pPr>
            <w:r w:rsidRPr="00C07EAF">
              <w:rPr>
                <w:rFonts w:eastAsia="Times New Roman" w:cs="Calibri"/>
                <w:b/>
                <w:bCs/>
                <w:color w:val="FFFFFF"/>
                <w:sz w:val="24"/>
                <w:szCs w:val="24"/>
                <w:lang w:eastAsia="es-MX"/>
              </w:rPr>
              <w:t>2022</w:t>
            </w:r>
          </w:p>
        </w:tc>
        <w:tc>
          <w:tcPr>
            <w:tcW w:w="2840" w:type="dxa"/>
            <w:tcBorders>
              <w:top w:val="single" w:sz="8" w:space="0" w:color="auto"/>
              <w:left w:val="nil"/>
              <w:bottom w:val="single" w:sz="8" w:space="0" w:color="auto"/>
              <w:right w:val="single" w:sz="8" w:space="0" w:color="auto"/>
            </w:tcBorders>
            <w:shd w:val="clear" w:color="000000" w:fill="AB0033"/>
            <w:vAlign w:val="center"/>
            <w:hideMark/>
          </w:tcPr>
          <w:p w:rsidR="00C07EAF" w:rsidRPr="00C07EAF" w:rsidRDefault="00C07EAF" w:rsidP="00C07EAF">
            <w:pPr>
              <w:spacing w:after="0" w:line="240" w:lineRule="auto"/>
              <w:jc w:val="center"/>
              <w:rPr>
                <w:rFonts w:eastAsia="Times New Roman" w:cs="Calibri"/>
                <w:b/>
                <w:bCs/>
                <w:color w:val="FFFFFF"/>
                <w:sz w:val="24"/>
                <w:szCs w:val="24"/>
                <w:lang w:eastAsia="es-MX"/>
              </w:rPr>
            </w:pPr>
            <w:r w:rsidRPr="00C07EAF">
              <w:rPr>
                <w:rFonts w:eastAsia="Times New Roman" w:cs="Calibri"/>
                <w:b/>
                <w:bCs/>
                <w:color w:val="FFFFFF"/>
                <w:sz w:val="24"/>
                <w:szCs w:val="24"/>
                <w:lang w:eastAsia="es-MX"/>
              </w:rPr>
              <w:t>2021</w:t>
            </w:r>
          </w:p>
        </w:tc>
      </w:tr>
      <w:tr w:rsidR="00C07EAF" w:rsidRPr="00C07EAF" w:rsidTr="00C07EAF">
        <w:trPr>
          <w:trHeight w:val="330"/>
        </w:trPr>
        <w:tc>
          <w:tcPr>
            <w:tcW w:w="5140" w:type="dxa"/>
            <w:tcBorders>
              <w:top w:val="nil"/>
              <w:left w:val="single" w:sz="8" w:space="0" w:color="auto"/>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rPr>
                <w:rFonts w:eastAsia="Times New Roman" w:cs="Calibri"/>
                <w:b/>
                <w:bCs/>
                <w:color w:val="000000"/>
                <w:sz w:val="24"/>
                <w:szCs w:val="24"/>
                <w:lang w:eastAsia="es-MX"/>
              </w:rPr>
            </w:pPr>
            <w:r w:rsidRPr="00C07EAF">
              <w:rPr>
                <w:rFonts w:eastAsia="Times New Roman" w:cs="Calibri"/>
                <w:b/>
                <w:bCs/>
                <w:color w:val="000000"/>
                <w:sz w:val="24"/>
                <w:szCs w:val="24"/>
                <w:lang w:eastAsia="es-MX"/>
              </w:rPr>
              <w:t>Resultados del Ejercicio Ahorro/Desahorro</w:t>
            </w:r>
          </w:p>
        </w:tc>
        <w:tc>
          <w:tcPr>
            <w:tcW w:w="2840" w:type="dxa"/>
            <w:tcBorders>
              <w:top w:val="nil"/>
              <w:left w:val="nil"/>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jc w:val="right"/>
              <w:rPr>
                <w:rFonts w:eastAsia="Times New Roman" w:cs="Calibri"/>
                <w:b/>
                <w:bCs/>
                <w:color w:val="000000"/>
                <w:sz w:val="24"/>
                <w:szCs w:val="24"/>
                <w:lang w:eastAsia="es-MX"/>
              </w:rPr>
            </w:pPr>
            <w:r w:rsidRPr="00C07EAF">
              <w:rPr>
                <w:rFonts w:eastAsia="Times New Roman" w:cs="Calibri"/>
                <w:b/>
                <w:bCs/>
                <w:color w:val="000000"/>
                <w:sz w:val="24"/>
                <w:szCs w:val="24"/>
                <w:lang w:eastAsia="es-MX"/>
              </w:rPr>
              <w:t>6,703,805</w:t>
            </w:r>
          </w:p>
        </w:tc>
        <w:tc>
          <w:tcPr>
            <w:tcW w:w="2840" w:type="dxa"/>
            <w:tcBorders>
              <w:top w:val="nil"/>
              <w:left w:val="nil"/>
              <w:bottom w:val="single" w:sz="8" w:space="0" w:color="auto"/>
              <w:right w:val="single" w:sz="8" w:space="0" w:color="auto"/>
            </w:tcBorders>
            <w:shd w:val="clear" w:color="auto" w:fill="auto"/>
            <w:noWrap/>
            <w:vAlign w:val="center"/>
            <w:hideMark/>
          </w:tcPr>
          <w:p w:rsidR="00C07EAF" w:rsidRPr="00C07EAF" w:rsidRDefault="00C07EAF" w:rsidP="00C07EAF">
            <w:pPr>
              <w:spacing w:after="0" w:line="240" w:lineRule="auto"/>
              <w:jc w:val="right"/>
              <w:rPr>
                <w:rFonts w:eastAsia="Times New Roman" w:cs="Calibri"/>
                <w:b/>
                <w:bCs/>
                <w:color w:val="000000"/>
                <w:sz w:val="24"/>
                <w:szCs w:val="24"/>
                <w:lang w:eastAsia="es-MX"/>
              </w:rPr>
            </w:pPr>
            <w:r w:rsidRPr="00C07EAF">
              <w:rPr>
                <w:rFonts w:eastAsia="Times New Roman" w:cs="Calibri"/>
                <w:b/>
                <w:bCs/>
                <w:color w:val="000000"/>
                <w:sz w:val="24"/>
                <w:szCs w:val="24"/>
                <w:lang w:eastAsia="es-MX"/>
              </w:rPr>
              <w:t>5,262,336</w:t>
            </w:r>
          </w:p>
        </w:tc>
      </w:tr>
      <w:tr w:rsidR="00C07EAF" w:rsidRPr="00C07EAF" w:rsidTr="00C07EAF">
        <w:trPr>
          <w:trHeight w:val="525"/>
        </w:trPr>
        <w:tc>
          <w:tcPr>
            <w:tcW w:w="5140" w:type="dxa"/>
            <w:tcBorders>
              <w:top w:val="nil"/>
              <w:left w:val="single" w:sz="8" w:space="0" w:color="auto"/>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rPr>
                <w:rFonts w:eastAsia="Times New Roman" w:cs="Calibri"/>
                <w:color w:val="000000"/>
                <w:sz w:val="20"/>
                <w:szCs w:val="20"/>
                <w:lang w:eastAsia="es-MX"/>
              </w:rPr>
            </w:pPr>
            <w:r w:rsidRPr="00C07EAF">
              <w:rPr>
                <w:rFonts w:eastAsia="Times New Roman" w:cs="Calibri"/>
                <w:color w:val="000000"/>
                <w:sz w:val="20"/>
                <w:szCs w:val="20"/>
                <w:lang w:eastAsia="es-MX"/>
              </w:rPr>
              <w:t>Movimientos de partidas (o rubros) que no afectan al efectivo.</w:t>
            </w:r>
          </w:p>
        </w:tc>
        <w:tc>
          <w:tcPr>
            <w:tcW w:w="2840" w:type="dxa"/>
            <w:tcBorders>
              <w:top w:val="nil"/>
              <w:left w:val="nil"/>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rPr>
                <w:rFonts w:ascii="Cambria" w:eastAsia="Times New Roman" w:hAnsi="Cambria" w:cs="Calibri"/>
                <w:color w:val="000000"/>
                <w:sz w:val="20"/>
                <w:szCs w:val="20"/>
                <w:lang w:eastAsia="es-MX"/>
              </w:rPr>
            </w:pPr>
            <w:r w:rsidRPr="00C07EAF">
              <w:rPr>
                <w:rFonts w:ascii="Cambria" w:eastAsia="Times New Roman" w:hAnsi="Cambria" w:cs="Calibri"/>
                <w:color w:val="000000"/>
                <w:sz w:val="20"/>
                <w:szCs w:val="20"/>
                <w:lang w:eastAsia="es-MX"/>
              </w:rPr>
              <w:t> </w:t>
            </w:r>
          </w:p>
        </w:tc>
        <w:tc>
          <w:tcPr>
            <w:tcW w:w="2840" w:type="dxa"/>
            <w:tcBorders>
              <w:top w:val="nil"/>
              <w:left w:val="nil"/>
              <w:bottom w:val="single" w:sz="8" w:space="0" w:color="auto"/>
              <w:right w:val="single" w:sz="8" w:space="0" w:color="auto"/>
            </w:tcBorders>
            <w:shd w:val="clear" w:color="auto" w:fill="auto"/>
            <w:noWrap/>
            <w:vAlign w:val="center"/>
            <w:hideMark/>
          </w:tcPr>
          <w:p w:rsidR="00C07EAF" w:rsidRPr="00C07EAF" w:rsidRDefault="00C07EAF" w:rsidP="00C07EAF">
            <w:pPr>
              <w:spacing w:after="0" w:line="240" w:lineRule="auto"/>
              <w:rPr>
                <w:rFonts w:ascii="Cambria" w:eastAsia="Times New Roman" w:hAnsi="Cambria" w:cs="Calibri"/>
                <w:color w:val="000000"/>
                <w:sz w:val="20"/>
                <w:szCs w:val="20"/>
                <w:lang w:eastAsia="es-MX"/>
              </w:rPr>
            </w:pPr>
            <w:r w:rsidRPr="00C07EAF">
              <w:rPr>
                <w:rFonts w:ascii="Cambria" w:eastAsia="Times New Roman" w:hAnsi="Cambria" w:cs="Calibri"/>
                <w:color w:val="000000"/>
                <w:sz w:val="20"/>
                <w:szCs w:val="20"/>
                <w:lang w:eastAsia="es-MX"/>
              </w:rPr>
              <w:t> </w:t>
            </w:r>
          </w:p>
        </w:tc>
      </w:tr>
      <w:tr w:rsidR="00C07EAF" w:rsidRPr="00C07EAF" w:rsidTr="00C07EAF">
        <w:trPr>
          <w:trHeight w:val="315"/>
        </w:trPr>
        <w:tc>
          <w:tcPr>
            <w:tcW w:w="5140" w:type="dxa"/>
            <w:tcBorders>
              <w:top w:val="nil"/>
              <w:left w:val="single" w:sz="8" w:space="0" w:color="auto"/>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rPr>
                <w:rFonts w:eastAsia="Times New Roman" w:cs="Calibri"/>
                <w:color w:val="000000"/>
                <w:sz w:val="20"/>
                <w:szCs w:val="20"/>
                <w:lang w:eastAsia="es-MX"/>
              </w:rPr>
            </w:pPr>
            <w:r w:rsidRPr="00C07EAF">
              <w:rPr>
                <w:rFonts w:eastAsia="Times New Roman" w:cs="Calibri"/>
                <w:color w:val="000000"/>
                <w:sz w:val="20"/>
                <w:szCs w:val="20"/>
                <w:lang w:eastAsia="es-MX"/>
              </w:rPr>
              <w:t>Depreciación</w:t>
            </w:r>
          </w:p>
        </w:tc>
        <w:tc>
          <w:tcPr>
            <w:tcW w:w="2840" w:type="dxa"/>
            <w:tcBorders>
              <w:top w:val="nil"/>
              <w:left w:val="nil"/>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jc w:val="right"/>
              <w:rPr>
                <w:rFonts w:eastAsia="Times New Roman" w:cs="Calibri"/>
                <w:color w:val="000000"/>
                <w:sz w:val="20"/>
                <w:szCs w:val="20"/>
                <w:lang w:eastAsia="es-MX"/>
              </w:rPr>
            </w:pPr>
            <w:r w:rsidRPr="00C07EAF">
              <w:rPr>
                <w:rFonts w:eastAsia="Times New Roman" w:cs="Calibri"/>
                <w:color w:val="000000"/>
                <w:sz w:val="20"/>
                <w:szCs w:val="20"/>
                <w:lang w:eastAsia="es-MX"/>
              </w:rPr>
              <w:t>3,824,065</w:t>
            </w:r>
          </w:p>
        </w:tc>
        <w:tc>
          <w:tcPr>
            <w:tcW w:w="2840" w:type="dxa"/>
            <w:tcBorders>
              <w:top w:val="nil"/>
              <w:left w:val="nil"/>
              <w:bottom w:val="single" w:sz="8" w:space="0" w:color="auto"/>
              <w:right w:val="single" w:sz="8" w:space="0" w:color="auto"/>
            </w:tcBorders>
            <w:shd w:val="clear" w:color="auto" w:fill="auto"/>
            <w:noWrap/>
            <w:vAlign w:val="center"/>
            <w:hideMark/>
          </w:tcPr>
          <w:p w:rsidR="00C07EAF" w:rsidRPr="00C07EAF" w:rsidRDefault="00C07EAF" w:rsidP="00C07EAF">
            <w:pPr>
              <w:spacing w:after="0" w:line="240" w:lineRule="auto"/>
              <w:jc w:val="right"/>
              <w:rPr>
                <w:rFonts w:eastAsia="Times New Roman" w:cs="Calibri"/>
                <w:color w:val="000000"/>
                <w:sz w:val="20"/>
                <w:szCs w:val="20"/>
                <w:lang w:eastAsia="es-MX"/>
              </w:rPr>
            </w:pPr>
            <w:r w:rsidRPr="00C07EAF">
              <w:rPr>
                <w:rFonts w:eastAsia="Times New Roman" w:cs="Calibri"/>
                <w:color w:val="000000"/>
                <w:sz w:val="20"/>
                <w:szCs w:val="20"/>
                <w:lang w:eastAsia="es-MX"/>
              </w:rPr>
              <w:t>4,492,686</w:t>
            </w:r>
          </w:p>
        </w:tc>
      </w:tr>
      <w:tr w:rsidR="00C07EAF" w:rsidRPr="00C07EAF" w:rsidTr="00C07EAF">
        <w:trPr>
          <w:trHeight w:val="315"/>
        </w:trPr>
        <w:tc>
          <w:tcPr>
            <w:tcW w:w="5140" w:type="dxa"/>
            <w:tcBorders>
              <w:top w:val="nil"/>
              <w:left w:val="single" w:sz="8" w:space="0" w:color="auto"/>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rPr>
                <w:rFonts w:eastAsia="Times New Roman" w:cs="Calibri"/>
                <w:color w:val="000000"/>
                <w:sz w:val="20"/>
                <w:szCs w:val="20"/>
                <w:lang w:eastAsia="es-MX"/>
              </w:rPr>
            </w:pPr>
            <w:r w:rsidRPr="00C07EAF">
              <w:rPr>
                <w:rFonts w:eastAsia="Times New Roman" w:cs="Calibri"/>
                <w:color w:val="000000"/>
                <w:sz w:val="20"/>
                <w:szCs w:val="20"/>
                <w:lang w:eastAsia="es-MX"/>
              </w:rPr>
              <w:t>Amortización</w:t>
            </w:r>
          </w:p>
        </w:tc>
        <w:tc>
          <w:tcPr>
            <w:tcW w:w="2840" w:type="dxa"/>
            <w:tcBorders>
              <w:top w:val="nil"/>
              <w:left w:val="nil"/>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jc w:val="right"/>
              <w:rPr>
                <w:rFonts w:eastAsia="Times New Roman" w:cs="Calibri"/>
                <w:color w:val="000000"/>
                <w:sz w:val="20"/>
                <w:szCs w:val="20"/>
                <w:lang w:eastAsia="es-MX"/>
              </w:rPr>
            </w:pPr>
            <w:r w:rsidRPr="00C07EAF">
              <w:rPr>
                <w:rFonts w:eastAsia="Times New Roman" w:cs="Calibri"/>
                <w:color w:val="000000"/>
                <w:sz w:val="20"/>
                <w:szCs w:val="20"/>
                <w:lang w:eastAsia="es-MX"/>
              </w:rPr>
              <w:t>26,561</w:t>
            </w:r>
          </w:p>
        </w:tc>
        <w:tc>
          <w:tcPr>
            <w:tcW w:w="2840" w:type="dxa"/>
            <w:tcBorders>
              <w:top w:val="nil"/>
              <w:left w:val="nil"/>
              <w:bottom w:val="single" w:sz="8" w:space="0" w:color="auto"/>
              <w:right w:val="single" w:sz="8" w:space="0" w:color="auto"/>
            </w:tcBorders>
            <w:shd w:val="clear" w:color="auto" w:fill="auto"/>
            <w:noWrap/>
            <w:vAlign w:val="center"/>
            <w:hideMark/>
          </w:tcPr>
          <w:p w:rsidR="00C07EAF" w:rsidRPr="00C07EAF" w:rsidRDefault="00C07EAF" w:rsidP="00C07EAF">
            <w:pPr>
              <w:spacing w:after="0" w:line="240" w:lineRule="auto"/>
              <w:jc w:val="right"/>
              <w:rPr>
                <w:rFonts w:eastAsia="Times New Roman" w:cs="Calibri"/>
                <w:color w:val="000000"/>
                <w:sz w:val="20"/>
                <w:szCs w:val="20"/>
                <w:lang w:eastAsia="es-MX"/>
              </w:rPr>
            </w:pPr>
            <w:r w:rsidRPr="00C07EAF">
              <w:rPr>
                <w:rFonts w:eastAsia="Times New Roman" w:cs="Calibri"/>
                <w:color w:val="000000"/>
                <w:sz w:val="20"/>
                <w:szCs w:val="20"/>
                <w:lang w:eastAsia="es-MX"/>
              </w:rPr>
              <w:t>46,748</w:t>
            </w:r>
          </w:p>
        </w:tc>
      </w:tr>
      <w:tr w:rsidR="00C07EAF" w:rsidRPr="00C07EAF" w:rsidTr="00C07EAF">
        <w:trPr>
          <w:trHeight w:val="315"/>
        </w:trPr>
        <w:tc>
          <w:tcPr>
            <w:tcW w:w="5140" w:type="dxa"/>
            <w:tcBorders>
              <w:top w:val="nil"/>
              <w:left w:val="single" w:sz="8" w:space="0" w:color="auto"/>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rPr>
                <w:rFonts w:eastAsia="Times New Roman" w:cs="Calibri"/>
                <w:color w:val="000000"/>
                <w:sz w:val="20"/>
                <w:szCs w:val="20"/>
                <w:lang w:eastAsia="es-MX"/>
              </w:rPr>
            </w:pPr>
            <w:r w:rsidRPr="00C07EAF">
              <w:rPr>
                <w:rFonts w:eastAsia="Times New Roman" w:cs="Calibri"/>
                <w:color w:val="000000"/>
                <w:sz w:val="20"/>
                <w:szCs w:val="20"/>
                <w:lang w:eastAsia="es-MX"/>
              </w:rPr>
              <w:t>Cuentas por pagar</w:t>
            </w:r>
          </w:p>
        </w:tc>
        <w:tc>
          <w:tcPr>
            <w:tcW w:w="2840" w:type="dxa"/>
            <w:tcBorders>
              <w:top w:val="nil"/>
              <w:left w:val="nil"/>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jc w:val="right"/>
              <w:rPr>
                <w:rFonts w:eastAsia="Times New Roman" w:cs="Calibri"/>
                <w:color w:val="000000"/>
                <w:sz w:val="20"/>
                <w:szCs w:val="20"/>
                <w:lang w:eastAsia="es-MX"/>
              </w:rPr>
            </w:pPr>
            <w:r w:rsidRPr="00C07EAF">
              <w:rPr>
                <w:rFonts w:eastAsia="Times New Roman" w:cs="Calibri"/>
                <w:color w:val="000000"/>
                <w:sz w:val="20"/>
                <w:szCs w:val="20"/>
                <w:lang w:eastAsia="es-MX"/>
              </w:rPr>
              <w:t>553,060</w:t>
            </w:r>
          </w:p>
        </w:tc>
        <w:tc>
          <w:tcPr>
            <w:tcW w:w="2840" w:type="dxa"/>
            <w:tcBorders>
              <w:top w:val="nil"/>
              <w:left w:val="nil"/>
              <w:bottom w:val="single" w:sz="8" w:space="0" w:color="auto"/>
              <w:right w:val="single" w:sz="8" w:space="0" w:color="auto"/>
            </w:tcBorders>
            <w:shd w:val="clear" w:color="auto" w:fill="auto"/>
            <w:noWrap/>
            <w:vAlign w:val="center"/>
            <w:hideMark/>
          </w:tcPr>
          <w:p w:rsidR="00C07EAF" w:rsidRPr="00C07EAF" w:rsidRDefault="00C07EAF" w:rsidP="00C07EAF">
            <w:pPr>
              <w:spacing w:after="0" w:line="240" w:lineRule="auto"/>
              <w:jc w:val="right"/>
              <w:rPr>
                <w:rFonts w:eastAsia="Times New Roman" w:cs="Calibri"/>
                <w:color w:val="000000"/>
                <w:sz w:val="20"/>
                <w:szCs w:val="20"/>
                <w:lang w:eastAsia="es-MX"/>
              </w:rPr>
            </w:pPr>
            <w:r w:rsidRPr="00C07EAF">
              <w:rPr>
                <w:rFonts w:eastAsia="Times New Roman" w:cs="Calibri"/>
                <w:color w:val="000000"/>
                <w:sz w:val="20"/>
                <w:szCs w:val="20"/>
                <w:lang w:eastAsia="es-MX"/>
              </w:rPr>
              <w:t>3,249,811</w:t>
            </w:r>
          </w:p>
        </w:tc>
      </w:tr>
      <w:tr w:rsidR="00C07EAF" w:rsidRPr="00C07EAF" w:rsidTr="00C07EAF">
        <w:trPr>
          <w:trHeight w:val="315"/>
        </w:trPr>
        <w:tc>
          <w:tcPr>
            <w:tcW w:w="5140" w:type="dxa"/>
            <w:tcBorders>
              <w:top w:val="nil"/>
              <w:left w:val="single" w:sz="8" w:space="0" w:color="auto"/>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rPr>
                <w:rFonts w:eastAsia="Times New Roman" w:cs="Calibri"/>
                <w:color w:val="000000"/>
                <w:sz w:val="20"/>
                <w:szCs w:val="20"/>
                <w:lang w:eastAsia="es-MX"/>
              </w:rPr>
            </w:pPr>
            <w:r w:rsidRPr="00C07EAF">
              <w:rPr>
                <w:rFonts w:eastAsia="Times New Roman" w:cs="Calibri"/>
                <w:color w:val="000000"/>
                <w:sz w:val="20"/>
                <w:szCs w:val="20"/>
                <w:lang w:eastAsia="es-MX"/>
              </w:rPr>
              <w:t>Ingresos financieros</w:t>
            </w:r>
          </w:p>
        </w:tc>
        <w:tc>
          <w:tcPr>
            <w:tcW w:w="2840" w:type="dxa"/>
            <w:tcBorders>
              <w:top w:val="nil"/>
              <w:left w:val="nil"/>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jc w:val="right"/>
              <w:rPr>
                <w:rFonts w:eastAsia="Times New Roman" w:cs="Calibri"/>
                <w:color w:val="000000"/>
                <w:sz w:val="20"/>
                <w:szCs w:val="20"/>
                <w:lang w:eastAsia="es-MX"/>
              </w:rPr>
            </w:pPr>
            <w:r w:rsidRPr="00C07EAF">
              <w:rPr>
                <w:rFonts w:eastAsia="Times New Roman" w:cs="Calibri"/>
                <w:color w:val="000000"/>
                <w:sz w:val="20"/>
                <w:szCs w:val="20"/>
                <w:lang w:eastAsia="es-MX"/>
              </w:rPr>
              <w:t>18,834</w:t>
            </w:r>
          </w:p>
        </w:tc>
        <w:tc>
          <w:tcPr>
            <w:tcW w:w="2840" w:type="dxa"/>
            <w:tcBorders>
              <w:top w:val="nil"/>
              <w:left w:val="nil"/>
              <w:bottom w:val="single" w:sz="8" w:space="0" w:color="auto"/>
              <w:right w:val="single" w:sz="8" w:space="0" w:color="auto"/>
            </w:tcBorders>
            <w:shd w:val="clear" w:color="auto" w:fill="auto"/>
            <w:noWrap/>
            <w:vAlign w:val="center"/>
            <w:hideMark/>
          </w:tcPr>
          <w:p w:rsidR="00C07EAF" w:rsidRPr="00C07EAF" w:rsidRDefault="00C07EAF" w:rsidP="00C07EAF">
            <w:pPr>
              <w:spacing w:after="0" w:line="240" w:lineRule="auto"/>
              <w:jc w:val="right"/>
              <w:rPr>
                <w:rFonts w:eastAsia="Times New Roman" w:cs="Calibri"/>
                <w:color w:val="000000"/>
                <w:sz w:val="20"/>
                <w:szCs w:val="20"/>
                <w:lang w:eastAsia="es-MX"/>
              </w:rPr>
            </w:pPr>
            <w:r w:rsidRPr="00C07EAF">
              <w:rPr>
                <w:rFonts w:eastAsia="Times New Roman" w:cs="Calibri"/>
                <w:color w:val="000000"/>
                <w:sz w:val="20"/>
                <w:szCs w:val="20"/>
                <w:lang w:eastAsia="es-MX"/>
              </w:rPr>
              <w:t>30,993</w:t>
            </w:r>
          </w:p>
        </w:tc>
      </w:tr>
      <w:tr w:rsidR="00C07EAF" w:rsidRPr="00C07EAF" w:rsidTr="00C07EAF">
        <w:trPr>
          <w:trHeight w:val="315"/>
        </w:trPr>
        <w:tc>
          <w:tcPr>
            <w:tcW w:w="5140" w:type="dxa"/>
            <w:tcBorders>
              <w:top w:val="nil"/>
              <w:left w:val="single" w:sz="8" w:space="0" w:color="auto"/>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rPr>
                <w:rFonts w:eastAsia="Times New Roman" w:cs="Calibri"/>
                <w:color w:val="000000"/>
                <w:sz w:val="20"/>
                <w:szCs w:val="20"/>
                <w:lang w:eastAsia="es-MX"/>
              </w:rPr>
            </w:pPr>
            <w:r w:rsidRPr="00C07EAF">
              <w:rPr>
                <w:rFonts w:eastAsia="Times New Roman" w:cs="Calibri"/>
                <w:color w:val="000000"/>
                <w:sz w:val="20"/>
                <w:szCs w:val="20"/>
                <w:lang w:eastAsia="es-MX"/>
              </w:rPr>
              <w:t>Cuentas por cobrar</w:t>
            </w:r>
          </w:p>
        </w:tc>
        <w:tc>
          <w:tcPr>
            <w:tcW w:w="2840" w:type="dxa"/>
            <w:tcBorders>
              <w:top w:val="nil"/>
              <w:left w:val="nil"/>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jc w:val="right"/>
              <w:rPr>
                <w:rFonts w:eastAsia="Times New Roman" w:cs="Calibri"/>
                <w:color w:val="000000"/>
                <w:sz w:val="20"/>
                <w:szCs w:val="20"/>
                <w:lang w:eastAsia="es-MX"/>
              </w:rPr>
            </w:pPr>
            <w:r w:rsidRPr="00C07EAF">
              <w:rPr>
                <w:rFonts w:eastAsia="Times New Roman" w:cs="Calibri"/>
                <w:color w:val="000000"/>
                <w:sz w:val="20"/>
                <w:szCs w:val="20"/>
                <w:lang w:eastAsia="es-MX"/>
              </w:rPr>
              <w:t>0</w:t>
            </w:r>
          </w:p>
        </w:tc>
        <w:tc>
          <w:tcPr>
            <w:tcW w:w="2840" w:type="dxa"/>
            <w:tcBorders>
              <w:top w:val="nil"/>
              <w:left w:val="nil"/>
              <w:bottom w:val="single" w:sz="8" w:space="0" w:color="auto"/>
              <w:right w:val="single" w:sz="8" w:space="0" w:color="auto"/>
            </w:tcBorders>
            <w:shd w:val="clear" w:color="auto" w:fill="auto"/>
            <w:noWrap/>
            <w:vAlign w:val="center"/>
            <w:hideMark/>
          </w:tcPr>
          <w:p w:rsidR="00C07EAF" w:rsidRPr="00C07EAF" w:rsidRDefault="00C07EAF" w:rsidP="00C07EAF">
            <w:pPr>
              <w:spacing w:after="0" w:line="240" w:lineRule="auto"/>
              <w:jc w:val="right"/>
              <w:rPr>
                <w:rFonts w:eastAsia="Times New Roman" w:cs="Calibri"/>
                <w:color w:val="000000"/>
                <w:sz w:val="20"/>
                <w:szCs w:val="20"/>
                <w:lang w:eastAsia="es-MX"/>
              </w:rPr>
            </w:pPr>
            <w:r w:rsidRPr="00C07EAF">
              <w:rPr>
                <w:rFonts w:eastAsia="Times New Roman" w:cs="Calibri"/>
                <w:color w:val="000000"/>
                <w:sz w:val="20"/>
                <w:szCs w:val="20"/>
                <w:lang w:eastAsia="es-MX"/>
              </w:rPr>
              <w:t>1,489,830</w:t>
            </w:r>
          </w:p>
        </w:tc>
      </w:tr>
      <w:tr w:rsidR="00C07EAF" w:rsidRPr="00C07EAF" w:rsidTr="00C07EAF">
        <w:trPr>
          <w:trHeight w:val="315"/>
        </w:trPr>
        <w:tc>
          <w:tcPr>
            <w:tcW w:w="5140" w:type="dxa"/>
            <w:tcBorders>
              <w:top w:val="nil"/>
              <w:left w:val="single" w:sz="8" w:space="0" w:color="auto"/>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rPr>
                <w:rFonts w:eastAsia="Times New Roman" w:cs="Calibri"/>
                <w:color w:val="000000"/>
                <w:sz w:val="20"/>
                <w:szCs w:val="20"/>
                <w:lang w:eastAsia="es-MX"/>
              </w:rPr>
            </w:pPr>
            <w:r w:rsidRPr="00C07EAF">
              <w:rPr>
                <w:rFonts w:eastAsia="Times New Roman" w:cs="Calibri"/>
                <w:color w:val="000000"/>
                <w:sz w:val="20"/>
                <w:szCs w:val="20"/>
                <w:lang w:eastAsia="es-MX"/>
              </w:rPr>
              <w:t>Otras aplicaciones de operación</w:t>
            </w:r>
          </w:p>
        </w:tc>
        <w:tc>
          <w:tcPr>
            <w:tcW w:w="2840" w:type="dxa"/>
            <w:tcBorders>
              <w:top w:val="nil"/>
              <w:left w:val="nil"/>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jc w:val="right"/>
              <w:rPr>
                <w:rFonts w:eastAsia="Times New Roman" w:cs="Calibri"/>
                <w:color w:val="000000"/>
                <w:sz w:val="20"/>
                <w:szCs w:val="20"/>
                <w:lang w:eastAsia="es-MX"/>
              </w:rPr>
            </w:pPr>
            <w:r w:rsidRPr="00C07EAF">
              <w:rPr>
                <w:rFonts w:eastAsia="Times New Roman" w:cs="Calibri"/>
                <w:color w:val="000000"/>
                <w:sz w:val="20"/>
                <w:szCs w:val="20"/>
                <w:lang w:eastAsia="es-MX"/>
              </w:rPr>
              <w:t>4,942,841</w:t>
            </w:r>
          </w:p>
        </w:tc>
        <w:tc>
          <w:tcPr>
            <w:tcW w:w="2840" w:type="dxa"/>
            <w:tcBorders>
              <w:top w:val="nil"/>
              <w:left w:val="nil"/>
              <w:bottom w:val="single" w:sz="8" w:space="0" w:color="auto"/>
              <w:right w:val="single" w:sz="8" w:space="0" w:color="auto"/>
            </w:tcBorders>
            <w:shd w:val="clear" w:color="auto" w:fill="auto"/>
            <w:noWrap/>
            <w:vAlign w:val="center"/>
            <w:hideMark/>
          </w:tcPr>
          <w:p w:rsidR="00C07EAF" w:rsidRPr="00C07EAF" w:rsidRDefault="00C07EAF" w:rsidP="00C07EAF">
            <w:pPr>
              <w:spacing w:after="0" w:line="240" w:lineRule="auto"/>
              <w:jc w:val="right"/>
              <w:rPr>
                <w:rFonts w:eastAsia="Times New Roman" w:cs="Calibri"/>
                <w:color w:val="000000"/>
                <w:sz w:val="20"/>
                <w:szCs w:val="20"/>
                <w:lang w:eastAsia="es-MX"/>
              </w:rPr>
            </w:pPr>
            <w:r w:rsidRPr="00C07EAF">
              <w:rPr>
                <w:rFonts w:eastAsia="Times New Roman" w:cs="Calibri"/>
                <w:color w:val="000000"/>
                <w:sz w:val="20"/>
                <w:szCs w:val="20"/>
                <w:lang w:eastAsia="es-MX"/>
              </w:rPr>
              <w:t>977,353</w:t>
            </w:r>
          </w:p>
        </w:tc>
      </w:tr>
      <w:tr w:rsidR="00C07EAF" w:rsidRPr="00C07EAF" w:rsidTr="00C07EAF">
        <w:trPr>
          <w:trHeight w:val="615"/>
        </w:trPr>
        <w:tc>
          <w:tcPr>
            <w:tcW w:w="5140" w:type="dxa"/>
            <w:tcBorders>
              <w:top w:val="nil"/>
              <w:left w:val="single" w:sz="8" w:space="0" w:color="auto"/>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rPr>
                <w:rFonts w:eastAsia="Times New Roman" w:cs="Calibri"/>
                <w:b/>
                <w:bCs/>
                <w:color w:val="000000"/>
                <w:lang w:eastAsia="es-MX"/>
              </w:rPr>
            </w:pPr>
            <w:r w:rsidRPr="00C07EAF">
              <w:rPr>
                <w:rFonts w:eastAsia="Times New Roman" w:cs="Calibri"/>
                <w:b/>
                <w:bCs/>
                <w:color w:val="000000"/>
                <w:lang w:eastAsia="es-MX"/>
              </w:rPr>
              <w:t>Flujos de Efectivo Netos de las Actividades de Operación</w:t>
            </w:r>
          </w:p>
        </w:tc>
        <w:tc>
          <w:tcPr>
            <w:tcW w:w="2840" w:type="dxa"/>
            <w:tcBorders>
              <w:top w:val="nil"/>
              <w:left w:val="nil"/>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jc w:val="right"/>
              <w:rPr>
                <w:rFonts w:eastAsia="Times New Roman" w:cs="Calibri"/>
                <w:b/>
                <w:bCs/>
                <w:color w:val="000000"/>
                <w:lang w:eastAsia="es-MX"/>
              </w:rPr>
            </w:pPr>
            <w:r w:rsidRPr="00C07EAF">
              <w:rPr>
                <w:rFonts w:eastAsia="Times New Roman" w:cs="Calibri"/>
                <w:b/>
                <w:bCs/>
                <w:color w:val="000000"/>
                <w:lang w:eastAsia="es-MX"/>
              </w:rPr>
              <w:t>6,145,816</w:t>
            </w:r>
          </w:p>
        </w:tc>
        <w:tc>
          <w:tcPr>
            <w:tcW w:w="2840" w:type="dxa"/>
            <w:tcBorders>
              <w:top w:val="nil"/>
              <w:left w:val="nil"/>
              <w:bottom w:val="single" w:sz="8" w:space="0" w:color="auto"/>
              <w:right w:val="single" w:sz="8" w:space="0" w:color="auto"/>
            </w:tcBorders>
            <w:shd w:val="clear" w:color="auto" w:fill="auto"/>
            <w:vAlign w:val="center"/>
            <w:hideMark/>
          </w:tcPr>
          <w:p w:rsidR="00C07EAF" w:rsidRPr="00C07EAF" w:rsidRDefault="00C07EAF" w:rsidP="00C07EAF">
            <w:pPr>
              <w:spacing w:after="0" w:line="240" w:lineRule="auto"/>
              <w:jc w:val="right"/>
              <w:rPr>
                <w:rFonts w:eastAsia="Times New Roman" w:cs="Calibri"/>
                <w:b/>
                <w:bCs/>
                <w:color w:val="000000"/>
                <w:lang w:eastAsia="es-MX"/>
              </w:rPr>
            </w:pPr>
            <w:r w:rsidRPr="00C07EAF">
              <w:rPr>
                <w:rFonts w:eastAsia="Times New Roman" w:cs="Calibri"/>
                <w:b/>
                <w:bCs/>
                <w:color w:val="000000"/>
                <w:lang w:eastAsia="es-MX"/>
              </w:rPr>
              <w:t>10,553,405</w:t>
            </w:r>
          </w:p>
        </w:tc>
      </w:tr>
    </w:tbl>
    <w:p w:rsidR="005069FD" w:rsidRDefault="005069FD" w:rsidP="005069FD">
      <w:pPr>
        <w:spacing w:after="0" w:line="240" w:lineRule="exact"/>
        <w:ind w:left="360"/>
        <w:jc w:val="center"/>
        <w:rPr>
          <w:rFonts w:asciiTheme="minorHAnsi" w:hAnsiTheme="minorHAnsi" w:cs="Arial"/>
          <w:b/>
          <w:smallCaps/>
          <w:szCs w:val="20"/>
        </w:rPr>
      </w:pPr>
    </w:p>
    <w:p w:rsidR="005069FD" w:rsidRPr="00BA4C6E" w:rsidRDefault="005069FD" w:rsidP="005069FD">
      <w:pPr>
        <w:spacing w:after="0" w:line="240" w:lineRule="exact"/>
        <w:ind w:left="360"/>
        <w:jc w:val="center"/>
        <w:rPr>
          <w:rFonts w:asciiTheme="minorHAnsi" w:hAnsiTheme="minorHAnsi" w:cs="Arial"/>
          <w:b/>
          <w:smallCaps/>
          <w:szCs w:val="20"/>
        </w:rPr>
      </w:pPr>
      <w:r w:rsidRPr="00BA4C6E">
        <w:rPr>
          <w:rFonts w:asciiTheme="minorHAnsi" w:hAnsiTheme="minorHAnsi" w:cs="Arial"/>
          <w:b/>
          <w:smallCaps/>
          <w:szCs w:val="20"/>
        </w:rPr>
        <w:t>V) conciliación entre los ingresos presupuestarios y contables, así como entre los egresos presupuestarios y los gastos contables.</w:t>
      </w:r>
    </w:p>
    <w:p w:rsidR="005069FD" w:rsidRPr="00BA4C6E" w:rsidRDefault="005069FD" w:rsidP="005069FD">
      <w:pPr>
        <w:ind w:left="360"/>
        <w:contextualSpacing/>
        <w:jc w:val="both"/>
        <w:rPr>
          <w:rFonts w:asciiTheme="minorHAnsi" w:hAnsiTheme="minorHAnsi" w:cs="Arial"/>
          <w:b/>
          <w:sz w:val="20"/>
          <w:szCs w:val="20"/>
          <w:u w:val="single"/>
        </w:rPr>
      </w:pPr>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1447"/>
        <w:gridCol w:w="5084"/>
        <w:gridCol w:w="2749"/>
        <w:gridCol w:w="76"/>
        <w:gridCol w:w="144"/>
      </w:tblGrid>
      <w:tr w:rsidR="005069FD" w:rsidRPr="00BA4C6E" w:rsidTr="00C07EAF">
        <w:trPr>
          <w:gridAfter w:val="1"/>
          <w:wAfter w:w="76" w:type="pct"/>
          <w:trHeight w:val="360"/>
        </w:trPr>
        <w:tc>
          <w:tcPr>
            <w:tcW w:w="4924" w:type="pct"/>
            <w:gridSpan w:val="4"/>
            <w:tcBorders>
              <w:top w:val="single" w:sz="8" w:space="0" w:color="auto"/>
              <w:left w:val="single" w:sz="8" w:space="0" w:color="auto"/>
              <w:bottom w:val="nil"/>
              <w:right w:val="single" w:sz="8" w:space="0" w:color="000000"/>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Comisión Estatal del Agua de Tamaulipas</w:t>
            </w:r>
          </w:p>
        </w:tc>
      </w:tr>
      <w:tr w:rsidR="005069FD" w:rsidRPr="00BA4C6E" w:rsidTr="00C07EAF">
        <w:trPr>
          <w:gridAfter w:val="1"/>
          <w:wAfter w:w="76" w:type="pct"/>
          <w:trHeight w:val="300"/>
        </w:trPr>
        <w:tc>
          <w:tcPr>
            <w:tcW w:w="4924" w:type="pct"/>
            <w:gridSpan w:val="4"/>
            <w:tcBorders>
              <w:top w:val="nil"/>
              <w:left w:val="single" w:sz="8" w:space="0" w:color="auto"/>
              <w:bottom w:val="nil"/>
              <w:right w:val="single" w:sz="8" w:space="0" w:color="000000"/>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color w:val="FFFFFF"/>
                <w:sz w:val="20"/>
                <w:szCs w:val="20"/>
                <w:lang w:eastAsia="es-MX"/>
              </w:rPr>
            </w:pPr>
            <w:r w:rsidRPr="00BA4C6E">
              <w:rPr>
                <w:rFonts w:asciiTheme="minorHAnsi" w:eastAsia="Times New Roman" w:hAnsiTheme="minorHAnsi" w:cs="Arial"/>
                <w:color w:val="FFFFFF"/>
                <w:sz w:val="20"/>
                <w:szCs w:val="20"/>
                <w:lang w:eastAsia="es-MX"/>
              </w:rPr>
              <w:t>Conciliación entre los Ingresos Presupuestarios y Contables</w:t>
            </w:r>
          </w:p>
        </w:tc>
      </w:tr>
      <w:tr w:rsidR="005069FD" w:rsidRPr="00BA4C6E" w:rsidTr="00C07EAF">
        <w:trPr>
          <w:gridAfter w:val="1"/>
          <w:wAfter w:w="76" w:type="pct"/>
          <w:trHeight w:val="300"/>
        </w:trPr>
        <w:tc>
          <w:tcPr>
            <w:tcW w:w="4924" w:type="pct"/>
            <w:gridSpan w:val="4"/>
            <w:tcBorders>
              <w:top w:val="nil"/>
              <w:left w:val="single" w:sz="8" w:space="0" w:color="auto"/>
              <w:bottom w:val="nil"/>
              <w:right w:val="single" w:sz="8" w:space="0" w:color="000000"/>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color w:val="FFFFFF"/>
                <w:sz w:val="20"/>
                <w:szCs w:val="20"/>
                <w:lang w:eastAsia="es-MX"/>
              </w:rPr>
            </w:pPr>
            <w:r w:rsidRPr="00BA4C6E">
              <w:rPr>
                <w:rFonts w:asciiTheme="minorHAnsi" w:eastAsia="Times New Roman" w:hAnsiTheme="minorHAnsi" w:cs="Arial"/>
                <w:color w:val="FFFFFF"/>
                <w:sz w:val="20"/>
                <w:szCs w:val="20"/>
                <w:lang w:eastAsia="es-MX"/>
              </w:rPr>
              <w:t>Correspondiente del 01 de enero al 31 de diciembre de 2022</w:t>
            </w:r>
          </w:p>
        </w:tc>
      </w:tr>
      <w:tr w:rsidR="005069FD" w:rsidRPr="00BA4C6E" w:rsidTr="00C07EAF">
        <w:trPr>
          <w:gridAfter w:val="1"/>
          <w:wAfter w:w="76" w:type="pct"/>
          <w:trHeight w:val="315"/>
        </w:trPr>
        <w:tc>
          <w:tcPr>
            <w:tcW w:w="4924" w:type="pct"/>
            <w:gridSpan w:val="4"/>
            <w:tcBorders>
              <w:top w:val="nil"/>
              <w:left w:val="single" w:sz="8" w:space="0" w:color="auto"/>
              <w:bottom w:val="single" w:sz="8" w:space="0" w:color="auto"/>
              <w:right w:val="single" w:sz="8" w:space="0" w:color="000000"/>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color w:val="FFFFFF"/>
                <w:sz w:val="20"/>
                <w:szCs w:val="20"/>
                <w:lang w:eastAsia="es-MX"/>
              </w:rPr>
            </w:pPr>
            <w:r w:rsidRPr="00BA4C6E">
              <w:rPr>
                <w:rFonts w:asciiTheme="minorHAnsi" w:eastAsia="Times New Roman" w:hAnsiTheme="minorHAnsi" w:cs="Arial"/>
                <w:color w:val="FFFFFF"/>
                <w:sz w:val="20"/>
                <w:szCs w:val="20"/>
                <w:lang w:eastAsia="es-MX"/>
              </w:rPr>
              <w:t>(Cifras en pesos)</w:t>
            </w:r>
          </w:p>
        </w:tc>
      </w:tr>
      <w:tr w:rsidR="005069FD" w:rsidRPr="00BA4C6E" w:rsidTr="00374036">
        <w:trPr>
          <w:gridAfter w:val="2"/>
          <w:wAfter w:w="117" w:type="pct"/>
          <w:trHeight w:val="283"/>
        </w:trPr>
        <w:tc>
          <w:tcPr>
            <w:tcW w:w="761" w:type="pct"/>
            <w:tcBorders>
              <w:top w:val="nil"/>
              <w:left w:val="nil"/>
              <w:bottom w:val="nil"/>
              <w:right w:val="nil"/>
            </w:tcBorders>
            <w:shd w:val="clear" w:color="auto" w:fill="auto"/>
            <w:noWrap/>
            <w:vAlign w:val="center"/>
            <w:hideMark/>
          </w:tcPr>
          <w:p w:rsidR="005069FD" w:rsidRPr="00BA4C6E" w:rsidRDefault="005069FD" w:rsidP="00C07EAF">
            <w:pPr>
              <w:spacing w:after="0"/>
              <w:jc w:val="center"/>
              <w:rPr>
                <w:rFonts w:asciiTheme="minorHAnsi" w:eastAsia="Times New Roman" w:hAnsiTheme="minorHAnsi" w:cs="Arial"/>
                <w:b/>
                <w:bCs/>
                <w:color w:val="000000"/>
                <w:sz w:val="20"/>
                <w:szCs w:val="20"/>
                <w:lang w:eastAsia="es-MX"/>
              </w:rPr>
            </w:pPr>
          </w:p>
        </w:tc>
        <w:tc>
          <w:tcPr>
            <w:tcW w:w="2676" w:type="pct"/>
            <w:tcBorders>
              <w:top w:val="nil"/>
              <w:left w:val="nil"/>
              <w:bottom w:val="nil"/>
              <w:right w:val="nil"/>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p>
        </w:tc>
        <w:tc>
          <w:tcPr>
            <w:tcW w:w="1447" w:type="pct"/>
            <w:tcBorders>
              <w:top w:val="nil"/>
              <w:left w:val="nil"/>
              <w:bottom w:val="nil"/>
              <w:right w:val="nil"/>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p>
        </w:tc>
      </w:tr>
      <w:tr w:rsidR="005069FD" w:rsidRPr="00BA4C6E" w:rsidTr="00C07EAF">
        <w:trPr>
          <w:gridAfter w:val="2"/>
          <w:wAfter w:w="117" w:type="pct"/>
          <w:trHeight w:val="312"/>
        </w:trPr>
        <w:tc>
          <w:tcPr>
            <w:tcW w:w="343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69FD" w:rsidRPr="00BA4C6E" w:rsidRDefault="005069FD" w:rsidP="00C07EAF">
            <w:pPr>
              <w:spacing w:after="0"/>
              <w:rPr>
                <w:rFonts w:asciiTheme="minorHAnsi" w:eastAsia="Times New Roman" w:hAnsiTheme="minorHAnsi" w:cs="Arial"/>
                <w:b/>
                <w:color w:val="000000"/>
                <w:sz w:val="20"/>
                <w:szCs w:val="20"/>
                <w:lang w:eastAsia="es-MX"/>
              </w:rPr>
            </w:pPr>
            <w:r w:rsidRPr="00BA4C6E">
              <w:rPr>
                <w:rFonts w:asciiTheme="minorHAnsi" w:eastAsia="Times New Roman" w:hAnsiTheme="minorHAnsi" w:cs="Arial"/>
                <w:b/>
                <w:color w:val="000000"/>
                <w:sz w:val="20"/>
                <w:szCs w:val="20"/>
                <w:lang w:eastAsia="es-MX"/>
              </w:rPr>
              <w:t>1.- Ingresos Presupuestarios</w:t>
            </w:r>
          </w:p>
        </w:tc>
        <w:tc>
          <w:tcPr>
            <w:tcW w:w="1447" w:type="pct"/>
            <w:tcBorders>
              <w:top w:val="single" w:sz="4" w:space="0" w:color="auto"/>
              <w:left w:val="nil"/>
              <w:bottom w:val="single" w:sz="4" w:space="0" w:color="auto"/>
              <w:right w:val="single" w:sz="4" w:space="0" w:color="auto"/>
            </w:tcBorders>
            <w:shd w:val="clear" w:color="auto" w:fill="auto"/>
            <w:noWrap/>
            <w:vAlign w:val="center"/>
            <w:hideMark/>
          </w:tcPr>
          <w:p w:rsidR="005069FD" w:rsidRPr="00BA4C6E" w:rsidRDefault="005069FD" w:rsidP="00C07EAF">
            <w:pPr>
              <w:spacing w:after="0"/>
              <w:jc w:val="right"/>
              <w:rPr>
                <w:rFonts w:asciiTheme="minorHAnsi" w:eastAsia="Times New Roman" w:hAnsiTheme="minorHAnsi" w:cs="Arial"/>
                <w:b/>
                <w:color w:val="000000"/>
                <w:sz w:val="20"/>
                <w:szCs w:val="20"/>
                <w:lang w:eastAsia="es-MX"/>
              </w:rPr>
            </w:pPr>
            <w:r w:rsidRPr="00BA4C6E">
              <w:rPr>
                <w:rFonts w:asciiTheme="minorHAnsi" w:eastAsia="Times New Roman" w:hAnsiTheme="minorHAnsi" w:cs="Arial"/>
                <w:b/>
                <w:sz w:val="20"/>
                <w:szCs w:val="20"/>
                <w:lang w:eastAsia="es-MX"/>
              </w:rPr>
              <w:t>$ 90,295,00</w:t>
            </w:r>
            <w:r>
              <w:rPr>
                <w:rFonts w:asciiTheme="minorHAnsi" w:eastAsia="Times New Roman" w:hAnsiTheme="minorHAnsi" w:cs="Arial"/>
                <w:b/>
                <w:sz w:val="20"/>
                <w:szCs w:val="20"/>
                <w:lang w:eastAsia="es-MX"/>
              </w:rPr>
              <w:t>1</w:t>
            </w:r>
          </w:p>
        </w:tc>
      </w:tr>
      <w:tr w:rsidR="005069FD" w:rsidRPr="00BA4C6E" w:rsidTr="00374036">
        <w:trPr>
          <w:gridAfter w:val="2"/>
          <w:wAfter w:w="117" w:type="pct"/>
          <w:trHeight w:val="283"/>
        </w:trPr>
        <w:tc>
          <w:tcPr>
            <w:tcW w:w="761" w:type="pct"/>
            <w:tcBorders>
              <w:top w:val="nil"/>
              <w:left w:val="nil"/>
              <w:bottom w:val="nil"/>
              <w:right w:val="nil"/>
            </w:tcBorders>
            <w:shd w:val="clear" w:color="auto" w:fill="auto"/>
            <w:noWrap/>
            <w:vAlign w:val="center"/>
            <w:hideMark/>
          </w:tcPr>
          <w:p w:rsidR="005069FD" w:rsidRPr="00BA4C6E" w:rsidRDefault="005069FD" w:rsidP="00C07EAF">
            <w:pPr>
              <w:spacing w:after="0"/>
              <w:jc w:val="center"/>
              <w:rPr>
                <w:rFonts w:asciiTheme="minorHAnsi" w:eastAsia="Times New Roman" w:hAnsiTheme="minorHAnsi" w:cs="Arial"/>
                <w:b/>
                <w:bCs/>
                <w:color w:val="000000"/>
                <w:sz w:val="20"/>
                <w:szCs w:val="20"/>
                <w:lang w:eastAsia="es-MX"/>
              </w:rPr>
            </w:pPr>
          </w:p>
        </w:tc>
        <w:tc>
          <w:tcPr>
            <w:tcW w:w="2676" w:type="pct"/>
            <w:tcBorders>
              <w:top w:val="nil"/>
              <w:left w:val="nil"/>
              <w:bottom w:val="nil"/>
              <w:right w:val="nil"/>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p>
        </w:tc>
        <w:tc>
          <w:tcPr>
            <w:tcW w:w="1447" w:type="pct"/>
            <w:tcBorders>
              <w:top w:val="nil"/>
              <w:left w:val="nil"/>
              <w:bottom w:val="nil"/>
              <w:right w:val="nil"/>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p>
        </w:tc>
      </w:tr>
      <w:tr w:rsidR="005069FD" w:rsidRPr="00BA4C6E" w:rsidTr="00C07EAF">
        <w:trPr>
          <w:gridAfter w:val="2"/>
          <w:wAfter w:w="117" w:type="pct"/>
          <w:trHeight w:val="312"/>
        </w:trPr>
        <w:tc>
          <w:tcPr>
            <w:tcW w:w="34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b/>
                <w:color w:val="000000"/>
                <w:sz w:val="20"/>
                <w:szCs w:val="20"/>
                <w:lang w:eastAsia="es-MX"/>
              </w:rPr>
            </w:pPr>
            <w:r w:rsidRPr="00BA4C6E">
              <w:rPr>
                <w:rFonts w:asciiTheme="minorHAnsi" w:eastAsia="Times New Roman" w:hAnsiTheme="minorHAnsi" w:cs="Arial"/>
                <w:b/>
                <w:color w:val="000000"/>
                <w:sz w:val="20"/>
                <w:szCs w:val="20"/>
                <w:lang w:eastAsia="es-MX"/>
              </w:rPr>
              <w:t>2.- Más ingresos contables no presupuestarios</w:t>
            </w:r>
          </w:p>
        </w:tc>
        <w:tc>
          <w:tcPr>
            <w:tcW w:w="1447" w:type="pct"/>
            <w:tcBorders>
              <w:top w:val="single" w:sz="4" w:space="0" w:color="auto"/>
              <w:left w:val="nil"/>
              <w:bottom w:val="single" w:sz="4" w:space="0" w:color="auto"/>
              <w:right w:val="single" w:sz="4" w:space="0" w:color="auto"/>
            </w:tcBorders>
            <w:shd w:val="clear" w:color="auto" w:fill="auto"/>
            <w:vAlign w:val="center"/>
            <w:hideMark/>
          </w:tcPr>
          <w:p w:rsidR="005069FD" w:rsidRPr="00BA4C6E" w:rsidRDefault="005069FD" w:rsidP="00C07EAF">
            <w:pPr>
              <w:spacing w:after="0"/>
              <w:jc w:val="right"/>
              <w:rPr>
                <w:rFonts w:asciiTheme="minorHAnsi" w:eastAsia="Times New Roman" w:hAnsiTheme="minorHAnsi" w:cs="Arial"/>
                <w:b/>
                <w:color w:val="000000"/>
                <w:sz w:val="20"/>
                <w:szCs w:val="20"/>
                <w:lang w:eastAsia="es-MX"/>
              </w:rPr>
            </w:pPr>
            <w:r w:rsidRPr="00BA4C6E">
              <w:rPr>
                <w:rFonts w:asciiTheme="minorHAnsi" w:eastAsia="Times New Roman" w:hAnsiTheme="minorHAnsi" w:cs="Arial"/>
                <w:b/>
                <w:color w:val="000000"/>
                <w:sz w:val="20"/>
                <w:szCs w:val="20"/>
                <w:lang w:eastAsia="es-MX"/>
              </w:rPr>
              <w:t>18,83</w:t>
            </w:r>
            <w:r>
              <w:rPr>
                <w:rFonts w:asciiTheme="minorHAnsi" w:eastAsia="Times New Roman" w:hAnsiTheme="minorHAnsi" w:cs="Arial"/>
                <w:b/>
                <w:color w:val="000000"/>
                <w:sz w:val="20"/>
                <w:szCs w:val="20"/>
                <w:lang w:eastAsia="es-MX"/>
              </w:rPr>
              <w:t>4</w:t>
            </w:r>
          </w:p>
        </w:tc>
      </w:tr>
      <w:tr w:rsidR="005069FD" w:rsidRPr="00BA4C6E" w:rsidTr="00374036">
        <w:trPr>
          <w:gridAfter w:val="2"/>
          <w:wAfter w:w="117" w:type="pct"/>
          <w:trHeight w:val="283"/>
        </w:trPr>
        <w:tc>
          <w:tcPr>
            <w:tcW w:w="761" w:type="pct"/>
            <w:tcBorders>
              <w:top w:val="nil"/>
              <w:left w:val="single" w:sz="4" w:space="0" w:color="auto"/>
              <w:bottom w:val="single" w:sz="4" w:space="0" w:color="auto"/>
              <w:right w:val="nil"/>
            </w:tcBorders>
            <w:shd w:val="clear" w:color="auto" w:fill="auto"/>
            <w:vAlign w:val="center"/>
          </w:tcPr>
          <w:p w:rsidR="005069FD" w:rsidRPr="00BA4C6E" w:rsidRDefault="005069FD" w:rsidP="00C07EAF">
            <w:pPr>
              <w:spacing w:after="0"/>
              <w:jc w:val="center"/>
              <w:rPr>
                <w:rFonts w:asciiTheme="minorHAnsi" w:eastAsia="Times New Roman" w:hAnsiTheme="minorHAnsi" w:cs="Arial"/>
                <w:b/>
                <w:bCs/>
                <w:color w:val="000000"/>
                <w:sz w:val="20"/>
                <w:szCs w:val="20"/>
                <w:lang w:eastAsia="es-MX"/>
              </w:rPr>
            </w:pPr>
            <w:r w:rsidRPr="00BA4C6E">
              <w:rPr>
                <w:rFonts w:asciiTheme="minorHAnsi" w:eastAsia="Times New Roman" w:hAnsiTheme="minorHAnsi" w:cs="Arial"/>
                <w:color w:val="000000"/>
                <w:sz w:val="20"/>
                <w:szCs w:val="20"/>
                <w:lang w:eastAsia="es-MX"/>
              </w:rPr>
              <w:t>2</w:t>
            </w:r>
            <w:r w:rsidRPr="00BA4C6E">
              <w:rPr>
                <w:rFonts w:asciiTheme="minorHAnsi" w:eastAsia="Times New Roman" w:hAnsiTheme="minorHAnsi" w:cs="Arial"/>
                <w:b/>
                <w:color w:val="000000"/>
                <w:sz w:val="20"/>
                <w:szCs w:val="20"/>
                <w:lang w:eastAsia="es-MX"/>
              </w:rPr>
              <w:t>.</w:t>
            </w:r>
            <w:r w:rsidRPr="00BA4C6E">
              <w:rPr>
                <w:rFonts w:asciiTheme="minorHAnsi" w:eastAsia="Times New Roman" w:hAnsiTheme="minorHAnsi" w:cs="Arial"/>
                <w:color w:val="000000"/>
                <w:sz w:val="20"/>
                <w:szCs w:val="20"/>
                <w:lang w:eastAsia="es-MX"/>
              </w:rPr>
              <w:t>1</w:t>
            </w:r>
          </w:p>
        </w:tc>
        <w:tc>
          <w:tcPr>
            <w:tcW w:w="2676" w:type="pct"/>
            <w:tcBorders>
              <w:top w:val="nil"/>
              <w:left w:val="nil"/>
              <w:bottom w:val="single" w:sz="4" w:space="0" w:color="auto"/>
              <w:right w:val="single" w:sz="4" w:space="0" w:color="auto"/>
            </w:tcBorders>
            <w:shd w:val="clear" w:color="auto" w:fill="auto"/>
            <w:vAlign w:val="center"/>
          </w:tcPr>
          <w:p w:rsidR="005069FD" w:rsidRPr="00BA4C6E" w:rsidRDefault="005069FD" w:rsidP="00C07EAF">
            <w:pPr>
              <w:spacing w:after="0"/>
              <w:jc w:val="both"/>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Ingresos Financieros</w:t>
            </w:r>
          </w:p>
        </w:tc>
        <w:tc>
          <w:tcPr>
            <w:tcW w:w="1447" w:type="pct"/>
            <w:tcBorders>
              <w:top w:val="nil"/>
              <w:left w:val="nil"/>
              <w:bottom w:val="single" w:sz="4" w:space="0" w:color="auto"/>
              <w:right w:val="single" w:sz="4" w:space="0" w:color="auto"/>
            </w:tcBorders>
            <w:shd w:val="clear" w:color="auto" w:fill="auto"/>
            <w:vAlign w:val="center"/>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374036">
        <w:trPr>
          <w:trHeight w:val="283"/>
        </w:trPr>
        <w:tc>
          <w:tcPr>
            <w:tcW w:w="761" w:type="pct"/>
            <w:tcBorders>
              <w:top w:val="nil"/>
              <w:left w:val="single" w:sz="4" w:space="0" w:color="auto"/>
              <w:bottom w:val="single" w:sz="4" w:space="0" w:color="auto"/>
              <w:right w:val="nil"/>
            </w:tcBorders>
            <w:shd w:val="clear" w:color="auto" w:fill="auto"/>
            <w:vAlign w:val="center"/>
            <w:hideMark/>
          </w:tcPr>
          <w:p w:rsidR="005069FD" w:rsidRPr="00BA4C6E" w:rsidRDefault="005069FD" w:rsidP="00C07EAF">
            <w:pPr>
              <w:spacing w:after="0"/>
              <w:jc w:val="center"/>
              <w:rPr>
                <w:rFonts w:asciiTheme="minorHAnsi" w:eastAsia="Times New Roman" w:hAnsiTheme="minorHAnsi" w:cs="Arial"/>
                <w:b/>
                <w:bCs/>
                <w:color w:val="000000"/>
                <w:sz w:val="20"/>
                <w:szCs w:val="20"/>
                <w:lang w:eastAsia="es-MX"/>
              </w:rPr>
            </w:pPr>
            <w:r w:rsidRPr="00BA4C6E">
              <w:rPr>
                <w:rFonts w:asciiTheme="minorHAnsi" w:eastAsia="Times New Roman" w:hAnsiTheme="minorHAnsi" w:cs="Arial"/>
                <w:color w:val="000000"/>
                <w:sz w:val="20"/>
                <w:szCs w:val="20"/>
                <w:lang w:eastAsia="es-MX"/>
              </w:rPr>
              <w:t>2.2</w:t>
            </w:r>
          </w:p>
        </w:tc>
        <w:tc>
          <w:tcPr>
            <w:tcW w:w="2676" w:type="pct"/>
            <w:tcBorders>
              <w:top w:val="nil"/>
              <w:left w:val="nil"/>
              <w:bottom w:val="single" w:sz="4" w:space="0" w:color="auto"/>
              <w:right w:val="single" w:sz="4" w:space="0" w:color="auto"/>
            </w:tcBorders>
            <w:shd w:val="clear" w:color="auto" w:fill="auto"/>
            <w:vAlign w:val="center"/>
            <w:hideMark/>
          </w:tcPr>
          <w:p w:rsidR="005069FD" w:rsidRPr="00BA4C6E" w:rsidRDefault="005069FD" w:rsidP="00C07EAF">
            <w:pPr>
              <w:spacing w:after="0"/>
              <w:jc w:val="both"/>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Incremento por variación de inventarios.</w:t>
            </w:r>
          </w:p>
        </w:tc>
        <w:tc>
          <w:tcPr>
            <w:tcW w:w="1447" w:type="pct"/>
            <w:tcBorders>
              <w:top w:val="nil"/>
              <w:left w:val="nil"/>
              <w:bottom w:val="single" w:sz="4" w:space="0" w:color="auto"/>
              <w:right w:val="single" w:sz="4" w:space="0" w:color="auto"/>
            </w:tcBorders>
            <w:shd w:val="clear" w:color="auto" w:fill="auto"/>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c>
          <w:tcPr>
            <w:tcW w:w="117" w:type="pct"/>
            <w:gridSpan w:val="2"/>
            <w:tcBorders>
              <w:top w:val="nil"/>
              <w:left w:val="nil"/>
              <w:bottom w:val="nil"/>
              <w:right w:val="nil"/>
            </w:tcBorders>
            <w:shd w:val="clear" w:color="auto" w:fill="auto"/>
            <w:noWrap/>
            <w:vAlign w:val="bottom"/>
            <w:hideMark/>
          </w:tcPr>
          <w:p w:rsidR="005069FD" w:rsidRPr="00BA4C6E" w:rsidRDefault="005069FD" w:rsidP="00C07EAF">
            <w:pPr>
              <w:spacing w:after="0"/>
              <w:rPr>
                <w:rFonts w:asciiTheme="minorHAnsi" w:eastAsia="Times New Roman" w:hAnsiTheme="minorHAnsi" w:cs="DIN Pro Regular"/>
                <w:color w:val="000000"/>
                <w:sz w:val="20"/>
                <w:szCs w:val="20"/>
                <w:lang w:eastAsia="es-MX"/>
              </w:rPr>
            </w:pPr>
          </w:p>
        </w:tc>
      </w:tr>
      <w:tr w:rsidR="005069FD" w:rsidRPr="00BA4C6E" w:rsidTr="00374036">
        <w:trPr>
          <w:trHeight w:val="420"/>
        </w:trPr>
        <w:tc>
          <w:tcPr>
            <w:tcW w:w="761" w:type="pct"/>
            <w:tcBorders>
              <w:top w:val="nil"/>
              <w:left w:val="single" w:sz="4" w:space="0" w:color="auto"/>
              <w:bottom w:val="single" w:sz="4" w:space="0" w:color="auto"/>
              <w:right w:val="nil"/>
            </w:tcBorders>
            <w:shd w:val="clear" w:color="auto" w:fill="auto"/>
            <w:vAlign w:val="center"/>
            <w:hideMark/>
          </w:tcPr>
          <w:p w:rsidR="005069FD" w:rsidRPr="00BA4C6E" w:rsidRDefault="005069FD" w:rsidP="00C07EAF">
            <w:pPr>
              <w:spacing w:after="0"/>
              <w:jc w:val="center"/>
              <w:rPr>
                <w:rFonts w:asciiTheme="minorHAnsi" w:eastAsia="Times New Roman" w:hAnsiTheme="minorHAnsi" w:cs="Arial"/>
                <w:bCs/>
                <w:color w:val="000000"/>
                <w:sz w:val="20"/>
                <w:szCs w:val="20"/>
                <w:lang w:eastAsia="es-MX"/>
              </w:rPr>
            </w:pPr>
            <w:r w:rsidRPr="00BA4C6E">
              <w:rPr>
                <w:rFonts w:asciiTheme="minorHAnsi" w:eastAsia="Times New Roman" w:hAnsiTheme="minorHAnsi" w:cs="Arial"/>
                <w:color w:val="000000"/>
                <w:sz w:val="20"/>
                <w:szCs w:val="20"/>
                <w:lang w:eastAsia="es-MX"/>
              </w:rPr>
              <w:t>2.3</w:t>
            </w:r>
          </w:p>
        </w:tc>
        <w:tc>
          <w:tcPr>
            <w:tcW w:w="2676" w:type="pct"/>
            <w:tcBorders>
              <w:top w:val="nil"/>
              <w:left w:val="nil"/>
              <w:bottom w:val="single" w:sz="4" w:space="0" w:color="auto"/>
              <w:right w:val="single" w:sz="4" w:space="0" w:color="auto"/>
            </w:tcBorders>
            <w:shd w:val="clear" w:color="auto" w:fill="auto"/>
            <w:vAlign w:val="center"/>
            <w:hideMark/>
          </w:tcPr>
          <w:p w:rsidR="005069FD" w:rsidRPr="00BA4C6E" w:rsidRDefault="005069FD" w:rsidP="00C07EAF">
            <w:pPr>
              <w:spacing w:after="0"/>
              <w:jc w:val="both"/>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Disminución del exceso de estimaciones por pérdidas o deterioro u obsolescencia</w:t>
            </w:r>
          </w:p>
        </w:tc>
        <w:tc>
          <w:tcPr>
            <w:tcW w:w="1447" w:type="pct"/>
            <w:tcBorders>
              <w:top w:val="nil"/>
              <w:left w:val="nil"/>
              <w:bottom w:val="single" w:sz="4" w:space="0" w:color="auto"/>
              <w:right w:val="single" w:sz="4" w:space="0" w:color="auto"/>
            </w:tcBorders>
            <w:shd w:val="clear" w:color="auto" w:fill="auto"/>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c>
          <w:tcPr>
            <w:tcW w:w="117" w:type="pct"/>
            <w:gridSpan w:val="2"/>
            <w:tcBorders>
              <w:top w:val="nil"/>
              <w:left w:val="nil"/>
              <w:bottom w:val="nil"/>
              <w:right w:val="nil"/>
            </w:tcBorders>
            <w:shd w:val="clear" w:color="auto" w:fill="auto"/>
            <w:noWrap/>
            <w:vAlign w:val="bottom"/>
            <w:hideMark/>
          </w:tcPr>
          <w:p w:rsidR="005069FD" w:rsidRPr="00BA4C6E" w:rsidRDefault="005069FD" w:rsidP="00C07EAF">
            <w:pPr>
              <w:spacing w:after="0"/>
              <w:rPr>
                <w:rFonts w:asciiTheme="minorHAnsi" w:eastAsia="Times New Roman" w:hAnsiTheme="minorHAnsi" w:cs="DIN Pro Regular"/>
                <w:color w:val="000000"/>
                <w:sz w:val="20"/>
                <w:szCs w:val="20"/>
                <w:lang w:eastAsia="es-MX"/>
              </w:rPr>
            </w:pPr>
          </w:p>
        </w:tc>
      </w:tr>
      <w:tr w:rsidR="005069FD" w:rsidRPr="00BA4C6E" w:rsidTr="00374036">
        <w:trPr>
          <w:trHeight w:val="283"/>
        </w:trPr>
        <w:tc>
          <w:tcPr>
            <w:tcW w:w="761" w:type="pct"/>
            <w:tcBorders>
              <w:top w:val="nil"/>
              <w:left w:val="single" w:sz="4" w:space="0" w:color="auto"/>
              <w:bottom w:val="single" w:sz="4" w:space="0" w:color="auto"/>
              <w:right w:val="nil"/>
            </w:tcBorders>
            <w:shd w:val="clear" w:color="auto" w:fill="auto"/>
            <w:vAlign w:val="center"/>
            <w:hideMark/>
          </w:tcPr>
          <w:p w:rsidR="005069FD" w:rsidRPr="00BA4C6E" w:rsidRDefault="005069FD" w:rsidP="00C07EAF">
            <w:pPr>
              <w:spacing w:after="0"/>
              <w:jc w:val="center"/>
              <w:rPr>
                <w:rFonts w:asciiTheme="minorHAnsi" w:eastAsia="Times New Roman" w:hAnsiTheme="minorHAnsi" w:cs="Arial"/>
                <w:bCs/>
                <w:color w:val="000000"/>
                <w:sz w:val="20"/>
                <w:szCs w:val="20"/>
                <w:lang w:eastAsia="es-MX"/>
              </w:rPr>
            </w:pPr>
            <w:r w:rsidRPr="00BA4C6E">
              <w:rPr>
                <w:rFonts w:asciiTheme="minorHAnsi" w:eastAsia="Times New Roman" w:hAnsiTheme="minorHAnsi" w:cs="Arial"/>
                <w:color w:val="000000"/>
                <w:sz w:val="20"/>
                <w:szCs w:val="20"/>
                <w:lang w:eastAsia="es-MX"/>
              </w:rPr>
              <w:t>2.4</w:t>
            </w:r>
          </w:p>
        </w:tc>
        <w:tc>
          <w:tcPr>
            <w:tcW w:w="2676" w:type="pct"/>
            <w:tcBorders>
              <w:top w:val="nil"/>
              <w:left w:val="nil"/>
              <w:bottom w:val="single" w:sz="4" w:space="0" w:color="auto"/>
              <w:right w:val="single" w:sz="4" w:space="0" w:color="auto"/>
            </w:tcBorders>
            <w:shd w:val="clear" w:color="auto" w:fill="auto"/>
            <w:vAlign w:val="center"/>
            <w:hideMark/>
          </w:tcPr>
          <w:p w:rsidR="005069FD" w:rsidRPr="00BA4C6E" w:rsidRDefault="005069FD" w:rsidP="00C07EAF">
            <w:pPr>
              <w:spacing w:after="0"/>
              <w:jc w:val="both"/>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Disminución del exceso de provisiones</w:t>
            </w:r>
          </w:p>
        </w:tc>
        <w:tc>
          <w:tcPr>
            <w:tcW w:w="1447" w:type="pct"/>
            <w:tcBorders>
              <w:top w:val="nil"/>
              <w:left w:val="nil"/>
              <w:bottom w:val="single" w:sz="4" w:space="0" w:color="auto"/>
              <w:right w:val="single" w:sz="4" w:space="0" w:color="auto"/>
            </w:tcBorders>
            <w:shd w:val="clear" w:color="auto" w:fill="auto"/>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c>
          <w:tcPr>
            <w:tcW w:w="117" w:type="pct"/>
            <w:gridSpan w:val="2"/>
            <w:tcBorders>
              <w:top w:val="nil"/>
              <w:left w:val="nil"/>
              <w:bottom w:val="nil"/>
              <w:right w:val="nil"/>
            </w:tcBorders>
            <w:shd w:val="clear" w:color="auto" w:fill="auto"/>
            <w:noWrap/>
            <w:vAlign w:val="bottom"/>
            <w:hideMark/>
          </w:tcPr>
          <w:p w:rsidR="005069FD" w:rsidRPr="00BA4C6E" w:rsidRDefault="005069FD" w:rsidP="00C07EAF">
            <w:pPr>
              <w:spacing w:after="0"/>
              <w:rPr>
                <w:rFonts w:asciiTheme="minorHAnsi" w:eastAsia="Times New Roman" w:hAnsiTheme="minorHAnsi" w:cs="DIN Pro Regular"/>
                <w:color w:val="000000"/>
                <w:sz w:val="20"/>
                <w:szCs w:val="20"/>
                <w:lang w:eastAsia="es-MX"/>
              </w:rPr>
            </w:pPr>
          </w:p>
        </w:tc>
      </w:tr>
      <w:tr w:rsidR="005069FD" w:rsidRPr="00BA4C6E" w:rsidTr="00374036">
        <w:trPr>
          <w:trHeight w:val="283"/>
        </w:trPr>
        <w:tc>
          <w:tcPr>
            <w:tcW w:w="761" w:type="pct"/>
            <w:tcBorders>
              <w:top w:val="nil"/>
              <w:left w:val="single" w:sz="4" w:space="0" w:color="auto"/>
              <w:bottom w:val="single" w:sz="4" w:space="0" w:color="auto"/>
              <w:right w:val="nil"/>
            </w:tcBorders>
            <w:shd w:val="clear" w:color="auto" w:fill="auto"/>
            <w:vAlign w:val="center"/>
            <w:hideMark/>
          </w:tcPr>
          <w:p w:rsidR="005069FD" w:rsidRPr="00BA4C6E" w:rsidRDefault="005069FD" w:rsidP="00C07EAF">
            <w:pPr>
              <w:spacing w:after="0"/>
              <w:jc w:val="center"/>
              <w:rPr>
                <w:rFonts w:asciiTheme="minorHAnsi" w:eastAsia="Times New Roman" w:hAnsiTheme="minorHAnsi" w:cs="Arial"/>
                <w:bCs/>
                <w:color w:val="000000"/>
                <w:sz w:val="20"/>
                <w:szCs w:val="20"/>
                <w:lang w:eastAsia="es-MX"/>
              </w:rPr>
            </w:pPr>
            <w:r w:rsidRPr="00BA4C6E">
              <w:rPr>
                <w:rFonts w:asciiTheme="minorHAnsi" w:eastAsia="Times New Roman" w:hAnsiTheme="minorHAnsi" w:cs="Arial"/>
                <w:color w:val="000000"/>
                <w:sz w:val="20"/>
                <w:szCs w:val="20"/>
                <w:lang w:eastAsia="es-MX"/>
              </w:rPr>
              <w:t>2.5</w:t>
            </w:r>
          </w:p>
        </w:tc>
        <w:tc>
          <w:tcPr>
            <w:tcW w:w="2676" w:type="pct"/>
            <w:tcBorders>
              <w:top w:val="nil"/>
              <w:left w:val="nil"/>
              <w:bottom w:val="single" w:sz="4" w:space="0" w:color="auto"/>
              <w:right w:val="single" w:sz="4" w:space="0" w:color="auto"/>
            </w:tcBorders>
            <w:shd w:val="clear" w:color="auto" w:fill="auto"/>
            <w:vAlign w:val="center"/>
            <w:hideMark/>
          </w:tcPr>
          <w:p w:rsidR="005069FD" w:rsidRPr="00BA4C6E" w:rsidRDefault="005069FD" w:rsidP="00C07EAF">
            <w:pPr>
              <w:spacing w:after="0"/>
              <w:jc w:val="both"/>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Otros Ingresos y beneficios varios</w:t>
            </w:r>
          </w:p>
        </w:tc>
        <w:tc>
          <w:tcPr>
            <w:tcW w:w="1447" w:type="pct"/>
            <w:tcBorders>
              <w:top w:val="nil"/>
              <w:left w:val="nil"/>
              <w:bottom w:val="single" w:sz="4" w:space="0" w:color="auto"/>
              <w:right w:val="single" w:sz="4" w:space="0" w:color="auto"/>
            </w:tcBorders>
            <w:shd w:val="clear" w:color="auto" w:fill="auto"/>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c>
          <w:tcPr>
            <w:tcW w:w="117" w:type="pct"/>
            <w:gridSpan w:val="2"/>
            <w:tcBorders>
              <w:top w:val="nil"/>
              <w:left w:val="nil"/>
              <w:bottom w:val="nil"/>
              <w:right w:val="nil"/>
            </w:tcBorders>
            <w:shd w:val="clear" w:color="auto" w:fill="auto"/>
            <w:noWrap/>
            <w:vAlign w:val="bottom"/>
            <w:hideMark/>
          </w:tcPr>
          <w:p w:rsidR="005069FD" w:rsidRPr="00BA4C6E" w:rsidRDefault="005069FD" w:rsidP="00C07EAF">
            <w:pPr>
              <w:spacing w:after="0"/>
              <w:rPr>
                <w:rFonts w:asciiTheme="minorHAnsi" w:eastAsia="Times New Roman" w:hAnsiTheme="minorHAnsi" w:cs="DIN Pro Regular"/>
                <w:color w:val="000000"/>
                <w:sz w:val="20"/>
                <w:szCs w:val="20"/>
                <w:lang w:eastAsia="es-MX"/>
              </w:rPr>
            </w:pPr>
          </w:p>
        </w:tc>
      </w:tr>
      <w:tr w:rsidR="005069FD" w:rsidRPr="00BA4C6E" w:rsidTr="00C07EAF">
        <w:trPr>
          <w:trHeight w:val="283"/>
        </w:trPr>
        <w:tc>
          <w:tcPr>
            <w:tcW w:w="34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 xml:space="preserve">            2.6                Otros ingresos contables no presupuestarios</w:t>
            </w:r>
          </w:p>
        </w:tc>
        <w:tc>
          <w:tcPr>
            <w:tcW w:w="1447" w:type="pct"/>
            <w:tcBorders>
              <w:top w:val="nil"/>
              <w:left w:val="nil"/>
              <w:bottom w:val="single" w:sz="4" w:space="0" w:color="auto"/>
              <w:right w:val="single" w:sz="4" w:space="0" w:color="auto"/>
            </w:tcBorders>
            <w:shd w:val="clear" w:color="auto" w:fill="auto"/>
            <w:vAlign w:val="center"/>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18,83</w:t>
            </w:r>
            <w:r>
              <w:rPr>
                <w:rFonts w:asciiTheme="minorHAnsi" w:eastAsia="Times New Roman" w:hAnsiTheme="minorHAnsi" w:cs="Arial"/>
                <w:color w:val="000000"/>
                <w:sz w:val="20"/>
                <w:szCs w:val="20"/>
                <w:lang w:eastAsia="es-MX"/>
              </w:rPr>
              <w:t>4</w:t>
            </w:r>
          </w:p>
        </w:tc>
        <w:tc>
          <w:tcPr>
            <w:tcW w:w="117" w:type="pct"/>
            <w:gridSpan w:val="2"/>
            <w:tcBorders>
              <w:top w:val="nil"/>
              <w:left w:val="nil"/>
              <w:bottom w:val="nil"/>
              <w:right w:val="nil"/>
            </w:tcBorders>
            <w:shd w:val="clear" w:color="auto" w:fill="auto"/>
            <w:noWrap/>
            <w:vAlign w:val="bottom"/>
            <w:hideMark/>
          </w:tcPr>
          <w:p w:rsidR="005069FD" w:rsidRPr="00BA4C6E" w:rsidRDefault="005069FD" w:rsidP="00C07EAF">
            <w:pPr>
              <w:spacing w:after="0"/>
              <w:rPr>
                <w:rFonts w:asciiTheme="minorHAnsi" w:eastAsia="Times New Roman" w:hAnsiTheme="minorHAnsi" w:cs="DIN Pro Regular"/>
                <w:color w:val="000000"/>
                <w:sz w:val="20"/>
                <w:szCs w:val="20"/>
                <w:lang w:eastAsia="es-MX"/>
              </w:rPr>
            </w:pPr>
          </w:p>
        </w:tc>
      </w:tr>
      <w:tr w:rsidR="005069FD" w:rsidRPr="00BA4C6E" w:rsidTr="00374036">
        <w:trPr>
          <w:gridAfter w:val="2"/>
          <w:wAfter w:w="117" w:type="pct"/>
          <w:trHeight w:val="283"/>
        </w:trPr>
        <w:tc>
          <w:tcPr>
            <w:tcW w:w="761" w:type="pct"/>
            <w:tcBorders>
              <w:top w:val="nil"/>
              <w:left w:val="nil"/>
              <w:bottom w:val="nil"/>
              <w:right w:val="nil"/>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p>
        </w:tc>
        <w:tc>
          <w:tcPr>
            <w:tcW w:w="2676" w:type="pct"/>
            <w:tcBorders>
              <w:top w:val="nil"/>
              <w:left w:val="nil"/>
              <w:bottom w:val="nil"/>
              <w:right w:val="nil"/>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p>
        </w:tc>
        <w:tc>
          <w:tcPr>
            <w:tcW w:w="1447" w:type="pct"/>
            <w:tcBorders>
              <w:top w:val="nil"/>
              <w:left w:val="nil"/>
              <w:bottom w:val="nil"/>
              <w:right w:val="nil"/>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p>
        </w:tc>
      </w:tr>
      <w:tr w:rsidR="005069FD" w:rsidRPr="00BA4C6E" w:rsidTr="00C07EAF">
        <w:trPr>
          <w:gridAfter w:val="2"/>
          <w:wAfter w:w="117" w:type="pct"/>
          <w:trHeight w:val="312"/>
        </w:trPr>
        <w:tc>
          <w:tcPr>
            <w:tcW w:w="34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69FD" w:rsidRPr="00BA4C6E" w:rsidRDefault="005069FD" w:rsidP="00C07EAF">
            <w:pPr>
              <w:spacing w:after="0"/>
              <w:rPr>
                <w:rFonts w:asciiTheme="minorHAnsi" w:eastAsia="Times New Roman" w:hAnsiTheme="minorHAnsi" w:cs="Arial"/>
                <w:b/>
                <w:color w:val="000000"/>
                <w:sz w:val="20"/>
                <w:szCs w:val="20"/>
                <w:lang w:eastAsia="es-MX"/>
              </w:rPr>
            </w:pPr>
            <w:r w:rsidRPr="00BA4C6E">
              <w:rPr>
                <w:rFonts w:asciiTheme="minorHAnsi" w:eastAsia="Times New Roman" w:hAnsiTheme="minorHAnsi" w:cs="Arial"/>
                <w:b/>
                <w:color w:val="000000"/>
                <w:sz w:val="20"/>
                <w:szCs w:val="20"/>
                <w:lang w:eastAsia="es-MX"/>
              </w:rPr>
              <w:t>3.- Menos ingresos presupuestarios no contables.</w:t>
            </w:r>
          </w:p>
        </w:tc>
        <w:tc>
          <w:tcPr>
            <w:tcW w:w="1447" w:type="pct"/>
            <w:tcBorders>
              <w:top w:val="single" w:sz="4" w:space="0" w:color="auto"/>
              <w:left w:val="nil"/>
              <w:bottom w:val="single" w:sz="4" w:space="0" w:color="auto"/>
              <w:right w:val="single" w:sz="4" w:space="0" w:color="auto"/>
            </w:tcBorders>
            <w:shd w:val="clear" w:color="auto" w:fill="auto"/>
            <w:vAlign w:val="center"/>
            <w:hideMark/>
          </w:tcPr>
          <w:p w:rsidR="005069FD" w:rsidRPr="00BA4C6E" w:rsidRDefault="005069FD" w:rsidP="00C07EAF">
            <w:pPr>
              <w:spacing w:after="0"/>
              <w:jc w:val="right"/>
              <w:rPr>
                <w:rFonts w:asciiTheme="minorHAnsi" w:eastAsia="Times New Roman" w:hAnsiTheme="minorHAnsi" w:cs="Arial"/>
                <w:b/>
                <w:color w:val="000000"/>
                <w:sz w:val="20"/>
                <w:szCs w:val="20"/>
                <w:lang w:eastAsia="es-MX"/>
              </w:rPr>
            </w:pPr>
            <w:r w:rsidRPr="00BA4C6E">
              <w:rPr>
                <w:rFonts w:asciiTheme="minorHAnsi" w:eastAsia="Times New Roman" w:hAnsiTheme="minorHAnsi" w:cs="Arial"/>
                <w:b/>
                <w:color w:val="000000"/>
                <w:sz w:val="20"/>
                <w:szCs w:val="20"/>
                <w:lang w:eastAsia="es-MX"/>
              </w:rPr>
              <w:t>0.00</w:t>
            </w:r>
          </w:p>
        </w:tc>
      </w:tr>
      <w:tr w:rsidR="005069FD" w:rsidRPr="00BA4C6E" w:rsidTr="00374036">
        <w:trPr>
          <w:gridAfter w:val="2"/>
          <w:wAfter w:w="117" w:type="pct"/>
          <w:trHeight w:val="283"/>
        </w:trPr>
        <w:tc>
          <w:tcPr>
            <w:tcW w:w="761" w:type="pct"/>
            <w:tcBorders>
              <w:top w:val="nil"/>
              <w:left w:val="single" w:sz="4" w:space="0" w:color="auto"/>
              <w:bottom w:val="single" w:sz="4" w:space="0" w:color="auto"/>
              <w:right w:val="nil"/>
            </w:tcBorders>
            <w:shd w:val="clear" w:color="auto" w:fill="auto"/>
            <w:vAlign w:val="center"/>
            <w:hideMark/>
          </w:tcPr>
          <w:p w:rsidR="005069FD" w:rsidRPr="00BA4C6E" w:rsidRDefault="005069FD" w:rsidP="00C07EAF">
            <w:pPr>
              <w:spacing w:after="0"/>
              <w:jc w:val="center"/>
              <w:rPr>
                <w:rFonts w:asciiTheme="minorHAnsi" w:eastAsia="Times New Roman" w:hAnsiTheme="minorHAnsi" w:cs="Arial"/>
                <w:bCs/>
                <w:color w:val="000000"/>
                <w:sz w:val="20"/>
                <w:szCs w:val="20"/>
                <w:lang w:eastAsia="es-MX"/>
              </w:rPr>
            </w:pPr>
            <w:r w:rsidRPr="00BA4C6E">
              <w:rPr>
                <w:rFonts w:asciiTheme="minorHAnsi" w:eastAsia="Times New Roman" w:hAnsiTheme="minorHAnsi" w:cs="Arial"/>
                <w:bCs/>
                <w:color w:val="000000"/>
                <w:sz w:val="20"/>
                <w:szCs w:val="20"/>
                <w:lang w:eastAsia="es-MX"/>
              </w:rPr>
              <w:t>3.1 </w:t>
            </w:r>
          </w:p>
        </w:tc>
        <w:tc>
          <w:tcPr>
            <w:tcW w:w="2676" w:type="pct"/>
            <w:tcBorders>
              <w:top w:val="nil"/>
              <w:left w:val="nil"/>
              <w:bottom w:val="single" w:sz="4" w:space="0" w:color="auto"/>
              <w:right w:val="single" w:sz="4" w:space="0" w:color="auto"/>
            </w:tcBorders>
            <w:shd w:val="clear" w:color="auto" w:fill="auto"/>
            <w:vAlign w:val="center"/>
            <w:hideMark/>
          </w:tcPr>
          <w:p w:rsidR="005069FD" w:rsidRPr="00BA4C6E" w:rsidRDefault="005069FD" w:rsidP="00C07EAF">
            <w:pPr>
              <w:spacing w:after="0"/>
              <w:jc w:val="both"/>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Aprovechamientos Patrimoniales</w:t>
            </w:r>
          </w:p>
        </w:tc>
        <w:tc>
          <w:tcPr>
            <w:tcW w:w="1447" w:type="pct"/>
            <w:tcBorders>
              <w:top w:val="nil"/>
              <w:left w:val="nil"/>
              <w:bottom w:val="single" w:sz="4" w:space="0" w:color="auto"/>
              <w:right w:val="single" w:sz="4" w:space="0" w:color="auto"/>
            </w:tcBorders>
            <w:shd w:val="clear" w:color="auto" w:fill="auto"/>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374036">
        <w:trPr>
          <w:trHeight w:val="283"/>
        </w:trPr>
        <w:tc>
          <w:tcPr>
            <w:tcW w:w="761" w:type="pct"/>
            <w:tcBorders>
              <w:top w:val="nil"/>
              <w:left w:val="single" w:sz="4" w:space="0" w:color="auto"/>
              <w:bottom w:val="single" w:sz="4" w:space="0" w:color="auto"/>
              <w:right w:val="nil"/>
            </w:tcBorders>
            <w:shd w:val="clear" w:color="auto" w:fill="auto"/>
            <w:vAlign w:val="center"/>
            <w:hideMark/>
          </w:tcPr>
          <w:p w:rsidR="005069FD" w:rsidRPr="00BA4C6E" w:rsidRDefault="005069FD" w:rsidP="00C07EAF">
            <w:pPr>
              <w:spacing w:after="0"/>
              <w:jc w:val="center"/>
              <w:rPr>
                <w:rFonts w:asciiTheme="minorHAnsi" w:eastAsia="Times New Roman" w:hAnsiTheme="minorHAnsi" w:cs="Arial"/>
                <w:bCs/>
                <w:color w:val="000000"/>
                <w:sz w:val="20"/>
                <w:szCs w:val="20"/>
                <w:lang w:eastAsia="es-MX"/>
              </w:rPr>
            </w:pPr>
            <w:r w:rsidRPr="00BA4C6E">
              <w:rPr>
                <w:rFonts w:asciiTheme="minorHAnsi" w:eastAsia="Times New Roman" w:hAnsiTheme="minorHAnsi" w:cs="Arial"/>
                <w:bCs/>
                <w:color w:val="000000"/>
                <w:sz w:val="20"/>
                <w:szCs w:val="20"/>
                <w:lang w:eastAsia="es-MX"/>
              </w:rPr>
              <w:t>3.2 </w:t>
            </w:r>
          </w:p>
        </w:tc>
        <w:tc>
          <w:tcPr>
            <w:tcW w:w="2676" w:type="pct"/>
            <w:tcBorders>
              <w:top w:val="nil"/>
              <w:left w:val="nil"/>
              <w:bottom w:val="single" w:sz="4" w:space="0" w:color="auto"/>
              <w:right w:val="single" w:sz="4" w:space="0" w:color="auto"/>
            </w:tcBorders>
            <w:shd w:val="clear" w:color="auto" w:fill="auto"/>
            <w:vAlign w:val="center"/>
            <w:hideMark/>
          </w:tcPr>
          <w:p w:rsidR="005069FD" w:rsidRPr="00BA4C6E" w:rsidRDefault="005069FD" w:rsidP="00C07EAF">
            <w:pPr>
              <w:spacing w:after="0"/>
              <w:jc w:val="both"/>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Ingresos Derivados de Financiamientos</w:t>
            </w:r>
          </w:p>
        </w:tc>
        <w:tc>
          <w:tcPr>
            <w:tcW w:w="1447" w:type="pct"/>
            <w:tcBorders>
              <w:top w:val="nil"/>
              <w:left w:val="nil"/>
              <w:bottom w:val="single" w:sz="4" w:space="0" w:color="auto"/>
              <w:right w:val="single" w:sz="4" w:space="0" w:color="auto"/>
            </w:tcBorders>
            <w:shd w:val="clear" w:color="auto" w:fill="auto"/>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c>
          <w:tcPr>
            <w:tcW w:w="117" w:type="pct"/>
            <w:gridSpan w:val="2"/>
            <w:tcBorders>
              <w:top w:val="nil"/>
              <w:left w:val="nil"/>
              <w:bottom w:val="nil"/>
              <w:right w:val="nil"/>
            </w:tcBorders>
            <w:shd w:val="clear" w:color="auto" w:fill="auto"/>
            <w:noWrap/>
            <w:vAlign w:val="bottom"/>
            <w:hideMark/>
          </w:tcPr>
          <w:p w:rsidR="005069FD" w:rsidRPr="00BA4C6E" w:rsidRDefault="005069FD" w:rsidP="00C07EAF">
            <w:pPr>
              <w:spacing w:after="0"/>
              <w:rPr>
                <w:rFonts w:asciiTheme="minorHAnsi" w:eastAsia="Times New Roman" w:hAnsiTheme="minorHAnsi" w:cs="DIN Pro Regular"/>
                <w:color w:val="000000"/>
                <w:sz w:val="20"/>
                <w:szCs w:val="20"/>
                <w:lang w:eastAsia="es-MX"/>
              </w:rPr>
            </w:pPr>
          </w:p>
        </w:tc>
      </w:tr>
      <w:tr w:rsidR="005069FD" w:rsidRPr="00BA4C6E" w:rsidTr="00374036">
        <w:trPr>
          <w:trHeight w:val="283"/>
        </w:trPr>
        <w:tc>
          <w:tcPr>
            <w:tcW w:w="761" w:type="pct"/>
            <w:tcBorders>
              <w:top w:val="nil"/>
              <w:left w:val="single" w:sz="4" w:space="0" w:color="auto"/>
              <w:bottom w:val="single" w:sz="4" w:space="0" w:color="auto"/>
              <w:right w:val="nil"/>
            </w:tcBorders>
            <w:shd w:val="clear" w:color="auto" w:fill="auto"/>
            <w:vAlign w:val="center"/>
            <w:hideMark/>
          </w:tcPr>
          <w:p w:rsidR="005069FD" w:rsidRPr="00BA4C6E" w:rsidRDefault="005069FD" w:rsidP="00C07EAF">
            <w:pPr>
              <w:spacing w:after="0"/>
              <w:jc w:val="center"/>
              <w:rPr>
                <w:rFonts w:asciiTheme="minorHAnsi" w:eastAsia="Times New Roman" w:hAnsiTheme="minorHAnsi" w:cs="Arial"/>
                <w:bCs/>
                <w:color w:val="000000"/>
                <w:sz w:val="20"/>
                <w:szCs w:val="20"/>
                <w:lang w:eastAsia="es-MX"/>
              </w:rPr>
            </w:pPr>
            <w:r w:rsidRPr="00BA4C6E">
              <w:rPr>
                <w:rFonts w:asciiTheme="minorHAnsi" w:eastAsia="Times New Roman" w:hAnsiTheme="minorHAnsi" w:cs="Arial"/>
                <w:bCs/>
                <w:color w:val="000000"/>
                <w:sz w:val="20"/>
                <w:szCs w:val="20"/>
                <w:lang w:eastAsia="es-MX"/>
              </w:rPr>
              <w:t>3.3 </w:t>
            </w:r>
          </w:p>
        </w:tc>
        <w:tc>
          <w:tcPr>
            <w:tcW w:w="2676" w:type="pct"/>
            <w:tcBorders>
              <w:top w:val="nil"/>
              <w:left w:val="nil"/>
              <w:bottom w:val="single" w:sz="4" w:space="0" w:color="auto"/>
              <w:right w:val="single" w:sz="4" w:space="0" w:color="auto"/>
            </w:tcBorders>
            <w:shd w:val="clear" w:color="auto" w:fill="auto"/>
            <w:vAlign w:val="center"/>
            <w:hideMark/>
          </w:tcPr>
          <w:p w:rsidR="005069FD" w:rsidRPr="00BA4C6E" w:rsidRDefault="005069FD" w:rsidP="00C07EAF">
            <w:pPr>
              <w:spacing w:after="0"/>
              <w:jc w:val="both"/>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Otros ingresos presupuestarios no contables</w:t>
            </w:r>
          </w:p>
        </w:tc>
        <w:tc>
          <w:tcPr>
            <w:tcW w:w="1447" w:type="pct"/>
            <w:tcBorders>
              <w:top w:val="nil"/>
              <w:left w:val="nil"/>
              <w:bottom w:val="single" w:sz="4" w:space="0" w:color="auto"/>
              <w:right w:val="single" w:sz="4" w:space="0" w:color="auto"/>
            </w:tcBorders>
            <w:shd w:val="clear" w:color="auto" w:fill="auto"/>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c>
          <w:tcPr>
            <w:tcW w:w="117" w:type="pct"/>
            <w:gridSpan w:val="2"/>
            <w:tcBorders>
              <w:top w:val="nil"/>
              <w:left w:val="nil"/>
              <w:bottom w:val="nil"/>
              <w:right w:val="nil"/>
            </w:tcBorders>
            <w:shd w:val="clear" w:color="auto" w:fill="auto"/>
            <w:noWrap/>
            <w:vAlign w:val="bottom"/>
            <w:hideMark/>
          </w:tcPr>
          <w:p w:rsidR="005069FD" w:rsidRPr="00BA4C6E" w:rsidRDefault="005069FD" w:rsidP="00C07EAF">
            <w:pPr>
              <w:spacing w:after="0"/>
              <w:rPr>
                <w:rFonts w:asciiTheme="minorHAnsi" w:eastAsia="Times New Roman" w:hAnsiTheme="minorHAnsi" w:cs="DIN Pro Regular"/>
                <w:color w:val="000000"/>
                <w:sz w:val="20"/>
                <w:szCs w:val="20"/>
                <w:lang w:eastAsia="es-MX"/>
              </w:rPr>
            </w:pPr>
          </w:p>
        </w:tc>
      </w:tr>
      <w:tr w:rsidR="005069FD" w:rsidRPr="00BA4C6E" w:rsidTr="00C07EAF">
        <w:trPr>
          <w:gridAfter w:val="2"/>
          <w:wAfter w:w="117" w:type="pct"/>
          <w:trHeight w:val="283"/>
        </w:trPr>
        <w:tc>
          <w:tcPr>
            <w:tcW w:w="3436" w:type="pct"/>
            <w:gridSpan w:val="2"/>
            <w:tcBorders>
              <w:top w:val="nil"/>
              <w:left w:val="nil"/>
              <w:bottom w:val="nil"/>
              <w:right w:val="nil"/>
            </w:tcBorders>
            <w:shd w:val="clear" w:color="auto" w:fill="auto"/>
            <w:vAlign w:val="center"/>
            <w:hideMark/>
          </w:tcPr>
          <w:p w:rsidR="005069FD" w:rsidRPr="00BA4C6E" w:rsidRDefault="005069FD" w:rsidP="00C07EAF">
            <w:pPr>
              <w:spacing w:after="0"/>
              <w:jc w:val="both"/>
              <w:rPr>
                <w:rFonts w:asciiTheme="minorHAnsi" w:eastAsia="Times New Roman" w:hAnsiTheme="minorHAnsi" w:cs="Arial"/>
                <w:color w:val="000000"/>
                <w:sz w:val="20"/>
                <w:szCs w:val="20"/>
                <w:lang w:eastAsia="es-MX"/>
              </w:rPr>
            </w:pPr>
          </w:p>
        </w:tc>
        <w:tc>
          <w:tcPr>
            <w:tcW w:w="1447" w:type="pct"/>
            <w:tcBorders>
              <w:top w:val="nil"/>
              <w:left w:val="nil"/>
              <w:bottom w:val="single" w:sz="4" w:space="0" w:color="auto"/>
              <w:right w:val="nil"/>
            </w:tcBorders>
            <w:shd w:val="clear" w:color="auto" w:fill="auto"/>
            <w:vAlign w:val="center"/>
            <w:hideMark/>
          </w:tcPr>
          <w:p w:rsidR="005069FD" w:rsidRPr="00BA4C6E" w:rsidRDefault="005069FD" w:rsidP="00C07EAF">
            <w:pPr>
              <w:spacing w:after="0"/>
              <w:rPr>
                <w:rFonts w:asciiTheme="minorHAnsi" w:eastAsia="Times New Roman" w:hAnsiTheme="minorHAnsi" w:cs="Arial"/>
                <w:color w:val="000000"/>
                <w:sz w:val="20"/>
                <w:szCs w:val="20"/>
                <w:lang w:eastAsia="es-MX"/>
              </w:rPr>
            </w:pPr>
          </w:p>
        </w:tc>
      </w:tr>
      <w:tr w:rsidR="005069FD" w:rsidRPr="00BA4C6E" w:rsidTr="00C07EAF">
        <w:trPr>
          <w:gridAfter w:val="2"/>
          <w:wAfter w:w="117" w:type="pct"/>
          <w:trHeight w:val="300"/>
        </w:trPr>
        <w:tc>
          <w:tcPr>
            <w:tcW w:w="3436" w:type="pct"/>
            <w:gridSpan w:val="2"/>
            <w:tcBorders>
              <w:top w:val="single" w:sz="4" w:space="0" w:color="auto"/>
              <w:left w:val="single" w:sz="4" w:space="0" w:color="auto"/>
              <w:bottom w:val="single" w:sz="4" w:space="0" w:color="auto"/>
              <w:right w:val="single" w:sz="4" w:space="0" w:color="000000"/>
            </w:tcBorders>
            <w:shd w:val="clear" w:color="auto" w:fill="AB0033"/>
            <w:vAlign w:val="center"/>
            <w:hideMark/>
          </w:tcPr>
          <w:p w:rsidR="005069FD" w:rsidRPr="00BA4C6E" w:rsidRDefault="005069FD" w:rsidP="00C07EAF">
            <w:pPr>
              <w:spacing w:after="0"/>
              <w:jc w:val="both"/>
              <w:rPr>
                <w:rFonts w:asciiTheme="minorHAnsi" w:eastAsia="Times New Roman" w:hAnsiTheme="minorHAnsi" w:cs="Arial"/>
                <w:b/>
                <w:bCs/>
                <w:color w:val="000000" w:themeColor="text1"/>
                <w:sz w:val="20"/>
                <w:szCs w:val="20"/>
                <w:lang w:eastAsia="es-MX"/>
              </w:rPr>
            </w:pPr>
            <w:r w:rsidRPr="00BA4C6E">
              <w:rPr>
                <w:rFonts w:asciiTheme="minorHAnsi" w:eastAsia="Times New Roman" w:hAnsiTheme="minorHAnsi" w:cs="Arial"/>
                <w:b/>
                <w:bCs/>
                <w:color w:val="FFFFFF" w:themeColor="background1"/>
                <w:sz w:val="20"/>
                <w:szCs w:val="20"/>
                <w:lang w:eastAsia="es-MX"/>
              </w:rPr>
              <w:t>4</w:t>
            </w:r>
            <w:r w:rsidRPr="00BA4C6E">
              <w:rPr>
                <w:rFonts w:asciiTheme="minorHAnsi" w:eastAsia="Times New Roman" w:hAnsiTheme="minorHAnsi" w:cs="Arial"/>
                <w:b/>
                <w:bCs/>
                <w:color w:val="FFFFFF" w:themeColor="background1"/>
                <w:sz w:val="20"/>
                <w:szCs w:val="20"/>
                <w:shd w:val="clear" w:color="auto" w:fill="990033"/>
                <w:lang w:eastAsia="es-MX"/>
              </w:rPr>
              <w:t xml:space="preserve">.- </w:t>
            </w:r>
            <w:r w:rsidRPr="00BA4C6E">
              <w:rPr>
                <w:rFonts w:asciiTheme="minorHAnsi" w:eastAsia="Times New Roman" w:hAnsiTheme="minorHAnsi" w:cs="Arial"/>
                <w:b/>
                <w:bCs/>
                <w:color w:val="000000" w:themeColor="text1"/>
                <w:sz w:val="20"/>
                <w:szCs w:val="20"/>
                <w:shd w:val="clear" w:color="auto" w:fill="990033"/>
                <w:lang w:eastAsia="es-MX"/>
              </w:rPr>
              <w:t>Total de Ingresos contables</w:t>
            </w:r>
            <w:r w:rsidRPr="00BA4C6E">
              <w:rPr>
                <w:rFonts w:asciiTheme="minorHAnsi" w:eastAsia="Times New Roman" w:hAnsiTheme="minorHAnsi" w:cs="Arial"/>
                <w:b/>
                <w:bCs/>
                <w:color w:val="000000" w:themeColor="text1"/>
                <w:sz w:val="20"/>
                <w:szCs w:val="20"/>
                <w:lang w:eastAsia="es-MX"/>
              </w:rPr>
              <w:t xml:space="preserve">    </w:t>
            </w:r>
          </w:p>
        </w:tc>
        <w:tc>
          <w:tcPr>
            <w:tcW w:w="1447" w:type="pct"/>
            <w:tcBorders>
              <w:top w:val="single" w:sz="4" w:space="0" w:color="auto"/>
              <w:left w:val="nil"/>
              <w:bottom w:val="single" w:sz="4" w:space="0" w:color="auto"/>
              <w:right w:val="single" w:sz="4" w:space="0" w:color="auto"/>
            </w:tcBorders>
            <w:shd w:val="clear" w:color="auto" w:fill="AB0033"/>
            <w:vAlign w:val="center"/>
            <w:hideMark/>
          </w:tcPr>
          <w:p w:rsidR="005069FD" w:rsidRPr="00BA4C6E" w:rsidRDefault="005069FD" w:rsidP="00C07EAF">
            <w:pPr>
              <w:spacing w:after="0"/>
              <w:jc w:val="right"/>
              <w:rPr>
                <w:rFonts w:asciiTheme="minorHAnsi" w:eastAsia="Times New Roman" w:hAnsiTheme="minorHAnsi" w:cs="Arial"/>
                <w:b/>
                <w:color w:val="000000" w:themeColor="text1"/>
                <w:sz w:val="20"/>
                <w:szCs w:val="20"/>
                <w:lang w:eastAsia="es-MX"/>
              </w:rPr>
            </w:pPr>
            <w:r w:rsidRPr="00BA4C6E">
              <w:rPr>
                <w:rFonts w:asciiTheme="minorHAnsi" w:eastAsia="Times New Roman" w:hAnsiTheme="minorHAnsi" w:cs="Arial"/>
                <w:b/>
                <w:color w:val="FFFFFF" w:themeColor="background1"/>
                <w:sz w:val="20"/>
                <w:szCs w:val="20"/>
                <w:lang w:eastAsia="es-MX"/>
              </w:rPr>
              <w:t>$90,313,835</w:t>
            </w:r>
          </w:p>
        </w:tc>
      </w:tr>
    </w:tbl>
    <w:p w:rsidR="00374036" w:rsidRPr="00374036" w:rsidRDefault="00374036" w:rsidP="00374036">
      <w:pPr>
        <w:ind w:left="1068"/>
        <w:contextualSpacing/>
        <w:jc w:val="both"/>
        <w:rPr>
          <w:rFonts w:asciiTheme="minorHAnsi" w:hAnsiTheme="minorHAnsi" w:cs="Arial"/>
          <w:color w:val="FF0000"/>
          <w:sz w:val="20"/>
          <w:szCs w:val="20"/>
        </w:rPr>
      </w:pPr>
      <w:r w:rsidRPr="00BA4C6E">
        <w:rPr>
          <w:rFonts w:asciiTheme="minorHAnsi" w:hAnsiTheme="minorHAnsi" w:cs="Arial"/>
          <w:b/>
          <w:sz w:val="20"/>
          <w:szCs w:val="20"/>
          <w:u w:val="single"/>
        </w:rPr>
        <w:lastRenderedPageBreak/>
        <w:t>Ingresos:</w:t>
      </w:r>
    </w:p>
    <w:p w:rsidR="005069FD" w:rsidRPr="00BA4C6E" w:rsidRDefault="005069FD" w:rsidP="005069FD">
      <w:pPr>
        <w:numPr>
          <w:ilvl w:val="0"/>
          <w:numId w:val="16"/>
        </w:numPr>
        <w:contextualSpacing/>
        <w:jc w:val="both"/>
        <w:rPr>
          <w:rFonts w:asciiTheme="minorHAnsi" w:hAnsiTheme="minorHAnsi" w:cs="Arial"/>
          <w:color w:val="FF0000"/>
          <w:sz w:val="20"/>
          <w:szCs w:val="20"/>
        </w:rPr>
      </w:pPr>
      <w:r w:rsidRPr="00FC1C31">
        <w:rPr>
          <w:rFonts w:asciiTheme="minorHAnsi" w:hAnsiTheme="minorHAnsi" w:cs="Arial"/>
          <w:sz w:val="20"/>
          <w:szCs w:val="20"/>
        </w:rPr>
        <w:t xml:space="preserve">Los ingresos presupuestarios son los que se reflejan en el estado analítico de  ingresos en el momento </w:t>
      </w:r>
      <w:r w:rsidRPr="00BA4C6E">
        <w:rPr>
          <w:rFonts w:asciiTheme="minorHAnsi" w:hAnsiTheme="minorHAnsi" w:cs="Arial"/>
          <w:sz w:val="20"/>
          <w:szCs w:val="20"/>
        </w:rPr>
        <w:t xml:space="preserve">contable “devengado” por un importe de </w:t>
      </w:r>
      <w:r w:rsidRPr="00BA4C6E">
        <w:rPr>
          <w:rFonts w:asciiTheme="minorHAnsi" w:hAnsiTheme="minorHAnsi" w:cs="Arial"/>
          <w:b/>
          <w:sz w:val="20"/>
          <w:szCs w:val="20"/>
        </w:rPr>
        <w:t>$ 90,295,00</w:t>
      </w:r>
      <w:r>
        <w:rPr>
          <w:rFonts w:asciiTheme="minorHAnsi" w:hAnsiTheme="minorHAnsi" w:cs="Arial"/>
          <w:b/>
          <w:sz w:val="20"/>
          <w:szCs w:val="20"/>
        </w:rPr>
        <w:t>1</w:t>
      </w:r>
    </w:p>
    <w:p w:rsidR="005069FD" w:rsidRDefault="005069FD" w:rsidP="005069FD">
      <w:pPr>
        <w:numPr>
          <w:ilvl w:val="0"/>
          <w:numId w:val="16"/>
        </w:numPr>
        <w:contextualSpacing/>
        <w:jc w:val="both"/>
        <w:rPr>
          <w:rFonts w:asciiTheme="minorHAnsi" w:hAnsiTheme="minorHAnsi" w:cs="Arial"/>
          <w:sz w:val="20"/>
          <w:szCs w:val="20"/>
        </w:rPr>
      </w:pPr>
      <w:r w:rsidRPr="00BA4C6E">
        <w:rPr>
          <w:rFonts w:asciiTheme="minorHAnsi" w:hAnsiTheme="minorHAnsi" w:cs="Arial"/>
          <w:sz w:val="20"/>
          <w:szCs w:val="20"/>
        </w:rPr>
        <w:t xml:space="preserve">Los ingresos contables no presupuestarios, corresponde a los intereses que generan la cuentas bancarias por un importe de </w:t>
      </w:r>
      <w:r w:rsidRPr="00BA4C6E">
        <w:rPr>
          <w:rFonts w:asciiTheme="minorHAnsi" w:hAnsiTheme="minorHAnsi" w:cs="Arial"/>
          <w:b/>
          <w:sz w:val="20"/>
          <w:szCs w:val="20"/>
        </w:rPr>
        <w:t>$ 18,8</w:t>
      </w:r>
      <w:r>
        <w:rPr>
          <w:rFonts w:asciiTheme="minorHAnsi" w:hAnsiTheme="minorHAnsi" w:cs="Arial"/>
          <w:b/>
          <w:sz w:val="20"/>
          <w:szCs w:val="20"/>
        </w:rPr>
        <w:t>34</w:t>
      </w:r>
      <w:r w:rsidRPr="00BA4C6E">
        <w:rPr>
          <w:rFonts w:asciiTheme="minorHAnsi" w:hAnsiTheme="minorHAnsi" w:cs="Arial"/>
          <w:sz w:val="20"/>
          <w:szCs w:val="20"/>
        </w:rPr>
        <w:t xml:space="preserve"> reflejados en el estado de actividades</w:t>
      </w:r>
    </w:p>
    <w:p w:rsidR="005069FD" w:rsidRPr="00BA4C6E" w:rsidRDefault="005069FD" w:rsidP="005069FD">
      <w:pPr>
        <w:ind w:left="360"/>
        <w:contextualSpacing/>
        <w:jc w:val="both"/>
        <w:rPr>
          <w:rFonts w:asciiTheme="minorHAnsi" w:hAnsiTheme="minorHAnsi" w:cs="Arial"/>
          <w:b/>
          <w:sz w:val="20"/>
          <w:szCs w:val="20"/>
          <w:u w:val="single"/>
        </w:rPr>
      </w:pPr>
      <w:r w:rsidRPr="00BA4C6E">
        <w:rPr>
          <w:rFonts w:asciiTheme="minorHAnsi" w:hAnsiTheme="minorHAnsi" w:cs="Arial"/>
          <w:b/>
          <w:sz w:val="20"/>
          <w:szCs w:val="20"/>
          <w:u w:val="single"/>
        </w:rPr>
        <w:t>Egresos:</w:t>
      </w:r>
    </w:p>
    <w:tbl>
      <w:tblPr>
        <w:tblW w:w="5000" w:type="pct"/>
        <w:jc w:val="center"/>
        <w:tblCellMar>
          <w:left w:w="70" w:type="dxa"/>
          <w:right w:w="70" w:type="dxa"/>
        </w:tblCellMar>
        <w:tblLook w:val="04A0" w:firstRow="1" w:lastRow="0" w:firstColumn="1" w:lastColumn="0" w:noHBand="0" w:noVBand="1"/>
      </w:tblPr>
      <w:tblGrid>
        <w:gridCol w:w="1412"/>
        <w:gridCol w:w="4969"/>
        <w:gridCol w:w="2903"/>
        <w:gridCol w:w="53"/>
        <w:gridCol w:w="163"/>
      </w:tblGrid>
      <w:tr w:rsidR="005069FD" w:rsidRPr="00BA4C6E" w:rsidTr="00C07EAF">
        <w:trPr>
          <w:gridAfter w:val="1"/>
          <w:wAfter w:w="86" w:type="pct"/>
          <w:trHeight w:val="175"/>
          <w:jc w:val="center"/>
        </w:trPr>
        <w:tc>
          <w:tcPr>
            <w:tcW w:w="4914" w:type="pct"/>
            <w:gridSpan w:val="4"/>
            <w:tcBorders>
              <w:left w:val="single" w:sz="8" w:space="0" w:color="auto"/>
              <w:bottom w:val="nil"/>
              <w:right w:val="single" w:sz="8" w:space="0" w:color="000000"/>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Comisión Estatal del Agua de Tamaulipas</w:t>
            </w:r>
          </w:p>
        </w:tc>
      </w:tr>
      <w:tr w:rsidR="005069FD" w:rsidRPr="00BA4C6E" w:rsidTr="00C07EAF">
        <w:trPr>
          <w:gridAfter w:val="1"/>
          <w:wAfter w:w="86" w:type="pct"/>
          <w:trHeight w:val="300"/>
          <w:jc w:val="center"/>
        </w:trPr>
        <w:tc>
          <w:tcPr>
            <w:tcW w:w="4914" w:type="pct"/>
            <w:gridSpan w:val="4"/>
            <w:tcBorders>
              <w:top w:val="nil"/>
              <w:left w:val="single" w:sz="8" w:space="0" w:color="auto"/>
              <w:bottom w:val="nil"/>
              <w:right w:val="single" w:sz="8" w:space="0" w:color="000000"/>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color w:val="FFFFFF"/>
                <w:sz w:val="20"/>
                <w:szCs w:val="20"/>
                <w:lang w:eastAsia="es-MX"/>
              </w:rPr>
            </w:pPr>
            <w:r w:rsidRPr="00BA4C6E">
              <w:rPr>
                <w:rFonts w:asciiTheme="minorHAnsi" w:eastAsia="Times New Roman" w:hAnsiTheme="minorHAnsi" w:cs="Arial"/>
                <w:color w:val="FFFFFF"/>
                <w:sz w:val="20"/>
                <w:szCs w:val="20"/>
                <w:lang w:eastAsia="es-MX"/>
              </w:rPr>
              <w:t>Conciliación entre los Egresos Presupuestarios y los Gastos Contables</w:t>
            </w:r>
          </w:p>
        </w:tc>
      </w:tr>
      <w:tr w:rsidR="005069FD" w:rsidRPr="00BA4C6E" w:rsidTr="00C07EAF">
        <w:trPr>
          <w:gridAfter w:val="1"/>
          <w:wAfter w:w="86" w:type="pct"/>
          <w:trHeight w:val="300"/>
          <w:jc w:val="center"/>
        </w:trPr>
        <w:tc>
          <w:tcPr>
            <w:tcW w:w="4914" w:type="pct"/>
            <w:gridSpan w:val="4"/>
            <w:tcBorders>
              <w:top w:val="nil"/>
              <w:left w:val="single" w:sz="8" w:space="0" w:color="auto"/>
              <w:bottom w:val="nil"/>
              <w:right w:val="single" w:sz="8" w:space="0" w:color="000000"/>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color w:val="FFFFFF"/>
                <w:sz w:val="20"/>
                <w:szCs w:val="20"/>
                <w:lang w:eastAsia="es-MX"/>
              </w:rPr>
            </w:pPr>
            <w:r w:rsidRPr="00BA4C6E">
              <w:rPr>
                <w:rFonts w:asciiTheme="minorHAnsi" w:eastAsia="Times New Roman" w:hAnsiTheme="minorHAnsi" w:cs="Arial"/>
                <w:color w:val="FFFFFF"/>
                <w:sz w:val="20"/>
                <w:szCs w:val="20"/>
                <w:lang w:eastAsia="es-MX"/>
              </w:rPr>
              <w:t>Correspondiente del 01 de enero al 31 de diciembre de 2022</w:t>
            </w:r>
          </w:p>
        </w:tc>
      </w:tr>
      <w:tr w:rsidR="005069FD" w:rsidRPr="00BA4C6E" w:rsidTr="00C07EAF">
        <w:trPr>
          <w:gridAfter w:val="1"/>
          <w:wAfter w:w="86" w:type="pct"/>
          <w:trHeight w:val="315"/>
          <w:jc w:val="center"/>
        </w:trPr>
        <w:tc>
          <w:tcPr>
            <w:tcW w:w="4914" w:type="pct"/>
            <w:gridSpan w:val="4"/>
            <w:tcBorders>
              <w:top w:val="nil"/>
              <w:left w:val="single" w:sz="8" w:space="0" w:color="auto"/>
              <w:bottom w:val="single" w:sz="8" w:space="0" w:color="auto"/>
              <w:right w:val="single" w:sz="8" w:space="0" w:color="000000"/>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color w:val="FFFFFF"/>
                <w:sz w:val="20"/>
                <w:szCs w:val="20"/>
                <w:lang w:eastAsia="es-MX"/>
              </w:rPr>
            </w:pPr>
            <w:r w:rsidRPr="00BA4C6E">
              <w:rPr>
                <w:rFonts w:asciiTheme="minorHAnsi" w:eastAsia="Times New Roman" w:hAnsiTheme="minorHAnsi" w:cs="Arial"/>
                <w:color w:val="FFFFFF"/>
                <w:sz w:val="20"/>
                <w:szCs w:val="20"/>
                <w:lang w:eastAsia="es-MX"/>
              </w:rPr>
              <w:t>(Cifras en pesos)</w:t>
            </w:r>
          </w:p>
        </w:tc>
      </w:tr>
      <w:tr w:rsidR="005069FD" w:rsidRPr="00BA4C6E" w:rsidTr="00C07EAF">
        <w:trPr>
          <w:gridAfter w:val="2"/>
          <w:wAfter w:w="114" w:type="pct"/>
          <w:trHeight w:val="90"/>
          <w:jc w:val="center"/>
        </w:trPr>
        <w:tc>
          <w:tcPr>
            <w:tcW w:w="743" w:type="pct"/>
            <w:tcBorders>
              <w:top w:val="nil"/>
              <w:left w:val="nil"/>
              <w:bottom w:val="nil"/>
              <w:right w:val="nil"/>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p>
        </w:tc>
        <w:tc>
          <w:tcPr>
            <w:tcW w:w="2615" w:type="pct"/>
            <w:tcBorders>
              <w:top w:val="nil"/>
              <w:left w:val="nil"/>
              <w:bottom w:val="nil"/>
              <w:right w:val="nil"/>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p>
        </w:tc>
        <w:tc>
          <w:tcPr>
            <w:tcW w:w="1528" w:type="pct"/>
            <w:tcBorders>
              <w:top w:val="nil"/>
              <w:left w:val="nil"/>
              <w:bottom w:val="single" w:sz="4" w:space="0" w:color="auto"/>
              <w:right w:val="nil"/>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p>
        </w:tc>
      </w:tr>
      <w:tr w:rsidR="005069FD" w:rsidRPr="002C67DB" w:rsidTr="00C07EAF">
        <w:trPr>
          <w:gridAfter w:val="2"/>
          <w:wAfter w:w="114" w:type="pct"/>
          <w:trHeight w:val="300"/>
          <w:jc w:val="center"/>
        </w:trPr>
        <w:tc>
          <w:tcPr>
            <w:tcW w:w="33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69FD" w:rsidRPr="002C67DB" w:rsidRDefault="005069FD" w:rsidP="00C07EAF">
            <w:pPr>
              <w:spacing w:after="0"/>
              <w:rPr>
                <w:rFonts w:asciiTheme="minorHAnsi" w:eastAsia="Times New Roman" w:hAnsiTheme="minorHAnsi" w:cstheme="minorHAnsi"/>
                <w:b/>
                <w:color w:val="000000"/>
                <w:sz w:val="18"/>
                <w:szCs w:val="20"/>
                <w:lang w:eastAsia="es-MX"/>
              </w:rPr>
            </w:pPr>
            <w:r w:rsidRPr="002C67DB">
              <w:rPr>
                <w:rFonts w:asciiTheme="minorHAnsi" w:eastAsia="Times New Roman" w:hAnsiTheme="minorHAnsi" w:cstheme="minorHAnsi"/>
                <w:b/>
                <w:color w:val="000000"/>
                <w:sz w:val="18"/>
                <w:szCs w:val="20"/>
                <w:lang w:eastAsia="es-MX"/>
              </w:rPr>
              <w:t xml:space="preserve">1.- Total de Egresos Presupuestarios </w:t>
            </w:r>
          </w:p>
        </w:tc>
        <w:tc>
          <w:tcPr>
            <w:tcW w:w="15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69FD" w:rsidRPr="002C67DB" w:rsidRDefault="005069FD" w:rsidP="00C07EAF">
            <w:pPr>
              <w:spacing w:after="0"/>
              <w:jc w:val="right"/>
              <w:rPr>
                <w:rFonts w:asciiTheme="minorHAnsi" w:eastAsia="Times New Roman" w:hAnsiTheme="minorHAnsi" w:cstheme="minorHAnsi"/>
                <w:b/>
                <w:color w:val="000000"/>
                <w:sz w:val="18"/>
                <w:szCs w:val="20"/>
                <w:lang w:eastAsia="es-MX"/>
              </w:rPr>
            </w:pPr>
            <w:r w:rsidRPr="002C67DB">
              <w:rPr>
                <w:rFonts w:asciiTheme="minorHAnsi" w:eastAsia="Times New Roman" w:hAnsiTheme="minorHAnsi" w:cstheme="minorHAnsi"/>
                <w:b/>
                <w:color w:val="000000"/>
                <w:sz w:val="18"/>
                <w:szCs w:val="20"/>
                <w:lang w:eastAsia="es-MX"/>
              </w:rPr>
              <w:t>$ 81,999,677</w:t>
            </w:r>
          </w:p>
        </w:tc>
      </w:tr>
      <w:tr w:rsidR="005069FD" w:rsidRPr="002C67DB" w:rsidTr="00C07EAF">
        <w:trPr>
          <w:gridAfter w:val="2"/>
          <w:wAfter w:w="114" w:type="pct"/>
          <w:trHeight w:val="135"/>
          <w:jc w:val="center"/>
        </w:trPr>
        <w:tc>
          <w:tcPr>
            <w:tcW w:w="743" w:type="pct"/>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c>
          <w:tcPr>
            <w:tcW w:w="2615" w:type="pct"/>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c>
          <w:tcPr>
            <w:tcW w:w="1528" w:type="pct"/>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gridAfter w:val="2"/>
          <w:wAfter w:w="114" w:type="pct"/>
          <w:trHeight w:val="300"/>
          <w:jc w:val="center"/>
        </w:trPr>
        <w:tc>
          <w:tcPr>
            <w:tcW w:w="33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69FD" w:rsidRPr="002C67DB" w:rsidRDefault="005069FD" w:rsidP="00C07EAF">
            <w:pPr>
              <w:spacing w:after="0"/>
              <w:rPr>
                <w:rFonts w:asciiTheme="minorHAnsi" w:eastAsia="Times New Roman" w:hAnsiTheme="minorHAnsi" w:cstheme="minorHAnsi"/>
                <w:b/>
                <w:color w:val="000000"/>
                <w:sz w:val="18"/>
                <w:szCs w:val="20"/>
                <w:lang w:eastAsia="es-MX"/>
              </w:rPr>
            </w:pPr>
            <w:r w:rsidRPr="002C67DB">
              <w:rPr>
                <w:rFonts w:asciiTheme="minorHAnsi" w:eastAsia="Times New Roman" w:hAnsiTheme="minorHAnsi" w:cstheme="minorHAnsi"/>
                <w:b/>
                <w:color w:val="000000"/>
                <w:sz w:val="18"/>
                <w:szCs w:val="20"/>
                <w:lang w:eastAsia="es-MX"/>
              </w:rPr>
              <w:t>2.- Menos egresos presupuestarios no contables</w:t>
            </w:r>
          </w:p>
        </w:tc>
        <w:tc>
          <w:tcPr>
            <w:tcW w:w="1528" w:type="pct"/>
            <w:tcBorders>
              <w:top w:val="single" w:sz="4" w:space="0" w:color="auto"/>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b/>
                <w:color w:val="000000"/>
                <w:sz w:val="18"/>
                <w:szCs w:val="20"/>
                <w:lang w:eastAsia="es-MX"/>
              </w:rPr>
            </w:pPr>
            <w:r w:rsidRPr="002C67DB">
              <w:rPr>
                <w:rFonts w:asciiTheme="minorHAnsi" w:eastAsia="Times New Roman" w:hAnsiTheme="minorHAnsi" w:cstheme="minorHAnsi"/>
                <w:color w:val="000000"/>
                <w:sz w:val="18"/>
                <w:szCs w:val="20"/>
                <w:lang w:eastAsia="es-MX"/>
              </w:rPr>
              <w:t>2,320,05</w:t>
            </w:r>
            <w:r w:rsidR="00A43FDE">
              <w:rPr>
                <w:rFonts w:asciiTheme="minorHAnsi" w:eastAsia="Times New Roman" w:hAnsiTheme="minorHAnsi" w:cstheme="minorHAnsi"/>
                <w:color w:val="000000"/>
                <w:sz w:val="18"/>
                <w:szCs w:val="20"/>
                <w:lang w:eastAsia="es-MX"/>
              </w:rPr>
              <w:t>3</w:t>
            </w: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2.1</w:t>
            </w:r>
          </w:p>
        </w:tc>
        <w:tc>
          <w:tcPr>
            <w:tcW w:w="2615" w:type="pct"/>
            <w:tcBorders>
              <w:top w:val="nil"/>
              <w:left w:val="nil"/>
              <w:bottom w:val="single" w:sz="4" w:space="0" w:color="auto"/>
              <w:right w:val="single" w:sz="4" w:space="0" w:color="auto"/>
            </w:tcBorders>
            <w:shd w:val="clear" w:color="auto" w:fill="auto"/>
            <w:vAlign w:val="center"/>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Materias Primas y Materiales de Producción y Comercialización.</w:t>
            </w:r>
          </w:p>
        </w:tc>
        <w:tc>
          <w:tcPr>
            <w:tcW w:w="1528" w:type="pct"/>
            <w:tcBorders>
              <w:top w:val="nil"/>
              <w:left w:val="nil"/>
              <w:bottom w:val="single" w:sz="4" w:space="0" w:color="auto"/>
              <w:right w:val="single" w:sz="4" w:space="0" w:color="auto"/>
            </w:tcBorders>
            <w:shd w:val="clear" w:color="auto" w:fill="auto"/>
            <w:vAlign w:val="center"/>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2.2</w:t>
            </w:r>
          </w:p>
        </w:tc>
        <w:tc>
          <w:tcPr>
            <w:tcW w:w="2615" w:type="pct"/>
            <w:tcBorders>
              <w:top w:val="nil"/>
              <w:left w:val="nil"/>
              <w:bottom w:val="single" w:sz="4" w:space="0" w:color="auto"/>
              <w:right w:val="single" w:sz="4" w:space="0" w:color="auto"/>
            </w:tcBorders>
            <w:shd w:val="clear" w:color="auto" w:fill="auto"/>
            <w:vAlign w:val="center"/>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Materiales y Suministros</w:t>
            </w:r>
          </w:p>
        </w:tc>
        <w:tc>
          <w:tcPr>
            <w:tcW w:w="1528" w:type="pct"/>
            <w:tcBorders>
              <w:top w:val="nil"/>
              <w:left w:val="nil"/>
              <w:bottom w:val="single" w:sz="4" w:space="0" w:color="auto"/>
              <w:right w:val="single" w:sz="4" w:space="0" w:color="auto"/>
            </w:tcBorders>
            <w:shd w:val="clear" w:color="auto" w:fill="auto"/>
            <w:vAlign w:val="center"/>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2.3</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Mobiliario y Equipo de Administración</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2.4</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Mobiliario y Equipo Educacional y Recreativo</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2.5</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Equipo e Instrumental Médico y de Laboratorio</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2.6</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Vehículos y Equipo de Transporte</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 2.7</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Equipo de Defensa y Seguridad</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2.8</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Maquinaria, Otros Equipos y Herramientas</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2.9</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Activos Biológicos</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2.10</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Bienes Inmuebles</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2.11</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Activos Intangibles</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2.12</w:t>
            </w:r>
          </w:p>
        </w:tc>
        <w:tc>
          <w:tcPr>
            <w:tcW w:w="2615" w:type="pct"/>
            <w:tcBorders>
              <w:top w:val="nil"/>
              <w:left w:val="nil"/>
              <w:bottom w:val="single" w:sz="4" w:space="0" w:color="auto"/>
              <w:right w:val="single" w:sz="4" w:space="0" w:color="auto"/>
            </w:tcBorders>
            <w:shd w:val="clear" w:color="auto" w:fill="auto"/>
            <w:vAlign w:val="center"/>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Obra Pública en Bienes de Dominio Público</w:t>
            </w:r>
          </w:p>
        </w:tc>
        <w:tc>
          <w:tcPr>
            <w:tcW w:w="1528" w:type="pct"/>
            <w:tcBorders>
              <w:top w:val="nil"/>
              <w:left w:val="nil"/>
              <w:bottom w:val="single" w:sz="4" w:space="0" w:color="auto"/>
              <w:right w:val="single" w:sz="4" w:space="0" w:color="auto"/>
            </w:tcBorders>
            <w:shd w:val="clear" w:color="auto" w:fill="auto"/>
            <w:vAlign w:val="center"/>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2.13 </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Obra Pública en Bienes Propios</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2.14 </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Acciones y Participaciones de Capital</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2.15</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Compra de Títulos y Valores</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71"/>
          <w:jc w:val="center"/>
        </w:trPr>
        <w:tc>
          <w:tcPr>
            <w:tcW w:w="743" w:type="pct"/>
            <w:tcBorders>
              <w:top w:val="nil"/>
              <w:left w:val="single" w:sz="4" w:space="0" w:color="auto"/>
              <w:bottom w:val="single" w:sz="4" w:space="0" w:color="auto"/>
              <w:right w:val="nil"/>
            </w:tcBorders>
            <w:shd w:val="clear" w:color="auto" w:fill="auto"/>
            <w:vAlign w:val="center"/>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2.16</w:t>
            </w:r>
          </w:p>
        </w:tc>
        <w:tc>
          <w:tcPr>
            <w:tcW w:w="2615" w:type="pct"/>
            <w:tcBorders>
              <w:top w:val="nil"/>
              <w:left w:val="nil"/>
              <w:bottom w:val="single" w:sz="4" w:space="0" w:color="auto"/>
              <w:right w:val="single" w:sz="4" w:space="0" w:color="auto"/>
            </w:tcBorders>
            <w:shd w:val="clear" w:color="auto" w:fill="auto"/>
            <w:vAlign w:val="center"/>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Concesión de Préstamos</w:t>
            </w:r>
          </w:p>
        </w:tc>
        <w:tc>
          <w:tcPr>
            <w:tcW w:w="1528" w:type="pct"/>
            <w:tcBorders>
              <w:top w:val="nil"/>
              <w:left w:val="nil"/>
              <w:bottom w:val="single" w:sz="4" w:space="0" w:color="auto"/>
              <w:right w:val="single" w:sz="4" w:space="0" w:color="auto"/>
            </w:tcBorders>
            <w:shd w:val="clear" w:color="auto" w:fill="auto"/>
            <w:vAlign w:val="center"/>
          </w:tcPr>
          <w:p w:rsidR="005069FD" w:rsidRPr="002C67DB" w:rsidRDefault="005069FD" w:rsidP="00C07EAF">
            <w:pPr>
              <w:spacing w:after="0"/>
              <w:jc w:val="right"/>
              <w:rPr>
                <w:rFonts w:asciiTheme="minorHAnsi" w:eastAsia="Times New Roman" w:hAnsiTheme="minorHAnsi" w:cstheme="minorHAnsi"/>
                <w:bCs/>
                <w:color w:val="000000"/>
                <w:sz w:val="18"/>
                <w:szCs w:val="20"/>
                <w:lang w:eastAsia="es-MX"/>
              </w:rPr>
            </w:pPr>
          </w:p>
        </w:tc>
        <w:tc>
          <w:tcPr>
            <w:tcW w:w="114" w:type="pct"/>
            <w:gridSpan w:val="2"/>
            <w:tcBorders>
              <w:top w:val="nil"/>
              <w:left w:val="nil"/>
              <w:bottom w:val="nil"/>
              <w:right w:val="nil"/>
            </w:tcBorders>
            <w:shd w:val="clear" w:color="auto" w:fill="auto"/>
            <w:noWrap/>
            <w:vAlign w:val="bottom"/>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33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2.17</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Inversiones en Fideicomisos. Mandatos y Otros Análogos</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68"/>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2.18</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Provisiones para Contingencias y Otras Erogaciones Especiales</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2.19</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Amortización de la Deuda Pública</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2.20</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Adeudos de Ejercicios Fiscales Anteriores (ADEFAS)</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tcPr>
          <w:p w:rsidR="005069FD" w:rsidRPr="002C67DB" w:rsidRDefault="005069FD" w:rsidP="00C07EAF">
            <w:pPr>
              <w:spacing w:after="0"/>
              <w:jc w:val="both"/>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2.21</w:t>
            </w:r>
          </w:p>
        </w:tc>
        <w:tc>
          <w:tcPr>
            <w:tcW w:w="2615" w:type="pct"/>
            <w:tcBorders>
              <w:top w:val="nil"/>
              <w:left w:val="nil"/>
              <w:bottom w:val="single" w:sz="4" w:space="0" w:color="auto"/>
              <w:right w:val="single" w:sz="4" w:space="0" w:color="auto"/>
            </w:tcBorders>
            <w:shd w:val="clear" w:color="auto" w:fill="auto"/>
            <w:vAlign w:val="center"/>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Otros Egresos Presupuestales No Contables</w:t>
            </w:r>
          </w:p>
        </w:tc>
        <w:tc>
          <w:tcPr>
            <w:tcW w:w="1528" w:type="pct"/>
            <w:tcBorders>
              <w:top w:val="nil"/>
              <w:left w:val="nil"/>
              <w:bottom w:val="single" w:sz="4" w:space="0" w:color="auto"/>
              <w:right w:val="single" w:sz="4" w:space="0" w:color="auto"/>
            </w:tcBorders>
            <w:shd w:val="clear" w:color="auto" w:fill="auto"/>
            <w:vAlign w:val="center"/>
          </w:tcPr>
          <w:p w:rsidR="005069FD" w:rsidRPr="002C67DB" w:rsidRDefault="005069FD" w:rsidP="00A43FDE">
            <w:pPr>
              <w:spacing w:after="0"/>
              <w:jc w:val="right"/>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2,320,05</w:t>
            </w:r>
            <w:r w:rsidR="00A43FDE">
              <w:rPr>
                <w:rFonts w:asciiTheme="minorHAnsi" w:eastAsia="Times New Roman" w:hAnsiTheme="minorHAnsi" w:cstheme="minorHAnsi"/>
                <w:color w:val="000000"/>
                <w:sz w:val="18"/>
                <w:szCs w:val="20"/>
                <w:lang w:eastAsia="es-MX"/>
              </w:rPr>
              <w:t>3</w:t>
            </w:r>
          </w:p>
        </w:tc>
        <w:tc>
          <w:tcPr>
            <w:tcW w:w="114" w:type="pct"/>
            <w:gridSpan w:val="2"/>
            <w:tcBorders>
              <w:top w:val="nil"/>
              <w:left w:val="nil"/>
              <w:bottom w:val="nil"/>
              <w:right w:val="nil"/>
            </w:tcBorders>
            <w:shd w:val="clear" w:color="auto" w:fill="auto"/>
            <w:noWrap/>
            <w:vAlign w:val="bottom"/>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77"/>
          <w:jc w:val="center"/>
        </w:trPr>
        <w:tc>
          <w:tcPr>
            <w:tcW w:w="743" w:type="pct"/>
            <w:tcBorders>
              <w:top w:val="single" w:sz="4" w:space="0" w:color="auto"/>
              <w:left w:val="nil"/>
              <w:bottom w:val="single" w:sz="4" w:space="0" w:color="auto"/>
              <w:right w:val="nil"/>
            </w:tcBorders>
            <w:shd w:val="clear" w:color="auto" w:fill="auto"/>
            <w:vAlign w:val="center"/>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 </w:t>
            </w:r>
          </w:p>
        </w:tc>
        <w:tc>
          <w:tcPr>
            <w:tcW w:w="2615" w:type="pct"/>
            <w:tcBorders>
              <w:top w:val="single" w:sz="4" w:space="0" w:color="auto"/>
              <w:left w:val="nil"/>
              <w:bottom w:val="single" w:sz="4" w:space="0" w:color="auto"/>
              <w:right w:val="nil"/>
            </w:tcBorders>
            <w:shd w:val="clear" w:color="auto" w:fill="auto"/>
            <w:vAlign w:val="center"/>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c>
          <w:tcPr>
            <w:tcW w:w="1528" w:type="pct"/>
            <w:tcBorders>
              <w:top w:val="single" w:sz="4" w:space="0" w:color="auto"/>
              <w:left w:val="nil"/>
              <w:bottom w:val="single" w:sz="4" w:space="0" w:color="auto"/>
              <w:right w:val="nil"/>
            </w:tcBorders>
            <w:shd w:val="clear" w:color="auto" w:fill="auto"/>
            <w:vAlign w:val="center"/>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 </w:t>
            </w: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gridAfter w:val="2"/>
          <w:wAfter w:w="114" w:type="pct"/>
          <w:trHeight w:val="300"/>
          <w:jc w:val="center"/>
        </w:trPr>
        <w:tc>
          <w:tcPr>
            <w:tcW w:w="3358" w:type="pct"/>
            <w:gridSpan w:val="2"/>
            <w:tcBorders>
              <w:top w:val="nil"/>
              <w:left w:val="single" w:sz="4" w:space="0" w:color="auto"/>
              <w:bottom w:val="single" w:sz="4" w:space="0" w:color="auto"/>
              <w:right w:val="single" w:sz="4" w:space="0" w:color="000000"/>
            </w:tcBorders>
            <w:shd w:val="clear" w:color="auto" w:fill="auto"/>
            <w:vAlign w:val="center"/>
            <w:hideMark/>
          </w:tcPr>
          <w:p w:rsidR="005069FD" w:rsidRPr="002C67DB" w:rsidRDefault="005069FD" w:rsidP="00C07EAF">
            <w:pPr>
              <w:spacing w:after="0"/>
              <w:rPr>
                <w:rFonts w:asciiTheme="minorHAnsi" w:eastAsia="Times New Roman" w:hAnsiTheme="minorHAnsi" w:cstheme="minorHAnsi"/>
                <w:b/>
                <w:bCs/>
                <w:color w:val="000000"/>
                <w:sz w:val="18"/>
                <w:szCs w:val="20"/>
                <w:lang w:eastAsia="es-MX"/>
              </w:rPr>
            </w:pPr>
            <w:r w:rsidRPr="002C67DB">
              <w:rPr>
                <w:rFonts w:asciiTheme="minorHAnsi" w:eastAsia="Times New Roman" w:hAnsiTheme="minorHAnsi" w:cstheme="minorHAnsi"/>
                <w:b/>
                <w:bCs/>
                <w:color w:val="000000"/>
                <w:sz w:val="18"/>
                <w:szCs w:val="20"/>
                <w:lang w:eastAsia="es-MX"/>
              </w:rPr>
              <w:t>3. Más Gasto Contables No Presupuestales</w:t>
            </w:r>
          </w:p>
        </w:tc>
        <w:tc>
          <w:tcPr>
            <w:tcW w:w="1528" w:type="pct"/>
            <w:tcBorders>
              <w:top w:val="nil"/>
              <w:left w:val="nil"/>
              <w:bottom w:val="single" w:sz="4" w:space="0" w:color="auto"/>
              <w:right w:val="single" w:sz="4" w:space="0" w:color="auto"/>
            </w:tcBorders>
            <w:shd w:val="clear" w:color="auto" w:fill="auto"/>
            <w:vAlign w:val="center"/>
            <w:hideMark/>
          </w:tcPr>
          <w:p w:rsidR="00A43FDE" w:rsidRPr="002C67DB" w:rsidRDefault="00A43FDE" w:rsidP="00A43FDE">
            <w:pPr>
              <w:spacing w:after="0"/>
              <w:jc w:val="right"/>
              <w:rPr>
                <w:rFonts w:asciiTheme="minorHAnsi" w:eastAsia="Times New Roman" w:hAnsiTheme="minorHAnsi" w:cstheme="minorHAnsi"/>
                <w:b/>
                <w:color w:val="000000"/>
                <w:sz w:val="18"/>
                <w:szCs w:val="20"/>
                <w:lang w:eastAsia="es-MX"/>
              </w:rPr>
            </w:pPr>
            <w:r>
              <w:rPr>
                <w:rFonts w:asciiTheme="minorHAnsi" w:eastAsia="Times New Roman" w:hAnsiTheme="minorHAnsi" w:cstheme="minorHAnsi"/>
                <w:b/>
                <w:color w:val="000000"/>
                <w:sz w:val="18"/>
                <w:szCs w:val="20"/>
                <w:lang w:eastAsia="es-MX"/>
              </w:rPr>
              <w:t>3,930,408</w:t>
            </w:r>
          </w:p>
        </w:tc>
      </w:tr>
      <w:tr w:rsidR="005069FD" w:rsidRPr="002C67DB" w:rsidTr="00C07EAF">
        <w:trPr>
          <w:trHeight w:val="420"/>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3.1 </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Estimaciones, Depreciaciones y Deterioros, Obsolescencia y Amortizaciones</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A43FDE" w:rsidP="00C07EAF">
            <w:pPr>
              <w:spacing w:after="0"/>
              <w:jc w:val="right"/>
              <w:rPr>
                <w:rFonts w:asciiTheme="minorHAnsi" w:eastAsia="Times New Roman" w:hAnsiTheme="minorHAnsi" w:cstheme="minorHAnsi"/>
                <w:color w:val="000000"/>
                <w:sz w:val="18"/>
                <w:szCs w:val="20"/>
                <w:lang w:eastAsia="es-MX"/>
              </w:rPr>
            </w:pPr>
            <w:r>
              <w:rPr>
                <w:rFonts w:asciiTheme="minorHAnsi" w:eastAsia="Times New Roman" w:hAnsiTheme="minorHAnsi" w:cstheme="minorHAnsi"/>
                <w:color w:val="000000"/>
                <w:sz w:val="18"/>
                <w:szCs w:val="20"/>
                <w:lang w:eastAsia="es-MX"/>
              </w:rPr>
              <w:t>3,850,628</w:t>
            </w: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14"/>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3.2</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Provisiones</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 </w:t>
            </w: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3.3 </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Disminución de Inventarios</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 </w:t>
            </w: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420"/>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3.4 </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Aumento por Insuficiencia de Estimaciones por Pérdida o Deterioro u Obsolescencia</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 </w:t>
            </w: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3.5</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Aumento por Insuficiencia de Provisiones</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 </w:t>
            </w: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hideMark/>
          </w:tcPr>
          <w:p w:rsidR="005069FD" w:rsidRPr="002C67DB" w:rsidRDefault="005069FD" w:rsidP="00C07EAF">
            <w:pPr>
              <w:spacing w:after="0"/>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3.6 </w:t>
            </w:r>
          </w:p>
        </w:tc>
        <w:tc>
          <w:tcPr>
            <w:tcW w:w="2615"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both"/>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Otros Gastos</w:t>
            </w:r>
          </w:p>
        </w:tc>
        <w:tc>
          <w:tcPr>
            <w:tcW w:w="1528" w:type="pct"/>
            <w:tcBorders>
              <w:top w:val="nil"/>
              <w:left w:val="nil"/>
              <w:bottom w:val="single" w:sz="4" w:space="0" w:color="auto"/>
              <w:right w:val="single" w:sz="4" w:space="0" w:color="auto"/>
            </w:tcBorders>
            <w:shd w:val="clear" w:color="auto" w:fill="auto"/>
            <w:vAlign w:val="center"/>
            <w:hideMark/>
          </w:tcPr>
          <w:p w:rsidR="005069FD" w:rsidRPr="002C67DB" w:rsidRDefault="005069FD" w:rsidP="00C07EAF">
            <w:pPr>
              <w:spacing w:after="0"/>
              <w:jc w:val="right"/>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 </w:t>
            </w: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283"/>
          <w:jc w:val="center"/>
        </w:trPr>
        <w:tc>
          <w:tcPr>
            <w:tcW w:w="743" w:type="pct"/>
            <w:tcBorders>
              <w:top w:val="nil"/>
              <w:left w:val="single" w:sz="4" w:space="0" w:color="auto"/>
              <w:bottom w:val="single" w:sz="4" w:space="0" w:color="auto"/>
              <w:right w:val="nil"/>
            </w:tcBorders>
            <w:shd w:val="clear" w:color="auto" w:fill="auto"/>
            <w:vAlign w:val="center"/>
          </w:tcPr>
          <w:p w:rsidR="005069FD" w:rsidRPr="002C67DB" w:rsidRDefault="005069FD" w:rsidP="00C07EAF">
            <w:pPr>
              <w:spacing w:after="0"/>
              <w:rPr>
                <w:rFonts w:asciiTheme="minorHAnsi" w:eastAsia="Times New Roman" w:hAnsiTheme="minorHAnsi" w:cstheme="minorHAnsi"/>
                <w:bCs/>
                <w:color w:val="000000"/>
                <w:sz w:val="18"/>
                <w:szCs w:val="20"/>
                <w:lang w:eastAsia="es-MX"/>
              </w:rPr>
            </w:pPr>
            <w:r w:rsidRPr="002C67DB">
              <w:rPr>
                <w:rFonts w:asciiTheme="minorHAnsi" w:eastAsia="Times New Roman" w:hAnsiTheme="minorHAnsi" w:cstheme="minorHAnsi"/>
                <w:bCs/>
                <w:color w:val="000000"/>
                <w:sz w:val="18"/>
                <w:szCs w:val="20"/>
                <w:lang w:eastAsia="es-MX"/>
              </w:rPr>
              <w:t>3.7</w:t>
            </w:r>
          </w:p>
        </w:tc>
        <w:tc>
          <w:tcPr>
            <w:tcW w:w="2615" w:type="pct"/>
            <w:tcBorders>
              <w:top w:val="nil"/>
              <w:left w:val="nil"/>
              <w:bottom w:val="single" w:sz="4" w:space="0" w:color="auto"/>
              <w:right w:val="single" w:sz="4" w:space="0" w:color="auto"/>
            </w:tcBorders>
            <w:shd w:val="clear" w:color="auto" w:fill="auto"/>
            <w:vAlign w:val="center"/>
          </w:tcPr>
          <w:p w:rsidR="005069FD" w:rsidRPr="002C67DB" w:rsidRDefault="005069FD" w:rsidP="00C07EAF">
            <w:pPr>
              <w:spacing w:after="0"/>
              <w:rPr>
                <w:rFonts w:asciiTheme="minorHAnsi" w:eastAsia="Times New Roman" w:hAnsiTheme="minorHAnsi" w:cstheme="minorHAnsi"/>
                <w:color w:val="000000"/>
                <w:sz w:val="18"/>
                <w:szCs w:val="20"/>
                <w:lang w:eastAsia="es-MX"/>
              </w:rPr>
            </w:pPr>
            <w:r w:rsidRPr="002C67DB">
              <w:rPr>
                <w:rFonts w:asciiTheme="minorHAnsi" w:eastAsia="Times New Roman" w:hAnsiTheme="minorHAnsi" w:cstheme="minorHAnsi"/>
                <w:color w:val="000000"/>
                <w:sz w:val="18"/>
                <w:szCs w:val="20"/>
                <w:lang w:eastAsia="es-MX"/>
              </w:rPr>
              <w:t>Otros Gastos Contables No Presupuestales</w:t>
            </w:r>
          </w:p>
        </w:tc>
        <w:tc>
          <w:tcPr>
            <w:tcW w:w="1528" w:type="pct"/>
            <w:tcBorders>
              <w:top w:val="nil"/>
              <w:left w:val="nil"/>
              <w:bottom w:val="single" w:sz="4" w:space="0" w:color="auto"/>
              <w:right w:val="single" w:sz="4" w:space="0" w:color="auto"/>
            </w:tcBorders>
            <w:shd w:val="clear" w:color="auto" w:fill="auto"/>
            <w:vAlign w:val="center"/>
          </w:tcPr>
          <w:p w:rsidR="005069FD" w:rsidRPr="002C67DB" w:rsidRDefault="002138E7" w:rsidP="002138E7">
            <w:pPr>
              <w:spacing w:after="0"/>
              <w:jc w:val="right"/>
              <w:rPr>
                <w:rFonts w:asciiTheme="minorHAnsi" w:eastAsia="Times New Roman" w:hAnsiTheme="minorHAnsi" w:cstheme="minorHAnsi"/>
                <w:color w:val="000000"/>
                <w:sz w:val="18"/>
                <w:szCs w:val="20"/>
                <w:lang w:eastAsia="es-MX"/>
              </w:rPr>
            </w:pPr>
            <w:r>
              <w:rPr>
                <w:rFonts w:asciiTheme="minorHAnsi" w:eastAsia="Times New Roman" w:hAnsiTheme="minorHAnsi" w:cstheme="minorHAnsi"/>
                <w:color w:val="000000"/>
                <w:sz w:val="18"/>
                <w:szCs w:val="20"/>
                <w:lang w:eastAsia="es-MX"/>
              </w:rPr>
              <w:t>79,780</w:t>
            </w:r>
          </w:p>
        </w:tc>
        <w:tc>
          <w:tcPr>
            <w:tcW w:w="114" w:type="pct"/>
            <w:gridSpan w:val="2"/>
            <w:tcBorders>
              <w:top w:val="nil"/>
              <w:left w:val="nil"/>
              <w:bottom w:val="nil"/>
              <w:right w:val="nil"/>
            </w:tcBorders>
            <w:shd w:val="clear" w:color="auto" w:fill="auto"/>
            <w:noWrap/>
            <w:vAlign w:val="bottom"/>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trHeight w:val="58"/>
          <w:jc w:val="center"/>
        </w:trPr>
        <w:tc>
          <w:tcPr>
            <w:tcW w:w="743" w:type="pct"/>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c>
          <w:tcPr>
            <w:tcW w:w="2615" w:type="pct"/>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c>
          <w:tcPr>
            <w:tcW w:w="1528" w:type="pct"/>
            <w:tcBorders>
              <w:top w:val="nil"/>
              <w:left w:val="nil"/>
              <w:bottom w:val="single" w:sz="4" w:space="0" w:color="auto"/>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c>
          <w:tcPr>
            <w:tcW w:w="114" w:type="pct"/>
            <w:gridSpan w:val="2"/>
            <w:tcBorders>
              <w:top w:val="nil"/>
              <w:left w:val="nil"/>
              <w:bottom w:val="nil"/>
              <w:right w:val="nil"/>
            </w:tcBorders>
            <w:shd w:val="clear" w:color="auto" w:fill="auto"/>
            <w:noWrap/>
            <w:vAlign w:val="bottom"/>
            <w:hideMark/>
          </w:tcPr>
          <w:p w:rsidR="005069FD" w:rsidRPr="002C67DB" w:rsidRDefault="005069FD" w:rsidP="00C07EAF">
            <w:pPr>
              <w:spacing w:after="0"/>
              <w:rPr>
                <w:rFonts w:asciiTheme="minorHAnsi" w:eastAsia="Times New Roman" w:hAnsiTheme="minorHAnsi" w:cstheme="minorHAnsi"/>
                <w:color w:val="000000"/>
                <w:sz w:val="18"/>
                <w:szCs w:val="20"/>
                <w:lang w:eastAsia="es-MX"/>
              </w:rPr>
            </w:pPr>
          </w:p>
        </w:tc>
      </w:tr>
      <w:tr w:rsidR="005069FD" w:rsidRPr="002C67DB" w:rsidTr="00C07EAF">
        <w:trPr>
          <w:gridAfter w:val="2"/>
          <w:wAfter w:w="114" w:type="pct"/>
          <w:trHeight w:val="58"/>
          <w:jc w:val="center"/>
        </w:trPr>
        <w:tc>
          <w:tcPr>
            <w:tcW w:w="3358" w:type="pct"/>
            <w:gridSpan w:val="2"/>
            <w:tcBorders>
              <w:top w:val="single" w:sz="4" w:space="0" w:color="auto"/>
              <w:left w:val="single" w:sz="4" w:space="0" w:color="auto"/>
              <w:bottom w:val="single" w:sz="4" w:space="0" w:color="auto"/>
              <w:right w:val="nil"/>
            </w:tcBorders>
            <w:shd w:val="clear" w:color="auto" w:fill="AB0033"/>
            <w:noWrap/>
            <w:vAlign w:val="center"/>
            <w:hideMark/>
          </w:tcPr>
          <w:p w:rsidR="005069FD" w:rsidRPr="002C67DB" w:rsidRDefault="005069FD" w:rsidP="00C07EAF">
            <w:pPr>
              <w:spacing w:after="0"/>
              <w:rPr>
                <w:rFonts w:asciiTheme="minorHAnsi" w:eastAsia="Times New Roman" w:hAnsiTheme="minorHAnsi" w:cstheme="minorHAnsi"/>
                <w:b/>
                <w:color w:val="FFFFFF"/>
                <w:sz w:val="18"/>
                <w:szCs w:val="20"/>
                <w:lang w:eastAsia="es-MX"/>
              </w:rPr>
            </w:pPr>
            <w:r w:rsidRPr="002C67DB">
              <w:rPr>
                <w:rFonts w:asciiTheme="minorHAnsi" w:eastAsia="Times New Roman" w:hAnsiTheme="minorHAnsi" w:cstheme="minorHAnsi"/>
                <w:b/>
                <w:color w:val="FFFFFF"/>
                <w:sz w:val="18"/>
                <w:szCs w:val="20"/>
                <w:lang w:eastAsia="es-MX"/>
              </w:rPr>
              <w:t>4. Total de Gastos Contables</w:t>
            </w:r>
          </w:p>
        </w:tc>
        <w:tc>
          <w:tcPr>
            <w:tcW w:w="1528" w:type="pct"/>
            <w:tcBorders>
              <w:top w:val="single" w:sz="4" w:space="0" w:color="auto"/>
              <w:left w:val="single" w:sz="4" w:space="0" w:color="auto"/>
              <w:bottom w:val="single" w:sz="4" w:space="0" w:color="auto"/>
              <w:right w:val="single" w:sz="4" w:space="0" w:color="auto"/>
            </w:tcBorders>
            <w:shd w:val="clear" w:color="auto" w:fill="AB0033"/>
            <w:noWrap/>
            <w:vAlign w:val="center"/>
            <w:hideMark/>
          </w:tcPr>
          <w:p w:rsidR="005069FD" w:rsidRPr="002C67DB" w:rsidRDefault="005069FD" w:rsidP="00C07EAF">
            <w:pPr>
              <w:spacing w:after="0"/>
              <w:jc w:val="right"/>
              <w:rPr>
                <w:rFonts w:asciiTheme="minorHAnsi" w:eastAsia="Times New Roman" w:hAnsiTheme="minorHAnsi" w:cstheme="minorHAnsi"/>
                <w:b/>
                <w:color w:val="000000"/>
                <w:sz w:val="18"/>
                <w:szCs w:val="20"/>
                <w:lang w:eastAsia="es-MX"/>
              </w:rPr>
            </w:pPr>
            <w:r>
              <w:rPr>
                <w:rFonts w:asciiTheme="minorHAnsi" w:eastAsia="Times New Roman" w:hAnsiTheme="minorHAnsi" w:cstheme="minorHAnsi"/>
                <w:b/>
                <w:color w:val="FFFFFF" w:themeColor="background1"/>
                <w:sz w:val="18"/>
                <w:szCs w:val="20"/>
                <w:lang w:eastAsia="es-MX"/>
              </w:rPr>
              <w:t>83,610,030</w:t>
            </w:r>
          </w:p>
        </w:tc>
      </w:tr>
    </w:tbl>
    <w:p w:rsidR="005069FD" w:rsidRPr="00BA4C6E" w:rsidRDefault="005069FD" w:rsidP="005069FD">
      <w:pPr>
        <w:contextualSpacing/>
        <w:jc w:val="both"/>
        <w:rPr>
          <w:rFonts w:asciiTheme="minorHAnsi" w:hAnsiTheme="minorHAnsi" w:cs="Arial"/>
          <w:b/>
          <w:sz w:val="20"/>
          <w:szCs w:val="20"/>
          <w:u w:val="single"/>
        </w:rPr>
      </w:pPr>
    </w:p>
    <w:p w:rsidR="005069FD" w:rsidRPr="00BA4C6E" w:rsidRDefault="005069FD" w:rsidP="005069FD">
      <w:pPr>
        <w:contextualSpacing/>
        <w:jc w:val="both"/>
        <w:rPr>
          <w:rFonts w:asciiTheme="minorHAnsi" w:hAnsiTheme="minorHAnsi" w:cs="Arial"/>
          <w:sz w:val="20"/>
          <w:szCs w:val="20"/>
        </w:rPr>
      </w:pPr>
    </w:p>
    <w:p w:rsidR="005069FD" w:rsidRPr="008A0054" w:rsidRDefault="005069FD" w:rsidP="005069FD">
      <w:pPr>
        <w:pStyle w:val="Prrafodelista"/>
        <w:numPr>
          <w:ilvl w:val="0"/>
          <w:numId w:val="36"/>
        </w:numPr>
        <w:jc w:val="both"/>
        <w:rPr>
          <w:rFonts w:asciiTheme="minorHAnsi" w:hAnsiTheme="minorHAnsi" w:cs="Arial"/>
          <w:b/>
          <w:sz w:val="20"/>
          <w:szCs w:val="20"/>
        </w:rPr>
      </w:pPr>
      <w:r w:rsidRPr="008A0054">
        <w:rPr>
          <w:rFonts w:asciiTheme="minorHAnsi" w:hAnsiTheme="minorHAnsi" w:cs="Arial"/>
          <w:sz w:val="20"/>
          <w:szCs w:val="20"/>
        </w:rPr>
        <w:t xml:space="preserve">Los egresos presupuestarios, corresponde a los reflejados en el Estado Analítico de Egresos en el momento contable “devengado” por </w:t>
      </w:r>
      <w:r w:rsidRPr="008A0054">
        <w:rPr>
          <w:rFonts w:asciiTheme="minorHAnsi" w:hAnsiTheme="minorHAnsi" w:cs="Arial"/>
          <w:b/>
          <w:sz w:val="20"/>
          <w:szCs w:val="20"/>
        </w:rPr>
        <w:t>$ 81</w:t>
      </w:r>
      <w:proofErr w:type="gramStart"/>
      <w:r w:rsidRPr="008A0054">
        <w:rPr>
          <w:rFonts w:asciiTheme="minorHAnsi" w:hAnsiTheme="minorHAnsi" w:cs="Arial"/>
          <w:b/>
          <w:sz w:val="20"/>
          <w:szCs w:val="20"/>
        </w:rPr>
        <w:t>,999,677</w:t>
      </w:r>
      <w:proofErr w:type="gramEnd"/>
      <w:r w:rsidRPr="008A0054">
        <w:rPr>
          <w:rFonts w:asciiTheme="minorHAnsi" w:hAnsiTheme="minorHAnsi" w:cs="Arial"/>
          <w:b/>
          <w:sz w:val="20"/>
          <w:szCs w:val="20"/>
        </w:rPr>
        <w:t>.</w:t>
      </w:r>
    </w:p>
    <w:p w:rsidR="005069FD" w:rsidRPr="00BA4C6E" w:rsidRDefault="005069FD" w:rsidP="005069FD">
      <w:pPr>
        <w:contextualSpacing/>
        <w:jc w:val="both"/>
        <w:rPr>
          <w:rFonts w:asciiTheme="minorHAnsi" w:hAnsiTheme="minorHAnsi" w:cs="Arial"/>
          <w:sz w:val="20"/>
          <w:szCs w:val="20"/>
        </w:rPr>
      </w:pPr>
    </w:p>
    <w:p w:rsidR="005069FD" w:rsidRPr="008A0054" w:rsidRDefault="005069FD" w:rsidP="005069FD">
      <w:pPr>
        <w:pStyle w:val="Prrafodelista"/>
        <w:numPr>
          <w:ilvl w:val="0"/>
          <w:numId w:val="36"/>
        </w:numPr>
        <w:jc w:val="both"/>
        <w:rPr>
          <w:rFonts w:asciiTheme="minorHAnsi" w:hAnsiTheme="minorHAnsi" w:cs="Arial"/>
          <w:sz w:val="20"/>
          <w:szCs w:val="20"/>
        </w:rPr>
      </w:pPr>
      <w:r w:rsidRPr="008A0054">
        <w:rPr>
          <w:rFonts w:asciiTheme="minorHAnsi" w:hAnsiTheme="minorHAnsi" w:cs="Arial"/>
          <w:sz w:val="20"/>
          <w:szCs w:val="20"/>
        </w:rPr>
        <w:t xml:space="preserve">Otros egresos presupuestales no contables, </w:t>
      </w:r>
      <w:r w:rsidRPr="008A0054">
        <w:rPr>
          <w:rFonts w:asciiTheme="minorHAnsi" w:hAnsiTheme="minorHAnsi" w:cs="Arial"/>
          <w:b/>
          <w:sz w:val="20"/>
          <w:szCs w:val="20"/>
        </w:rPr>
        <w:t>$3</w:t>
      </w:r>
      <w:proofErr w:type="gramStart"/>
      <w:r w:rsidRPr="008A0054">
        <w:rPr>
          <w:rFonts w:asciiTheme="minorHAnsi" w:hAnsiTheme="minorHAnsi" w:cs="Arial"/>
          <w:b/>
          <w:sz w:val="20"/>
          <w:szCs w:val="20"/>
        </w:rPr>
        <w:t>,930,408</w:t>
      </w:r>
      <w:proofErr w:type="gramEnd"/>
      <w:r w:rsidRPr="008A0054">
        <w:rPr>
          <w:rFonts w:asciiTheme="minorHAnsi" w:hAnsiTheme="minorHAnsi" w:cs="Arial"/>
          <w:sz w:val="20"/>
          <w:szCs w:val="20"/>
        </w:rPr>
        <w:t xml:space="preserve">  corresponde a el importe reflejado en el Estado Analítico del ejercicio del presupuesto, en la partida de estudios, formulación y evaluación de proyectos productivos  correspondiente a la elaboración de estudios de obra pública, más las adquisiciones registradas en el almacén. </w:t>
      </w:r>
    </w:p>
    <w:p w:rsidR="005069FD" w:rsidRPr="00BA4C6E" w:rsidRDefault="005069FD" w:rsidP="005069FD">
      <w:pPr>
        <w:ind w:left="993" w:hanging="360"/>
        <w:contextualSpacing/>
        <w:rPr>
          <w:rFonts w:asciiTheme="minorHAnsi" w:hAnsiTheme="minorHAnsi" w:cs="Arial"/>
          <w:sz w:val="20"/>
          <w:szCs w:val="20"/>
        </w:rPr>
      </w:pPr>
    </w:p>
    <w:p w:rsidR="005069FD" w:rsidRPr="008A0054" w:rsidRDefault="005069FD" w:rsidP="005069FD">
      <w:pPr>
        <w:pStyle w:val="Prrafodelista"/>
        <w:numPr>
          <w:ilvl w:val="0"/>
          <w:numId w:val="36"/>
        </w:numPr>
        <w:jc w:val="both"/>
        <w:rPr>
          <w:rFonts w:asciiTheme="minorHAnsi" w:hAnsiTheme="minorHAnsi" w:cs="Arial"/>
          <w:sz w:val="20"/>
          <w:szCs w:val="20"/>
        </w:rPr>
      </w:pPr>
      <w:r w:rsidRPr="008A0054">
        <w:rPr>
          <w:rFonts w:asciiTheme="minorHAnsi" w:hAnsiTheme="minorHAnsi" w:cs="Arial"/>
          <w:sz w:val="20"/>
          <w:szCs w:val="20"/>
        </w:rPr>
        <w:t xml:space="preserve">Los gastos contables no presupuestales, corresponde al importe por concepto de depreciación y amortización al 31 de diciembre  de 2022 por </w:t>
      </w:r>
      <w:r w:rsidR="00F51557">
        <w:rPr>
          <w:rFonts w:asciiTheme="minorHAnsi" w:hAnsiTheme="minorHAnsi" w:cs="Arial"/>
          <w:b/>
          <w:sz w:val="20"/>
          <w:szCs w:val="20"/>
        </w:rPr>
        <w:t>$ 3,850,628</w:t>
      </w:r>
      <w:r w:rsidRPr="008A0054">
        <w:rPr>
          <w:rFonts w:asciiTheme="minorHAnsi" w:hAnsiTheme="minorHAnsi" w:cs="Arial"/>
          <w:b/>
          <w:sz w:val="20"/>
          <w:szCs w:val="20"/>
        </w:rPr>
        <w:t xml:space="preserve"> , </w:t>
      </w:r>
      <w:r w:rsidRPr="008A0054">
        <w:rPr>
          <w:rFonts w:asciiTheme="minorHAnsi" w:hAnsiTheme="minorHAnsi" w:cs="Arial"/>
          <w:sz w:val="20"/>
          <w:szCs w:val="20"/>
        </w:rPr>
        <w:t>así como el almacén de materiales por</w:t>
      </w:r>
      <w:r w:rsidR="00A43FDE">
        <w:rPr>
          <w:rFonts w:asciiTheme="minorHAnsi" w:hAnsiTheme="minorHAnsi" w:cs="Arial"/>
          <w:b/>
          <w:sz w:val="20"/>
          <w:szCs w:val="20"/>
        </w:rPr>
        <w:t xml:space="preserve"> $79,7</w:t>
      </w:r>
      <w:r w:rsidR="002138E7">
        <w:rPr>
          <w:rFonts w:asciiTheme="minorHAnsi" w:hAnsiTheme="minorHAnsi" w:cs="Arial"/>
          <w:b/>
          <w:sz w:val="20"/>
          <w:szCs w:val="20"/>
        </w:rPr>
        <w:t>80</w:t>
      </w:r>
      <w:r w:rsidR="00F51557">
        <w:rPr>
          <w:rFonts w:asciiTheme="minorHAnsi" w:hAnsiTheme="minorHAnsi" w:cs="Arial"/>
          <w:b/>
          <w:sz w:val="20"/>
          <w:szCs w:val="20"/>
        </w:rPr>
        <w:t xml:space="preserve"> </w:t>
      </w:r>
      <w:r w:rsidRPr="008A0054">
        <w:rPr>
          <w:rFonts w:asciiTheme="minorHAnsi" w:hAnsiTheme="minorHAnsi" w:cs="Arial"/>
          <w:b/>
          <w:sz w:val="20"/>
          <w:szCs w:val="20"/>
        </w:rPr>
        <w:t xml:space="preserve"> </w:t>
      </w:r>
      <w:r>
        <w:rPr>
          <w:rFonts w:asciiTheme="minorHAnsi" w:hAnsiTheme="minorHAnsi" w:cs="Arial"/>
          <w:sz w:val="20"/>
          <w:szCs w:val="20"/>
        </w:rPr>
        <w:t>resultando</w:t>
      </w:r>
      <w:r w:rsidRPr="008A0054">
        <w:rPr>
          <w:rFonts w:asciiTheme="minorHAnsi" w:hAnsiTheme="minorHAnsi" w:cs="Arial"/>
          <w:sz w:val="20"/>
          <w:szCs w:val="20"/>
        </w:rPr>
        <w:t xml:space="preserve"> un total de</w:t>
      </w:r>
      <w:r w:rsidRPr="008A0054">
        <w:rPr>
          <w:rFonts w:asciiTheme="minorHAnsi" w:hAnsiTheme="minorHAnsi" w:cs="Arial"/>
          <w:b/>
          <w:sz w:val="20"/>
          <w:szCs w:val="20"/>
        </w:rPr>
        <w:t xml:space="preserve"> $3,930,408</w:t>
      </w:r>
      <w:r>
        <w:rPr>
          <w:rFonts w:asciiTheme="minorHAnsi" w:hAnsiTheme="minorHAnsi" w:cs="Arial"/>
          <w:b/>
          <w:sz w:val="20"/>
          <w:szCs w:val="20"/>
        </w:rPr>
        <w:t>.</w:t>
      </w:r>
    </w:p>
    <w:p w:rsidR="005069FD" w:rsidRPr="00BA4C6E" w:rsidRDefault="005069FD" w:rsidP="005069FD">
      <w:pPr>
        <w:ind w:left="1080"/>
        <w:contextualSpacing/>
        <w:jc w:val="both"/>
        <w:rPr>
          <w:rFonts w:asciiTheme="minorHAnsi" w:hAnsiTheme="minorHAnsi" w:cs="Arial"/>
          <w:sz w:val="20"/>
          <w:szCs w:val="20"/>
        </w:rPr>
      </w:pPr>
    </w:p>
    <w:p w:rsidR="005069FD" w:rsidRPr="00BA4C6E" w:rsidRDefault="005069FD" w:rsidP="005069FD">
      <w:pPr>
        <w:pStyle w:val="Texto"/>
        <w:spacing w:after="0" w:line="240" w:lineRule="exact"/>
        <w:ind w:firstLine="0"/>
        <w:rPr>
          <w:rFonts w:asciiTheme="minorHAnsi" w:hAnsiTheme="minorHAnsi"/>
          <w:sz w:val="20"/>
        </w:rPr>
      </w:pPr>
      <w:r w:rsidRPr="00BA4C6E">
        <w:rPr>
          <w:rFonts w:asciiTheme="minorHAnsi" w:hAnsiTheme="minorHAnsi"/>
          <w:sz w:val="20"/>
        </w:rPr>
        <w:t>Bajo protesta de decir verdad declaramos que los Estados Financieros y sus Notas son razonablemente correctos y son responsabilidad del emisor.</w:t>
      </w:r>
    </w:p>
    <w:p w:rsidR="005069FD" w:rsidRPr="00BA4C6E" w:rsidRDefault="005069FD" w:rsidP="005069FD">
      <w:pPr>
        <w:pStyle w:val="Texto"/>
        <w:spacing w:after="0" w:line="240" w:lineRule="exact"/>
        <w:ind w:firstLine="0"/>
        <w:rPr>
          <w:rFonts w:asciiTheme="minorHAnsi" w:hAnsiTheme="minorHAnsi"/>
          <w:sz w:val="20"/>
        </w:rPr>
      </w:pPr>
    </w:p>
    <w:p w:rsidR="005069FD" w:rsidRPr="00BA4C6E" w:rsidRDefault="005069FD" w:rsidP="005069FD">
      <w:pPr>
        <w:pStyle w:val="Texto"/>
        <w:spacing w:after="0" w:line="240" w:lineRule="exact"/>
        <w:ind w:firstLine="0"/>
        <w:rPr>
          <w:rFonts w:asciiTheme="minorHAnsi" w:hAnsiTheme="minorHAnsi" w:cs="Arial"/>
          <w:b/>
          <w:smallCaps/>
          <w:sz w:val="20"/>
        </w:rPr>
      </w:pPr>
    </w:p>
    <w:p w:rsidR="005069FD" w:rsidRPr="00BA4C6E" w:rsidRDefault="005069FD" w:rsidP="005069FD">
      <w:pPr>
        <w:pStyle w:val="Texto"/>
        <w:spacing w:after="0" w:line="240" w:lineRule="exact"/>
        <w:ind w:firstLine="0"/>
        <w:rPr>
          <w:rFonts w:asciiTheme="minorHAnsi" w:hAnsiTheme="minorHAnsi" w:cs="Arial"/>
          <w:b/>
          <w:smallCaps/>
          <w:sz w:val="20"/>
        </w:rPr>
      </w:pPr>
    </w:p>
    <w:p w:rsidR="005069FD" w:rsidRPr="00BA4C6E" w:rsidRDefault="005069FD" w:rsidP="005069FD">
      <w:pPr>
        <w:pStyle w:val="Texto"/>
        <w:spacing w:after="0" w:line="240" w:lineRule="exact"/>
        <w:ind w:firstLine="0"/>
        <w:rPr>
          <w:rFonts w:asciiTheme="minorHAnsi" w:hAnsiTheme="minorHAnsi" w:cs="Arial"/>
          <w:b/>
          <w:smallCaps/>
          <w:sz w:val="20"/>
        </w:rPr>
      </w:pPr>
    </w:p>
    <w:p w:rsidR="005069FD" w:rsidRPr="00BA4C6E" w:rsidRDefault="005069FD" w:rsidP="005069FD">
      <w:pPr>
        <w:pStyle w:val="Texto"/>
        <w:spacing w:after="0" w:line="240" w:lineRule="exact"/>
        <w:ind w:firstLine="0"/>
        <w:rPr>
          <w:rFonts w:asciiTheme="minorHAnsi" w:hAnsiTheme="minorHAnsi" w:cs="Arial"/>
          <w:b/>
          <w:smallCaps/>
          <w:sz w:val="20"/>
        </w:rPr>
      </w:pPr>
    </w:p>
    <w:p w:rsidR="005069FD" w:rsidRPr="00BA4C6E" w:rsidRDefault="005069FD" w:rsidP="005069FD">
      <w:pPr>
        <w:pStyle w:val="Texto"/>
        <w:spacing w:after="0" w:line="240" w:lineRule="exact"/>
        <w:ind w:firstLine="0"/>
        <w:rPr>
          <w:rFonts w:asciiTheme="minorHAnsi" w:hAnsiTheme="minorHAnsi" w:cs="Arial"/>
          <w:b/>
          <w:smallCaps/>
          <w:sz w:val="20"/>
        </w:rPr>
      </w:pPr>
    </w:p>
    <w:p w:rsidR="005069FD" w:rsidRPr="00BA4C6E" w:rsidRDefault="005069FD" w:rsidP="005069FD">
      <w:pPr>
        <w:pStyle w:val="Texto"/>
        <w:spacing w:after="0" w:line="240" w:lineRule="exact"/>
        <w:ind w:firstLine="0"/>
        <w:rPr>
          <w:rFonts w:asciiTheme="minorHAnsi" w:hAnsiTheme="minorHAnsi" w:cs="Arial"/>
          <w:b/>
          <w:smallCaps/>
          <w:sz w:val="20"/>
        </w:rPr>
      </w:pPr>
    </w:p>
    <w:p w:rsidR="005069FD" w:rsidRPr="00BA4C6E" w:rsidRDefault="005069FD" w:rsidP="005069FD">
      <w:pPr>
        <w:pStyle w:val="Texto"/>
        <w:spacing w:after="0" w:line="240" w:lineRule="exact"/>
        <w:ind w:firstLine="0"/>
        <w:rPr>
          <w:rFonts w:asciiTheme="minorHAnsi" w:hAnsiTheme="minorHAnsi" w:cs="Arial"/>
          <w:b/>
          <w:smallCaps/>
          <w:sz w:val="20"/>
        </w:rPr>
      </w:pPr>
    </w:p>
    <w:p w:rsidR="005069FD" w:rsidRPr="00BA4C6E" w:rsidRDefault="005069FD" w:rsidP="005069FD">
      <w:pPr>
        <w:pStyle w:val="Texto"/>
        <w:spacing w:after="0" w:line="240" w:lineRule="exact"/>
        <w:ind w:firstLine="0"/>
        <w:rPr>
          <w:rFonts w:asciiTheme="minorHAnsi" w:hAnsiTheme="minorHAnsi" w:cs="Arial"/>
          <w:b/>
          <w:smallCaps/>
          <w:sz w:val="20"/>
        </w:rPr>
      </w:pPr>
    </w:p>
    <w:p w:rsidR="005069FD" w:rsidRPr="00BA4C6E" w:rsidRDefault="005069FD" w:rsidP="005069FD">
      <w:pPr>
        <w:pStyle w:val="Texto"/>
        <w:spacing w:after="0" w:line="240" w:lineRule="exact"/>
        <w:ind w:firstLine="0"/>
        <w:rPr>
          <w:rFonts w:asciiTheme="minorHAnsi" w:hAnsiTheme="minorHAnsi" w:cs="Arial"/>
          <w:b/>
          <w:smallCaps/>
          <w:sz w:val="20"/>
        </w:rPr>
      </w:pPr>
    </w:p>
    <w:p w:rsidR="005069FD" w:rsidRPr="00BA4C6E" w:rsidRDefault="005069FD" w:rsidP="005069FD">
      <w:pPr>
        <w:pStyle w:val="Texto"/>
        <w:spacing w:after="0" w:line="240" w:lineRule="exact"/>
        <w:ind w:firstLine="0"/>
        <w:rPr>
          <w:rFonts w:asciiTheme="minorHAnsi" w:hAnsiTheme="minorHAnsi" w:cs="Arial"/>
          <w:b/>
          <w:smallCaps/>
          <w:sz w:val="20"/>
        </w:rPr>
      </w:pPr>
    </w:p>
    <w:p w:rsidR="005069FD" w:rsidRPr="00BA4C6E" w:rsidRDefault="005069FD" w:rsidP="005069FD">
      <w:pPr>
        <w:pStyle w:val="Texto"/>
        <w:spacing w:after="0" w:line="240" w:lineRule="exact"/>
        <w:ind w:firstLine="0"/>
        <w:rPr>
          <w:rFonts w:asciiTheme="minorHAnsi" w:hAnsiTheme="minorHAnsi" w:cs="Arial"/>
          <w:b/>
          <w:smallCaps/>
          <w:sz w:val="20"/>
        </w:rPr>
      </w:pPr>
    </w:p>
    <w:p w:rsidR="005069FD" w:rsidRPr="00BA4C6E" w:rsidRDefault="005069FD" w:rsidP="005069FD">
      <w:pPr>
        <w:pStyle w:val="Texto"/>
        <w:spacing w:after="0" w:line="240" w:lineRule="exact"/>
        <w:ind w:firstLine="0"/>
        <w:rPr>
          <w:rFonts w:asciiTheme="minorHAnsi" w:hAnsiTheme="minorHAnsi" w:cs="Arial"/>
          <w:b/>
          <w:smallCaps/>
          <w:sz w:val="20"/>
        </w:rPr>
      </w:pPr>
    </w:p>
    <w:p w:rsidR="005069FD" w:rsidRPr="00BA4C6E" w:rsidRDefault="005069FD" w:rsidP="005069FD">
      <w:pPr>
        <w:pStyle w:val="Texto"/>
        <w:spacing w:after="0" w:line="240" w:lineRule="exact"/>
        <w:ind w:firstLine="0"/>
        <w:rPr>
          <w:rFonts w:asciiTheme="minorHAnsi" w:hAnsiTheme="minorHAnsi" w:cs="Arial"/>
          <w:b/>
          <w:smallCaps/>
          <w:sz w:val="20"/>
        </w:rPr>
      </w:pPr>
    </w:p>
    <w:p w:rsidR="005069FD" w:rsidRDefault="005069FD" w:rsidP="005069FD">
      <w:pPr>
        <w:pStyle w:val="Texto"/>
        <w:spacing w:after="0" w:line="240" w:lineRule="exact"/>
        <w:ind w:firstLine="0"/>
        <w:rPr>
          <w:rFonts w:asciiTheme="minorHAnsi" w:hAnsiTheme="minorHAnsi" w:cs="Arial"/>
          <w:b/>
          <w:smallCaps/>
          <w:sz w:val="20"/>
        </w:rPr>
      </w:pPr>
    </w:p>
    <w:p w:rsidR="005069FD" w:rsidRDefault="005069FD" w:rsidP="005069FD">
      <w:pPr>
        <w:pStyle w:val="Texto"/>
        <w:spacing w:after="0" w:line="240" w:lineRule="exact"/>
        <w:ind w:firstLine="0"/>
        <w:rPr>
          <w:rFonts w:asciiTheme="minorHAnsi" w:hAnsiTheme="minorHAnsi" w:cs="Arial"/>
          <w:b/>
          <w:smallCaps/>
          <w:sz w:val="20"/>
        </w:rPr>
      </w:pPr>
    </w:p>
    <w:p w:rsidR="005069FD" w:rsidRDefault="005069FD" w:rsidP="005069FD">
      <w:pPr>
        <w:pStyle w:val="Texto"/>
        <w:spacing w:after="0" w:line="240" w:lineRule="exact"/>
        <w:ind w:firstLine="0"/>
        <w:rPr>
          <w:rFonts w:asciiTheme="minorHAnsi" w:hAnsiTheme="minorHAnsi" w:cs="Arial"/>
          <w:b/>
          <w:smallCaps/>
          <w:sz w:val="20"/>
        </w:rPr>
      </w:pPr>
    </w:p>
    <w:p w:rsidR="005069FD" w:rsidRDefault="005069FD" w:rsidP="005069FD">
      <w:pPr>
        <w:pStyle w:val="Texto"/>
        <w:spacing w:after="0" w:line="240" w:lineRule="exact"/>
        <w:ind w:firstLine="0"/>
        <w:rPr>
          <w:rFonts w:asciiTheme="minorHAnsi" w:hAnsiTheme="minorHAnsi" w:cs="Arial"/>
          <w:b/>
          <w:smallCaps/>
          <w:sz w:val="20"/>
        </w:rPr>
      </w:pPr>
    </w:p>
    <w:p w:rsidR="005069FD" w:rsidRDefault="005069FD" w:rsidP="005069FD">
      <w:pPr>
        <w:pStyle w:val="Texto"/>
        <w:spacing w:after="0" w:line="240" w:lineRule="exact"/>
        <w:ind w:firstLine="0"/>
        <w:rPr>
          <w:rFonts w:asciiTheme="minorHAnsi" w:hAnsiTheme="minorHAnsi" w:cs="Arial"/>
          <w:b/>
          <w:smallCaps/>
          <w:sz w:val="20"/>
        </w:rPr>
      </w:pPr>
    </w:p>
    <w:p w:rsidR="005069FD" w:rsidRDefault="005069FD" w:rsidP="005069FD">
      <w:pPr>
        <w:pStyle w:val="Texto"/>
        <w:spacing w:after="0" w:line="240" w:lineRule="exact"/>
        <w:ind w:firstLine="0"/>
        <w:rPr>
          <w:rFonts w:asciiTheme="minorHAnsi" w:hAnsiTheme="minorHAnsi" w:cs="Arial"/>
          <w:b/>
          <w:smallCaps/>
          <w:sz w:val="20"/>
        </w:rPr>
      </w:pPr>
    </w:p>
    <w:p w:rsidR="005069FD" w:rsidRDefault="005069FD" w:rsidP="005069FD">
      <w:pPr>
        <w:pStyle w:val="Texto"/>
        <w:spacing w:after="0" w:line="240" w:lineRule="exact"/>
        <w:ind w:firstLine="0"/>
        <w:rPr>
          <w:rFonts w:asciiTheme="minorHAnsi" w:hAnsiTheme="minorHAnsi" w:cs="Arial"/>
          <w:b/>
          <w:smallCaps/>
          <w:sz w:val="20"/>
        </w:rPr>
      </w:pPr>
    </w:p>
    <w:p w:rsidR="005069FD" w:rsidRPr="00BA4C6E" w:rsidRDefault="005069FD" w:rsidP="005069FD">
      <w:pPr>
        <w:pStyle w:val="Texto"/>
        <w:spacing w:after="0" w:line="240" w:lineRule="exact"/>
        <w:ind w:firstLine="0"/>
        <w:rPr>
          <w:rFonts w:asciiTheme="minorHAnsi" w:hAnsiTheme="minorHAnsi" w:cs="Arial"/>
          <w:b/>
          <w:smallCaps/>
          <w:sz w:val="20"/>
        </w:rPr>
      </w:pPr>
    </w:p>
    <w:tbl>
      <w:tblPr>
        <w:tblStyle w:val="Tablaconcuadrcula"/>
        <w:tblW w:w="10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2"/>
        <w:gridCol w:w="4048"/>
        <w:gridCol w:w="3153"/>
      </w:tblGrid>
      <w:tr w:rsidR="005069FD" w:rsidRPr="00BA4C6E" w:rsidTr="00C07EAF">
        <w:trPr>
          <w:trHeight w:val="1310"/>
        </w:trPr>
        <w:tc>
          <w:tcPr>
            <w:tcW w:w="3232" w:type="dxa"/>
          </w:tcPr>
          <w:p w:rsidR="005069FD" w:rsidRPr="00E21765" w:rsidRDefault="005069FD" w:rsidP="00C07EAF">
            <w:pPr>
              <w:pStyle w:val="NormalWeb"/>
              <w:spacing w:before="0" w:beforeAutospacing="0" w:after="0" w:afterAutospacing="0"/>
              <w:jc w:val="center"/>
              <w:rPr>
                <w:rFonts w:asciiTheme="minorHAnsi" w:hAnsiTheme="minorHAnsi" w:cs="Arial"/>
                <w:b/>
                <w:smallCaps/>
                <w:sz w:val="20"/>
                <w:szCs w:val="20"/>
                <w:lang w:val="es-ES"/>
              </w:rPr>
            </w:pPr>
          </w:p>
        </w:tc>
        <w:tc>
          <w:tcPr>
            <w:tcW w:w="4048" w:type="dxa"/>
          </w:tcPr>
          <w:p w:rsidR="005069FD" w:rsidRPr="00BA4C6E" w:rsidRDefault="005069FD" w:rsidP="00C07EAF">
            <w:pPr>
              <w:pStyle w:val="NormalWeb"/>
              <w:spacing w:before="0" w:beforeAutospacing="0" w:after="0" w:afterAutospacing="0"/>
              <w:jc w:val="center"/>
              <w:rPr>
                <w:rFonts w:asciiTheme="minorHAnsi" w:hAnsiTheme="minorHAnsi" w:cs="Arial"/>
                <w:b/>
                <w:smallCaps/>
                <w:sz w:val="20"/>
                <w:szCs w:val="20"/>
              </w:rPr>
            </w:pPr>
          </w:p>
        </w:tc>
        <w:tc>
          <w:tcPr>
            <w:tcW w:w="3153" w:type="dxa"/>
          </w:tcPr>
          <w:p w:rsidR="005069FD" w:rsidRPr="00BA4C6E" w:rsidRDefault="005069FD" w:rsidP="00C07EAF">
            <w:pPr>
              <w:pStyle w:val="NormalWeb"/>
              <w:spacing w:before="0" w:beforeAutospacing="0" w:after="0" w:afterAutospacing="0"/>
              <w:jc w:val="center"/>
              <w:rPr>
                <w:rFonts w:asciiTheme="minorHAnsi" w:hAnsiTheme="minorHAnsi" w:cs="Arial"/>
                <w:b/>
                <w:smallCaps/>
                <w:sz w:val="20"/>
                <w:szCs w:val="20"/>
              </w:rPr>
            </w:pPr>
          </w:p>
        </w:tc>
      </w:tr>
    </w:tbl>
    <w:p w:rsidR="005069FD" w:rsidRDefault="005069FD" w:rsidP="005069FD">
      <w:pPr>
        <w:pStyle w:val="Texto"/>
        <w:spacing w:after="0" w:line="240" w:lineRule="exact"/>
        <w:ind w:firstLine="0"/>
        <w:jc w:val="center"/>
        <w:rPr>
          <w:rFonts w:asciiTheme="minorHAnsi" w:hAnsiTheme="minorHAnsi" w:cs="Arial"/>
          <w:b/>
          <w:sz w:val="20"/>
        </w:rPr>
      </w:pPr>
    </w:p>
    <w:p w:rsidR="00374036" w:rsidRPr="00BA4C6E" w:rsidRDefault="00374036" w:rsidP="005069FD">
      <w:pPr>
        <w:pStyle w:val="Texto"/>
        <w:spacing w:after="0" w:line="240" w:lineRule="exact"/>
        <w:ind w:firstLine="0"/>
        <w:jc w:val="center"/>
        <w:rPr>
          <w:rFonts w:asciiTheme="minorHAnsi" w:hAnsiTheme="minorHAnsi" w:cs="Arial"/>
          <w:b/>
          <w:sz w:val="20"/>
        </w:rPr>
      </w:pPr>
    </w:p>
    <w:p w:rsidR="005069FD" w:rsidRDefault="005069FD" w:rsidP="005069FD">
      <w:pPr>
        <w:pStyle w:val="Texto"/>
        <w:spacing w:after="0" w:line="240" w:lineRule="exact"/>
        <w:ind w:firstLine="0"/>
        <w:jc w:val="center"/>
        <w:rPr>
          <w:rFonts w:asciiTheme="minorHAnsi" w:hAnsiTheme="minorHAnsi" w:cs="Arial"/>
          <w:b/>
          <w:sz w:val="20"/>
        </w:rPr>
      </w:pPr>
    </w:p>
    <w:p w:rsidR="005069FD" w:rsidRDefault="005069FD" w:rsidP="005069FD">
      <w:pPr>
        <w:pStyle w:val="Texto"/>
        <w:spacing w:after="0" w:line="240" w:lineRule="exact"/>
        <w:ind w:firstLine="0"/>
        <w:jc w:val="center"/>
        <w:rPr>
          <w:rFonts w:asciiTheme="minorHAnsi" w:hAnsiTheme="minorHAnsi" w:cs="Arial"/>
          <w:b/>
          <w:sz w:val="20"/>
        </w:rPr>
      </w:pPr>
    </w:p>
    <w:p w:rsidR="005069FD" w:rsidRPr="00BA4C6E" w:rsidRDefault="005069FD" w:rsidP="005069FD">
      <w:pPr>
        <w:pStyle w:val="Texto"/>
        <w:spacing w:after="0" w:line="240" w:lineRule="exact"/>
        <w:ind w:firstLine="0"/>
        <w:jc w:val="center"/>
        <w:rPr>
          <w:rFonts w:asciiTheme="minorHAnsi" w:hAnsiTheme="minorHAnsi" w:cs="Arial"/>
          <w:b/>
          <w:sz w:val="20"/>
          <w:lang w:val="es-MX"/>
        </w:rPr>
      </w:pPr>
      <w:r w:rsidRPr="00BA4C6E">
        <w:rPr>
          <w:rFonts w:asciiTheme="minorHAnsi" w:hAnsiTheme="minorHAnsi" w:cs="Arial"/>
          <w:b/>
          <w:sz w:val="20"/>
        </w:rPr>
        <w:lastRenderedPageBreak/>
        <w:t>B)</w:t>
      </w:r>
      <w:r w:rsidRPr="00BA4C6E">
        <w:rPr>
          <w:rFonts w:asciiTheme="minorHAnsi" w:hAnsiTheme="minorHAnsi" w:cs="Arial"/>
          <w:sz w:val="20"/>
        </w:rPr>
        <w:t xml:space="preserve"> </w:t>
      </w:r>
      <w:r w:rsidRPr="00BA4C6E">
        <w:rPr>
          <w:rFonts w:asciiTheme="minorHAnsi" w:hAnsiTheme="minorHAnsi" w:cs="Arial"/>
          <w:b/>
          <w:sz w:val="20"/>
          <w:lang w:val="es-MX"/>
        </w:rPr>
        <w:t>NOTAS DE MEMORIA (CUENTAS DE ORDEN)</w:t>
      </w:r>
    </w:p>
    <w:p w:rsidR="005069FD" w:rsidRPr="00BA4C6E" w:rsidRDefault="005069FD" w:rsidP="005069FD">
      <w:pPr>
        <w:pStyle w:val="Texto"/>
        <w:spacing w:after="0" w:line="240" w:lineRule="exact"/>
        <w:jc w:val="center"/>
        <w:rPr>
          <w:rFonts w:asciiTheme="minorHAnsi" w:hAnsiTheme="minorHAnsi" w:cs="Arial"/>
          <w:sz w:val="20"/>
          <w:lang w:val="es-MX"/>
        </w:rPr>
      </w:pPr>
    </w:p>
    <w:p w:rsidR="005069FD" w:rsidRPr="00BA4C6E" w:rsidRDefault="005069FD" w:rsidP="005069FD">
      <w:pPr>
        <w:pStyle w:val="Texto"/>
        <w:spacing w:after="0" w:line="240" w:lineRule="exact"/>
        <w:jc w:val="left"/>
        <w:rPr>
          <w:rFonts w:asciiTheme="minorHAnsi" w:hAnsiTheme="minorHAnsi" w:cs="Arial"/>
          <w:sz w:val="20"/>
        </w:rPr>
      </w:pPr>
      <w:r w:rsidRPr="00BA4C6E">
        <w:rPr>
          <w:rFonts w:asciiTheme="minorHAnsi" w:hAnsiTheme="minorHAnsi" w:cs="Arial"/>
          <w:b/>
          <w:sz w:val="20"/>
        </w:rPr>
        <w:t>Cuentas de Orden Contables y Presupuestarias</w:t>
      </w:r>
      <w:r w:rsidRPr="00BA4C6E">
        <w:rPr>
          <w:rFonts w:asciiTheme="minorHAnsi" w:hAnsiTheme="minorHAnsi" w:cs="Arial"/>
          <w:sz w:val="20"/>
        </w:rPr>
        <w:t>:</w:t>
      </w:r>
    </w:p>
    <w:p w:rsidR="005069FD" w:rsidRPr="00BA4C6E" w:rsidRDefault="005069FD" w:rsidP="005069FD">
      <w:pPr>
        <w:pStyle w:val="Texto"/>
        <w:spacing w:after="0" w:line="240" w:lineRule="exact"/>
        <w:rPr>
          <w:rFonts w:asciiTheme="minorHAnsi" w:hAnsiTheme="minorHAnsi" w:cs="Arial"/>
          <w:b/>
          <w:sz w:val="20"/>
        </w:rPr>
      </w:pPr>
    </w:p>
    <w:p w:rsidR="005069FD" w:rsidRPr="00BA4C6E" w:rsidRDefault="005069FD" w:rsidP="005069FD">
      <w:pPr>
        <w:ind w:left="360"/>
        <w:contextualSpacing/>
        <w:jc w:val="both"/>
        <w:rPr>
          <w:rFonts w:asciiTheme="minorHAnsi" w:hAnsiTheme="minorHAnsi" w:cs="Arial"/>
          <w:sz w:val="20"/>
          <w:szCs w:val="20"/>
        </w:rPr>
      </w:pPr>
      <w:r w:rsidRPr="00BA4C6E">
        <w:rPr>
          <w:rFonts w:asciiTheme="minorHAnsi" w:hAnsiTheme="minorHAnsi" w:cs="Arial"/>
          <w:sz w:val="20"/>
          <w:szCs w:val="20"/>
        </w:rPr>
        <w:t xml:space="preserve">La Comisión Estatal del Agua de Tamaulipas inicio operaciones con un presupuesto total aprobado al 31 de diciembre de 2021 por: </w:t>
      </w:r>
      <w:r w:rsidRPr="00BA4C6E">
        <w:rPr>
          <w:rFonts w:asciiTheme="minorHAnsi" w:hAnsiTheme="minorHAnsi" w:cs="Arial"/>
          <w:b/>
          <w:sz w:val="20"/>
          <w:szCs w:val="20"/>
        </w:rPr>
        <w:t>$53</w:t>
      </w:r>
      <w:proofErr w:type="gramStart"/>
      <w:r w:rsidRPr="00BA4C6E">
        <w:rPr>
          <w:rFonts w:asciiTheme="minorHAnsi" w:hAnsiTheme="minorHAnsi" w:cs="Arial"/>
          <w:b/>
          <w:sz w:val="20"/>
          <w:szCs w:val="20"/>
        </w:rPr>
        <w:t>,825,318</w:t>
      </w:r>
      <w:proofErr w:type="gramEnd"/>
      <w:r w:rsidRPr="00BA4C6E">
        <w:rPr>
          <w:rFonts w:asciiTheme="minorHAnsi" w:hAnsiTheme="minorHAnsi" w:cs="Arial"/>
          <w:sz w:val="20"/>
          <w:szCs w:val="20"/>
        </w:rPr>
        <w:t xml:space="preserve"> mostrado en la ley de ingresos estimada.</w:t>
      </w:r>
    </w:p>
    <w:p w:rsidR="005069FD" w:rsidRPr="00BA4C6E" w:rsidRDefault="005069FD" w:rsidP="005069FD">
      <w:pPr>
        <w:ind w:left="360"/>
        <w:contextualSpacing/>
        <w:jc w:val="both"/>
        <w:rPr>
          <w:rFonts w:asciiTheme="minorHAnsi" w:hAnsiTheme="minorHAnsi" w:cs="Arial"/>
          <w:sz w:val="20"/>
          <w:szCs w:val="20"/>
        </w:rPr>
      </w:pPr>
    </w:p>
    <w:tbl>
      <w:tblPr>
        <w:tblW w:w="6341" w:type="dxa"/>
        <w:tblInd w:w="1776" w:type="dxa"/>
        <w:tblCellMar>
          <w:left w:w="70" w:type="dxa"/>
          <w:right w:w="70" w:type="dxa"/>
        </w:tblCellMar>
        <w:tblLook w:val="04A0" w:firstRow="1" w:lastRow="0" w:firstColumn="1" w:lastColumn="0" w:noHBand="0" w:noVBand="1"/>
      </w:tblPr>
      <w:tblGrid>
        <w:gridCol w:w="4750"/>
        <w:gridCol w:w="1591"/>
      </w:tblGrid>
      <w:tr w:rsidR="005069FD" w:rsidRPr="00BA4C6E" w:rsidTr="00C07EAF">
        <w:trPr>
          <w:trHeight w:val="177"/>
        </w:trPr>
        <w:tc>
          <w:tcPr>
            <w:tcW w:w="4750" w:type="dxa"/>
            <w:vMerge w:val="restart"/>
            <w:tcBorders>
              <w:top w:val="single" w:sz="4" w:space="0" w:color="auto"/>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Rubro de Ingresos</w:t>
            </w:r>
          </w:p>
        </w:tc>
        <w:tc>
          <w:tcPr>
            <w:tcW w:w="1591" w:type="dxa"/>
            <w:tcBorders>
              <w:top w:val="single" w:sz="4" w:space="0" w:color="auto"/>
              <w:left w:val="nil"/>
              <w:bottom w:val="single" w:sz="4" w:space="0" w:color="auto"/>
              <w:right w:val="single" w:sz="4" w:space="0" w:color="auto"/>
            </w:tcBorders>
            <w:shd w:val="clear" w:color="auto" w:fill="AB0033"/>
            <w:noWrap/>
            <w:vAlign w:val="bottom"/>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Estimado</w:t>
            </w:r>
          </w:p>
        </w:tc>
      </w:tr>
      <w:tr w:rsidR="005069FD" w:rsidRPr="00BA4C6E" w:rsidTr="00C07EAF">
        <w:trPr>
          <w:trHeight w:val="497"/>
        </w:trPr>
        <w:tc>
          <w:tcPr>
            <w:tcW w:w="4750" w:type="dxa"/>
            <w:vMerge/>
            <w:tcBorders>
              <w:top w:val="single" w:sz="4" w:space="0" w:color="auto"/>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rPr>
                <w:rFonts w:asciiTheme="minorHAnsi" w:eastAsia="Times New Roman" w:hAnsiTheme="minorHAnsi" w:cs="Arial"/>
                <w:b/>
                <w:bCs/>
                <w:color w:val="FFFFFF"/>
                <w:sz w:val="20"/>
                <w:szCs w:val="20"/>
                <w:lang w:eastAsia="es-MX"/>
              </w:rPr>
            </w:pPr>
          </w:p>
        </w:tc>
        <w:tc>
          <w:tcPr>
            <w:tcW w:w="1591" w:type="dxa"/>
            <w:tcBorders>
              <w:top w:val="single" w:sz="4" w:space="0" w:color="auto"/>
              <w:left w:val="nil"/>
              <w:bottom w:val="single" w:sz="4" w:space="0" w:color="auto"/>
              <w:right w:val="single" w:sz="4" w:space="0" w:color="auto"/>
            </w:tcBorders>
            <w:shd w:val="clear" w:color="auto" w:fill="AB0033"/>
            <w:noWrap/>
            <w:vAlign w:val="bottom"/>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(1)</w:t>
            </w:r>
          </w:p>
        </w:tc>
      </w:tr>
      <w:tr w:rsidR="005069FD" w:rsidRPr="00BA4C6E" w:rsidTr="00C07EAF">
        <w:trPr>
          <w:trHeight w:val="547"/>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Impuestos</w:t>
            </w:r>
          </w:p>
        </w:tc>
        <w:tc>
          <w:tcPr>
            <w:tcW w:w="1591" w:type="dxa"/>
            <w:tcBorders>
              <w:top w:val="single" w:sz="4" w:space="0" w:color="auto"/>
              <w:left w:val="nil"/>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413"/>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Cuotas y Aportaciones de Seguridad Social</w:t>
            </w:r>
          </w:p>
        </w:tc>
        <w:tc>
          <w:tcPr>
            <w:tcW w:w="159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423"/>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Contribuciones de mejoras</w:t>
            </w:r>
          </w:p>
        </w:tc>
        <w:tc>
          <w:tcPr>
            <w:tcW w:w="159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417"/>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Derechos</w:t>
            </w:r>
          </w:p>
        </w:tc>
        <w:tc>
          <w:tcPr>
            <w:tcW w:w="159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411"/>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Productos</w:t>
            </w:r>
          </w:p>
        </w:tc>
        <w:tc>
          <w:tcPr>
            <w:tcW w:w="159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410"/>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Corriente</w:t>
            </w:r>
          </w:p>
        </w:tc>
        <w:tc>
          <w:tcPr>
            <w:tcW w:w="159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429"/>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Capital</w:t>
            </w:r>
          </w:p>
        </w:tc>
        <w:tc>
          <w:tcPr>
            <w:tcW w:w="159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407"/>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Aprovechamientos</w:t>
            </w:r>
          </w:p>
        </w:tc>
        <w:tc>
          <w:tcPr>
            <w:tcW w:w="159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427"/>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Corriente</w:t>
            </w:r>
          </w:p>
        </w:tc>
        <w:tc>
          <w:tcPr>
            <w:tcW w:w="159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406"/>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Capital</w:t>
            </w:r>
          </w:p>
        </w:tc>
        <w:tc>
          <w:tcPr>
            <w:tcW w:w="159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412"/>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Ingresos por Ventas de Bienes y Servicios</w:t>
            </w:r>
          </w:p>
        </w:tc>
        <w:tc>
          <w:tcPr>
            <w:tcW w:w="1591" w:type="dxa"/>
            <w:tcBorders>
              <w:top w:val="single" w:sz="4" w:space="0" w:color="auto"/>
              <w:left w:val="nil"/>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 xml:space="preserve">   80,000.00</w:t>
            </w:r>
          </w:p>
        </w:tc>
      </w:tr>
      <w:tr w:rsidR="005069FD" w:rsidRPr="00BA4C6E" w:rsidTr="00C07EAF">
        <w:trPr>
          <w:trHeight w:val="431"/>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Participaciones y Aportaciones</w:t>
            </w:r>
          </w:p>
        </w:tc>
        <w:tc>
          <w:tcPr>
            <w:tcW w:w="1591" w:type="dxa"/>
            <w:tcBorders>
              <w:top w:val="single" w:sz="4" w:space="0" w:color="auto"/>
              <w:left w:val="nil"/>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53,745,318</w:t>
            </w:r>
          </w:p>
        </w:tc>
      </w:tr>
      <w:tr w:rsidR="005069FD" w:rsidRPr="00BA4C6E" w:rsidTr="00C07EAF">
        <w:trPr>
          <w:trHeight w:val="409"/>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Transferencias, Asignaciones, Subsidios y Otras Ayudas</w:t>
            </w:r>
          </w:p>
        </w:tc>
        <w:tc>
          <w:tcPr>
            <w:tcW w:w="159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415"/>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Ingresos Derivados de Financiamiento</w:t>
            </w:r>
          </w:p>
        </w:tc>
        <w:tc>
          <w:tcPr>
            <w:tcW w:w="159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415"/>
        </w:trPr>
        <w:tc>
          <w:tcPr>
            <w:tcW w:w="4750" w:type="dxa"/>
            <w:tcBorders>
              <w:top w:val="nil"/>
              <w:left w:val="single" w:sz="4" w:space="0" w:color="auto"/>
              <w:bottom w:val="single" w:sz="4" w:space="0" w:color="auto"/>
              <w:right w:val="single" w:sz="4" w:space="0" w:color="auto"/>
            </w:tcBorders>
            <w:shd w:val="clear" w:color="auto" w:fill="AB0033"/>
            <w:noWrap/>
            <w:vAlign w:val="bottom"/>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Total</w:t>
            </w:r>
          </w:p>
        </w:tc>
        <w:tc>
          <w:tcPr>
            <w:tcW w:w="1591" w:type="dxa"/>
            <w:tcBorders>
              <w:top w:val="single" w:sz="4" w:space="0" w:color="auto"/>
              <w:left w:val="nil"/>
              <w:bottom w:val="single" w:sz="4" w:space="0" w:color="auto"/>
              <w:right w:val="single" w:sz="4" w:space="0" w:color="000000"/>
            </w:tcBorders>
            <w:shd w:val="clear" w:color="auto" w:fill="AB0033"/>
            <w:noWrap/>
            <w:vAlign w:val="bottom"/>
            <w:hideMark/>
          </w:tcPr>
          <w:p w:rsidR="005069FD" w:rsidRPr="00BA4C6E" w:rsidRDefault="005069FD" w:rsidP="00C07EAF">
            <w:pPr>
              <w:spacing w:after="0"/>
              <w:jc w:val="right"/>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53,825,318</w:t>
            </w:r>
          </w:p>
        </w:tc>
      </w:tr>
    </w:tbl>
    <w:p w:rsidR="005069FD" w:rsidRDefault="005069FD" w:rsidP="005069FD">
      <w:pPr>
        <w:ind w:left="360"/>
        <w:contextualSpacing/>
        <w:jc w:val="both"/>
        <w:rPr>
          <w:rFonts w:asciiTheme="minorHAnsi" w:hAnsiTheme="minorHAnsi" w:cs="Arial"/>
          <w:b/>
          <w:sz w:val="20"/>
          <w:szCs w:val="20"/>
        </w:rPr>
      </w:pPr>
    </w:p>
    <w:p w:rsidR="005069FD" w:rsidRPr="00BA4C6E" w:rsidRDefault="005069FD" w:rsidP="005069FD">
      <w:pPr>
        <w:ind w:left="360"/>
        <w:contextualSpacing/>
        <w:jc w:val="both"/>
        <w:rPr>
          <w:rFonts w:asciiTheme="minorHAnsi" w:hAnsiTheme="minorHAnsi" w:cs="Arial"/>
          <w:sz w:val="20"/>
          <w:szCs w:val="20"/>
        </w:rPr>
      </w:pPr>
      <w:r w:rsidRPr="00BA4C6E">
        <w:rPr>
          <w:rFonts w:asciiTheme="minorHAnsi" w:hAnsiTheme="minorHAnsi" w:cs="Arial"/>
          <w:b/>
          <w:sz w:val="20"/>
          <w:szCs w:val="20"/>
        </w:rPr>
        <w:t xml:space="preserve">Ley de Ingresos Modificada: </w:t>
      </w:r>
      <w:r w:rsidRPr="00BA4C6E">
        <w:rPr>
          <w:rFonts w:asciiTheme="minorHAnsi" w:hAnsiTheme="minorHAnsi" w:cs="Arial"/>
          <w:sz w:val="20"/>
          <w:szCs w:val="20"/>
        </w:rPr>
        <w:t xml:space="preserve">En este momento contable se refleja la asignación presupuestaria en lo relativo a la ley de ingresos que resulta de incorporar en su caso, las modificaciones al ingreso estimado, previstas en la ley de ingresos al término al 31 de diciembre de 2022. El importe a incrementar es por </w:t>
      </w:r>
      <w:r w:rsidRPr="00BA4C6E">
        <w:rPr>
          <w:rFonts w:asciiTheme="minorHAnsi" w:hAnsiTheme="minorHAnsi" w:cs="Arial"/>
          <w:b/>
          <w:sz w:val="20"/>
          <w:szCs w:val="20"/>
        </w:rPr>
        <w:t xml:space="preserve">$ </w:t>
      </w:r>
      <w:r>
        <w:rPr>
          <w:rFonts w:asciiTheme="minorHAnsi" w:hAnsiTheme="minorHAnsi" w:cs="Arial"/>
          <w:b/>
          <w:sz w:val="20"/>
          <w:szCs w:val="20"/>
        </w:rPr>
        <w:t>39</w:t>
      </w:r>
      <w:proofErr w:type="gramStart"/>
      <w:r>
        <w:rPr>
          <w:rFonts w:asciiTheme="minorHAnsi" w:hAnsiTheme="minorHAnsi" w:cs="Arial"/>
          <w:b/>
          <w:sz w:val="20"/>
          <w:szCs w:val="20"/>
        </w:rPr>
        <w:t>,110,785</w:t>
      </w:r>
      <w:proofErr w:type="gramEnd"/>
      <w:r w:rsidRPr="00BA4C6E">
        <w:rPr>
          <w:rFonts w:asciiTheme="minorHAnsi" w:hAnsiTheme="minorHAnsi" w:cs="Arial"/>
          <w:b/>
          <w:sz w:val="20"/>
          <w:szCs w:val="20"/>
        </w:rPr>
        <w:t xml:space="preserve"> </w:t>
      </w:r>
      <w:r w:rsidRPr="00BA4C6E">
        <w:rPr>
          <w:rFonts w:asciiTheme="minorHAnsi" w:hAnsiTheme="minorHAnsi" w:cs="Arial"/>
          <w:sz w:val="20"/>
          <w:szCs w:val="20"/>
        </w:rPr>
        <w:t xml:space="preserve">quedando un total modificado por </w:t>
      </w:r>
      <w:r w:rsidRPr="00BA4C6E">
        <w:rPr>
          <w:rFonts w:asciiTheme="minorHAnsi" w:hAnsiTheme="minorHAnsi" w:cs="Arial"/>
          <w:b/>
          <w:sz w:val="20"/>
          <w:szCs w:val="20"/>
        </w:rPr>
        <w:t>$</w:t>
      </w:r>
      <w:r>
        <w:rPr>
          <w:rFonts w:asciiTheme="minorHAnsi" w:hAnsiTheme="minorHAnsi" w:cs="Arial"/>
          <w:b/>
          <w:sz w:val="20"/>
          <w:szCs w:val="20"/>
        </w:rPr>
        <w:t>92,936,103</w:t>
      </w:r>
      <w:r w:rsidRPr="00BA4C6E">
        <w:rPr>
          <w:rFonts w:asciiTheme="minorHAnsi" w:hAnsiTheme="minorHAnsi" w:cs="Arial"/>
          <w:b/>
          <w:sz w:val="20"/>
          <w:szCs w:val="20"/>
        </w:rPr>
        <w:t xml:space="preserve"> </w:t>
      </w:r>
      <w:r w:rsidRPr="00BA4C6E">
        <w:rPr>
          <w:rFonts w:asciiTheme="minorHAnsi" w:hAnsiTheme="minorHAnsi" w:cs="Arial"/>
          <w:sz w:val="20"/>
          <w:szCs w:val="20"/>
        </w:rPr>
        <w:t>correspondiente a la aprobación de ampliaciones a gasto corriente y proyectos con recursos estatales y federales 2022.</w:t>
      </w:r>
    </w:p>
    <w:p w:rsidR="005069FD" w:rsidRDefault="005069FD" w:rsidP="005069FD">
      <w:pPr>
        <w:ind w:left="360"/>
        <w:contextualSpacing/>
        <w:jc w:val="both"/>
        <w:rPr>
          <w:rFonts w:asciiTheme="minorHAnsi" w:hAnsiTheme="minorHAnsi" w:cs="Arial"/>
          <w:b/>
          <w:sz w:val="20"/>
          <w:szCs w:val="20"/>
        </w:rPr>
      </w:pPr>
    </w:p>
    <w:p w:rsidR="005069FD" w:rsidRDefault="005069FD" w:rsidP="005069FD">
      <w:pPr>
        <w:ind w:left="360"/>
        <w:contextualSpacing/>
        <w:jc w:val="both"/>
        <w:rPr>
          <w:rFonts w:asciiTheme="minorHAnsi" w:hAnsiTheme="minorHAnsi" w:cs="Arial"/>
          <w:b/>
          <w:sz w:val="20"/>
          <w:szCs w:val="20"/>
        </w:rPr>
      </w:pPr>
    </w:p>
    <w:p w:rsidR="005069FD" w:rsidRDefault="005069FD" w:rsidP="005069FD">
      <w:pPr>
        <w:ind w:left="360"/>
        <w:contextualSpacing/>
        <w:jc w:val="both"/>
        <w:rPr>
          <w:rFonts w:asciiTheme="minorHAnsi" w:hAnsiTheme="minorHAnsi" w:cs="Arial"/>
          <w:b/>
          <w:sz w:val="20"/>
          <w:szCs w:val="20"/>
        </w:rPr>
      </w:pPr>
      <w:r w:rsidRPr="00BA4C6E">
        <w:rPr>
          <w:rFonts w:asciiTheme="minorHAnsi" w:hAnsiTheme="minorHAnsi" w:cs="Arial"/>
          <w:b/>
          <w:sz w:val="20"/>
          <w:szCs w:val="20"/>
        </w:rPr>
        <w:t xml:space="preserve">Ley de Ingresos Devengada: </w:t>
      </w:r>
      <w:r w:rsidRPr="00BA4C6E">
        <w:rPr>
          <w:rFonts w:asciiTheme="minorHAnsi" w:hAnsiTheme="minorHAnsi" w:cs="Arial"/>
          <w:sz w:val="20"/>
          <w:szCs w:val="20"/>
        </w:rPr>
        <w:t xml:space="preserve">es el momento contable que se realiza cuando existe jurídicamente el derecho de cobro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 Muestra un importe de </w:t>
      </w:r>
      <w:r w:rsidRPr="00BA4C6E">
        <w:rPr>
          <w:rFonts w:asciiTheme="minorHAnsi" w:hAnsiTheme="minorHAnsi" w:cs="Arial"/>
          <w:b/>
          <w:sz w:val="20"/>
          <w:szCs w:val="20"/>
        </w:rPr>
        <w:t xml:space="preserve">$ </w:t>
      </w:r>
      <w:r>
        <w:rPr>
          <w:rFonts w:asciiTheme="minorHAnsi" w:hAnsiTheme="minorHAnsi" w:cs="Arial"/>
          <w:b/>
          <w:sz w:val="20"/>
          <w:szCs w:val="20"/>
        </w:rPr>
        <w:t>90, 295,001.</w:t>
      </w:r>
    </w:p>
    <w:p w:rsidR="005069FD" w:rsidRDefault="005069FD" w:rsidP="005069FD">
      <w:pPr>
        <w:ind w:left="360"/>
        <w:contextualSpacing/>
        <w:jc w:val="both"/>
        <w:rPr>
          <w:rFonts w:asciiTheme="minorHAnsi" w:hAnsiTheme="minorHAnsi" w:cs="Arial"/>
          <w:b/>
          <w:sz w:val="20"/>
          <w:szCs w:val="20"/>
        </w:rPr>
      </w:pPr>
    </w:p>
    <w:p w:rsidR="005069FD" w:rsidRPr="00BA4C6E" w:rsidRDefault="005069FD" w:rsidP="005069FD">
      <w:pPr>
        <w:ind w:left="360"/>
        <w:contextualSpacing/>
        <w:jc w:val="both"/>
        <w:rPr>
          <w:rFonts w:asciiTheme="minorHAnsi" w:hAnsiTheme="minorHAnsi" w:cs="Arial"/>
          <w:b/>
          <w:sz w:val="20"/>
          <w:szCs w:val="20"/>
        </w:rPr>
      </w:pPr>
    </w:p>
    <w:tbl>
      <w:tblPr>
        <w:tblW w:w="5820" w:type="dxa"/>
        <w:tblInd w:w="1777" w:type="dxa"/>
        <w:tblCellMar>
          <w:left w:w="70" w:type="dxa"/>
          <w:right w:w="70" w:type="dxa"/>
        </w:tblCellMar>
        <w:tblLook w:val="04A0" w:firstRow="1" w:lastRow="0" w:firstColumn="1" w:lastColumn="0" w:noHBand="0" w:noVBand="1"/>
      </w:tblPr>
      <w:tblGrid>
        <w:gridCol w:w="4360"/>
        <w:gridCol w:w="1460"/>
      </w:tblGrid>
      <w:tr w:rsidR="005069FD" w:rsidRPr="00BA4C6E" w:rsidTr="00C07EAF">
        <w:trPr>
          <w:trHeight w:val="70"/>
        </w:trPr>
        <w:tc>
          <w:tcPr>
            <w:tcW w:w="4360" w:type="dxa"/>
            <w:vMerge w:val="restart"/>
            <w:tcBorders>
              <w:top w:val="single" w:sz="4" w:space="0" w:color="auto"/>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lastRenderedPageBreak/>
              <w:t>Rubro de Ingresos</w:t>
            </w:r>
          </w:p>
        </w:tc>
        <w:tc>
          <w:tcPr>
            <w:tcW w:w="1460" w:type="dxa"/>
            <w:tcBorders>
              <w:top w:val="single" w:sz="4" w:space="0" w:color="auto"/>
              <w:left w:val="nil"/>
              <w:bottom w:val="single" w:sz="4" w:space="0" w:color="auto"/>
              <w:right w:val="single" w:sz="4" w:space="0" w:color="auto"/>
            </w:tcBorders>
            <w:shd w:val="clear" w:color="auto" w:fill="AB0033"/>
            <w:noWrap/>
            <w:vAlign w:val="bottom"/>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Devengado</w:t>
            </w:r>
          </w:p>
        </w:tc>
      </w:tr>
      <w:tr w:rsidR="005069FD" w:rsidRPr="00BA4C6E" w:rsidTr="00C07EAF">
        <w:trPr>
          <w:trHeight w:val="101"/>
        </w:trPr>
        <w:tc>
          <w:tcPr>
            <w:tcW w:w="4360" w:type="dxa"/>
            <w:vMerge/>
            <w:tcBorders>
              <w:top w:val="single" w:sz="4" w:space="0" w:color="auto"/>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rPr>
                <w:rFonts w:asciiTheme="minorHAnsi" w:eastAsia="Times New Roman" w:hAnsiTheme="minorHAnsi" w:cs="Arial"/>
                <w:b/>
                <w:bCs/>
                <w:color w:val="FFFFFF"/>
                <w:sz w:val="20"/>
                <w:szCs w:val="20"/>
                <w:lang w:eastAsia="es-MX"/>
              </w:rPr>
            </w:pPr>
          </w:p>
        </w:tc>
        <w:tc>
          <w:tcPr>
            <w:tcW w:w="1460" w:type="dxa"/>
            <w:tcBorders>
              <w:top w:val="single" w:sz="4" w:space="0" w:color="auto"/>
              <w:left w:val="nil"/>
              <w:bottom w:val="single" w:sz="4" w:space="0" w:color="auto"/>
              <w:right w:val="single" w:sz="4" w:space="0" w:color="auto"/>
            </w:tcBorders>
            <w:shd w:val="clear" w:color="auto" w:fill="AB0033"/>
            <w:noWrap/>
            <w:vAlign w:val="bottom"/>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(1)</w:t>
            </w:r>
          </w:p>
        </w:tc>
      </w:tr>
      <w:tr w:rsidR="005069FD" w:rsidRPr="00BA4C6E" w:rsidTr="00C07EAF">
        <w:trPr>
          <w:trHeight w:val="134"/>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Impuestos</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56"/>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Cuotas y Aportaciones de Seguridad Social</w:t>
            </w:r>
          </w:p>
        </w:tc>
        <w:tc>
          <w:tcPr>
            <w:tcW w:w="1460"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98"/>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Contribuciones de mejoras</w:t>
            </w:r>
          </w:p>
        </w:tc>
        <w:tc>
          <w:tcPr>
            <w:tcW w:w="1460"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144"/>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Derechos</w:t>
            </w:r>
          </w:p>
        </w:tc>
        <w:tc>
          <w:tcPr>
            <w:tcW w:w="1460"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203"/>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b/>
                <w:color w:val="000000"/>
                <w:sz w:val="20"/>
                <w:szCs w:val="20"/>
                <w:lang w:eastAsia="es-MX"/>
              </w:rPr>
            </w:pPr>
            <w:r w:rsidRPr="00BA4C6E">
              <w:rPr>
                <w:rFonts w:asciiTheme="minorHAnsi" w:eastAsia="Times New Roman" w:hAnsiTheme="minorHAnsi" w:cs="Arial"/>
                <w:b/>
                <w:color w:val="000000"/>
                <w:sz w:val="20"/>
                <w:szCs w:val="20"/>
                <w:lang w:eastAsia="es-MX"/>
              </w:rPr>
              <w:t>Productos</w:t>
            </w:r>
          </w:p>
        </w:tc>
        <w:tc>
          <w:tcPr>
            <w:tcW w:w="1460"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108"/>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Corriente</w:t>
            </w:r>
          </w:p>
        </w:tc>
        <w:tc>
          <w:tcPr>
            <w:tcW w:w="1460"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168"/>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Capital</w:t>
            </w:r>
          </w:p>
        </w:tc>
        <w:tc>
          <w:tcPr>
            <w:tcW w:w="1460"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72"/>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b/>
                <w:color w:val="000000"/>
                <w:sz w:val="20"/>
                <w:szCs w:val="20"/>
                <w:lang w:eastAsia="es-MX"/>
              </w:rPr>
            </w:pPr>
            <w:r w:rsidRPr="00BA4C6E">
              <w:rPr>
                <w:rFonts w:asciiTheme="minorHAnsi" w:eastAsia="Times New Roman" w:hAnsiTheme="minorHAnsi" w:cs="Arial"/>
                <w:b/>
                <w:color w:val="000000"/>
                <w:sz w:val="20"/>
                <w:szCs w:val="20"/>
                <w:lang w:eastAsia="es-MX"/>
              </w:rPr>
              <w:t>Aprovechamientos</w:t>
            </w:r>
          </w:p>
        </w:tc>
        <w:tc>
          <w:tcPr>
            <w:tcW w:w="1460"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56"/>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Corriente</w:t>
            </w:r>
          </w:p>
        </w:tc>
        <w:tc>
          <w:tcPr>
            <w:tcW w:w="1460"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56"/>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Capital</w:t>
            </w:r>
          </w:p>
        </w:tc>
        <w:tc>
          <w:tcPr>
            <w:tcW w:w="1460"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96"/>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Ingresos por Ventas de Bienes y Servicios</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3,724</w:t>
            </w:r>
          </w:p>
        </w:tc>
      </w:tr>
      <w:tr w:rsidR="005069FD" w:rsidRPr="00BA4C6E" w:rsidTr="00C07EAF">
        <w:trPr>
          <w:trHeight w:val="156"/>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Participaciones y Aportaciones</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6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Transferencias, Asignaciones, Subsidios y Otras Ayudas</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90,291,277</w:t>
            </w:r>
          </w:p>
        </w:tc>
      </w:tr>
      <w:tr w:rsidR="005069FD" w:rsidRPr="00BA4C6E" w:rsidTr="00C07EAF">
        <w:trPr>
          <w:trHeight w:val="179"/>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Ingresos Derivados de Financiamiento</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129"/>
        </w:trPr>
        <w:tc>
          <w:tcPr>
            <w:tcW w:w="4360" w:type="dxa"/>
            <w:tcBorders>
              <w:top w:val="nil"/>
              <w:left w:val="single" w:sz="4" w:space="0" w:color="auto"/>
              <w:bottom w:val="single" w:sz="4" w:space="0" w:color="auto"/>
              <w:right w:val="single" w:sz="4" w:space="0" w:color="auto"/>
            </w:tcBorders>
            <w:shd w:val="clear" w:color="auto" w:fill="AB0033"/>
            <w:noWrap/>
            <w:vAlign w:val="bottom"/>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Total</w:t>
            </w:r>
          </w:p>
        </w:tc>
        <w:tc>
          <w:tcPr>
            <w:tcW w:w="1460" w:type="dxa"/>
            <w:tcBorders>
              <w:top w:val="single" w:sz="4" w:space="0" w:color="auto"/>
              <w:left w:val="nil"/>
              <w:bottom w:val="single" w:sz="4" w:space="0" w:color="auto"/>
              <w:right w:val="single" w:sz="4" w:space="0" w:color="000000"/>
            </w:tcBorders>
            <w:shd w:val="clear" w:color="auto" w:fill="AB0033"/>
            <w:noWrap/>
            <w:vAlign w:val="bottom"/>
            <w:hideMark/>
          </w:tcPr>
          <w:p w:rsidR="005069FD" w:rsidRPr="00BA4C6E" w:rsidRDefault="005069FD" w:rsidP="00C07EAF">
            <w:pPr>
              <w:spacing w:after="0"/>
              <w:jc w:val="right"/>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90,295,001</w:t>
            </w:r>
          </w:p>
        </w:tc>
      </w:tr>
    </w:tbl>
    <w:p w:rsidR="005069FD" w:rsidRPr="00BA4C6E" w:rsidRDefault="005069FD" w:rsidP="005069FD">
      <w:pPr>
        <w:contextualSpacing/>
        <w:jc w:val="both"/>
        <w:rPr>
          <w:rFonts w:asciiTheme="minorHAnsi" w:hAnsiTheme="minorHAnsi" w:cs="Arial"/>
          <w:b/>
          <w:sz w:val="20"/>
          <w:szCs w:val="20"/>
        </w:rPr>
      </w:pPr>
    </w:p>
    <w:p w:rsidR="005069FD" w:rsidRPr="00BA4C6E" w:rsidRDefault="005069FD" w:rsidP="005069FD">
      <w:pPr>
        <w:ind w:left="284"/>
        <w:contextualSpacing/>
        <w:jc w:val="both"/>
        <w:rPr>
          <w:rFonts w:asciiTheme="minorHAnsi" w:hAnsiTheme="minorHAnsi" w:cs="Arial"/>
          <w:b/>
          <w:sz w:val="20"/>
          <w:szCs w:val="20"/>
        </w:rPr>
      </w:pPr>
    </w:p>
    <w:p w:rsidR="005069FD" w:rsidRPr="00BA4C6E" w:rsidRDefault="005069FD" w:rsidP="005069FD">
      <w:pPr>
        <w:ind w:left="284"/>
        <w:contextualSpacing/>
        <w:jc w:val="both"/>
        <w:rPr>
          <w:rFonts w:asciiTheme="minorHAnsi" w:hAnsiTheme="minorHAnsi" w:cs="Arial"/>
          <w:sz w:val="20"/>
          <w:szCs w:val="20"/>
        </w:rPr>
      </w:pPr>
      <w:r w:rsidRPr="00BA4C6E">
        <w:rPr>
          <w:rFonts w:asciiTheme="minorHAnsi" w:hAnsiTheme="minorHAnsi" w:cs="Arial"/>
          <w:b/>
          <w:sz w:val="20"/>
          <w:szCs w:val="20"/>
        </w:rPr>
        <w:t xml:space="preserve">Ley de Ingresos Recaudada: </w:t>
      </w:r>
      <w:r w:rsidRPr="00BA4C6E">
        <w:rPr>
          <w:rFonts w:asciiTheme="minorHAnsi" w:hAnsiTheme="minorHAnsi" w:cs="Arial"/>
          <w:sz w:val="20"/>
          <w:szCs w:val="20"/>
        </w:rPr>
        <w:t xml:space="preserve">es el momento contable que refleja el cobro efectivo o cualquier otro medio de pago, por un importe de </w:t>
      </w:r>
      <w:r w:rsidRPr="00BA4C6E">
        <w:rPr>
          <w:rFonts w:asciiTheme="minorHAnsi" w:hAnsiTheme="minorHAnsi" w:cs="Arial"/>
          <w:b/>
          <w:sz w:val="20"/>
          <w:szCs w:val="20"/>
        </w:rPr>
        <w:t>$ 90, 295,001</w:t>
      </w:r>
      <w:r w:rsidRPr="00BA4C6E">
        <w:rPr>
          <w:rFonts w:asciiTheme="minorHAnsi" w:hAnsiTheme="minorHAnsi" w:cs="Arial"/>
          <w:sz w:val="20"/>
          <w:szCs w:val="20"/>
        </w:rPr>
        <w:t xml:space="preserve"> recibidos por esta comisión al 31 de diciembre de 2022 y detallados a continuación:</w:t>
      </w:r>
    </w:p>
    <w:p w:rsidR="005069FD" w:rsidRPr="00BA4C6E" w:rsidRDefault="005069FD" w:rsidP="005069FD">
      <w:pPr>
        <w:ind w:left="284"/>
        <w:contextualSpacing/>
        <w:jc w:val="both"/>
        <w:rPr>
          <w:rFonts w:asciiTheme="minorHAnsi" w:hAnsiTheme="minorHAnsi" w:cs="Arial"/>
          <w:sz w:val="20"/>
          <w:szCs w:val="20"/>
        </w:rPr>
      </w:pPr>
    </w:p>
    <w:p w:rsidR="005069FD" w:rsidRPr="00BA4C6E" w:rsidRDefault="005069FD" w:rsidP="005069FD">
      <w:pPr>
        <w:ind w:left="284"/>
        <w:contextualSpacing/>
        <w:jc w:val="both"/>
        <w:rPr>
          <w:rFonts w:asciiTheme="minorHAnsi" w:hAnsiTheme="minorHAnsi" w:cs="Arial"/>
          <w:sz w:val="20"/>
          <w:szCs w:val="20"/>
        </w:rPr>
      </w:pPr>
    </w:p>
    <w:tbl>
      <w:tblPr>
        <w:tblW w:w="0" w:type="auto"/>
        <w:tblInd w:w="1768" w:type="dxa"/>
        <w:tblLayout w:type="fixed"/>
        <w:tblCellMar>
          <w:left w:w="70" w:type="dxa"/>
          <w:right w:w="70" w:type="dxa"/>
        </w:tblCellMar>
        <w:tblLook w:val="04A0" w:firstRow="1" w:lastRow="0" w:firstColumn="1" w:lastColumn="0" w:noHBand="0" w:noVBand="1"/>
      </w:tblPr>
      <w:tblGrid>
        <w:gridCol w:w="4114"/>
        <w:gridCol w:w="1701"/>
      </w:tblGrid>
      <w:tr w:rsidR="005069FD" w:rsidRPr="00BA4C6E" w:rsidTr="00C07EAF">
        <w:trPr>
          <w:trHeight w:val="200"/>
        </w:trPr>
        <w:tc>
          <w:tcPr>
            <w:tcW w:w="4114" w:type="dxa"/>
            <w:vMerge w:val="restart"/>
            <w:tcBorders>
              <w:top w:val="single" w:sz="4" w:space="0" w:color="auto"/>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Rubro de Ingresos</w:t>
            </w:r>
          </w:p>
        </w:tc>
        <w:tc>
          <w:tcPr>
            <w:tcW w:w="1701" w:type="dxa"/>
            <w:tcBorders>
              <w:top w:val="single" w:sz="4" w:space="0" w:color="auto"/>
              <w:left w:val="nil"/>
              <w:bottom w:val="single" w:sz="4" w:space="0" w:color="auto"/>
              <w:right w:val="single" w:sz="4" w:space="0" w:color="auto"/>
            </w:tcBorders>
            <w:shd w:val="clear" w:color="auto" w:fill="AB0033"/>
            <w:noWrap/>
            <w:vAlign w:val="bottom"/>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Recaudado</w:t>
            </w:r>
          </w:p>
        </w:tc>
      </w:tr>
      <w:tr w:rsidR="005069FD" w:rsidRPr="00BA4C6E" w:rsidTr="00C07EAF">
        <w:trPr>
          <w:trHeight w:val="132"/>
        </w:trPr>
        <w:tc>
          <w:tcPr>
            <w:tcW w:w="4114" w:type="dxa"/>
            <w:vMerge/>
            <w:tcBorders>
              <w:top w:val="single" w:sz="4" w:space="0" w:color="auto"/>
              <w:left w:val="single" w:sz="4" w:space="0" w:color="auto"/>
              <w:bottom w:val="single" w:sz="4" w:space="0" w:color="auto"/>
              <w:right w:val="single" w:sz="4" w:space="0" w:color="auto"/>
            </w:tcBorders>
            <w:shd w:val="clear" w:color="auto" w:fill="AB0033"/>
            <w:vAlign w:val="center"/>
            <w:hideMark/>
          </w:tcPr>
          <w:p w:rsidR="005069FD" w:rsidRPr="00BA4C6E" w:rsidRDefault="005069FD" w:rsidP="00C07EAF">
            <w:pPr>
              <w:spacing w:after="0"/>
              <w:rPr>
                <w:rFonts w:asciiTheme="minorHAnsi" w:eastAsia="Times New Roman" w:hAnsiTheme="minorHAnsi" w:cs="Arial"/>
                <w:b/>
                <w:bCs/>
                <w:color w:val="FFFFFF"/>
                <w:sz w:val="20"/>
                <w:szCs w:val="20"/>
                <w:lang w:eastAsia="es-MX"/>
              </w:rPr>
            </w:pPr>
          </w:p>
        </w:tc>
        <w:tc>
          <w:tcPr>
            <w:tcW w:w="1701" w:type="dxa"/>
            <w:tcBorders>
              <w:top w:val="single" w:sz="4" w:space="0" w:color="auto"/>
              <w:left w:val="nil"/>
              <w:bottom w:val="single" w:sz="4" w:space="0" w:color="auto"/>
              <w:right w:val="single" w:sz="4" w:space="0" w:color="auto"/>
            </w:tcBorders>
            <w:shd w:val="clear" w:color="auto" w:fill="AB0033"/>
            <w:noWrap/>
            <w:vAlign w:val="bottom"/>
            <w:hideMark/>
          </w:tcPr>
          <w:p w:rsidR="005069FD" w:rsidRPr="00BA4C6E" w:rsidRDefault="005069FD" w:rsidP="00C07EAF">
            <w:pPr>
              <w:spacing w:after="0"/>
              <w:jc w:val="center"/>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(1)</w:t>
            </w:r>
          </w:p>
        </w:tc>
      </w:tr>
      <w:tr w:rsidR="005069FD" w:rsidRPr="00BA4C6E" w:rsidTr="00C07EAF">
        <w:trPr>
          <w:trHeight w:val="208"/>
        </w:trPr>
        <w:tc>
          <w:tcPr>
            <w:tcW w:w="4114"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Impuestos</w:t>
            </w:r>
          </w:p>
        </w:tc>
        <w:tc>
          <w:tcPr>
            <w:tcW w:w="170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208"/>
        </w:trPr>
        <w:tc>
          <w:tcPr>
            <w:tcW w:w="4114"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Cuotas y Aportaciones de Seguridad Social</w:t>
            </w:r>
          </w:p>
        </w:tc>
        <w:tc>
          <w:tcPr>
            <w:tcW w:w="170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208"/>
        </w:trPr>
        <w:tc>
          <w:tcPr>
            <w:tcW w:w="4114"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Contribuciones de mejoras</w:t>
            </w:r>
          </w:p>
        </w:tc>
        <w:tc>
          <w:tcPr>
            <w:tcW w:w="170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208"/>
        </w:trPr>
        <w:tc>
          <w:tcPr>
            <w:tcW w:w="4114"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Derechos</w:t>
            </w:r>
          </w:p>
        </w:tc>
        <w:tc>
          <w:tcPr>
            <w:tcW w:w="170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208"/>
        </w:trPr>
        <w:tc>
          <w:tcPr>
            <w:tcW w:w="4114"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b/>
                <w:color w:val="000000"/>
                <w:sz w:val="20"/>
                <w:szCs w:val="20"/>
                <w:lang w:eastAsia="es-MX"/>
              </w:rPr>
            </w:pPr>
            <w:r w:rsidRPr="00BA4C6E">
              <w:rPr>
                <w:rFonts w:asciiTheme="minorHAnsi" w:eastAsia="Times New Roman" w:hAnsiTheme="minorHAnsi" w:cs="Arial"/>
                <w:b/>
                <w:color w:val="000000"/>
                <w:sz w:val="20"/>
                <w:szCs w:val="20"/>
                <w:lang w:eastAsia="es-MX"/>
              </w:rPr>
              <w:t>Productos</w:t>
            </w:r>
          </w:p>
        </w:tc>
        <w:tc>
          <w:tcPr>
            <w:tcW w:w="170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208"/>
        </w:trPr>
        <w:tc>
          <w:tcPr>
            <w:tcW w:w="4114"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Corriente</w:t>
            </w:r>
          </w:p>
        </w:tc>
        <w:tc>
          <w:tcPr>
            <w:tcW w:w="170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208"/>
        </w:trPr>
        <w:tc>
          <w:tcPr>
            <w:tcW w:w="4114"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Capital</w:t>
            </w:r>
          </w:p>
        </w:tc>
        <w:tc>
          <w:tcPr>
            <w:tcW w:w="170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208"/>
        </w:trPr>
        <w:tc>
          <w:tcPr>
            <w:tcW w:w="4114"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b/>
                <w:color w:val="000000"/>
                <w:sz w:val="20"/>
                <w:szCs w:val="20"/>
                <w:lang w:eastAsia="es-MX"/>
              </w:rPr>
            </w:pPr>
            <w:r w:rsidRPr="00BA4C6E">
              <w:rPr>
                <w:rFonts w:asciiTheme="minorHAnsi" w:eastAsia="Times New Roman" w:hAnsiTheme="minorHAnsi" w:cs="Arial"/>
                <w:b/>
                <w:color w:val="000000"/>
                <w:sz w:val="20"/>
                <w:szCs w:val="20"/>
                <w:lang w:eastAsia="es-MX"/>
              </w:rPr>
              <w:t>Aprovechamientos</w:t>
            </w:r>
          </w:p>
        </w:tc>
        <w:tc>
          <w:tcPr>
            <w:tcW w:w="170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208"/>
        </w:trPr>
        <w:tc>
          <w:tcPr>
            <w:tcW w:w="4114"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Corriente</w:t>
            </w:r>
          </w:p>
        </w:tc>
        <w:tc>
          <w:tcPr>
            <w:tcW w:w="170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208"/>
        </w:trPr>
        <w:tc>
          <w:tcPr>
            <w:tcW w:w="4114"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Capital</w:t>
            </w:r>
          </w:p>
        </w:tc>
        <w:tc>
          <w:tcPr>
            <w:tcW w:w="1701" w:type="dxa"/>
            <w:tcBorders>
              <w:top w:val="single" w:sz="4" w:space="0" w:color="auto"/>
              <w:left w:val="nil"/>
              <w:bottom w:val="single" w:sz="4" w:space="0" w:color="auto"/>
              <w:right w:val="single" w:sz="4" w:space="0" w:color="auto"/>
            </w:tcBorders>
            <w:shd w:val="clear" w:color="auto" w:fill="auto"/>
            <w:noWrap/>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208"/>
        </w:trPr>
        <w:tc>
          <w:tcPr>
            <w:tcW w:w="4114"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Ingresos por Ventas de Bienes y Servicios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3,724</w:t>
            </w:r>
          </w:p>
        </w:tc>
      </w:tr>
      <w:tr w:rsidR="005069FD" w:rsidRPr="00BA4C6E" w:rsidTr="00C07EAF">
        <w:trPr>
          <w:trHeight w:val="208"/>
        </w:trPr>
        <w:tc>
          <w:tcPr>
            <w:tcW w:w="4114"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Participaciones y Aportaciones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208"/>
        </w:trPr>
        <w:tc>
          <w:tcPr>
            <w:tcW w:w="4114"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Transferencias, Asignaciones, Subsidios y Otras Ayudas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90,291,277</w:t>
            </w:r>
          </w:p>
        </w:tc>
      </w:tr>
      <w:tr w:rsidR="005069FD" w:rsidRPr="00BA4C6E" w:rsidTr="00C07EAF">
        <w:trPr>
          <w:trHeight w:val="208"/>
        </w:trPr>
        <w:tc>
          <w:tcPr>
            <w:tcW w:w="4114" w:type="dxa"/>
            <w:tcBorders>
              <w:top w:val="nil"/>
              <w:left w:val="single" w:sz="4" w:space="0" w:color="auto"/>
              <w:bottom w:val="single" w:sz="4" w:space="0" w:color="auto"/>
              <w:right w:val="single" w:sz="4" w:space="0" w:color="auto"/>
            </w:tcBorders>
            <w:shd w:val="clear" w:color="auto" w:fill="auto"/>
            <w:noWrap/>
            <w:vAlign w:val="bottom"/>
            <w:hideMark/>
          </w:tcPr>
          <w:p w:rsidR="005069FD" w:rsidRPr="00BA4C6E" w:rsidRDefault="005069FD" w:rsidP="00C07EAF">
            <w:pPr>
              <w:spacing w:after="0"/>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Ingresos Derivados de Financiamiento</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069FD" w:rsidRPr="00BA4C6E" w:rsidRDefault="005069FD" w:rsidP="00C07EAF">
            <w:pPr>
              <w:spacing w:after="0"/>
              <w:jc w:val="right"/>
              <w:rPr>
                <w:rFonts w:asciiTheme="minorHAnsi" w:eastAsia="Times New Roman" w:hAnsiTheme="minorHAnsi" w:cs="Arial"/>
                <w:color w:val="000000"/>
                <w:sz w:val="20"/>
                <w:szCs w:val="20"/>
                <w:lang w:eastAsia="es-MX"/>
              </w:rPr>
            </w:pPr>
            <w:r w:rsidRPr="00BA4C6E">
              <w:rPr>
                <w:rFonts w:asciiTheme="minorHAnsi" w:eastAsia="Times New Roman" w:hAnsiTheme="minorHAnsi" w:cs="Arial"/>
                <w:color w:val="000000"/>
                <w:sz w:val="20"/>
                <w:szCs w:val="20"/>
                <w:lang w:eastAsia="es-MX"/>
              </w:rPr>
              <w:t>0.00</w:t>
            </w:r>
          </w:p>
        </w:tc>
      </w:tr>
      <w:tr w:rsidR="005069FD" w:rsidRPr="00BA4C6E" w:rsidTr="00C07EAF">
        <w:trPr>
          <w:trHeight w:val="208"/>
        </w:trPr>
        <w:tc>
          <w:tcPr>
            <w:tcW w:w="4114" w:type="dxa"/>
            <w:tcBorders>
              <w:top w:val="nil"/>
              <w:left w:val="single" w:sz="4" w:space="0" w:color="auto"/>
              <w:bottom w:val="single" w:sz="4" w:space="0" w:color="auto"/>
              <w:right w:val="single" w:sz="4" w:space="0" w:color="auto"/>
            </w:tcBorders>
            <w:shd w:val="clear" w:color="auto" w:fill="AB0033"/>
            <w:noWrap/>
            <w:vAlign w:val="bottom"/>
            <w:hideMark/>
          </w:tcPr>
          <w:p w:rsidR="005069FD" w:rsidRPr="00BA4C6E" w:rsidRDefault="005069FD" w:rsidP="00C07EAF">
            <w:pPr>
              <w:spacing w:after="0"/>
              <w:jc w:val="right"/>
              <w:rPr>
                <w:rFonts w:asciiTheme="minorHAnsi" w:eastAsia="Times New Roman" w:hAnsiTheme="minorHAnsi" w:cs="Arial"/>
                <w:b/>
                <w:bCs/>
                <w:color w:val="FFFFFF"/>
                <w:sz w:val="20"/>
                <w:szCs w:val="20"/>
                <w:lang w:eastAsia="es-MX"/>
              </w:rPr>
            </w:pPr>
            <w:r w:rsidRPr="00BA4C6E">
              <w:rPr>
                <w:rFonts w:asciiTheme="minorHAnsi" w:eastAsia="Times New Roman" w:hAnsiTheme="minorHAnsi" w:cs="Arial"/>
                <w:b/>
                <w:bCs/>
                <w:color w:val="FFFFFF"/>
                <w:sz w:val="20"/>
                <w:szCs w:val="20"/>
                <w:lang w:eastAsia="es-MX"/>
              </w:rPr>
              <w:t>Total </w:t>
            </w:r>
          </w:p>
        </w:tc>
        <w:tc>
          <w:tcPr>
            <w:tcW w:w="1701" w:type="dxa"/>
            <w:tcBorders>
              <w:top w:val="single" w:sz="4" w:space="0" w:color="auto"/>
              <w:left w:val="nil"/>
              <w:bottom w:val="single" w:sz="4" w:space="0" w:color="auto"/>
              <w:right w:val="single" w:sz="4" w:space="0" w:color="000000"/>
            </w:tcBorders>
            <w:shd w:val="clear" w:color="auto" w:fill="AB0033"/>
            <w:noWrap/>
            <w:vAlign w:val="bottom"/>
            <w:hideMark/>
          </w:tcPr>
          <w:p w:rsidR="005069FD" w:rsidRPr="00BA4C6E" w:rsidRDefault="005069FD" w:rsidP="00C07EAF">
            <w:pPr>
              <w:spacing w:after="0"/>
              <w:jc w:val="right"/>
              <w:rPr>
                <w:rFonts w:asciiTheme="minorHAnsi" w:eastAsia="Times New Roman" w:hAnsiTheme="minorHAnsi" w:cs="Arial"/>
                <w:b/>
                <w:bCs/>
                <w:color w:val="FFFFFF"/>
                <w:sz w:val="20"/>
                <w:szCs w:val="20"/>
                <w:highlight w:val="yellow"/>
                <w:lang w:eastAsia="es-MX"/>
              </w:rPr>
            </w:pPr>
            <w:r w:rsidRPr="00BA4C6E">
              <w:rPr>
                <w:rFonts w:asciiTheme="minorHAnsi" w:eastAsia="Times New Roman" w:hAnsiTheme="minorHAnsi" w:cs="Arial"/>
                <w:b/>
                <w:bCs/>
                <w:color w:val="FFFFFF" w:themeColor="background1"/>
                <w:sz w:val="20"/>
                <w:szCs w:val="20"/>
                <w:lang w:eastAsia="es-MX"/>
              </w:rPr>
              <w:t>90,295,001</w:t>
            </w:r>
          </w:p>
        </w:tc>
      </w:tr>
    </w:tbl>
    <w:p w:rsidR="005069FD" w:rsidRDefault="005069FD" w:rsidP="005069FD">
      <w:pPr>
        <w:ind w:left="360"/>
        <w:contextualSpacing/>
        <w:jc w:val="both"/>
        <w:rPr>
          <w:rFonts w:asciiTheme="minorHAnsi" w:hAnsiTheme="minorHAnsi" w:cs="Arial"/>
          <w:b/>
          <w:sz w:val="20"/>
          <w:szCs w:val="20"/>
        </w:rPr>
      </w:pPr>
    </w:p>
    <w:p w:rsidR="00FC1C31" w:rsidRDefault="00FC1C31" w:rsidP="005069FD">
      <w:pPr>
        <w:ind w:left="360"/>
        <w:contextualSpacing/>
        <w:jc w:val="both"/>
        <w:rPr>
          <w:rFonts w:asciiTheme="minorHAnsi" w:hAnsiTheme="minorHAnsi" w:cs="Arial"/>
          <w:b/>
          <w:sz w:val="20"/>
          <w:szCs w:val="20"/>
        </w:rPr>
      </w:pPr>
    </w:p>
    <w:p w:rsidR="00374036" w:rsidRDefault="00374036" w:rsidP="005069FD">
      <w:pPr>
        <w:ind w:left="360"/>
        <w:contextualSpacing/>
        <w:jc w:val="both"/>
        <w:rPr>
          <w:rFonts w:asciiTheme="minorHAnsi" w:hAnsiTheme="minorHAnsi" w:cs="Arial"/>
          <w:b/>
          <w:sz w:val="20"/>
          <w:szCs w:val="20"/>
        </w:rPr>
      </w:pPr>
    </w:p>
    <w:p w:rsidR="005069FD" w:rsidRPr="00BA4C6E" w:rsidRDefault="005069FD" w:rsidP="005069FD">
      <w:pPr>
        <w:ind w:left="360"/>
        <w:contextualSpacing/>
        <w:jc w:val="both"/>
        <w:rPr>
          <w:rFonts w:asciiTheme="minorHAnsi" w:hAnsiTheme="minorHAnsi" w:cs="Arial"/>
          <w:b/>
          <w:sz w:val="20"/>
          <w:szCs w:val="20"/>
        </w:rPr>
      </w:pPr>
      <w:r w:rsidRPr="00BA4C6E">
        <w:rPr>
          <w:rFonts w:asciiTheme="minorHAnsi" w:hAnsiTheme="minorHAnsi" w:cs="Arial"/>
          <w:b/>
          <w:sz w:val="20"/>
          <w:szCs w:val="20"/>
        </w:rPr>
        <w:lastRenderedPageBreak/>
        <w:t>Egresos Presupuestales</w:t>
      </w:r>
    </w:p>
    <w:p w:rsidR="005069FD" w:rsidRPr="00BA4C6E" w:rsidRDefault="005069FD" w:rsidP="005069FD">
      <w:pPr>
        <w:ind w:left="360"/>
        <w:contextualSpacing/>
        <w:jc w:val="both"/>
        <w:rPr>
          <w:rFonts w:asciiTheme="minorHAnsi" w:hAnsiTheme="minorHAnsi" w:cs="Arial"/>
          <w:b/>
          <w:sz w:val="20"/>
          <w:szCs w:val="20"/>
        </w:rPr>
      </w:pPr>
    </w:p>
    <w:p w:rsidR="005069FD" w:rsidRPr="00BA4C6E" w:rsidRDefault="005069FD" w:rsidP="005069FD">
      <w:pPr>
        <w:ind w:left="360"/>
        <w:contextualSpacing/>
        <w:jc w:val="both"/>
        <w:rPr>
          <w:rFonts w:asciiTheme="minorHAnsi" w:hAnsiTheme="minorHAnsi" w:cs="Arial"/>
          <w:sz w:val="20"/>
          <w:szCs w:val="20"/>
        </w:rPr>
      </w:pPr>
      <w:r w:rsidRPr="00BA4C6E">
        <w:rPr>
          <w:rFonts w:asciiTheme="minorHAnsi" w:hAnsiTheme="minorHAnsi" w:cs="Arial"/>
          <w:b/>
          <w:sz w:val="20"/>
          <w:szCs w:val="20"/>
        </w:rPr>
        <w:t>Presupuesto de Egresos Aprobado: $53</w:t>
      </w:r>
      <w:proofErr w:type="gramStart"/>
      <w:r w:rsidRPr="00BA4C6E">
        <w:rPr>
          <w:rFonts w:asciiTheme="minorHAnsi" w:hAnsiTheme="minorHAnsi" w:cs="Arial"/>
          <w:b/>
          <w:sz w:val="20"/>
          <w:szCs w:val="20"/>
        </w:rPr>
        <w:t>,825,318</w:t>
      </w:r>
      <w:proofErr w:type="gramEnd"/>
      <w:r w:rsidRPr="00BA4C6E">
        <w:rPr>
          <w:rFonts w:asciiTheme="minorHAnsi" w:hAnsiTheme="minorHAnsi" w:cs="Arial"/>
          <w:b/>
          <w:sz w:val="20"/>
          <w:szCs w:val="20"/>
        </w:rPr>
        <w:t xml:space="preserve"> </w:t>
      </w:r>
      <w:r w:rsidRPr="00BA4C6E">
        <w:rPr>
          <w:rFonts w:asciiTheme="minorHAnsi" w:hAnsiTheme="minorHAnsi" w:cs="Arial"/>
          <w:sz w:val="20"/>
          <w:szCs w:val="20"/>
        </w:rPr>
        <w:t>aquí se reflejan las asignaciones presupuestarias anuales comprometidas en el presupuesto de egresos, al inicio del ejercicio 2022, detallado a continuación:</w:t>
      </w:r>
    </w:p>
    <w:p w:rsidR="005069FD" w:rsidRPr="00BA4C6E" w:rsidRDefault="005069FD" w:rsidP="005069FD">
      <w:pPr>
        <w:contextualSpacing/>
        <w:jc w:val="both"/>
        <w:rPr>
          <w:rFonts w:asciiTheme="minorHAnsi" w:hAnsiTheme="minorHAnsi" w:cs="Arial"/>
          <w:b/>
          <w:sz w:val="20"/>
          <w:szCs w:val="20"/>
        </w:rPr>
      </w:pPr>
    </w:p>
    <w:p w:rsidR="005069FD" w:rsidRPr="00BA4C6E" w:rsidRDefault="005069FD" w:rsidP="005069FD">
      <w:pPr>
        <w:ind w:left="360"/>
        <w:contextualSpacing/>
        <w:jc w:val="both"/>
        <w:rPr>
          <w:rFonts w:asciiTheme="minorHAnsi" w:hAnsiTheme="minorHAnsi" w:cs="Arial"/>
          <w:sz w:val="20"/>
          <w:szCs w:val="20"/>
        </w:rPr>
      </w:pPr>
      <w:r w:rsidRPr="00BA4C6E">
        <w:rPr>
          <w:rFonts w:asciiTheme="minorHAnsi" w:hAnsiTheme="minorHAnsi" w:cs="Arial"/>
          <w:b/>
          <w:sz w:val="20"/>
          <w:szCs w:val="20"/>
        </w:rPr>
        <w:t xml:space="preserve">Modificaciones al presupuesto de egresos aprobado: </w:t>
      </w:r>
      <w:r w:rsidRPr="00BA4C6E">
        <w:rPr>
          <w:rFonts w:asciiTheme="minorHAnsi" w:hAnsiTheme="minorHAnsi" w:cs="Arial"/>
          <w:sz w:val="20"/>
          <w:szCs w:val="20"/>
        </w:rPr>
        <w:t xml:space="preserve">en este momento contable se refleja la asignación presupuestaria que resulta de incorporar  las adecuaciones presupuestarias al presupuesto aprobado. Al término del cuarto trimestre del 2022, las ampliaciones al presupuesto de egresos son por un importe de        </w:t>
      </w:r>
      <w:r w:rsidRPr="00BA4C6E">
        <w:rPr>
          <w:rFonts w:asciiTheme="minorHAnsi" w:hAnsiTheme="minorHAnsi" w:cs="Arial"/>
          <w:b/>
          <w:sz w:val="20"/>
          <w:szCs w:val="20"/>
        </w:rPr>
        <w:t>$</w:t>
      </w:r>
      <w:r>
        <w:rPr>
          <w:rFonts w:asciiTheme="minorHAnsi" w:hAnsiTheme="minorHAnsi" w:cs="Arial"/>
          <w:b/>
          <w:sz w:val="20"/>
          <w:szCs w:val="20"/>
        </w:rPr>
        <w:t>39, 110,785</w:t>
      </w:r>
      <w:r w:rsidRPr="00BA4C6E">
        <w:rPr>
          <w:rFonts w:asciiTheme="minorHAnsi" w:hAnsiTheme="minorHAnsi" w:cs="Arial"/>
          <w:b/>
          <w:sz w:val="20"/>
          <w:szCs w:val="20"/>
        </w:rPr>
        <w:t xml:space="preserve"> </w:t>
      </w:r>
      <w:r w:rsidRPr="00BA4C6E">
        <w:rPr>
          <w:rFonts w:asciiTheme="minorHAnsi" w:hAnsiTheme="minorHAnsi" w:cs="Arial"/>
          <w:sz w:val="20"/>
          <w:szCs w:val="20"/>
        </w:rPr>
        <w:t xml:space="preserve">quedando un total modificado por </w:t>
      </w:r>
      <w:r w:rsidRPr="00BA4C6E">
        <w:rPr>
          <w:rFonts w:asciiTheme="minorHAnsi" w:hAnsiTheme="minorHAnsi" w:cs="Arial"/>
          <w:b/>
          <w:sz w:val="20"/>
          <w:szCs w:val="20"/>
        </w:rPr>
        <w:t xml:space="preserve">$ </w:t>
      </w:r>
      <w:r>
        <w:rPr>
          <w:rFonts w:asciiTheme="minorHAnsi" w:hAnsiTheme="minorHAnsi" w:cs="Arial"/>
          <w:b/>
          <w:sz w:val="20"/>
          <w:szCs w:val="20"/>
        </w:rPr>
        <w:t>92, 936,103</w:t>
      </w:r>
      <w:r w:rsidRPr="00BA4C6E">
        <w:rPr>
          <w:rFonts w:asciiTheme="minorHAnsi" w:hAnsiTheme="minorHAnsi" w:cs="Arial"/>
          <w:b/>
          <w:sz w:val="20"/>
          <w:szCs w:val="20"/>
        </w:rPr>
        <w:t xml:space="preserve"> </w:t>
      </w:r>
      <w:r w:rsidRPr="00BA4C6E">
        <w:rPr>
          <w:rFonts w:asciiTheme="minorHAnsi" w:hAnsiTheme="minorHAnsi" w:cs="Arial"/>
          <w:sz w:val="20"/>
          <w:szCs w:val="20"/>
        </w:rPr>
        <w:t>a ejercer de la siguiente manera:</w:t>
      </w:r>
    </w:p>
    <w:p w:rsidR="005069FD" w:rsidRPr="00BA4C6E" w:rsidRDefault="005069FD" w:rsidP="005069FD">
      <w:pPr>
        <w:ind w:left="360"/>
        <w:contextualSpacing/>
        <w:jc w:val="both"/>
        <w:rPr>
          <w:rFonts w:asciiTheme="minorHAnsi" w:hAnsiTheme="minorHAnsi" w:cs="Arial"/>
          <w:b/>
          <w:sz w:val="20"/>
          <w:szCs w:val="20"/>
        </w:rPr>
      </w:pPr>
    </w:p>
    <w:p w:rsidR="005069FD" w:rsidRPr="00BA4C6E" w:rsidRDefault="005069FD" w:rsidP="005069FD">
      <w:pPr>
        <w:ind w:left="360"/>
        <w:contextualSpacing/>
        <w:jc w:val="both"/>
        <w:rPr>
          <w:rFonts w:asciiTheme="minorHAnsi" w:hAnsiTheme="minorHAnsi" w:cs="Arial"/>
          <w:b/>
          <w:sz w:val="20"/>
          <w:szCs w:val="20"/>
        </w:rPr>
      </w:pPr>
      <w:r w:rsidRPr="00BA4C6E">
        <w:rPr>
          <w:rFonts w:asciiTheme="minorHAnsi" w:hAnsiTheme="minorHAnsi" w:cs="Arial"/>
          <w:b/>
          <w:sz w:val="20"/>
          <w:szCs w:val="20"/>
        </w:rPr>
        <w:t xml:space="preserve">Presupuesto de egresos comprometido: </w:t>
      </w:r>
      <w:r w:rsidRPr="00BA4C6E">
        <w:rPr>
          <w:rFonts w:asciiTheme="minorHAnsi" w:hAnsiTheme="minorHAnsi" w:cs="Arial"/>
          <w:sz w:val="20"/>
          <w:szCs w:val="20"/>
        </w:rPr>
        <w:t xml:space="preserve">este momento contable refleja la aprobación por la autoridad competente de un acto administrativo u otro instrumento jurídico que formaliza una relación jurídica con terceros para la adquisición de bienes o servicios. Al término del 31 de diciembre 2022, los movimientos que se muestra en este rubro </w:t>
      </w:r>
      <w:proofErr w:type="gramStart"/>
      <w:r w:rsidRPr="00BA4C6E">
        <w:rPr>
          <w:rFonts w:asciiTheme="minorHAnsi" w:hAnsiTheme="minorHAnsi" w:cs="Arial"/>
          <w:sz w:val="20"/>
          <w:szCs w:val="20"/>
        </w:rPr>
        <w:t>es</w:t>
      </w:r>
      <w:proofErr w:type="gramEnd"/>
      <w:r w:rsidRPr="00BA4C6E">
        <w:rPr>
          <w:rFonts w:asciiTheme="minorHAnsi" w:hAnsiTheme="minorHAnsi" w:cs="Arial"/>
          <w:sz w:val="20"/>
          <w:szCs w:val="20"/>
        </w:rPr>
        <w:t xml:space="preserve"> por </w:t>
      </w:r>
      <w:r w:rsidRPr="00BA4C6E">
        <w:rPr>
          <w:rFonts w:asciiTheme="minorHAnsi" w:hAnsiTheme="minorHAnsi" w:cs="Arial"/>
          <w:b/>
          <w:sz w:val="20"/>
          <w:szCs w:val="20"/>
        </w:rPr>
        <w:t xml:space="preserve">$ </w:t>
      </w:r>
      <w:r>
        <w:rPr>
          <w:rFonts w:asciiTheme="minorHAnsi" w:hAnsiTheme="minorHAnsi" w:cs="Arial"/>
          <w:b/>
          <w:sz w:val="20"/>
          <w:szCs w:val="20"/>
        </w:rPr>
        <w:t>81, 999,677</w:t>
      </w:r>
    </w:p>
    <w:p w:rsidR="005069FD" w:rsidRPr="00BA4C6E" w:rsidRDefault="005069FD" w:rsidP="005069FD">
      <w:pPr>
        <w:ind w:left="360"/>
        <w:contextualSpacing/>
        <w:jc w:val="both"/>
        <w:rPr>
          <w:rFonts w:asciiTheme="minorHAnsi" w:hAnsiTheme="minorHAnsi" w:cs="Arial"/>
          <w:b/>
          <w:sz w:val="20"/>
          <w:szCs w:val="20"/>
        </w:rPr>
      </w:pPr>
    </w:p>
    <w:p w:rsidR="005069FD" w:rsidRPr="00BA4C6E" w:rsidRDefault="005069FD" w:rsidP="005069FD">
      <w:pPr>
        <w:ind w:left="360"/>
        <w:contextualSpacing/>
        <w:jc w:val="both"/>
        <w:rPr>
          <w:rFonts w:asciiTheme="minorHAnsi" w:hAnsiTheme="minorHAnsi" w:cs="Arial"/>
          <w:b/>
          <w:sz w:val="20"/>
          <w:szCs w:val="20"/>
        </w:rPr>
      </w:pPr>
      <w:r w:rsidRPr="00BA4C6E">
        <w:rPr>
          <w:rFonts w:asciiTheme="minorHAnsi" w:hAnsiTheme="minorHAnsi" w:cs="Arial"/>
          <w:b/>
          <w:sz w:val="20"/>
          <w:szCs w:val="20"/>
        </w:rPr>
        <w:t xml:space="preserve">Presupuesto de egresos devengado: </w:t>
      </w:r>
      <w:r w:rsidRPr="00BA4C6E">
        <w:rPr>
          <w:rFonts w:asciiTheme="minorHAnsi" w:hAnsiTheme="minorHAnsi" w:cs="Arial"/>
          <w:sz w:val="20"/>
          <w:szCs w:val="20"/>
        </w:rPr>
        <w:t xml:space="preserve">en este momento contable se refleja el reconocimiento de una obligación de pago con terceros, al cuarto trimestre de 2022 muestra un importe devengado por </w:t>
      </w:r>
      <w:r w:rsidRPr="00BA4C6E">
        <w:rPr>
          <w:rFonts w:asciiTheme="minorHAnsi" w:hAnsiTheme="minorHAnsi" w:cs="Arial"/>
          <w:b/>
          <w:sz w:val="20"/>
          <w:szCs w:val="20"/>
        </w:rPr>
        <w:t xml:space="preserve">$ </w:t>
      </w:r>
      <w:r>
        <w:rPr>
          <w:rFonts w:asciiTheme="minorHAnsi" w:hAnsiTheme="minorHAnsi" w:cs="Arial"/>
          <w:b/>
          <w:sz w:val="20"/>
          <w:szCs w:val="20"/>
        </w:rPr>
        <w:t>81, 999,677</w:t>
      </w:r>
    </w:p>
    <w:p w:rsidR="005069FD" w:rsidRPr="00BA4C6E" w:rsidRDefault="005069FD" w:rsidP="005069FD">
      <w:pPr>
        <w:ind w:left="360"/>
        <w:contextualSpacing/>
        <w:jc w:val="both"/>
        <w:rPr>
          <w:rFonts w:asciiTheme="minorHAnsi" w:hAnsiTheme="minorHAnsi" w:cs="Arial"/>
          <w:b/>
          <w:sz w:val="20"/>
          <w:szCs w:val="20"/>
        </w:rPr>
      </w:pPr>
    </w:p>
    <w:p w:rsidR="005069FD" w:rsidRPr="00BA4C6E" w:rsidRDefault="005069FD" w:rsidP="005069FD">
      <w:pPr>
        <w:ind w:left="360"/>
        <w:contextualSpacing/>
        <w:jc w:val="both"/>
        <w:rPr>
          <w:rFonts w:asciiTheme="minorHAnsi" w:hAnsiTheme="minorHAnsi" w:cs="Arial"/>
          <w:sz w:val="20"/>
          <w:szCs w:val="20"/>
        </w:rPr>
      </w:pPr>
      <w:r w:rsidRPr="00BA4C6E">
        <w:rPr>
          <w:rFonts w:asciiTheme="minorHAnsi" w:hAnsiTheme="minorHAnsi" w:cs="Arial"/>
          <w:b/>
          <w:sz w:val="20"/>
          <w:szCs w:val="20"/>
        </w:rPr>
        <w:t xml:space="preserve">Presupuesto de egresos pagado: </w:t>
      </w:r>
      <w:r w:rsidRPr="00BA4C6E">
        <w:rPr>
          <w:rFonts w:asciiTheme="minorHAnsi" w:hAnsiTheme="minorHAnsi" w:cs="Arial"/>
          <w:sz w:val="20"/>
          <w:szCs w:val="20"/>
        </w:rPr>
        <w:t xml:space="preserve">en este momento contable se refleja la cancelación total o parcial de las obligaciones de pago; al 31 de diciembre de 2022, el importe en este rubro fue por: </w:t>
      </w:r>
      <w:r w:rsidRPr="00BA4C6E">
        <w:rPr>
          <w:rFonts w:asciiTheme="minorHAnsi" w:hAnsiTheme="minorHAnsi" w:cs="Arial"/>
          <w:b/>
          <w:sz w:val="20"/>
          <w:szCs w:val="20"/>
        </w:rPr>
        <w:t>$ 81, 526,398</w:t>
      </w:r>
    </w:p>
    <w:p w:rsidR="005069FD" w:rsidRPr="00BA4C6E" w:rsidRDefault="005069FD" w:rsidP="005069FD">
      <w:pPr>
        <w:ind w:left="360"/>
        <w:contextualSpacing/>
        <w:jc w:val="both"/>
        <w:rPr>
          <w:rFonts w:asciiTheme="minorHAnsi" w:hAnsiTheme="minorHAnsi" w:cs="Arial"/>
          <w:b/>
          <w:sz w:val="20"/>
          <w:szCs w:val="20"/>
        </w:rPr>
      </w:pPr>
    </w:p>
    <w:p w:rsidR="005069FD" w:rsidRPr="00BA4C6E" w:rsidRDefault="005069FD" w:rsidP="005069FD">
      <w:pPr>
        <w:ind w:left="360"/>
        <w:contextualSpacing/>
        <w:jc w:val="both"/>
        <w:rPr>
          <w:rFonts w:asciiTheme="minorHAnsi" w:hAnsiTheme="minorHAnsi" w:cs="Arial"/>
          <w:b/>
          <w:sz w:val="20"/>
          <w:szCs w:val="20"/>
        </w:rPr>
      </w:pPr>
      <w:r w:rsidRPr="00BA4C6E">
        <w:rPr>
          <w:rFonts w:asciiTheme="minorHAnsi" w:hAnsiTheme="minorHAnsi" w:cs="Arial"/>
          <w:b/>
          <w:sz w:val="20"/>
          <w:szCs w:val="20"/>
        </w:rPr>
        <w:t xml:space="preserve">Presupuesto de egresos ejercido: </w:t>
      </w:r>
      <w:r w:rsidRPr="00BA4C6E">
        <w:rPr>
          <w:rFonts w:asciiTheme="minorHAnsi" w:hAnsiTheme="minorHAnsi" w:cs="Arial"/>
          <w:sz w:val="20"/>
          <w:szCs w:val="20"/>
        </w:rPr>
        <w:t xml:space="preserve">en este momento contable se refleja la emisión de cuentas por liquidar debidamente aprobada por la  autoridad competente, muestra un saldo de </w:t>
      </w:r>
      <w:r w:rsidRPr="00BA4C6E">
        <w:rPr>
          <w:rFonts w:asciiTheme="minorHAnsi" w:hAnsiTheme="minorHAnsi" w:cs="Arial"/>
          <w:b/>
          <w:sz w:val="20"/>
          <w:szCs w:val="20"/>
        </w:rPr>
        <w:t>$ 473,2</w:t>
      </w:r>
      <w:r>
        <w:rPr>
          <w:rFonts w:asciiTheme="minorHAnsi" w:hAnsiTheme="minorHAnsi" w:cs="Arial"/>
          <w:b/>
          <w:sz w:val="20"/>
          <w:szCs w:val="20"/>
        </w:rPr>
        <w:t>79</w:t>
      </w:r>
    </w:p>
    <w:p w:rsidR="005069FD" w:rsidRPr="00BA4C6E" w:rsidRDefault="005069FD" w:rsidP="005069FD">
      <w:pPr>
        <w:contextualSpacing/>
        <w:jc w:val="both"/>
        <w:rPr>
          <w:rFonts w:asciiTheme="minorHAnsi" w:hAnsiTheme="minorHAnsi" w:cs="Arial"/>
          <w:b/>
          <w:sz w:val="20"/>
          <w:szCs w:val="20"/>
        </w:rPr>
      </w:pPr>
    </w:p>
    <w:p w:rsidR="005069FD" w:rsidRPr="00BA4C6E" w:rsidRDefault="005069FD" w:rsidP="005069FD">
      <w:pPr>
        <w:ind w:left="360"/>
        <w:contextualSpacing/>
        <w:jc w:val="both"/>
        <w:rPr>
          <w:rFonts w:asciiTheme="minorHAnsi" w:hAnsiTheme="minorHAnsi" w:cs="Arial"/>
          <w:sz w:val="20"/>
          <w:szCs w:val="20"/>
        </w:rPr>
      </w:pPr>
      <w:r w:rsidRPr="00BA4C6E">
        <w:rPr>
          <w:rFonts w:asciiTheme="minorHAnsi" w:hAnsiTheme="minorHAnsi" w:cs="Arial"/>
          <w:b/>
          <w:sz w:val="20"/>
          <w:szCs w:val="20"/>
        </w:rPr>
        <w:t>Presupuesto de egresos por ejercer: $ 10,936,42</w:t>
      </w:r>
      <w:r>
        <w:rPr>
          <w:rFonts w:asciiTheme="minorHAnsi" w:hAnsiTheme="minorHAnsi" w:cs="Arial"/>
          <w:b/>
          <w:sz w:val="20"/>
          <w:szCs w:val="20"/>
        </w:rPr>
        <w:t>6</w:t>
      </w:r>
      <w:r w:rsidRPr="00BA4C6E">
        <w:rPr>
          <w:rFonts w:asciiTheme="minorHAnsi" w:hAnsiTheme="minorHAnsi" w:cs="Arial"/>
          <w:sz w:val="20"/>
          <w:szCs w:val="20"/>
        </w:rPr>
        <w:t xml:space="preserve"> que corresponde al presupuesto disponible al 31 de diciembre de 2022, debido a la radicación de los recursos en forma tardía, dichos importes serán refrendados para el ejercicio 2023 o en su caso reintegrados a la Tesorería de la Federación y/o Secretaría de Finanzas del Gobierno del Estado.</w:t>
      </w:r>
    </w:p>
    <w:p w:rsidR="005069FD" w:rsidRPr="00BA4C6E" w:rsidRDefault="005069FD" w:rsidP="005069FD">
      <w:pPr>
        <w:contextualSpacing/>
        <w:jc w:val="center"/>
        <w:rPr>
          <w:rFonts w:asciiTheme="minorHAnsi" w:hAnsiTheme="minorHAnsi"/>
        </w:rPr>
      </w:pPr>
    </w:p>
    <w:p w:rsidR="005069FD" w:rsidRDefault="005069FD" w:rsidP="005069FD">
      <w:pPr>
        <w:pStyle w:val="Texto"/>
        <w:spacing w:after="0" w:line="240" w:lineRule="exact"/>
        <w:ind w:firstLine="0"/>
        <w:rPr>
          <w:rFonts w:asciiTheme="minorHAnsi" w:hAnsiTheme="minorHAnsi"/>
        </w:rPr>
      </w:pPr>
      <w:r w:rsidRPr="00372F3D">
        <w:rPr>
          <w:rFonts w:asciiTheme="minorHAnsi" w:hAnsiTheme="minorHAnsi"/>
        </w:rPr>
        <w:t>Bajo protesta de decir verdad declaramos que los Estados Financieros y sus Notas son razonablemente correctos y son responsabilidad del emisor</w:t>
      </w:r>
      <w:r>
        <w:rPr>
          <w:rFonts w:asciiTheme="minorHAnsi" w:hAnsiTheme="minorHAnsi"/>
        </w:rPr>
        <w:t>.</w:t>
      </w:r>
    </w:p>
    <w:p w:rsidR="005069FD" w:rsidRDefault="005069FD" w:rsidP="005069FD">
      <w:pPr>
        <w:pStyle w:val="Texto"/>
        <w:spacing w:after="0" w:line="240" w:lineRule="exact"/>
        <w:ind w:firstLine="0"/>
        <w:rPr>
          <w:rFonts w:asciiTheme="minorHAnsi" w:hAnsiTheme="minorHAnsi"/>
        </w:rPr>
      </w:pPr>
    </w:p>
    <w:p w:rsidR="00FC1C31" w:rsidRDefault="00FC1C31" w:rsidP="005069FD">
      <w:pPr>
        <w:pStyle w:val="Texto"/>
        <w:spacing w:after="0" w:line="240" w:lineRule="exact"/>
        <w:ind w:firstLine="0"/>
        <w:rPr>
          <w:rFonts w:asciiTheme="minorHAnsi" w:hAnsiTheme="minorHAnsi"/>
        </w:rPr>
      </w:pPr>
    </w:p>
    <w:p w:rsidR="00FC1C31" w:rsidRDefault="00FC1C31" w:rsidP="005069FD">
      <w:pPr>
        <w:pStyle w:val="Texto"/>
        <w:spacing w:after="0" w:line="240" w:lineRule="exact"/>
        <w:ind w:firstLine="0"/>
        <w:rPr>
          <w:rFonts w:asciiTheme="minorHAnsi" w:hAnsiTheme="minorHAnsi"/>
        </w:rPr>
      </w:pPr>
    </w:p>
    <w:p w:rsidR="00FC1C31" w:rsidRDefault="00FC1C31" w:rsidP="005069FD">
      <w:pPr>
        <w:pStyle w:val="Texto"/>
        <w:spacing w:after="0" w:line="240" w:lineRule="exact"/>
        <w:ind w:firstLine="0"/>
        <w:rPr>
          <w:rFonts w:asciiTheme="minorHAnsi" w:hAnsiTheme="minorHAnsi"/>
        </w:rPr>
      </w:pPr>
    </w:p>
    <w:p w:rsidR="00FC1C31" w:rsidRDefault="00FC1C31" w:rsidP="005069FD">
      <w:pPr>
        <w:pStyle w:val="Texto"/>
        <w:spacing w:after="0" w:line="240" w:lineRule="exact"/>
        <w:ind w:firstLine="0"/>
        <w:rPr>
          <w:rFonts w:asciiTheme="minorHAnsi" w:hAnsiTheme="minorHAnsi"/>
        </w:rPr>
      </w:pPr>
    </w:p>
    <w:p w:rsidR="00FC1C31" w:rsidRDefault="00FC1C31" w:rsidP="005069FD">
      <w:pPr>
        <w:pStyle w:val="Texto"/>
        <w:spacing w:after="0" w:line="240" w:lineRule="exact"/>
        <w:ind w:firstLine="0"/>
        <w:rPr>
          <w:rFonts w:asciiTheme="minorHAnsi" w:hAnsiTheme="minorHAnsi"/>
        </w:rPr>
      </w:pPr>
    </w:p>
    <w:p w:rsidR="00FC1C31" w:rsidRDefault="00FC1C31" w:rsidP="005069FD">
      <w:pPr>
        <w:pStyle w:val="Texto"/>
        <w:spacing w:after="0" w:line="240" w:lineRule="exact"/>
        <w:ind w:firstLine="0"/>
        <w:rPr>
          <w:rFonts w:asciiTheme="minorHAnsi" w:hAnsiTheme="minorHAnsi"/>
        </w:rPr>
      </w:pPr>
    </w:p>
    <w:p w:rsidR="00FC1C31" w:rsidRDefault="00FC1C31" w:rsidP="005069FD">
      <w:pPr>
        <w:pStyle w:val="Texto"/>
        <w:spacing w:after="0" w:line="240" w:lineRule="exact"/>
        <w:ind w:firstLine="0"/>
        <w:rPr>
          <w:rFonts w:asciiTheme="minorHAnsi" w:hAnsiTheme="minorHAnsi"/>
        </w:rPr>
      </w:pPr>
    </w:p>
    <w:p w:rsidR="00FC1C31" w:rsidRDefault="00FC1C31" w:rsidP="005069FD">
      <w:pPr>
        <w:pStyle w:val="Texto"/>
        <w:spacing w:after="0" w:line="240" w:lineRule="exact"/>
        <w:ind w:firstLine="0"/>
        <w:rPr>
          <w:rFonts w:asciiTheme="minorHAnsi" w:hAnsiTheme="minorHAnsi"/>
        </w:rPr>
      </w:pPr>
    </w:p>
    <w:p w:rsidR="00FC1C31" w:rsidRPr="00372F3D" w:rsidRDefault="00FC1C31" w:rsidP="005069FD">
      <w:pPr>
        <w:pStyle w:val="Texto"/>
        <w:spacing w:after="0" w:line="240" w:lineRule="exact"/>
        <w:ind w:firstLine="0"/>
        <w:rPr>
          <w:rFonts w:asciiTheme="minorHAnsi" w:hAnsiTheme="minorHAnsi"/>
        </w:rPr>
      </w:pPr>
    </w:p>
    <w:p w:rsidR="005069FD" w:rsidRPr="00BA4C6E" w:rsidRDefault="005069FD" w:rsidP="005069FD">
      <w:pPr>
        <w:pStyle w:val="Texto"/>
        <w:spacing w:after="0" w:line="240" w:lineRule="exact"/>
        <w:ind w:firstLine="0"/>
        <w:rPr>
          <w:rFonts w:asciiTheme="minorHAnsi" w:hAnsiTheme="minorHAnsi"/>
          <w:sz w:val="20"/>
        </w:rPr>
      </w:pPr>
    </w:p>
    <w:p w:rsidR="005069FD" w:rsidRPr="00BA4C6E" w:rsidRDefault="005069FD" w:rsidP="005069FD">
      <w:pPr>
        <w:pStyle w:val="Texto"/>
        <w:spacing w:after="0" w:line="240" w:lineRule="exact"/>
        <w:ind w:firstLine="0"/>
        <w:rPr>
          <w:rFonts w:asciiTheme="minorHAnsi" w:hAnsiTheme="minorHAnsi"/>
          <w:sz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686"/>
        <w:gridCol w:w="2871"/>
      </w:tblGrid>
      <w:tr w:rsidR="005069FD" w:rsidRPr="00BA4C6E" w:rsidTr="00C07EAF">
        <w:tc>
          <w:tcPr>
            <w:tcW w:w="2943" w:type="dxa"/>
          </w:tcPr>
          <w:p w:rsidR="005069FD" w:rsidRDefault="005069FD" w:rsidP="00C07EAF">
            <w:pPr>
              <w:pStyle w:val="NormalWeb"/>
              <w:spacing w:before="0" w:beforeAutospacing="0" w:after="0" w:afterAutospacing="0"/>
              <w:jc w:val="center"/>
              <w:rPr>
                <w:rFonts w:asciiTheme="minorHAnsi" w:hAnsiTheme="minorHAnsi" w:cs="Arial"/>
                <w:b/>
                <w:smallCaps/>
                <w:sz w:val="20"/>
                <w:szCs w:val="20"/>
              </w:rPr>
            </w:pPr>
          </w:p>
          <w:p w:rsidR="00E21765" w:rsidRDefault="00E21765" w:rsidP="00C07EAF">
            <w:pPr>
              <w:pStyle w:val="NormalWeb"/>
              <w:spacing w:before="0" w:beforeAutospacing="0" w:after="0" w:afterAutospacing="0"/>
              <w:jc w:val="center"/>
              <w:rPr>
                <w:rFonts w:asciiTheme="minorHAnsi" w:hAnsiTheme="minorHAnsi" w:cs="Arial"/>
                <w:b/>
                <w:smallCaps/>
                <w:sz w:val="20"/>
                <w:szCs w:val="20"/>
              </w:rPr>
            </w:pPr>
          </w:p>
          <w:p w:rsidR="00E21765" w:rsidRDefault="00E21765" w:rsidP="00C07EAF">
            <w:pPr>
              <w:pStyle w:val="NormalWeb"/>
              <w:spacing w:before="0" w:beforeAutospacing="0" w:after="0" w:afterAutospacing="0"/>
              <w:jc w:val="center"/>
              <w:rPr>
                <w:rFonts w:asciiTheme="minorHAnsi" w:hAnsiTheme="minorHAnsi" w:cs="Arial"/>
                <w:b/>
                <w:smallCaps/>
                <w:sz w:val="20"/>
                <w:szCs w:val="20"/>
              </w:rPr>
            </w:pPr>
          </w:p>
          <w:p w:rsidR="00E21765" w:rsidRDefault="00E21765" w:rsidP="00C07EAF">
            <w:pPr>
              <w:pStyle w:val="NormalWeb"/>
              <w:spacing w:before="0" w:beforeAutospacing="0" w:after="0" w:afterAutospacing="0"/>
              <w:jc w:val="center"/>
              <w:rPr>
                <w:rFonts w:asciiTheme="minorHAnsi" w:hAnsiTheme="minorHAnsi" w:cs="Arial"/>
                <w:b/>
                <w:smallCaps/>
                <w:sz w:val="20"/>
                <w:szCs w:val="20"/>
              </w:rPr>
            </w:pPr>
          </w:p>
          <w:p w:rsidR="00E21765" w:rsidRDefault="00E21765" w:rsidP="00C07EAF">
            <w:pPr>
              <w:pStyle w:val="NormalWeb"/>
              <w:spacing w:before="0" w:beforeAutospacing="0" w:after="0" w:afterAutospacing="0"/>
              <w:jc w:val="center"/>
              <w:rPr>
                <w:rFonts w:asciiTheme="minorHAnsi" w:hAnsiTheme="minorHAnsi" w:cs="Arial"/>
                <w:b/>
                <w:smallCaps/>
                <w:sz w:val="20"/>
                <w:szCs w:val="20"/>
              </w:rPr>
            </w:pPr>
          </w:p>
          <w:p w:rsidR="00E21765" w:rsidRPr="00BA4C6E" w:rsidRDefault="00E21765" w:rsidP="00C07EAF">
            <w:pPr>
              <w:pStyle w:val="NormalWeb"/>
              <w:spacing w:before="0" w:beforeAutospacing="0" w:after="0" w:afterAutospacing="0"/>
              <w:jc w:val="center"/>
              <w:rPr>
                <w:rFonts w:asciiTheme="minorHAnsi" w:hAnsiTheme="minorHAnsi" w:cs="Arial"/>
                <w:b/>
                <w:smallCaps/>
                <w:sz w:val="20"/>
                <w:szCs w:val="20"/>
              </w:rPr>
            </w:pPr>
          </w:p>
        </w:tc>
        <w:tc>
          <w:tcPr>
            <w:tcW w:w="3686" w:type="dxa"/>
          </w:tcPr>
          <w:p w:rsidR="005069FD" w:rsidRPr="00BA4C6E" w:rsidRDefault="005069FD" w:rsidP="00C07EAF">
            <w:pPr>
              <w:pStyle w:val="NormalWeb"/>
              <w:spacing w:before="0" w:beforeAutospacing="0" w:after="0" w:afterAutospacing="0"/>
              <w:jc w:val="center"/>
              <w:rPr>
                <w:rFonts w:asciiTheme="minorHAnsi" w:hAnsiTheme="minorHAnsi" w:cs="Arial"/>
                <w:b/>
                <w:smallCaps/>
                <w:sz w:val="20"/>
                <w:szCs w:val="20"/>
              </w:rPr>
            </w:pPr>
          </w:p>
        </w:tc>
        <w:tc>
          <w:tcPr>
            <w:tcW w:w="2871" w:type="dxa"/>
          </w:tcPr>
          <w:p w:rsidR="005069FD" w:rsidRPr="00BA4C6E" w:rsidRDefault="005069FD" w:rsidP="00C07EAF">
            <w:pPr>
              <w:pStyle w:val="NormalWeb"/>
              <w:spacing w:before="0" w:beforeAutospacing="0" w:after="0" w:afterAutospacing="0"/>
              <w:jc w:val="center"/>
              <w:rPr>
                <w:rFonts w:asciiTheme="minorHAnsi" w:hAnsiTheme="minorHAnsi" w:cs="Arial"/>
                <w:b/>
                <w:smallCaps/>
                <w:sz w:val="20"/>
                <w:szCs w:val="20"/>
              </w:rPr>
            </w:pPr>
          </w:p>
        </w:tc>
      </w:tr>
    </w:tbl>
    <w:p w:rsidR="005069FD" w:rsidRPr="00BA4C6E" w:rsidRDefault="005069FD" w:rsidP="005069FD">
      <w:pPr>
        <w:pStyle w:val="Texto"/>
        <w:spacing w:after="0" w:line="240" w:lineRule="exact"/>
        <w:ind w:firstLine="0"/>
        <w:jc w:val="center"/>
        <w:rPr>
          <w:rFonts w:asciiTheme="minorHAnsi" w:hAnsiTheme="minorHAnsi" w:cs="Arial"/>
          <w:b/>
          <w:sz w:val="20"/>
          <w:lang w:val="es-MX"/>
        </w:rPr>
      </w:pPr>
      <w:r w:rsidRPr="00BA4C6E">
        <w:rPr>
          <w:rFonts w:asciiTheme="minorHAnsi" w:hAnsiTheme="minorHAnsi" w:cs="Arial"/>
          <w:b/>
          <w:sz w:val="20"/>
          <w:lang w:val="es-MX"/>
        </w:rPr>
        <w:lastRenderedPageBreak/>
        <w:t>C) NOTAS DE GESTIÓN ADMINISTRATIVA</w:t>
      </w:r>
    </w:p>
    <w:p w:rsidR="005069FD" w:rsidRPr="00BA4C6E" w:rsidRDefault="005069FD" w:rsidP="005069FD">
      <w:pPr>
        <w:pStyle w:val="Texto"/>
        <w:spacing w:after="0" w:line="240" w:lineRule="exact"/>
        <w:ind w:firstLine="0"/>
        <w:jc w:val="center"/>
        <w:rPr>
          <w:rFonts w:asciiTheme="minorHAnsi" w:hAnsiTheme="minorHAnsi" w:cs="Arial"/>
          <w:b/>
          <w:sz w:val="20"/>
          <w:lang w:val="es-MX"/>
        </w:rPr>
      </w:pPr>
    </w:p>
    <w:p w:rsidR="005069FD" w:rsidRPr="00BA4C6E" w:rsidRDefault="005069FD" w:rsidP="005069FD">
      <w:pPr>
        <w:pStyle w:val="Texto"/>
        <w:spacing w:after="0" w:line="240" w:lineRule="exact"/>
        <w:ind w:firstLine="0"/>
        <w:rPr>
          <w:rFonts w:asciiTheme="minorHAnsi" w:hAnsiTheme="minorHAnsi" w:cs="Arial"/>
          <w:b/>
          <w:sz w:val="20"/>
          <w:lang w:val="es-MX"/>
        </w:rPr>
      </w:pPr>
    </w:p>
    <w:p w:rsidR="005069FD" w:rsidRPr="00BA4C6E" w:rsidRDefault="005069FD" w:rsidP="005069FD">
      <w:pPr>
        <w:numPr>
          <w:ilvl w:val="0"/>
          <w:numId w:val="18"/>
        </w:numPr>
        <w:spacing w:after="180" w:line="274" w:lineRule="auto"/>
        <w:jc w:val="both"/>
        <w:rPr>
          <w:rFonts w:asciiTheme="minorHAnsi" w:hAnsiTheme="minorHAnsi" w:cs="Arial"/>
          <w:b/>
          <w:sz w:val="20"/>
          <w:szCs w:val="20"/>
        </w:rPr>
      </w:pPr>
      <w:r w:rsidRPr="00BA4C6E">
        <w:rPr>
          <w:rFonts w:asciiTheme="minorHAnsi" w:hAnsiTheme="minorHAnsi" w:cs="Arial"/>
          <w:sz w:val="20"/>
          <w:szCs w:val="20"/>
        </w:rPr>
        <w:t>1.</w:t>
      </w:r>
      <w:r w:rsidRPr="00BA4C6E">
        <w:rPr>
          <w:rFonts w:asciiTheme="minorHAnsi" w:hAnsiTheme="minorHAnsi" w:cs="Arial"/>
          <w:sz w:val="20"/>
          <w:szCs w:val="20"/>
        </w:rPr>
        <w:tab/>
      </w:r>
      <w:r w:rsidRPr="00BA4C6E">
        <w:rPr>
          <w:rFonts w:asciiTheme="minorHAnsi" w:hAnsiTheme="minorHAnsi" w:cs="Arial"/>
          <w:b/>
          <w:sz w:val="20"/>
          <w:szCs w:val="20"/>
        </w:rPr>
        <w:t>INTRODUCCIÓN</w:t>
      </w:r>
    </w:p>
    <w:p w:rsidR="005069FD" w:rsidRPr="00BA4C6E" w:rsidRDefault="005069FD" w:rsidP="005069FD">
      <w:pPr>
        <w:jc w:val="both"/>
        <w:rPr>
          <w:rFonts w:asciiTheme="minorHAnsi" w:hAnsiTheme="minorHAnsi" w:cs="Arial"/>
          <w:sz w:val="20"/>
          <w:szCs w:val="20"/>
        </w:rPr>
      </w:pPr>
      <w:r w:rsidRPr="00BA4C6E">
        <w:rPr>
          <w:rFonts w:asciiTheme="minorHAnsi" w:hAnsiTheme="minorHAnsi" w:cs="Arial"/>
          <w:sz w:val="20"/>
          <w:szCs w:val="20"/>
        </w:rPr>
        <w:t>La Comisión Estatal del Agua de Tamaulipas es un Organismo Público Descentralizado de la Administración Pública Estatal, con personalidad jurídica y patrimonio propio, con funciones de autoridad administrativa y cuyas atribuciones le son conferidas por la Ley de Aguas del Estado de Tamaulipas.</w:t>
      </w:r>
    </w:p>
    <w:p w:rsidR="005069FD" w:rsidRPr="00BA4C6E" w:rsidRDefault="005069FD" w:rsidP="005069FD">
      <w:pPr>
        <w:spacing w:before="150" w:after="150"/>
        <w:jc w:val="both"/>
        <w:rPr>
          <w:rFonts w:asciiTheme="minorHAnsi" w:eastAsia="Times New Roman" w:hAnsiTheme="minorHAnsi" w:cs="Arial"/>
          <w:b/>
          <w:bCs/>
          <w:sz w:val="20"/>
          <w:szCs w:val="20"/>
          <w:lang w:eastAsia="es-MX"/>
        </w:rPr>
      </w:pP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b/>
          <w:bCs/>
          <w:sz w:val="20"/>
          <w:szCs w:val="20"/>
          <w:lang w:eastAsia="es-MX"/>
        </w:rPr>
        <w:t>Misión.</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Gestionar el uso racional y eficiente del recurso hídrico en el Estado de Tamaulipas, promoviendo el mejoramiento de sus índices de eficiencia tanto en el servicio público urbano como agrícola.</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Promover  acciones  para alcanzar la cobertura total del servicio de agua potable y saneamiento, la preservación ecológica y sustentable de los causes, cuerpos de agua y acuíferos.</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xml:space="preserve">Participar conjuntamente con las dependencias responsables en el </w:t>
      </w:r>
      <w:proofErr w:type="spellStart"/>
      <w:r w:rsidRPr="00BA4C6E">
        <w:rPr>
          <w:rFonts w:asciiTheme="minorHAnsi" w:eastAsia="Times New Roman" w:hAnsiTheme="minorHAnsi" w:cs="Arial"/>
          <w:sz w:val="20"/>
          <w:szCs w:val="20"/>
          <w:lang w:eastAsia="es-MX"/>
        </w:rPr>
        <w:t>alertamiento</w:t>
      </w:r>
      <w:proofErr w:type="spellEnd"/>
      <w:r w:rsidRPr="00BA4C6E">
        <w:rPr>
          <w:rFonts w:asciiTheme="minorHAnsi" w:eastAsia="Times New Roman" w:hAnsiTheme="minorHAnsi" w:cs="Arial"/>
          <w:sz w:val="20"/>
          <w:szCs w:val="20"/>
          <w:lang w:eastAsia="es-MX"/>
        </w:rPr>
        <w:t xml:space="preserve"> oportuno a la población ante fenómenos meteorológicos extremos, con acciones que permitan para mitigar los riesgos a sus bienes.</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Todo a través de la gestión integral del recurso hídrico en el ámbito de los tres órdenes de Gobierno. Considerando su distribución justa y equitativa en todos los sectores usuarios, para contribuir al desarrollo sustentable de las comunidades.</w:t>
      </w:r>
    </w:p>
    <w:p w:rsidR="005069FD" w:rsidRPr="00BA4C6E" w:rsidRDefault="005069FD" w:rsidP="005069FD">
      <w:pPr>
        <w:spacing w:before="150" w:after="150"/>
        <w:jc w:val="both"/>
        <w:rPr>
          <w:rFonts w:asciiTheme="minorHAnsi" w:eastAsia="Times New Roman" w:hAnsiTheme="minorHAnsi" w:cs="Arial"/>
          <w:sz w:val="20"/>
          <w:szCs w:val="20"/>
          <w:lang w:eastAsia="es-MX"/>
        </w:rPr>
      </w:pP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w:t>
      </w:r>
      <w:r w:rsidRPr="00BA4C6E">
        <w:rPr>
          <w:rFonts w:asciiTheme="minorHAnsi" w:eastAsia="Times New Roman" w:hAnsiTheme="minorHAnsi" w:cs="Arial"/>
          <w:b/>
          <w:bCs/>
          <w:sz w:val="20"/>
          <w:szCs w:val="20"/>
          <w:lang w:eastAsia="es-MX"/>
        </w:rPr>
        <w:t>Visión.</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Ser un organismo líder, dinámico, moderno, eficiente, integrador del sector hidráulico Estatal, alineado con el Plan Estatal de Desarrollo 2016-2022, aplicando las políticas de sustentabilidad y conservación ecológica en la gestión hídrica, al servicio de la sociedad</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Ser un órgano normativo privilegiando el empleo de tecnología de punta con la participación de la sociedad y los usuarios organizados en la administración del agua.</w:t>
      </w:r>
    </w:p>
    <w:p w:rsidR="005069FD" w:rsidRPr="00BA4C6E" w:rsidRDefault="005069FD" w:rsidP="005069FD">
      <w:pPr>
        <w:spacing w:before="150" w:after="150"/>
        <w:jc w:val="both"/>
        <w:rPr>
          <w:rFonts w:asciiTheme="minorHAnsi" w:eastAsia="Times New Roman" w:hAnsiTheme="minorHAnsi" w:cs="Arial"/>
          <w:b/>
          <w:bCs/>
          <w:sz w:val="20"/>
          <w:szCs w:val="20"/>
          <w:lang w:eastAsia="es-MX"/>
        </w:rPr>
      </w:pP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b/>
          <w:bCs/>
          <w:sz w:val="20"/>
          <w:szCs w:val="20"/>
          <w:lang w:eastAsia="es-MX"/>
        </w:rPr>
        <w:t>Valores.</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&gt; Cortesía</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&gt; Compromiso</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&gt; Seriedad</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&gt; Calidad</w:t>
      </w:r>
    </w:p>
    <w:p w:rsidR="005069FD"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&gt; Responsabilidad</w:t>
      </w:r>
    </w:p>
    <w:p w:rsidR="005069FD" w:rsidRDefault="005069FD" w:rsidP="005069FD">
      <w:pPr>
        <w:spacing w:before="150" w:after="150"/>
        <w:jc w:val="both"/>
        <w:rPr>
          <w:rFonts w:asciiTheme="minorHAnsi" w:eastAsia="Times New Roman" w:hAnsiTheme="minorHAnsi" w:cs="Arial"/>
          <w:sz w:val="20"/>
          <w:szCs w:val="20"/>
          <w:lang w:eastAsia="es-MX"/>
        </w:rPr>
      </w:pPr>
    </w:p>
    <w:p w:rsidR="005069FD" w:rsidRPr="00BA4C6E" w:rsidRDefault="005069FD" w:rsidP="005069FD">
      <w:pPr>
        <w:spacing w:before="150" w:after="150"/>
        <w:jc w:val="both"/>
        <w:rPr>
          <w:rFonts w:asciiTheme="minorHAnsi" w:eastAsia="Times New Roman" w:hAnsiTheme="minorHAnsi" w:cs="Arial"/>
          <w:sz w:val="20"/>
          <w:szCs w:val="20"/>
          <w:lang w:eastAsia="es-MX"/>
        </w:rPr>
      </w:pPr>
    </w:p>
    <w:p w:rsidR="005069FD" w:rsidRDefault="005069FD" w:rsidP="005069FD">
      <w:pPr>
        <w:spacing w:before="150" w:after="150"/>
        <w:jc w:val="both"/>
        <w:rPr>
          <w:rFonts w:asciiTheme="minorHAnsi" w:eastAsia="Times New Roman" w:hAnsiTheme="minorHAnsi" w:cs="Arial"/>
          <w:sz w:val="20"/>
          <w:szCs w:val="20"/>
          <w:lang w:eastAsia="es-MX"/>
        </w:rPr>
      </w:pPr>
    </w:p>
    <w:p w:rsidR="00374036" w:rsidRPr="00BA4C6E" w:rsidRDefault="00374036" w:rsidP="005069FD">
      <w:pPr>
        <w:spacing w:before="150" w:after="150"/>
        <w:jc w:val="both"/>
        <w:rPr>
          <w:rFonts w:asciiTheme="minorHAnsi" w:eastAsia="Times New Roman" w:hAnsiTheme="minorHAnsi" w:cs="Arial"/>
          <w:sz w:val="20"/>
          <w:szCs w:val="20"/>
          <w:lang w:eastAsia="es-MX"/>
        </w:rPr>
      </w:pPr>
    </w:p>
    <w:p w:rsidR="005069FD" w:rsidRPr="00BA4C6E" w:rsidRDefault="005069FD" w:rsidP="005069FD">
      <w:pPr>
        <w:numPr>
          <w:ilvl w:val="0"/>
          <w:numId w:val="18"/>
        </w:numPr>
        <w:spacing w:before="150" w:after="150" w:line="240" w:lineRule="auto"/>
        <w:jc w:val="both"/>
        <w:rPr>
          <w:rFonts w:asciiTheme="minorHAnsi" w:eastAsia="Times New Roman" w:hAnsiTheme="minorHAnsi" w:cs="Arial"/>
          <w:b/>
          <w:sz w:val="20"/>
          <w:szCs w:val="20"/>
          <w:lang w:eastAsia="es-MX"/>
        </w:rPr>
      </w:pPr>
      <w:r w:rsidRPr="00BA4C6E">
        <w:rPr>
          <w:rFonts w:asciiTheme="minorHAnsi" w:eastAsia="Times New Roman" w:hAnsiTheme="minorHAnsi" w:cs="Arial"/>
          <w:b/>
          <w:sz w:val="20"/>
          <w:szCs w:val="20"/>
          <w:lang w:eastAsia="es-MX"/>
        </w:rPr>
        <w:lastRenderedPageBreak/>
        <w:t xml:space="preserve"> PANORAMA ECONÓMICO Y FINANCIERO</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La Comisión Estatal del Agua de Tamaulipas, opera con recursos provenientes de Gobierno del Estado, la Federación y recursos propios que se obtienen por las ventas de productos químicos, refacciones, herramientas para equipos de cloración, perforaciones de pozo, trabajos de desazolve y mantenimiento a equipos de bombeo.</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Estos recursos son aplicados en la operación del Organismo de tal manera que se dé cumplimiento a las funciones establecidas en la Ley.</w:t>
      </w:r>
    </w:p>
    <w:p w:rsidR="005069FD" w:rsidRPr="00BA4C6E" w:rsidRDefault="005069FD" w:rsidP="005069FD">
      <w:pPr>
        <w:spacing w:before="150" w:after="150"/>
        <w:jc w:val="both"/>
        <w:rPr>
          <w:rFonts w:asciiTheme="minorHAnsi" w:eastAsia="Times New Roman" w:hAnsiTheme="minorHAnsi" w:cs="Arial"/>
          <w:sz w:val="20"/>
          <w:szCs w:val="20"/>
          <w:lang w:eastAsia="es-MX"/>
        </w:rPr>
      </w:pPr>
    </w:p>
    <w:p w:rsidR="005069FD" w:rsidRPr="00BA4C6E" w:rsidRDefault="005069FD" w:rsidP="005069FD">
      <w:pPr>
        <w:numPr>
          <w:ilvl w:val="0"/>
          <w:numId w:val="18"/>
        </w:numPr>
        <w:spacing w:before="150" w:after="150" w:line="240" w:lineRule="auto"/>
        <w:jc w:val="both"/>
        <w:rPr>
          <w:rFonts w:asciiTheme="minorHAnsi" w:eastAsia="Times New Roman" w:hAnsiTheme="minorHAnsi" w:cs="Arial"/>
          <w:b/>
          <w:sz w:val="20"/>
          <w:szCs w:val="20"/>
          <w:lang w:eastAsia="es-MX"/>
        </w:rPr>
      </w:pPr>
      <w:r w:rsidRPr="00BA4C6E">
        <w:rPr>
          <w:rFonts w:asciiTheme="minorHAnsi" w:eastAsia="Times New Roman" w:hAnsiTheme="minorHAnsi" w:cs="Arial"/>
          <w:b/>
          <w:sz w:val="20"/>
          <w:szCs w:val="20"/>
          <w:lang w:eastAsia="es-MX"/>
        </w:rPr>
        <w:t>AUTORIZACIÓN E HISTORIA</w:t>
      </w:r>
    </w:p>
    <w:p w:rsidR="005069FD" w:rsidRPr="00BA4C6E" w:rsidRDefault="005069FD" w:rsidP="005069FD">
      <w:pPr>
        <w:spacing w:before="150" w:after="150"/>
        <w:jc w:val="both"/>
        <w:rPr>
          <w:rFonts w:asciiTheme="minorHAnsi" w:eastAsia="Times New Roman" w:hAnsiTheme="minorHAnsi" w:cs="Arial"/>
          <w:b/>
          <w:sz w:val="20"/>
          <w:szCs w:val="20"/>
          <w:lang w:eastAsia="es-MX"/>
        </w:rPr>
      </w:pPr>
    </w:p>
    <w:p w:rsidR="005069FD" w:rsidRPr="00BA4C6E" w:rsidRDefault="005069FD" w:rsidP="005069FD">
      <w:pPr>
        <w:numPr>
          <w:ilvl w:val="0"/>
          <w:numId w:val="19"/>
        </w:numPr>
        <w:spacing w:before="150" w:after="150" w:line="240" w:lineRule="auto"/>
        <w:jc w:val="both"/>
        <w:rPr>
          <w:rFonts w:asciiTheme="minorHAnsi" w:eastAsia="Times New Roman" w:hAnsiTheme="minorHAnsi" w:cs="Arial"/>
          <w:b/>
          <w:sz w:val="20"/>
          <w:szCs w:val="20"/>
          <w:lang w:eastAsia="es-MX"/>
        </w:rPr>
      </w:pPr>
      <w:r w:rsidRPr="00BA4C6E">
        <w:rPr>
          <w:rFonts w:asciiTheme="minorHAnsi" w:eastAsia="Times New Roman" w:hAnsiTheme="minorHAnsi" w:cs="Arial"/>
          <w:b/>
          <w:sz w:val="20"/>
          <w:szCs w:val="20"/>
          <w:lang w:eastAsia="es-MX"/>
        </w:rPr>
        <w:t xml:space="preserve">Fecha de creación </w:t>
      </w:r>
    </w:p>
    <w:p w:rsidR="005069FD" w:rsidRPr="00BA4C6E" w:rsidRDefault="005069FD" w:rsidP="005069FD">
      <w:pPr>
        <w:spacing w:before="150" w:after="150"/>
        <w:ind w:left="1070"/>
        <w:jc w:val="both"/>
        <w:rPr>
          <w:rFonts w:asciiTheme="minorHAnsi" w:eastAsia="Times New Roman" w:hAnsiTheme="minorHAnsi" w:cs="Arial"/>
          <w:b/>
          <w:sz w:val="20"/>
          <w:szCs w:val="20"/>
          <w:lang w:eastAsia="es-MX"/>
        </w:rPr>
      </w:pPr>
    </w:p>
    <w:p w:rsidR="005069FD" w:rsidRPr="00BA4C6E" w:rsidRDefault="005069FD" w:rsidP="005069FD">
      <w:pPr>
        <w:tabs>
          <w:tab w:val="left" w:pos="0"/>
        </w:tabs>
        <w:spacing w:before="150" w:after="150"/>
        <w:rPr>
          <w:rFonts w:asciiTheme="minorHAnsi" w:eastAsia="Times New Roman" w:hAnsiTheme="minorHAnsi" w:cs="Arial"/>
          <w:sz w:val="20"/>
          <w:szCs w:val="20"/>
          <w:lang w:eastAsia="es-MX"/>
        </w:rPr>
      </w:pPr>
      <w:r w:rsidRPr="00BA4C6E">
        <w:rPr>
          <w:rFonts w:asciiTheme="minorHAnsi" w:eastAsia="Times New Roman" w:hAnsiTheme="minorHAnsi" w:cs="Arial"/>
          <w:b/>
          <w:bCs/>
          <w:sz w:val="20"/>
          <w:szCs w:val="20"/>
          <w:lang w:eastAsia="es-MX"/>
        </w:rPr>
        <w:t>Creación de la Junta Estatal de Agua Potable en el Medio Rural (JEAPA).</w:t>
      </w:r>
    </w:p>
    <w:p w:rsidR="005069FD" w:rsidRPr="00BA4C6E" w:rsidRDefault="005069FD" w:rsidP="005069FD">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xml:space="preserve">Mediante Decreto Número 60, publicado en el Periódico Oficial del Estado, número 4 de fecha 14 de Enero de 1970, Tomo XCV, El Ciudadano Manuel A. </w:t>
      </w:r>
      <w:proofErr w:type="spellStart"/>
      <w:r w:rsidRPr="00BA4C6E">
        <w:rPr>
          <w:rFonts w:asciiTheme="minorHAnsi" w:eastAsia="Times New Roman" w:hAnsiTheme="minorHAnsi" w:cs="Arial"/>
          <w:sz w:val="20"/>
          <w:szCs w:val="20"/>
          <w:lang w:eastAsia="es-MX"/>
        </w:rPr>
        <w:t>Ravize</w:t>
      </w:r>
      <w:proofErr w:type="spellEnd"/>
      <w:r w:rsidRPr="00BA4C6E">
        <w:rPr>
          <w:rFonts w:asciiTheme="minorHAnsi" w:eastAsia="Times New Roman" w:hAnsiTheme="minorHAnsi" w:cs="Arial"/>
          <w:sz w:val="20"/>
          <w:szCs w:val="20"/>
          <w:lang w:eastAsia="es-MX"/>
        </w:rPr>
        <w:t>, Gobernador Constitucional del Estado de Tamaulipas, expidió la Ley para el Abastecimiento de Agua Potable y Alcantarillado en el Medio Rural, la que en su capítulo IV, establece la Junta Estatal de Agua Potable en el Medio Rural, teniendo a su cargo entre otras, la organización, vigilancia y control de las Juntas Pro-introducción y las Juntas Rurales de Administración, Operación y Mantenimiento, del Sistema, así como la vigilancia y control de los Sistemas de Agua Potable y Alcantarillado para el Medio Rural, en el Estado.</w:t>
      </w:r>
    </w:p>
    <w:p w:rsidR="005069FD" w:rsidRPr="00BA4C6E" w:rsidRDefault="005069FD" w:rsidP="005069FD">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b/>
          <w:bCs/>
          <w:sz w:val="20"/>
          <w:szCs w:val="20"/>
          <w:lang w:eastAsia="es-MX"/>
        </w:rPr>
        <w:t>Instauración y Extinción de la Comisión Estatal de Agua Potable y Alcantarillado (CEAPA).</w:t>
      </w:r>
    </w:p>
    <w:p w:rsidR="005069FD" w:rsidRPr="00BA4C6E" w:rsidRDefault="005069FD" w:rsidP="005069FD">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Con la expedición del Decreto Gubernamental, publicado en el Periódico Oficial del Estado número 33, del 24 de Abril de 1993, se creó la Comisión Estatal de Agua Potable y Alcantarillado, con el carácter de Organismo Público Descentralizado del Gobierno del Estado, con personalidad jurídica y patrimonio propios, (CEAPA), que tenía por objeto coordinar la organización y funcionamiento de los Organismos Operadores de los Sistemas de Agua Potable y Alcantarillado en el Estado de Tamaulipas.</w:t>
      </w:r>
    </w:p>
    <w:p w:rsidR="005069FD" w:rsidRPr="00BA4C6E" w:rsidRDefault="005069FD" w:rsidP="005069FD">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El 20 de Noviembre del 2001 desaparece la CEAPA y sus funciones son asumidas por la Secretaría de Desarrollo Urbano y Ecología (SEDUE), lo cual ocurre en fecha 20 de Noviembre del 2001, mediante la publicación del Periódico Oficial del Estado número 139, el Decreto número 522, a través del cual se determina que dicha Secretaría, asuma las funciones encomendadas a la extinta Comisión Estatal de Agua Potable y Alcantarillado, abrogándose el Decreto Gubernamental que creó a la referida Comisión Estatal.</w:t>
      </w:r>
    </w:p>
    <w:p w:rsidR="005069FD" w:rsidRPr="00BA4C6E" w:rsidRDefault="005069FD" w:rsidP="005069FD">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w:t>
      </w:r>
      <w:r w:rsidRPr="00BA4C6E">
        <w:rPr>
          <w:rFonts w:asciiTheme="minorHAnsi" w:eastAsia="Times New Roman" w:hAnsiTheme="minorHAnsi" w:cs="Arial"/>
          <w:b/>
          <w:bCs/>
          <w:sz w:val="20"/>
          <w:szCs w:val="20"/>
          <w:lang w:eastAsia="es-MX"/>
        </w:rPr>
        <w:t>Dirección General del Recurso Agua.</w:t>
      </w:r>
    </w:p>
    <w:p w:rsidR="005069FD" w:rsidRPr="00BA4C6E" w:rsidRDefault="005069FD" w:rsidP="005069FD">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En el mes de Febrero del 2005, como parte de la estructura orgánica de la Secretaría de Obras Públicas, Desarrollo Urbano y Ecología (SOPDUE), fue establecida la Dirección General del Recurso Agua, la que por instrucciones de la propia Secretaría, continuo atendiendo las funciones que en su tiempo tenía encomendadas la extinta Comisión Estatal de Agua Potable y Alcantarillado (CEAPA).</w:t>
      </w:r>
    </w:p>
    <w:p w:rsidR="005069FD" w:rsidRPr="00BA4C6E" w:rsidRDefault="005069FD" w:rsidP="005069FD">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b/>
          <w:bCs/>
          <w:sz w:val="20"/>
          <w:szCs w:val="20"/>
          <w:lang w:eastAsia="es-MX"/>
        </w:rPr>
        <w:t>Creación de la Comisión Estatal del Agua de Tamaulipas.</w:t>
      </w:r>
    </w:p>
    <w:p w:rsidR="005069FD" w:rsidRPr="00BA4C6E" w:rsidRDefault="005069FD" w:rsidP="005069FD">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xml:space="preserve">Posteriormente en el Periódico Oficial del Estado del 15 de Febrero del 2006, se publica la Ley de Aguas del Estado de Tamaulipas, y cuyas reformas, fueron publicadas el 16 de Junio del 2011, estableciendo en su artículo 5°, la creación de la </w:t>
      </w:r>
      <w:r w:rsidRPr="00BA4C6E">
        <w:rPr>
          <w:rFonts w:asciiTheme="minorHAnsi" w:eastAsia="Times New Roman" w:hAnsiTheme="minorHAnsi" w:cs="Arial"/>
          <w:b/>
          <w:bCs/>
          <w:sz w:val="20"/>
          <w:szCs w:val="20"/>
          <w:lang w:eastAsia="es-MX"/>
        </w:rPr>
        <w:t>Comisión Estatal del Agua de Tamaulipas</w:t>
      </w:r>
      <w:r w:rsidRPr="00BA4C6E">
        <w:rPr>
          <w:rFonts w:asciiTheme="minorHAnsi" w:eastAsia="Times New Roman" w:hAnsiTheme="minorHAnsi" w:cs="Arial"/>
          <w:sz w:val="20"/>
          <w:szCs w:val="20"/>
          <w:lang w:eastAsia="es-MX"/>
        </w:rPr>
        <w:t xml:space="preserve">, como un Organismo Público Descentralizado de la </w:t>
      </w:r>
      <w:r w:rsidRPr="00BA4C6E">
        <w:rPr>
          <w:rFonts w:asciiTheme="minorHAnsi" w:eastAsia="Times New Roman" w:hAnsiTheme="minorHAnsi" w:cs="Arial"/>
          <w:sz w:val="20"/>
          <w:szCs w:val="20"/>
          <w:lang w:eastAsia="es-MX"/>
        </w:rPr>
        <w:lastRenderedPageBreak/>
        <w:t>Administración Pública Estatal, con personalidad jurídica y patrimonio propio, como entidad responsable de coordinar entre el Estado y la Federación, así como entre el Estado y los Municipios, las acciones relacionadas con la explotación, uso y aprovechamiento del agua y el tratamiento y reúso de las aguas residuales, para lograr el desarrollo equilibrado y la descentralización de los servicios del agua en Tamaulipas.</w:t>
      </w:r>
    </w:p>
    <w:p w:rsidR="005069FD" w:rsidRPr="00BA4C6E" w:rsidRDefault="005069FD" w:rsidP="005069FD">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b/>
          <w:bCs/>
          <w:sz w:val="20"/>
          <w:szCs w:val="20"/>
          <w:lang w:eastAsia="es-MX"/>
        </w:rPr>
        <w:t>La Secretaría de Desarrollo Urbano y Medio Ambiente, es cabeza de sector de la CEAT.</w:t>
      </w:r>
    </w:p>
    <w:p w:rsidR="005069FD" w:rsidRPr="00BA4C6E" w:rsidRDefault="005069FD" w:rsidP="005069FD">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xml:space="preserve">En la Ley Orgánica de la Administración Pública del Estado de Tamaulipas, del 20 de Diciembre del año 2004, en su reforma aplicada, publicada en el Periódico Oficial del Estado del 29 de Diciembre de 2010, se crea la </w:t>
      </w:r>
      <w:r w:rsidRPr="00BA4C6E">
        <w:rPr>
          <w:rFonts w:asciiTheme="minorHAnsi" w:eastAsia="Times New Roman" w:hAnsiTheme="minorHAnsi" w:cs="Arial"/>
          <w:b/>
          <w:bCs/>
          <w:sz w:val="20"/>
          <w:szCs w:val="20"/>
          <w:lang w:eastAsia="es-MX"/>
        </w:rPr>
        <w:t>Secretaría de Desarrollo Urbano y Medio Ambiente</w:t>
      </w:r>
      <w:r w:rsidRPr="00BA4C6E">
        <w:rPr>
          <w:rFonts w:asciiTheme="minorHAnsi" w:eastAsia="Times New Roman" w:hAnsiTheme="minorHAnsi" w:cs="Arial"/>
          <w:sz w:val="20"/>
          <w:szCs w:val="20"/>
          <w:lang w:eastAsia="es-MX"/>
        </w:rPr>
        <w:t>, con facultades para realizar acciones, en materia de desarrollo urbano, formular y conducir la política general de asentamientos humanos, medio ambiente, recursos naturales y desarrollo sustentable; e Instrumentar, por conducto de la Comisión Estatal del Agua de Tamaulipas, la política de coordinación del Ejecutivo del Estado con las autoridades federales, de otras Entidades Federativas y municipales en materia de agua, a fin de lograr el mejor aprovechamiento del recurso.</w:t>
      </w:r>
    </w:p>
    <w:p w:rsidR="005069FD" w:rsidRPr="00BA4C6E" w:rsidRDefault="005069FD" w:rsidP="005069FD">
      <w:pPr>
        <w:tabs>
          <w:tab w:val="left" w:pos="0"/>
        </w:tabs>
        <w:spacing w:before="150" w:after="150"/>
        <w:jc w:val="both"/>
        <w:rPr>
          <w:rFonts w:asciiTheme="minorHAnsi" w:eastAsia="Times New Roman" w:hAnsiTheme="minorHAnsi" w:cs="Arial"/>
          <w:sz w:val="20"/>
          <w:szCs w:val="20"/>
          <w:lang w:eastAsia="es-MX"/>
        </w:rPr>
      </w:pPr>
    </w:p>
    <w:p w:rsidR="005069FD" w:rsidRPr="00BA4C6E" w:rsidRDefault="005069FD" w:rsidP="005069FD">
      <w:pPr>
        <w:numPr>
          <w:ilvl w:val="0"/>
          <w:numId w:val="19"/>
        </w:numPr>
        <w:tabs>
          <w:tab w:val="left" w:pos="0"/>
        </w:tabs>
        <w:spacing w:before="150" w:after="150" w:line="240" w:lineRule="auto"/>
        <w:jc w:val="both"/>
        <w:rPr>
          <w:rFonts w:asciiTheme="minorHAnsi" w:eastAsia="Times New Roman" w:hAnsiTheme="minorHAnsi" w:cs="Arial"/>
          <w:b/>
          <w:sz w:val="20"/>
          <w:szCs w:val="20"/>
          <w:lang w:eastAsia="es-MX"/>
        </w:rPr>
      </w:pPr>
      <w:r w:rsidRPr="00BA4C6E">
        <w:rPr>
          <w:rFonts w:asciiTheme="minorHAnsi" w:eastAsia="Times New Roman" w:hAnsiTheme="minorHAnsi" w:cs="Arial"/>
          <w:b/>
          <w:sz w:val="20"/>
          <w:szCs w:val="20"/>
          <w:lang w:eastAsia="es-MX"/>
        </w:rPr>
        <w:t xml:space="preserve">Principales cambios en su estructura </w:t>
      </w:r>
    </w:p>
    <w:p w:rsidR="005069FD" w:rsidRPr="00BA4C6E" w:rsidRDefault="005069FD" w:rsidP="005069FD">
      <w:pPr>
        <w:tabs>
          <w:tab w:val="left" w:pos="0"/>
        </w:tabs>
        <w:spacing w:before="150" w:after="150"/>
        <w:ind w:left="1070"/>
        <w:jc w:val="both"/>
        <w:rPr>
          <w:rFonts w:asciiTheme="minorHAnsi" w:eastAsia="Times New Roman" w:hAnsiTheme="minorHAnsi" w:cs="Arial"/>
          <w:b/>
          <w:sz w:val="20"/>
          <w:szCs w:val="20"/>
          <w:lang w:eastAsia="es-MX"/>
        </w:rPr>
      </w:pPr>
    </w:p>
    <w:p w:rsidR="005069FD" w:rsidRPr="00BA4C6E" w:rsidRDefault="005069FD" w:rsidP="005069FD">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Con la creación de la Comisión Estatal del Agua de Tamaulipas, mediante la ley de Aguas del Estado de Tamaulipas, se autoriza la estructura orgánica detallada a continuación:</w:t>
      </w:r>
    </w:p>
    <w:tbl>
      <w:tblPr>
        <w:tblStyle w:val="Tablaconcuadrcula"/>
        <w:tblW w:w="0" w:type="auto"/>
        <w:tblLook w:val="04A0" w:firstRow="1" w:lastRow="0" w:firstColumn="1" w:lastColumn="0" w:noHBand="0" w:noVBand="1"/>
      </w:tblPr>
      <w:tblGrid>
        <w:gridCol w:w="3194"/>
        <w:gridCol w:w="6382"/>
      </w:tblGrid>
      <w:tr w:rsidR="005069FD" w:rsidRPr="00BA4C6E" w:rsidTr="00C07EAF">
        <w:trPr>
          <w:trHeight w:val="990"/>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noProof/>
                <w:sz w:val="20"/>
                <w:szCs w:val="20"/>
                <w:lang w:eastAsia="es-MX"/>
              </w:rPr>
              <w:drawing>
                <wp:anchor distT="0" distB="0" distL="114300" distR="114300" simplePos="0" relativeHeight="251659264" behindDoc="0" locked="0" layoutInCell="1" allowOverlap="1" wp14:anchorId="75802118" wp14:editId="4F827BC5">
                  <wp:simplePos x="0" y="0"/>
                  <wp:positionH relativeFrom="column">
                    <wp:posOffset>180975</wp:posOffset>
                  </wp:positionH>
                  <wp:positionV relativeFrom="paragraph">
                    <wp:posOffset>57150</wp:posOffset>
                  </wp:positionV>
                  <wp:extent cx="1514475" cy="504825"/>
                  <wp:effectExtent l="0" t="0" r="0" b="9525"/>
                  <wp:wrapNone/>
                  <wp:docPr id="3" name="Imagen 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1 Imagen">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200000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3621" cy="504825"/>
                          </a:xfrm>
                          <a:prstGeom prst="rect">
                            <a:avLst/>
                          </a:prstGeom>
                        </pic:spPr>
                      </pic:pic>
                    </a:graphicData>
                  </a:graphic>
                  <wp14:sizeRelH relativeFrom="page">
                    <wp14:pctWidth>0</wp14:pctWidth>
                  </wp14:sizeRelH>
                  <wp14:sizeRelV relativeFrom="page">
                    <wp14:pctHeight>0</wp14:pctHeight>
                  </wp14:sizeRelV>
                </wp:anchor>
              </w:drawing>
            </w:r>
          </w:p>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p>
        </w:tc>
        <w:tc>
          <w:tcPr>
            <w:tcW w:w="8624" w:type="dxa"/>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Estructura Orgánica</w:t>
            </w:r>
            <w:r w:rsidRPr="00BA4C6E">
              <w:rPr>
                <w:rFonts w:asciiTheme="minorHAnsi" w:eastAsia="Times New Roman" w:hAnsiTheme="minorHAnsi" w:cs="Arial"/>
                <w:sz w:val="20"/>
                <w:szCs w:val="20"/>
                <w:lang w:eastAsia="es-MX"/>
              </w:rPr>
              <w:br/>
              <w:t>Comisión Estatal del Agua de Tamaulipas</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b/>
                <w:bCs/>
                <w:sz w:val="20"/>
                <w:szCs w:val="20"/>
                <w:lang w:eastAsia="es-MX"/>
              </w:rPr>
            </w:pPr>
            <w:r w:rsidRPr="00BA4C6E">
              <w:rPr>
                <w:rFonts w:asciiTheme="minorHAnsi" w:eastAsia="Times New Roman" w:hAnsiTheme="minorHAnsi" w:cs="Arial"/>
                <w:b/>
                <w:bCs/>
                <w:sz w:val="20"/>
                <w:szCs w:val="20"/>
                <w:lang w:eastAsia="es-MX"/>
              </w:rPr>
              <w:t>Nombre</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b/>
                <w:bCs/>
                <w:sz w:val="20"/>
                <w:szCs w:val="20"/>
                <w:lang w:eastAsia="es-MX"/>
              </w:rPr>
            </w:pPr>
            <w:r w:rsidRPr="00BA4C6E">
              <w:rPr>
                <w:rFonts w:asciiTheme="minorHAnsi" w:eastAsia="Times New Roman" w:hAnsiTheme="minorHAnsi" w:cs="Arial"/>
                <w:b/>
                <w:bCs/>
                <w:sz w:val="20"/>
                <w:szCs w:val="20"/>
                <w:lang w:eastAsia="es-MX"/>
              </w:rPr>
              <w:t>Puesto</w:t>
            </w:r>
          </w:p>
        </w:tc>
      </w:tr>
      <w:tr w:rsidR="005069FD" w:rsidRPr="00BA4C6E" w:rsidTr="00C07EAF">
        <w:trPr>
          <w:trHeight w:val="315"/>
        </w:trPr>
        <w:tc>
          <w:tcPr>
            <w:tcW w:w="12900" w:type="dxa"/>
            <w:gridSpan w:val="2"/>
            <w:noWrap/>
            <w:hideMark/>
          </w:tcPr>
          <w:p w:rsidR="005069FD" w:rsidRPr="00BA4C6E" w:rsidRDefault="005069FD" w:rsidP="00C07EAF">
            <w:pPr>
              <w:tabs>
                <w:tab w:val="left" w:pos="0"/>
              </w:tabs>
              <w:spacing w:before="150" w:after="150"/>
              <w:jc w:val="both"/>
              <w:rPr>
                <w:rFonts w:asciiTheme="minorHAnsi" w:eastAsia="Times New Roman" w:hAnsiTheme="minorHAnsi" w:cs="Arial"/>
                <w:b/>
                <w:bCs/>
                <w:sz w:val="20"/>
                <w:szCs w:val="20"/>
                <w:lang w:eastAsia="es-MX"/>
              </w:rPr>
            </w:pPr>
            <w:r w:rsidRPr="00BA4C6E">
              <w:rPr>
                <w:rFonts w:asciiTheme="minorHAnsi" w:eastAsia="Times New Roman" w:hAnsiTheme="minorHAnsi" w:cs="Arial"/>
                <w:b/>
                <w:bCs/>
                <w:sz w:val="20"/>
                <w:szCs w:val="20"/>
                <w:lang w:eastAsia="es-MX"/>
              </w:rPr>
              <w:t>DIRECCIÓN GENERAL</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Raúl Quiroga Álvarez</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Director General</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xml:space="preserve">Juan </w:t>
            </w:r>
            <w:proofErr w:type="spellStart"/>
            <w:r w:rsidRPr="00BA4C6E">
              <w:rPr>
                <w:rFonts w:asciiTheme="minorHAnsi" w:eastAsia="Times New Roman" w:hAnsiTheme="minorHAnsi" w:cs="Arial"/>
                <w:sz w:val="20"/>
                <w:szCs w:val="20"/>
                <w:lang w:eastAsia="es-MX"/>
              </w:rPr>
              <w:t>Igmar</w:t>
            </w:r>
            <w:proofErr w:type="spellEnd"/>
            <w:r w:rsidRPr="00BA4C6E">
              <w:rPr>
                <w:rFonts w:asciiTheme="minorHAnsi" w:eastAsia="Times New Roman" w:hAnsiTheme="minorHAnsi" w:cs="Arial"/>
                <w:sz w:val="20"/>
                <w:szCs w:val="20"/>
                <w:lang w:eastAsia="es-MX"/>
              </w:rPr>
              <w:t xml:space="preserve"> De Jesús Zamarrón López</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Subdirector Jurídico</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Guillermo Morales Soto</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Secretario Particular</w:t>
            </w:r>
          </w:p>
        </w:tc>
      </w:tr>
      <w:tr w:rsidR="005069FD" w:rsidRPr="00BA4C6E" w:rsidTr="00C07EAF">
        <w:trPr>
          <w:trHeight w:val="315"/>
        </w:trPr>
        <w:tc>
          <w:tcPr>
            <w:tcW w:w="12900" w:type="dxa"/>
            <w:gridSpan w:val="2"/>
            <w:noWrap/>
            <w:hideMark/>
          </w:tcPr>
          <w:p w:rsidR="005069FD" w:rsidRPr="00BA4C6E" w:rsidRDefault="005069FD" w:rsidP="00C07EAF">
            <w:pPr>
              <w:tabs>
                <w:tab w:val="left" w:pos="0"/>
              </w:tabs>
              <w:spacing w:before="150" w:after="150"/>
              <w:jc w:val="both"/>
              <w:rPr>
                <w:rFonts w:asciiTheme="minorHAnsi" w:eastAsia="Times New Roman" w:hAnsiTheme="minorHAnsi" w:cs="Arial"/>
                <w:b/>
                <w:bCs/>
                <w:sz w:val="20"/>
                <w:szCs w:val="20"/>
                <w:lang w:eastAsia="es-MX"/>
              </w:rPr>
            </w:pPr>
            <w:r w:rsidRPr="00BA4C6E">
              <w:rPr>
                <w:rFonts w:asciiTheme="minorHAnsi" w:eastAsia="Times New Roman" w:hAnsiTheme="minorHAnsi" w:cs="Arial"/>
                <w:b/>
                <w:bCs/>
                <w:sz w:val="20"/>
                <w:szCs w:val="20"/>
                <w:lang w:eastAsia="es-MX"/>
              </w:rPr>
              <w:t>DIRECCIÓN DE INFRAESTRUCTURA HIDRÁULICA</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José Manuel Morín Rodríguez</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Director de Infraestructura Hidráulica</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Francisco Franco Pedraza</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Subdirector Técnico</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Silvestre Ramírez Montalvo</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Planeación Hidráulica</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i/>
                <w:iCs/>
                <w:sz w:val="20"/>
                <w:szCs w:val="20"/>
                <w:lang w:eastAsia="es-MX"/>
              </w:rPr>
            </w:pPr>
            <w:r w:rsidRPr="00BA4C6E">
              <w:rPr>
                <w:rFonts w:asciiTheme="minorHAnsi" w:eastAsia="Times New Roman" w:hAnsiTheme="minorHAnsi" w:cs="Arial"/>
                <w:i/>
                <w:iCs/>
                <w:sz w:val="20"/>
                <w:szCs w:val="20"/>
                <w:lang w:eastAsia="es-MX"/>
              </w:rPr>
              <w:t>vacante</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Estudios y Proyectos</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lastRenderedPageBreak/>
              <w:t>Roberto García Jiménez</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Especificaciones y Normalización</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Federico Becerra Guevara</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Expedientes de Factibilidad y Subsidios</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i/>
                <w:iCs/>
                <w:sz w:val="20"/>
                <w:szCs w:val="20"/>
                <w:lang w:eastAsia="es-MX"/>
              </w:rPr>
            </w:pPr>
            <w:r w:rsidRPr="00BA4C6E">
              <w:rPr>
                <w:rFonts w:asciiTheme="minorHAnsi" w:eastAsia="Times New Roman" w:hAnsiTheme="minorHAnsi" w:cs="Arial"/>
                <w:i/>
                <w:iCs/>
                <w:sz w:val="20"/>
                <w:szCs w:val="20"/>
                <w:lang w:eastAsia="es-MX"/>
              </w:rPr>
              <w:t>vacante</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Subsidios para la Inversión</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Claudia Elizabeth Ojeda Fernández</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Subdirector de Seguimiento, Control de Inversiones y Verificación de Obras</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i/>
                <w:iCs/>
                <w:sz w:val="20"/>
                <w:szCs w:val="20"/>
                <w:lang w:eastAsia="es-MX"/>
              </w:rPr>
            </w:pPr>
            <w:r w:rsidRPr="00BA4C6E">
              <w:rPr>
                <w:rFonts w:asciiTheme="minorHAnsi" w:eastAsia="Times New Roman" w:hAnsiTheme="minorHAnsi" w:cs="Arial"/>
                <w:i/>
                <w:iCs/>
                <w:sz w:val="20"/>
                <w:szCs w:val="20"/>
                <w:lang w:eastAsia="es-MX"/>
              </w:rPr>
              <w:t>vacante</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Evaluación y Control</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xml:space="preserve">Alma Patricia </w:t>
            </w:r>
            <w:proofErr w:type="spellStart"/>
            <w:r w:rsidRPr="00BA4C6E">
              <w:rPr>
                <w:rFonts w:asciiTheme="minorHAnsi" w:eastAsia="Times New Roman" w:hAnsiTheme="minorHAnsi" w:cs="Arial"/>
                <w:sz w:val="20"/>
                <w:szCs w:val="20"/>
                <w:lang w:eastAsia="es-MX"/>
              </w:rPr>
              <w:t>Bedoy</w:t>
            </w:r>
            <w:proofErr w:type="spellEnd"/>
            <w:r w:rsidRPr="00BA4C6E">
              <w:rPr>
                <w:rFonts w:asciiTheme="minorHAnsi" w:eastAsia="Times New Roman" w:hAnsiTheme="minorHAnsi" w:cs="Arial"/>
                <w:sz w:val="20"/>
                <w:szCs w:val="20"/>
                <w:lang w:eastAsia="es-MX"/>
              </w:rPr>
              <w:t xml:space="preserve"> Ramírez</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Entrega y Operación de Obras</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Hugo Cesar Maldonado Saldaña</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Perforación de Pozos</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Juan Carlos Gómez Rivera</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Subdirector de Desarrollo Institucional</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i/>
                <w:iCs/>
                <w:sz w:val="20"/>
                <w:szCs w:val="20"/>
                <w:lang w:eastAsia="es-MX"/>
              </w:rPr>
            </w:pPr>
            <w:r w:rsidRPr="00BA4C6E">
              <w:rPr>
                <w:rFonts w:asciiTheme="minorHAnsi" w:eastAsia="Times New Roman" w:hAnsiTheme="minorHAnsi" w:cs="Arial"/>
                <w:i/>
                <w:iCs/>
                <w:sz w:val="20"/>
                <w:szCs w:val="20"/>
                <w:lang w:eastAsia="es-MX"/>
              </w:rPr>
              <w:t>vacante</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Seguimiento y Evaluación</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i/>
                <w:iCs/>
                <w:sz w:val="20"/>
                <w:szCs w:val="20"/>
                <w:lang w:eastAsia="es-MX"/>
              </w:rPr>
            </w:pPr>
            <w:r w:rsidRPr="00BA4C6E">
              <w:rPr>
                <w:rFonts w:asciiTheme="minorHAnsi" w:eastAsia="Times New Roman" w:hAnsiTheme="minorHAnsi" w:cs="Arial"/>
                <w:i/>
                <w:iCs/>
                <w:sz w:val="20"/>
                <w:szCs w:val="20"/>
                <w:lang w:eastAsia="es-MX"/>
              </w:rPr>
              <w:t>vacante</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Capacitación, Atención Social y Participación Ciudadana</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i/>
                <w:iCs/>
                <w:sz w:val="20"/>
                <w:szCs w:val="20"/>
                <w:lang w:eastAsia="es-MX"/>
              </w:rPr>
            </w:pPr>
            <w:r w:rsidRPr="00BA4C6E">
              <w:rPr>
                <w:rFonts w:asciiTheme="minorHAnsi" w:eastAsia="Times New Roman" w:hAnsiTheme="minorHAnsi" w:cs="Arial"/>
                <w:i/>
                <w:iCs/>
                <w:sz w:val="20"/>
                <w:szCs w:val="20"/>
                <w:lang w:eastAsia="es-MX"/>
              </w:rPr>
              <w:t>vacante</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Trámites Legales</w:t>
            </w:r>
          </w:p>
        </w:tc>
      </w:tr>
      <w:tr w:rsidR="005069FD" w:rsidRPr="00BA4C6E" w:rsidTr="00C07EAF">
        <w:trPr>
          <w:trHeight w:val="315"/>
        </w:trPr>
        <w:tc>
          <w:tcPr>
            <w:tcW w:w="12900" w:type="dxa"/>
            <w:gridSpan w:val="2"/>
            <w:noWrap/>
            <w:hideMark/>
          </w:tcPr>
          <w:p w:rsidR="005069FD" w:rsidRPr="00BA4C6E" w:rsidRDefault="005069FD" w:rsidP="00C07EAF">
            <w:pPr>
              <w:tabs>
                <w:tab w:val="left" w:pos="0"/>
              </w:tabs>
              <w:spacing w:before="150" w:after="150"/>
              <w:jc w:val="both"/>
              <w:rPr>
                <w:rFonts w:asciiTheme="minorHAnsi" w:eastAsia="Times New Roman" w:hAnsiTheme="minorHAnsi" w:cs="Arial"/>
                <w:b/>
                <w:bCs/>
                <w:sz w:val="20"/>
                <w:szCs w:val="20"/>
                <w:lang w:eastAsia="es-MX"/>
              </w:rPr>
            </w:pPr>
            <w:r w:rsidRPr="00BA4C6E">
              <w:rPr>
                <w:rFonts w:asciiTheme="minorHAnsi" w:eastAsia="Times New Roman" w:hAnsiTheme="minorHAnsi" w:cs="Arial"/>
                <w:b/>
                <w:bCs/>
                <w:sz w:val="20"/>
                <w:szCs w:val="20"/>
                <w:lang w:eastAsia="es-MX"/>
              </w:rPr>
              <w:t>DIRECCIÓN DE OPERACIÓN Y FORTALECIMIENTO DE ORGANISMOS OPERADORES</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Horacio Nelson Castillo De La Cruz</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Director de Operación y Fortalecimiento de Organismos Operadores</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i/>
                <w:iCs/>
                <w:sz w:val="20"/>
                <w:szCs w:val="20"/>
                <w:lang w:eastAsia="es-MX"/>
              </w:rPr>
            </w:pPr>
            <w:r w:rsidRPr="00BA4C6E">
              <w:rPr>
                <w:rFonts w:asciiTheme="minorHAnsi" w:eastAsia="Times New Roman" w:hAnsiTheme="minorHAnsi" w:cs="Arial"/>
                <w:i/>
                <w:iCs/>
                <w:sz w:val="20"/>
                <w:szCs w:val="20"/>
                <w:lang w:eastAsia="es-MX"/>
              </w:rPr>
              <w:t>vacante</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Subdirector de Fortalecimiento a Organismos Operadores</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i/>
                <w:iCs/>
                <w:sz w:val="20"/>
                <w:szCs w:val="20"/>
                <w:lang w:eastAsia="es-MX"/>
              </w:rPr>
            </w:pPr>
            <w:r w:rsidRPr="00BA4C6E">
              <w:rPr>
                <w:rFonts w:asciiTheme="minorHAnsi" w:eastAsia="Times New Roman" w:hAnsiTheme="minorHAnsi" w:cs="Arial"/>
                <w:i/>
                <w:iCs/>
                <w:sz w:val="20"/>
                <w:szCs w:val="20"/>
                <w:lang w:eastAsia="es-MX"/>
              </w:rPr>
              <w:t>vacante</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Apoyo a la Operación</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i/>
                <w:iCs/>
                <w:sz w:val="20"/>
                <w:szCs w:val="20"/>
                <w:lang w:eastAsia="es-MX"/>
              </w:rPr>
            </w:pPr>
            <w:r w:rsidRPr="00BA4C6E">
              <w:rPr>
                <w:rFonts w:asciiTheme="minorHAnsi" w:eastAsia="Times New Roman" w:hAnsiTheme="minorHAnsi" w:cs="Arial"/>
                <w:i/>
                <w:iCs/>
                <w:sz w:val="20"/>
                <w:szCs w:val="20"/>
                <w:lang w:eastAsia="es-MX"/>
              </w:rPr>
              <w:t>vacante</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Vinculación y Apoyo a Sistemas de Agua Rurales</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i/>
                <w:iCs/>
                <w:sz w:val="20"/>
                <w:szCs w:val="20"/>
                <w:lang w:eastAsia="es-MX"/>
              </w:rPr>
            </w:pPr>
            <w:r w:rsidRPr="00BA4C6E">
              <w:rPr>
                <w:rFonts w:asciiTheme="minorHAnsi" w:eastAsia="Times New Roman" w:hAnsiTheme="minorHAnsi" w:cs="Arial"/>
                <w:i/>
                <w:iCs/>
                <w:sz w:val="20"/>
                <w:szCs w:val="20"/>
                <w:lang w:eastAsia="es-MX"/>
              </w:rPr>
              <w:t>vacante</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Electromecánico</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i/>
                <w:iCs/>
                <w:sz w:val="20"/>
                <w:szCs w:val="20"/>
                <w:lang w:eastAsia="es-MX"/>
              </w:rPr>
            </w:pPr>
            <w:r w:rsidRPr="00BA4C6E">
              <w:rPr>
                <w:rFonts w:asciiTheme="minorHAnsi" w:eastAsia="Times New Roman" w:hAnsiTheme="minorHAnsi" w:cs="Arial"/>
                <w:i/>
                <w:iCs/>
                <w:sz w:val="20"/>
                <w:szCs w:val="20"/>
                <w:lang w:eastAsia="es-MX"/>
              </w:rPr>
              <w:t>vacante</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Subdirector de Calidad del Agua</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Francisco Díaz Morales</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Agua Potable</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i/>
                <w:iCs/>
                <w:sz w:val="20"/>
                <w:szCs w:val="20"/>
                <w:lang w:eastAsia="es-MX"/>
              </w:rPr>
            </w:pPr>
            <w:r w:rsidRPr="00BA4C6E">
              <w:rPr>
                <w:rFonts w:asciiTheme="minorHAnsi" w:eastAsia="Times New Roman" w:hAnsiTheme="minorHAnsi" w:cs="Arial"/>
                <w:i/>
                <w:iCs/>
                <w:sz w:val="20"/>
                <w:szCs w:val="20"/>
                <w:lang w:eastAsia="es-MX"/>
              </w:rPr>
              <w:t>Vacante</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Saneamiento</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i/>
                <w:iCs/>
                <w:sz w:val="20"/>
                <w:szCs w:val="20"/>
                <w:lang w:eastAsia="es-MX"/>
              </w:rPr>
            </w:pPr>
            <w:r w:rsidRPr="00BA4C6E">
              <w:rPr>
                <w:rFonts w:asciiTheme="minorHAnsi" w:eastAsia="Times New Roman" w:hAnsiTheme="minorHAnsi" w:cs="Arial"/>
                <w:i/>
                <w:iCs/>
                <w:sz w:val="20"/>
                <w:szCs w:val="20"/>
                <w:lang w:eastAsia="es-MX"/>
              </w:rPr>
              <w:t>vacante</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Cultura del Agua</w:t>
            </w:r>
          </w:p>
        </w:tc>
      </w:tr>
      <w:tr w:rsidR="005069FD" w:rsidRPr="00BA4C6E" w:rsidTr="00C07EAF">
        <w:trPr>
          <w:trHeight w:val="315"/>
        </w:trPr>
        <w:tc>
          <w:tcPr>
            <w:tcW w:w="12900" w:type="dxa"/>
            <w:gridSpan w:val="2"/>
            <w:noWrap/>
            <w:hideMark/>
          </w:tcPr>
          <w:p w:rsidR="005069FD" w:rsidRPr="00BA4C6E" w:rsidRDefault="005069FD" w:rsidP="00C07EAF">
            <w:pPr>
              <w:tabs>
                <w:tab w:val="left" w:pos="0"/>
              </w:tabs>
              <w:spacing w:before="150" w:after="150"/>
              <w:jc w:val="both"/>
              <w:rPr>
                <w:rFonts w:asciiTheme="minorHAnsi" w:eastAsia="Times New Roman" w:hAnsiTheme="minorHAnsi" w:cs="Arial"/>
                <w:b/>
                <w:bCs/>
                <w:sz w:val="20"/>
                <w:szCs w:val="20"/>
                <w:lang w:eastAsia="es-MX"/>
              </w:rPr>
            </w:pPr>
            <w:r w:rsidRPr="00BA4C6E">
              <w:rPr>
                <w:rFonts w:asciiTheme="minorHAnsi" w:eastAsia="Times New Roman" w:hAnsiTheme="minorHAnsi" w:cs="Arial"/>
                <w:b/>
                <w:bCs/>
                <w:sz w:val="20"/>
                <w:szCs w:val="20"/>
                <w:lang w:eastAsia="es-MX"/>
              </w:rPr>
              <w:t>DIRECCIÓN DE DISTRITOS Y UNIDADES DE RIEGO PARA EL DESARROLLO RURAL</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lastRenderedPageBreak/>
              <w:t xml:space="preserve">Américo Rendón </w:t>
            </w:r>
            <w:proofErr w:type="spellStart"/>
            <w:r w:rsidRPr="00BA4C6E">
              <w:rPr>
                <w:rFonts w:asciiTheme="minorHAnsi" w:eastAsia="Times New Roman" w:hAnsiTheme="minorHAnsi" w:cs="Arial"/>
                <w:sz w:val="20"/>
                <w:szCs w:val="20"/>
                <w:lang w:eastAsia="es-MX"/>
              </w:rPr>
              <w:t>Dueñez</w:t>
            </w:r>
            <w:proofErr w:type="spellEnd"/>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Director de Distritos y Unidades de Riego para el Desarrollo Rural</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Gilberto Olivo Quintero</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Subdirector de Distritos de Riesgo</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Isaac Adrián Altamirano Salcido</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Operación</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Mario Mejía Vega</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Conservación</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Crescencio Galván Torres</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Programas Federalizados</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i/>
                <w:iCs/>
                <w:sz w:val="20"/>
                <w:szCs w:val="20"/>
                <w:lang w:eastAsia="es-MX"/>
              </w:rPr>
            </w:pPr>
            <w:r w:rsidRPr="00BA4C6E">
              <w:rPr>
                <w:rFonts w:asciiTheme="minorHAnsi" w:eastAsia="Times New Roman" w:hAnsiTheme="minorHAnsi" w:cs="Arial"/>
                <w:i/>
                <w:iCs/>
                <w:sz w:val="20"/>
                <w:szCs w:val="20"/>
                <w:lang w:eastAsia="es-MX"/>
              </w:rPr>
              <w:t>vacante</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Subdirector de Consejos de Cuenca</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Luis Manuel Camacho Martínez</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Estudios de Disponibilidad y Reglamentación</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Alfonso Reyes Castillo</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Comisiones y Comités de Cuenca</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Efraín de la Cruz Santoyo</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Subdirector de Unidades de Riego para el Desarrollo Rural</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Efrén Sánchez González</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Aguas Superficiales y Subterráneas</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Bernardo Navarro Tovar</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Organización, Capacitación y Asistencia Técnica</w:t>
            </w:r>
          </w:p>
        </w:tc>
      </w:tr>
      <w:tr w:rsidR="005069FD" w:rsidRPr="00BA4C6E" w:rsidTr="00C07EAF">
        <w:trPr>
          <w:trHeight w:val="315"/>
        </w:trPr>
        <w:tc>
          <w:tcPr>
            <w:tcW w:w="12900" w:type="dxa"/>
            <w:gridSpan w:val="2"/>
            <w:noWrap/>
            <w:hideMark/>
          </w:tcPr>
          <w:p w:rsidR="005069FD" w:rsidRPr="00BA4C6E" w:rsidRDefault="005069FD" w:rsidP="00C07EAF">
            <w:pPr>
              <w:tabs>
                <w:tab w:val="left" w:pos="0"/>
              </w:tabs>
              <w:spacing w:before="150" w:after="150"/>
              <w:jc w:val="both"/>
              <w:rPr>
                <w:rFonts w:asciiTheme="minorHAnsi" w:eastAsia="Times New Roman" w:hAnsiTheme="minorHAnsi" w:cs="Arial"/>
                <w:b/>
                <w:bCs/>
                <w:sz w:val="20"/>
                <w:szCs w:val="20"/>
                <w:lang w:eastAsia="es-MX"/>
              </w:rPr>
            </w:pPr>
            <w:r w:rsidRPr="00BA4C6E">
              <w:rPr>
                <w:rFonts w:asciiTheme="minorHAnsi" w:eastAsia="Times New Roman" w:hAnsiTheme="minorHAnsi" w:cs="Arial"/>
                <w:b/>
                <w:bCs/>
                <w:sz w:val="20"/>
                <w:szCs w:val="20"/>
                <w:lang w:eastAsia="es-MX"/>
              </w:rPr>
              <w:t>DIRECCIÓN DEL SISTEMA ESTATAL DE INFORMACIÓN</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Maribel Aguilar Hernández</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Director del Sistema Estatal de Información</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Manuel Humberto Soto García</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Normatividad Operativa e Informática</w:t>
            </w:r>
          </w:p>
        </w:tc>
      </w:tr>
      <w:tr w:rsidR="005069FD" w:rsidRPr="00BA4C6E" w:rsidTr="00C07EAF">
        <w:trPr>
          <w:trHeight w:val="315"/>
        </w:trPr>
        <w:tc>
          <w:tcPr>
            <w:tcW w:w="12900" w:type="dxa"/>
            <w:gridSpan w:val="2"/>
            <w:noWrap/>
            <w:hideMark/>
          </w:tcPr>
          <w:p w:rsidR="005069FD" w:rsidRPr="00BA4C6E" w:rsidRDefault="005069FD" w:rsidP="00C07EAF">
            <w:pPr>
              <w:tabs>
                <w:tab w:val="left" w:pos="0"/>
              </w:tabs>
              <w:spacing w:before="150" w:after="150"/>
              <w:jc w:val="both"/>
              <w:rPr>
                <w:rFonts w:asciiTheme="minorHAnsi" w:eastAsia="Times New Roman" w:hAnsiTheme="minorHAnsi" w:cs="Arial"/>
                <w:b/>
                <w:bCs/>
                <w:sz w:val="20"/>
                <w:szCs w:val="20"/>
                <w:lang w:eastAsia="es-MX"/>
              </w:rPr>
            </w:pPr>
            <w:r w:rsidRPr="00BA4C6E">
              <w:rPr>
                <w:rFonts w:asciiTheme="minorHAnsi" w:eastAsia="Times New Roman" w:hAnsiTheme="minorHAnsi" w:cs="Arial"/>
                <w:b/>
                <w:bCs/>
                <w:sz w:val="20"/>
                <w:szCs w:val="20"/>
                <w:lang w:eastAsia="es-MX"/>
              </w:rPr>
              <w:t>DIRECCIÓN DE ADMINISTRACIÓN Y FINANZAS</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Víctor Salinas Martínez</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Director Administrativo y Finanzas</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Amparo Hernández Balderas</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Recursos Financieros</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Héctor Guadalupe Hernández Montelongo</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Recursos Humanos</w:t>
            </w:r>
          </w:p>
        </w:tc>
      </w:tr>
      <w:tr w:rsidR="005069FD" w:rsidRPr="00BA4C6E" w:rsidTr="00C07EAF">
        <w:trPr>
          <w:trHeight w:val="315"/>
        </w:trPr>
        <w:tc>
          <w:tcPr>
            <w:tcW w:w="4276" w:type="dxa"/>
            <w:noWrap/>
            <w:hideMark/>
          </w:tcPr>
          <w:p w:rsidR="005069FD" w:rsidRPr="00BA4C6E" w:rsidRDefault="005069FD" w:rsidP="00C07EAF">
            <w:pPr>
              <w:tabs>
                <w:tab w:val="left" w:pos="0"/>
              </w:tabs>
              <w:spacing w:before="150" w:after="150"/>
              <w:jc w:val="both"/>
              <w:rPr>
                <w:rFonts w:asciiTheme="minorHAnsi" w:eastAsia="Times New Roman" w:hAnsiTheme="minorHAnsi" w:cs="Arial"/>
                <w:i/>
                <w:iCs/>
                <w:sz w:val="20"/>
                <w:szCs w:val="20"/>
                <w:lang w:eastAsia="es-MX"/>
              </w:rPr>
            </w:pPr>
            <w:r w:rsidRPr="00BA4C6E">
              <w:rPr>
                <w:rFonts w:asciiTheme="minorHAnsi" w:eastAsia="Times New Roman" w:hAnsiTheme="minorHAnsi" w:cs="Arial"/>
                <w:i/>
                <w:iCs/>
                <w:sz w:val="20"/>
                <w:szCs w:val="20"/>
                <w:lang w:eastAsia="es-MX"/>
              </w:rPr>
              <w:t>vacante</w:t>
            </w:r>
          </w:p>
        </w:tc>
        <w:tc>
          <w:tcPr>
            <w:tcW w:w="8624" w:type="dxa"/>
            <w:noWrap/>
            <w:hideMark/>
          </w:tcPr>
          <w:p w:rsidR="005069FD" w:rsidRPr="00BA4C6E" w:rsidRDefault="005069FD" w:rsidP="00C07EAF">
            <w:pPr>
              <w:tabs>
                <w:tab w:val="left" w:pos="0"/>
              </w:tabs>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Jefe de Departamento de Recursos Materiales y Servicios Generales</w:t>
            </w:r>
          </w:p>
        </w:tc>
      </w:tr>
    </w:tbl>
    <w:p w:rsidR="00457684" w:rsidRDefault="00457684" w:rsidP="00457684">
      <w:pPr>
        <w:spacing w:before="100" w:beforeAutospacing="1" w:after="150" w:line="240" w:lineRule="auto"/>
        <w:ind w:left="720"/>
        <w:rPr>
          <w:rFonts w:asciiTheme="minorHAnsi" w:eastAsia="Times New Roman" w:hAnsiTheme="minorHAnsi" w:cs="Arial"/>
          <w:b/>
          <w:color w:val="333333"/>
          <w:sz w:val="20"/>
          <w:szCs w:val="20"/>
          <w:lang w:eastAsia="es-MX"/>
        </w:rPr>
      </w:pPr>
    </w:p>
    <w:p w:rsidR="00374036" w:rsidRDefault="00374036" w:rsidP="00457684">
      <w:pPr>
        <w:spacing w:before="100" w:beforeAutospacing="1" w:after="150" w:line="240" w:lineRule="auto"/>
        <w:ind w:left="720"/>
        <w:rPr>
          <w:rFonts w:asciiTheme="minorHAnsi" w:eastAsia="Times New Roman" w:hAnsiTheme="minorHAnsi" w:cs="Arial"/>
          <w:b/>
          <w:color w:val="333333"/>
          <w:sz w:val="20"/>
          <w:szCs w:val="20"/>
          <w:lang w:eastAsia="es-MX"/>
        </w:rPr>
      </w:pPr>
    </w:p>
    <w:p w:rsidR="00374036" w:rsidRPr="00457684" w:rsidRDefault="00374036" w:rsidP="00457684">
      <w:pPr>
        <w:spacing w:before="100" w:beforeAutospacing="1" w:after="150" w:line="240" w:lineRule="auto"/>
        <w:ind w:left="720"/>
        <w:rPr>
          <w:rFonts w:asciiTheme="minorHAnsi" w:eastAsia="Times New Roman" w:hAnsiTheme="minorHAnsi" w:cs="Arial"/>
          <w:b/>
          <w:color w:val="333333"/>
          <w:sz w:val="20"/>
          <w:szCs w:val="20"/>
          <w:lang w:eastAsia="es-MX"/>
        </w:rPr>
      </w:pPr>
    </w:p>
    <w:p w:rsidR="005069FD" w:rsidRPr="00BA4C6E" w:rsidRDefault="005069FD" w:rsidP="005069FD">
      <w:pPr>
        <w:numPr>
          <w:ilvl w:val="0"/>
          <w:numId w:val="18"/>
        </w:numPr>
        <w:spacing w:before="100" w:beforeAutospacing="1" w:after="150" w:line="240" w:lineRule="auto"/>
        <w:rPr>
          <w:rFonts w:asciiTheme="minorHAnsi" w:eastAsia="Times New Roman" w:hAnsiTheme="minorHAnsi" w:cs="Arial"/>
          <w:b/>
          <w:color w:val="333333"/>
          <w:sz w:val="20"/>
          <w:szCs w:val="20"/>
          <w:lang w:eastAsia="es-MX"/>
        </w:rPr>
      </w:pPr>
      <w:r w:rsidRPr="00BA4C6E">
        <w:rPr>
          <w:rFonts w:asciiTheme="minorHAnsi" w:eastAsia="Times New Roman" w:hAnsiTheme="minorHAnsi" w:cs="Arial"/>
          <w:b/>
          <w:sz w:val="20"/>
          <w:szCs w:val="20"/>
          <w:lang w:eastAsia="es-MX"/>
        </w:rPr>
        <w:lastRenderedPageBreak/>
        <w:t>ORGANIZACIÓN Y OBJETO SOCIAL</w:t>
      </w:r>
    </w:p>
    <w:p w:rsidR="005069FD" w:rsidRPr="00BA4C6E" w:rsidRDefault="005069FD" w:rsidP="005069FD">
      <w:pPr>
        <w:numPr>
          <w:ilvl w:val="1"/>
          <w:numId w:val="29"/>
        </w:numPr>
        <w:spacing w:before="100" w:beforeAutospacing="1" w:after="150" w:line="240" w:lineRule="auto"/>
        <w:ind w:left="284" w:firstLine="142"/>
        <w:rPr>
          <w:rFonts w:asciiTheme="minorHAnsi" w:eastAsia="Times New Roman" w:hAnsiTheme="minorHAnsi" w:cs="Arial"/>
          <w:b/>
          <w:color w:val="333333"/>
          <w:sz w:val="20"/>
          <w:szCs w:val="20"/>
          <w:lang w:eastAsia="es-MX"/>
        </w:rPr>
      </w:pPr>
      <w:r w:rsidRPr="00BA4C6E">
        <w:rPr>
          <w:rFonts w:asciiTheme="minorHAnsi" w:eastAsia="Times New Roman" w:hAnsiTheme="minorHAnsi" w:cs="Arial"/>
          <w:b/>
          <w:sz w:val="20"/>
          <w:szCs w:val="20"/>
          <w:lang w:eastAsia="es-MX"/>
        </w:rPr>
        <w:tab/>
        <w:t>Objeto social</w:t>
      </w:r>
      <w:r w:rsidRPr="00BA4C6E">
        <w:rPr>
          <w:rFonts w:asciiTheme="minorHAnsi" w:eastAsia="Times New Roman" w:hAnsiTheme="minorHAnsi" w:cs="Arial"/>
          <w:b/>
          <w:sz w:val="20"/>
          <w:szCs w:val="20"/>
          <w:lang w:eastAsia="es-MX"/>
        </w:rPr>
        <w:tab/>
      </w:r>
    </w:p>
    <w:p w:rsidR="005069FD" w:rsidRPr="00BA4C6E" w:rsidRDefault="005069FD" w:rsidP="005069FD">
      <w:pPr>
        <w:spacing w:before="100" w:beforeAutospacing="1"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El objetivo de la Comisión Estatal del Agua de Tamaulipas es el aprovechamiento equilibrado y sustentable de los recursos hidráulicos superficiales y del subsuelo a nivel cuenca hidrológica, procurando su preservación en cantidad y calidad, con el propósito de contribuir al desarrollo económico y social del Estado de Tamaulipas.</w:t>
      </w:r>
    </w:p>
    <w:p w:rsidR="005069FD" w:rsidRPr="00BA4C6E" w:rsidRDefault="005069FD" w:rsidP="005069FD">
      <w:pPr>
        <w:spacing w:before="150" w:after="150"/>
        <w:jc w:val="center"/>
        <w:rPr>
          <w:rFonts w:asciiTheme="minorHAnsi" w:eastAsia="Times New Roman" w:hAnsiTheme="minorHAnsi" w:cs="Arial"/>
          <w:sz w:val="20"/>
          <w:szCs w:val="20"/>
          <w:lang w:eastAsia="es-MX"/>
        </w:rPr>
      </w:pPr>
      <w:r w:rsidRPr="00BA4C6E">
        <w:rPr>
          <w:rFonts w:asciiTheme="minorHAnsi" w:eastAsia="Times New Roman" w:hAnsiTheme="minorHAnsi" w:cs="Arial"/>
          <w:b/>
          <w:bCs/>
          <w:sz w:val="20"/>
          <w:szCs w:val="20"/>
          <w:lang w:eastAsia="es-MX"/>
        </w:rPr>
        <w:t>Objetivos Particulares</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1.- Apoyar a los Organismos Operadores para que puedan garantizar el suministro de agua en cantidad, calidad y oportunidad,  promoviendo una nueva cultura del agua.</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2.- Fomentar en los Distritos y Unidades de Riego el uso eficiente del agua para disminuir el déficit de agua en las cuencas del Estado y procurar adicionalmente una distribución equitativa y justa del recurso con los estados que hacemos región.</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3.- Incentivar el uso de agua residual tratada en actividades industriales y agrícolas, para rescatar agua de primer uso y destinarla principalmente para servicios domésticos y consumo humano.</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4.- Gestionar ante los diferentes niveles de gobierno, las acciones encaminadas a mitigar los daños a la integridad física de la población y sus patrimonios, en áreas productivas y centros de población, por eventos meteorológicos extremos</w:t>
      </w:r>
    </w:p>
    <w:p w:rsidR="005069FD" w:rsidRDefault="005069FD" w:rsidP="005069FD">
      <w:pPr>
        <w:spacing w:before="150" w:after="150" w:line="240" w:lineRule="auto"/>
        <w:ind w:left="426"/>
        <w:jc w:val="both"/>
        <w:rPr>
          <w:rFonts w:asciiTheme="minorHAnsi" w:eastAsia="Times New Roman" w:hAnsiTheme="minorHAnsi" w:cs="Arial"/>
          <w:b/>
          <w:sz w:val="20"/>
          <w:szCs w:val="20"/>
          <w:lang w:eastAsia="es-MX"/>
        </w:rPr>
      </w:pPr>
    </w:p>
    <w:p w:rsidR="005069FD" w:rsidRPr="00BA4C6E" w:rsidRDefault="005069FD" w:rsidP="005069FD">
      <w:pPr>
        <w:numPr>
          <w:ilvl w:val="1"/>
          <w:numId w:val="29"/>
        </w:numPr>
        <w:spacing w:before="150" w:after="150" w:line="240" w:lineRule="auto"/>
        <w:ind w:left="426"/>
        <w:jc w:val="both"/>
        <w:rPr>
          <w:rFonts w:asciiTheme="minorHAnsi" w:eastAsia="Times New Roman" w:hAnsiTheme="minorHAnsi" w:cs="Arial"/>
          <w:b/>
          <w:sz w:val="20"/>
          <w:szCs w:val="20"/>
          <w:lang w:eastAsia="es-MX"/>
        </w:rPr>
      </w:pPr>
      <w:r w:rsidRPr="00BA4C6E">
        <w:rPr>
          <w:rFonts w:asciiTheme="minorHAnsi" w:eastAsia="Times New Roman" w:hAnsiTheme="minorHAnsi" w:cs="Arial"/>
          <w:b/>
          <w:sz w:val="20"/>
          <w:szCs w:val="20"/>
          <w:lang w:eastAsia="es-MX"/>
        </w:rPr>
        <w:t>Principal Actividad</w:t>
      </w:r>
    </w:p>
    <w:p w:rsidR="005069FD" w:rsidRPr="00BA4C6E" w:rsidRDefault="005069FD" w:rsidP="005069FD">
      <w:pPr>
        <w:jc w:val="both"/>
        <w:rPr>
          <w:rFonts w:asciiTheme="minorHAnsi" w:hAnsiTheme="minorHAnsi" w:cs="Arial"/>
          <w:sz w:val="20"/>
          <w:szCs w:val="20"/>
        </w:rPr>
      </w:pPr>
      <w:r w:rsidRPr="00BA4C6E">
        <w:rPr>
          <w:rFonts w:asciiTheme="minorHAnsi" w:hAnsiTheme="minorHAnsi" w:cs="Arial"/>
          <w:sz w:val="20"/>
          <w:szCs w:val="20"/>
        </w:rPr>
        <w:t>Las principales atribuciones de La Comisión Estatal del Agua de Tamaulipas son:</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Planear, programar, ejecutar, construir, administrar, operar, conservar y rehabilitar, directamente o a través de terceros, obras de infraestructura hidráulica a su cargo, para lo cual podrá celebrar convenios con la Federación y los municipios;</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Coadyuvar con la Comisión Nacional del Agua en los programas, proyectos y presupuestos de los distritos de riego, unidades de riego y distritos de temporal tecnificado, en los términos de los acuerdos de coordinación que se suscriban con la Federación;</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Representar al Estado en los Comités Hidráulicos de los Distritos de Riego, Unidades de Riego y Distritos de Temporal Tecnificado;</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xml:space="preserve">- Celebrar convenios con instituciones de educación superior o con organizaciones de los sectores social o privado, tendientes a fomentar y promover actividades de investigación en materia </w:t>
      </w:r>
      <w:proofErr w:type="spellStart"/>
      <w:r w:rsidRPr="00BA4C6E">
        <w:rPr>
          <w:rFonts w:asciiTheme="minorHAnsi" w:eastAsia="Times New Roman" w:hAnsiTheme="minorHAnsi" w:cs="Arial"/>
          <w:sz w:val="20"/>
          <w:szCs w:val="20"/>
          <w:lang w:eastAsia="es-MX"/>
        </w:rPr>
        <w:t>Hidroagrícolas</w:t>
      </w:r>
      <w:proofErr w:type="spellEnd"/>
      <w:r w:rsidRPr="00BA4C6E">
        <w:rPr>
          <w:rFonts w:asciiTheme="minorHAnsi" w:eastAsia="Times New Roman" w:hAnsiTheme="minorHAnsi" w:cs="Arial"/>
          <w:sz w:val="20"/>
          <w:szCs w:val="20"/>
          <w:lang w:eastAsia="es-MX"/>
        </w:rPr>
        <w:t>, de manejo racional del agua y en la prestación de los servicios públicos inherentes;</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Recabar, operar y mantener actualizada la información en materia de aguas estatales relacionada con los diferentes usos, disponibilidad y calidad de las mismas;</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Normar, controlar, coordinar, vigilar, supervisar, sancionar e impulsar el óptimo aprovechamiento del agua conforme a sus atribuciones directas, delegadas o convenidas en los ámbitos federal, estatal y municipal;</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Dar seguimiento al Plan Estatal de Desarrollo en las cuestiones relacionadas con la materia del agua, procurando el equilibrio entre la oferta y la demanda y la preservación del medio ambiente;</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lastRenderedPageBreak/>
        <w:t>- Elaborar el Programa  Hidráulico de la Administración y el Programa Operativo Hidráulico Anual conforme la materia que de acuerdo con esta ley le compete;</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Ser instancia de atención y trámite de requerimientos y asesoría a usuarios y prestadores de servicios en materia de agua;</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Vigilar que la cantidad y calidad de agua residual que se vierta a los cuerpos receptores nacionales o estatales cumplan con las normas establecidas;</w:t>
      </w:r>
    </w:p>
    <w:p w:rsidR="005069FD" w:rsidRPr="00BA4C6E" w:rsidRDefault="005069FD" w:rsidP="005069FD">
      <w:pPr>
        <w:spacing w:before="150"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 Promover la cultura del agua para fomentar un cambio de hábitos hacía su utilización nacional entre los usuarios de los servicios públicos.</w:t>
      </w:r>
    </w:p>
    <w:p w:rsidR="005069FD" w:rsidRPr="00BA4C6E" w:rsidRDefault="005069FD" w:rsidP="005069FD">
      <w:pPr>
        <w:numPr>
          <w:ilvl w:val="1"/>
          <w:numId w:val="29"/>
        </w:numPr>
        <w:spacing w:before="150" w:after="150" w:line="240" w:lineRule="auto"/>
        <w:ind w:left="1080" w:hanging="567"/>
        <w:jc w:val="both"/>
        <w:rPr>
          <w:rFonts w:asciiTheme="minorHAnsi" w:eastAsia="Times New Roman" w:hAnsiTheme="minorHAnsi" w:cs="Arial"/>
          <w:b/>
          <w:sz w:val="20"/>
          <w:szCs w:val="20"/>
          <w:lang w:eastAsia="es-MX"/>
        </w:rPr>
      </w:pPr>
      <w:r w:rsidRPr="00BA4C6E">
        <w:rPr>
          <w:rFonts w:asciiTheme="minorHAnsi" w:eastAsia="Times New Roman" w:hAnsiTheme="minorHAnsi" w:cs="Arial"/>
          <w:b/>
          <w:sz w:val="20"/>
          <w:szCs w:val="20"/>
          <w:lang w:eastAsia="es-MX"/>
        </w:rPr>
        <w:t>Ejercicio fiscal</w:t>
      </w:r>
    </w:p>
    <w:p w:rsidR="005069FD" w:rsidRDefault="005069FD" w:rsidP="005069FD">
      <w:pPr>
        <w:spacing w:before="100" w:beforeAutospacing="1"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Enero-Diciembre de 2022</w:t>
      </w:r>
    </w:p>
    <w:p w:rsidR="005069FD" w:rsidRPr="00BA4C6E" w:rsidRDefault="005069FD" w:rsidP="005069FD">
      <w:pPr>
        <w:numPr>
          <w:ilvl w:val="1"/>
          <w:numId w:val="29"/>
        </w:numPr>
        <w:spacing w:before="100" w:beforeAutospacing="1" w:after="150" w:line="240" w:lineRule="auto"/>
        <w:ind w:hanging="218"/>
        <w:jc w:val="both"/>
        <w:rPr>
          <w:rFonts w:asciiTheme="minorHAnsi" w:eastAsia="Times New Roman" w:hAnsiTheme="minorHAnsi" w:cs="Arial"/>
          <w:b/>
          <w:sz w:val="20"/>
          <w:szCs w:val="20"/>
          <w:lang w:eastAsia="es-MX"/>
        </w:rPr>
      </w:pPr>
      <w:r w:rsidRPr="00BA4C6E">
        <w:rPr>
          <w:rFonts w:asciiTheme="minorHAnsi" w:eastAsia="Times New Roman" w:hAnsiTheme="minorHAnsi" w:cs="Arial"/>
          <w:b/>
          <w:sz w:val="20"/>
          <w:szCs w:val="20"/>
          <w:lang w:eastAsia="es-MX"/>
        </w:rPr>
        <w:t xml:space="preserve"> Régimen jurídico</w:t>
      </w:r>
    </w:p>
    <w:p w:rsidR="005069FD" w:rsidRPr="00BA4C6E" w:rsidRDefault="005069FD" w:rsidP="005069FD">
      <w:pPr>
        <w:spacing w:before="100" w:beforeAutospacing="1"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Organismo Público Descentralizado del Gobierno del Estado de Tamaulipas, con personalidad jurídica y patrimonio propios.</w:t>
      </w:r>
    </w:p>
    <w:p w:rsidR="005069FD" w:rsidRDefault="005069FD" w:rsidP="005069FD">
      <w:pPr>
        <w:spacing w:before="100" w:beforeAutospacing="1" w:after="15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La Comisión Estatal del Agua de Tamaulipas está registrada ante la Secretaría de Hacienda y Crédito Público como persona moral con fines no lucrativos.</w:t>
      </w:r>
      <w:r w:rsidRPr="00BA4C6E">
        <w:rPr>
          <w:rFonts w:asciiTheme="minorHAnsi" w:eastAsia="Times New Roman" w:hAnsiTheme="minorHAnsi" w:cs="Arial"/>
          <w:sz w:val="20"/>
          <w:szCs w:val="20"/>
          <w:lang w:eastAsia="es-MX"/>
        </w:rPr>
        <w:tab/>
        <w:t>(Título III de la Ley de I.S.R.).</w:t>
      </w:r>
    </w:p>
    <w:p w:rsidR="005069FD" w:rsidRPr="00BA4C6E" w:rsidRDefault="005069FD" w:rsidP="005069FD">
      <w:pPr>
        <w:spacing w:before="100" w:beforeAutospacing="1" w:after="150"/>
        <w:jc w:val="both"/>
        <w:rPr>
          <w:rFonts w:asciiTheme="minorHAnsi" w:eastAsia="Times New Roman" w:hAnsiTheme="minorHAnsi" w:cs="Arial"/>
          <w:sz w:val="20"/>
          <w:szCs w:val="20"/>
          <w:lang w:eastAsia="es-MX"/>
        </w:rPr>
      </w:pPr>
    </w:p>
    <w:p w:rsidR="005069FD" w:rsidRPr="00BA4C6E" w:rsidRDefault="005069FD" w:rsidP="005069FD">
      <w:pPr>
        <w:numPr>
          <w:ilvl w:val="1"/>
          <w:numId w:val="29"/>
        </w:numPr>
        <w:spacing w:before="100" w:beforeAutospacing="1" w:after="150" w:line="240" w:lineRule="auto"/>
        <w:ind w:left="284" w:firstLine="0"/>
        <w:jc w:val="both"/>
        <w:rPr>
          <w:rFonts w:asciiTheme="minorHAnsi" w:eastAsia="Times New Roman" w:hAnsiTheme="minorHAnsi" w:cs="Arial"/>
          <w:b/>
          <w:sz w:val="20"/>
          <w:szCs w:val="20"/>
          <w:lang w:eastAsia="es-MX"/>
        </w:rPr>
      </w:pPr>
      <w:r w:rsidRPr="00BA4C6E">
        <w:rPr>
          <w:rFonts w:asciiTheme="minorHAnsi" w:eastAsia="Times New Roman" w:hAnsiTheme="minorHAnsi" w:cs="Arial"/>
          <w:b/>
          <w:sz w:val="20"/>
          <w:szCs w:val="20"/>
          <w:lang w:eastAsia="es-MX"/>
        </w:rPr>
        <w:t>Consideraciones fiscales</w:t>
      </w:r>
    </w:p>
    <w:p w:rsidR="005069FD" w:rsidRPr="00BA4C6E" w:rsidRDefault="005069FD" w:rsidP="005069FD">
      <w:pPr>
        <w:numPr>
          <w:ilvl w:val="0"/>
          <w:numId w:val="30"/>
        </w:numPr>
        <w:spacing w:before="100" w:beforeAutospacing="1" w:after="150" w:line="240" w:lineRule="auto"/>
        <w:ind w:left="284" w:firstLine="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Entero mensual de retenciones de ISR de ingresos por arrendamiento.</w:t>
      </w:r>
    </w:p>
    <w:p w:rsidR="005069FD" w:rsidRPr="00BA4C6E" w:rsidRDefault="005069FD" w:rsidP="005069FD">
      <w:pPr>
        <w:numPr>
          <w:ilvl w:val="0"/>
          <w:numId w:val="30"/>
        </w:numPr>
        <w:spacing w:before="100" w:beforeAutospacing="1" w:after="150" w:line="240" w:lineRule="auto"/>
        <w:ind w:left="284" w:firstLine="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Pago definitivo mensual de IVA.</w:t>
      </w:r>
    </w:p>
    <w:p w:rsidR="005069FD" w:rsidRPr="00BA4C6E" w:rsidRDefault="005069FD" w:rsidP="005069FD">
      <w:pPr>
        <w:numPr>
          <w:ilvl w:val="0"/>
          <w:numId w:val="30"/>
        </w:numPr>
        <w:spacing w:before="100" w:beforeAutospacing="1" w:after="150" w:line="240" w:lineRule="auto"/>
        <w:ind w:left="284" w:firstLine="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Declaración informativa anual de retenciones de ISR por arrendamiento de inmuebles.</w:t>
      </w:r>
    </w:p>
    <w:p w:rsidR="005069FD" w:rsidRPr="00BA4C6E" w:rsidRDefault="005069FD" w:rsidP="005069FD">
      <w:pPr>
        <w:numPr>
          <w:ilvl w:val="0"/>
          <w:numId w:val="30"/>
        </w:numPr>
        <w:spacing w:before="100" w:beforeAutospacing="1" w:after="150" w:line="240" w:lineRule="auto"/>
        <w:ind w:left="284" w:firstLine="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Declaración informativa anual de pagos y retenciones de servicios profesionales, Personas Morales. Impuesto Sobre la Renta.</w:t>
      </w:r>
    </w:p>
    <w:p w:rsidR="005069FD" w:rsidRPr="00BA4C6E" w:rsidRDefault="005069FD" w:rsidP="005069FD">
      <w:pPr>
        <w:numPr>
          <w:ilvl w:val="0"/>
          <w:numId w:val="30"/>
        </w:numPr>
        <w:spacing w:before="100" w:beforeAutospacing="1" w:after="150" w:line="240" w:lineRule="auto"/>
        <w:ind w:left="284" w:firstLine="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Declaración informativa de IVA con la anual de ISR.</w:t>
      </w:r>
    </w:p>
    <w:p w:rsidR="005069FD" w:rsidRPr="00BA4C6E" w:rsidRDefault="005069FD" w:rsidP="005069FD">
      <w:pPr>
        <w:numPr>
          <w:ilvl w:val="0"/>
          <w:numId w:val="30"/>
        </w:numPr>
        <w:spacing w:before="100" w:beforeAutospacing="1" w:after="150" w:line="240" w:lineRule="auto"/>
        <w:ind w:left="284" w:firstLine="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Entero de retención de ISR por servicios profesionales. MENSUAL.</w:t>
      </w:r>
    </w:p>
    <w:p w:rsidR="005069FD" w:rsidRPr="00BA4C6E" w:rsidRDefault="005069FD" w:rsidP="005069FD">
      <w:pPr>
        <w:numPr>
          <w:ilvl w:val="0"/>
          <w:numId w:val="30"/>
        </w:numPr>
        <w:spacing w:before="100" w:beforeAutospacing="1" w:after="150" w:line="240" w:lineRule="auto"/>
        <w:ind w:left="284" w:firstLine="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Declaración de proveedores de IVA.</w:t>
      </w:r>
    </w:p>
    <w:p w:rsidR="005069FD" w:rsidRDefault="005069FD" w:rsidP="005069FD">
      <w:pPr>
        <w:numPr>
          <w:ilvl w:val="0"/>
          <w:numId w:val="30"/>
        </w:numPr>
        <w:spacing w:before="100" w:beforeAutospacing="1" w:after="150" w:line="240" w:lineRule="auto"/>
        <w:ind w:left="284" w:firstLine="0"/>
        <w:jc w:val="both"/>
        <w:rPr>
          <w:rFonts w:asciiTheme="minorHAnsi" w:eastAsia="Times New Roman" w:hAnsiTheme="minorHAnsi" w:cs="Arial"/>
          <w:sz w:val="20"/>
          <w:szCs w:val="20"/>
          <w:lang w:eastAsia="es-MX"/>
        </w:rPr>
      </w:pPr>
      <w:r w:rsidRPr="00BA4C6E">
        <w:rPr>
          <w:rFonts w:asciiTheme="minorHAnsi" w:eastAsia="Times New Roman" w:hAnsiTheme="minorHAnsi" w:cs="Arial"/>
          <w:sz w:val="20"/>
          <w:szCs w:val="20"/>
          <w:lang w:eastAsia="es-MX"/>
        </w:rPr>
        <w:t>Entero de retenciones mensuales de ISR por sueldos y salarios.</w:t>
      </w:r>
    </w:p>
    <w:p w:rsidR="005069FD" w:rsidRDefault="005069FD" w:rsidP="005069FD">
      <w:pPr>
        <w:spacing w:before="100" w:beforeAutospacing="1" w:after="150" w:line="240" w:lineRule="auto"/>
        <w:jc w:val="both"/>
        <w:rPr>
          <w:rFonts w:asciiTheme="minorHAnsi" w:eastAsia="Times New Roman" w:hAnsiTheme="minorHAnsi" w:cs="Arial"/>
          <w:sz w:val="20"/>
          <w:szCs w:val="20"/>
          <w:lang w:eastAsia="es-MX"/>
        </w:rPr>
      </w:pPr>
    </w:p>
    <w:p w:rsidR="005069FD" w:rsidRDefault="005069FD" w:rsidP="005069FD">
      <w:pPr>
        <w:spacing w:before="100" w:beforeAutospacing="1" w:after="150" w:line="240" w:lineRule="auto"/>
        <w:jc w:val="both"/>
        <w:rPr>
          <w:rFonts w:asciiTheme="minorHAnsi" w:eastAsia="Times New Roman" w:hAnsiTheme="minorHAnsi" w:cs="Arial"/>
          <w:sz w:val="20"/>
          <w:szCs w:val="20"/>
          <w:lang w:eastAsia="es-MX"/>
        </w:rPr>
      </w:pPr>
    </w:p>
    <w:p w:rsidR="00DA17B1" w:rsidRDefault="00DA17B1" w:rsidP="005069FD">
      <w:pPr>
        <w:spacing w:before="100" w:beforeAutospacing="1" w:after="150" w:line="240" w:lineRule="auto"/>
        <w:jc w:val="both"/>
        <w:rPr>
          <w:rFonts w:asciiTheme="minorHAnsi" w:eastAsia="Times New Roman" w:hAnsiTheme="minorHAnsi" w:cs="Arial"/>
          <w:sz w:val="20"/>
          <w:szCs w:val="20"/>
          <w:lang w:eastAsia="es-MX"/>
        </w:rPr>
      </w:pPr>
    </w:p>
    <w:p w:rsidR="00DA17B1" w:rsidRDefault="00DA17B1" w:rsidP="005069FD">
      <w:pPr>
        <w:spacing w:before="100" w:beforeAutospacing="1" w:after="150" w:line="240" w:lineRule="auto"/>
        <w:jc w:val="both"/>
        <w:rPr>
          <w:rFonts w:asciiTheme="minorHAnsi" w:eastAsia="Times New Roman" w:hAnsiTheme="minorHAnsi" w:cs="Arial"/>
          <w:sz w:val="20"/>
          <w:szCs w:val="20"/>
          <w:lang w:eastAsia="es-MX"/>
        </w:rPr>
      </w:pPr>
    </w:p>
    <w:p w:rsidR="00DA17B1" w:rsidRDefault="00DA17B1" w:rsidP="005069FD">
      <w:pPr>
        <w:spacing w:before="100" w:beforeAutospacing="1" w:after="150" w:line="240" w:lineRule="auto"/>
        <w:jc w:val="both"/>
        <w:rPr>
          <w:rFonts w:asciiTheme="minorHAnsi" w:eastAsia="Times New Roman" w:hAnsiTheme="minorHAnsi" w:cs="Arial"/>
          <w:sz w:val="20"/>
          <w:szCs w:val="20"/>
          <w:lang w:eastAsia="es-MX"/>
        </w:rPr>
      </w:pPr>
    </w:p>
    <w:p w:rsidR="00DA17B1" w:rsidRDefault="00DA17B1" w:rsidP="005069FD">
      <w:pPr>
        <w:spacing w:before="100" w:beforeAutospacing="1" w:after="150" w:line="240" w:lineRule="auto"/>
        <w:jc w:val="both"/>
        <w:rPr>
          <w:rFonts w:asciiTheme="minorHAnsi" w:eastAsia="Times New Roman" w:hAnsiTheme="minorHAnsi" w:cs="Arial"/>
          <w:sz w:val="20"/>
          <w:szCs w:val="20"/>
          <w:lang w:eastAsia="es-MX"/>
        </w:rPr>
      </w:pPr>
    </w:p>
    <w:p w:rsidR="005069FD" w:rsidRPr="007003E3" w:rsidRDefault="005069FD" w:rsidP="005069FD">
      <w:pPr>
        <w:numPr>
          <w:ilvl w:val="1"/>
          <w:numId w:val="29"/>
        </w:numPr>
        <w:spacing w:before="100" w:beforeAutospacing="1" w:after="150" w:line="240" w:lineRule="auto"/>
        <w:ind w:left="709"/>
        <w:jc w:val="center"/>
        <w:rPr>
          <w:rFonts w:asciiTheme="minorHAnsi" w:eastAsia="Times New Roman" w:hAnsiTheme="minorHAnsi" w:cs="Arial"/>
          <w:b/>
          <w:sz w:val="18"/>
          <w:szCs w:val="18"/>
          <w:lang w:eastAsia="es-MX"/>
        </w:rPr>
      </w:pPr>
      <w:r w:rsidRPr="008700FE">
        <w:rPr>
          <w:rFonts w:asciiTheme="minorHAnsi" w:eastAsia="Times New Roman" w:hAnsiTheme="minorHAnsi" w:cs="Arial"/>
          <w:b/>
          <w:sz w:val="20"/>
          <w:szCs w:val="20"/>
          <w:lang w:eastAsia="es-MX"/>
        </w:rPr>
        <w:t xml:space="preserve">Estructura Organizacional Básica </w:t>
      </w:r>
    </w:p>
    <w:p w:rsidR="005069FD" w:rsidRPr="008700FE" w:rsidRDefault="00374036" w:rsidP="005069FD">
      <w:pPr>
        <w:spacing w:before="100" w:beforeAutospacing="1" w:after="150"/>
        <w:ind w:left="709"/>
        <w:rPr>
          <w:rFonts w:asciiTheme="minorHAnsi" w:eastAsia="Times New Roman" w:hAnsiTheme="minorHAnsi" w:cs="Arial"/>
          <w:b/>
          <w:sz w:val="18"/>
          <w:szCs w:val="18"/>
          <w:lang w:eastAsia="es-MX"/>
        </w:rPr>
      </w:pPr>
      <w:r w:rsidRPr="00BA4C6E">
        <w:rPr>
          <w:rFonts w:asciiTheme="minorHAnsi" w:eastAsia="Times New Roman" w:hAnsiTheme="minorHAnsi" w:cs="Arial"/>
          <w:b/>
          <w:noProof/>
          <w:sz w:val="18"/>
          <w:szCs w:val="18"/>
          <w:lang w:eastAsia="es-MX"/>
        </w:rPr>
        <w:drawing>
          <wp:anchor distT="0" distB="0" distL="114300" distR="114300" simplePos="0" relativeHeight="251667456" behindDoc="1" locked="0" layoutInCell="1" allowOverlap="1" wp14:anchorId="3CE411BF" wp14:editId="1489A69A">
            <wp:simplePos x="0" y="0"/>
            <wp:positionH relativeFrom="column">
              <wp:posOffset>-151130</wp:posOffset>
            </wp:positionH>
            <wp:positionV relativeFrom="paragraph">
              <wp:posOffset>1270</wp:posOffset>
            </wp:positionV>
            <wp:extent cx="6753225" cy="6667500"/>
            <wp:effectExtent l="0" t="0" r="9525" b="0"/>
            <wp:wrapNone/>
            <wp:docPr id="2" name="Imagen 2" descr="C:\Users\Maribel\Downloads\Organigrama CEAT enero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bel\Downloads\Organigrama CEAT enero 20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53225" cy="666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9FD" w:rsidRPr="00BA4C6E" w:rsidRDefault="005069FD" w:rsidP="005069FD">
      <w:pPr>
        <w:tabs>
          <w:tab w:val="left" w:pos="851"/>
        </w:tabs>
        <w:spacing w:after="180" w:line="274" w:lineRule="auto"/>
        <w:ind w:left="851"/>
        <w:rPr>
          <w:rFonts w:asciiTheme="minorHAnsi" w:eastAsia="Times New Roman" w:hAnsiTheme="minorHAnsi" w:cs="Arial"/>
          <w:b/>
          <w:sz w:val="18"/>
          <w:szCs w:val="18"/>
          <w:lang w:eastAsia="es-MX"/>
        </w:rPr>
      </w:pPr>
    </w:p>
    <w:p w:rsidR="005069FD" w:rsidRDefault="005069FD" w:rsidP="005069FD">
      <w:pPr>
        <w:tabs>
          <w:tab w:val="left" w:pos="851"/>
        </w:tabs>
        <w:spacing w:after="180" w:line="274" w:lineRule="auto"/>
        <w:ind w:left="851"/>
        <w:rPr>
          <w:rFonts w:asciiTheme="minorHAnsi" w:eastAsia="Times New Roman" w:hAnsiTheme="minorHAnsi" w:cs="Arial"/>
          <w:b/>
          <w:sz w:val="18"/>
          <w:szCs w:val="18"/>
          <w:lang w:eastAsia="es-MX"/>
        </w:rPr>
      </w:pPr>
    </w:p>
    <w:p w:rsidR="005069FD" w:rsidRDefault="005069FD" w:rsidP="005069FD">
      <w:pPr>
        <w:tabs>
          <w:tab w:val="left" w:pos="851"/>
        </w:tabs>
        <w:spacing w:after="180" w:line="274" w:lineRule="auto"/>
        <w:ind w:left="851"/>
        <w:rPr>
          <w:rFonts w:asciiTheme="minorHAnsi" w:eastAsia="Times New Roman" w:hAnsiTheme="minorHAnsi" w:cs="Arial"/>
          <w:b/>
          <w:sz w:val="18"/>
          <w:szCs w:val="18"/>
          <w:lang w:eastAsia="es-MX"/>
        </w:rPr>
      </w:pPr>
    </w:p>
    <w:p w:rsidR="005069FD" w:rsidRDefault="005069FD" w:rsidP="005069FD">
      <w:pPr>
        <w:tabs>
          <w:tab w:val="left" w:pos="851"/>
        </w:tabs>
        <w:spacing w:after="180" w:line="274" w:lineRule="auto"/>
        <w:ind w:left="851"/>
        <w:rPr>
          <w:rFonts w:asciiTheme="minorHAnsi" w:eastAsia="Times New Roman" w:hAnsiTheme="minorHAnsi" w:cs="Arial"/>
          <w:b/>
          <w:sz w:val="18"/>
          <w:szCs w:val="18"/>
          <w:lang w:eastAsia="es-MX"/>
        </w:rPr>
      </w:pPr>
    </w:p>
    <w:p w:rsidR="005069FD" w:rsidRDefault="005069FD" w:rsidP="005069FD">
      <w:pPr>
        <w:tabs>
          <w:tab w:val="left" w:pos="851"/>
        </w:tabs>
        <w:spacing w:after="180" w:line="274" w:lineRule="auto"/>
        <w:ind w:left="851"/>
        <w:rPr>
          <w:rFonts w:asciiTheme="minorHAnsi" w:eastAsia="Times New Roman" w:hAnsiTheme="minorHAnsi" w:cs="Arial"/>
          <w:b/>
          <w:sz w:val="18"/>
          <w:szCs w:val="18"/>
          <w:lang w:eastAsia="es-MX"/>
        </w:rPr>
      </w:pPr>
    </w:p>
    <w:p w:rsidR="005069FD" w:rsidRDefault="005069FD" w:rsidP="005069FD">
      <w:pPr>
        <w:tabs>
          <w:tab w:val="left" w:pos="851"/>
        </w:tabs>
        <w:spacing w:after="180" w:line="274" w:lineRule="auto"/>
        <w:ind w:left="851"/>
        <w:rPr>
          <w:rFonts w:asciiTheme="minorHAnsi" w:eastAsia="Times New Roman" w:hAnsiTheme="minorHAnsi" w:cs="Arial"/>
          <w:b/>
          <w:sz w:val="18"/>
          <w:szCs w:val="18"/>
          <w:lang w:eastAsia="es-MX"/>
        </w:rPr>
      </w:pPr>
    </w:p>
    <w:p w:rsidR="005069FD" w:rsidRDefault="005069FD" w:rsidP="005069FD">
      <w:pPr>
        <w:tabs>
          <w:tab w:val="left" w:pos="851"/>
        </w:tabs>
        <w:spacing w:after="180" w:line="274" w:lineRule="auto"/>
        <w:ind w:left="851"/>
        <w:rPr>
          <w:rFonts w:asciiTheme="minorHAnsi" w:eastAsia="Times New Roman" w:hAnsiTheme="minorHAnsi" w:cs="Arial"/>
          <w:b/>
          <w:sz w:val="18"/>
          <w:szCs w:val="18"/>
          <w:lang w:eastAsia="es-MX"/>
        </w:rPr>
      </w:pPr>
    </w:p>
    <w:p w:rsidR="005069FD" w:rsidRDefault="005069FD" w:rsidP="005069FD">
      <w:pPr>
        <w:tabs>
          <w:tab w:val="left" w:pos="851"/>
        </w:tabs>
        <w:spacing w:after="180" w:line="274" w:lineRule="auto"/>
        <w:ind w:left="851"/>
        <w:rPr>
          <w:rFonts w:asciiTheme="minorHAnsi" w:eastAsia="Times New Roman" w:hAnsiTheme="minorHAnsi" w:cs="Arial"/>
          <w:b/>
          <w:sz w:val="18"/>
          <w:szCs w:val="18"/>
          <w:lang w:eastAsia="es-MX"/>
        </w:rPr>
      </w:pPr>
    </w:p>
    <w:p w:rsidR="005069FD" w:rsidRDefault="005069FD" w:rsidP="005069FD">
      <w:pPr>
        <w:tabs>
          <w:tab w:val="left" w:pos="851"/>
        </w:tabs>
        <w:spacing w:after="180" w:line="274" w:lineRule="auto"/>
        <w:ind w:left="851"/>
        <w:rPr>
          <w:rFonts w:asciiTheme="minorHAnsi" w:eastAsia="Times New Roman" w:hAnsiTheme="minorHAnsi" w:cs="Arial"/>
          <w:b/>
          <w:sz w:val="18"/>
          <w:szCs w:val="18"/>
          <w:lang w:eastAsia="es-MX"/>
        </w:rPr>
      </w:pPr>
    </w:p>
    <w:p w:rsidR="005069FD" w:rsidRDefault="005069FD" w:rsidP="005069FD">
      <w:pPr>
        <w:tabs>
          <w:tab w:val="left" w:pos="851"/>
        </w:tabs>
        <w:spacing w:after="180" w:line="274" w:lineRule="auto"/>
        <w:ind w:left="851"/>
        <w:rPr>
          <w:rFonts w:asciiTheme="minorHAnsi" w:eastAsia="Times New Roman" w:hAnsiTheme="minorHAnsi" w:cs="Arial"/>
          <w:b/>
          <w:sz w:val="18"/>
          <w:szCs w:val="18"/>
          <w:lang w:eastAsia="es-MX"/>
        </w:rPr>
      </w:pPr>
    </w:p>
    <w:p w:rsidR="00DA17B1" w:rsidRDefault="00DA17B1" w:rsidP="005069FD">
      <w:pPr>
        <w:tabs>
          <w:tab w:val="left" w:pos="851"/>
        </w:tabs>
        <w:spacing w:after="180" w:line="274" w:lineRule="auto"/>
        <w:ind w:left="851"/>
        <w:rPr>
          <w:rFonts w:asciiTheme="minorHAnsi" w:eastAsia="Times New Roman" w:hAnsiTheme="minorHAnsi" w:cs="Arial"/>
          <w:b/>
          <w:sz w:val="18"/>
          <w:szCs w:val="18"/>
          <w:lang w:eastAsia="es-MX"/>
        </w:rPr>
      </w:pPr>
    </w:p>
    <w:p w:rsidR="00DA17B1" w:rsidRDefault="00DA17B1" w:rsidP="005069FD">
      <w:pPr>
        <w:tabs>
          <w:tab w:val="left" w:pos="851"/>
        </w:tabs>
        <w:spacing w:after="180" w:line="274" w:lineRule="auto"/>
        <w:ind w:left="851"/>
        <w:rPr>
          <w:rFonts w:asciiTheme="minorHAnsi" w:eastAsia="Times New Roman" w:hAnsiTheme="minorHAnsi" w:cs="Arial"/>
          <w:b/>
          <w:sz w:val="18"/>
          <w:szCs w:val="18"/>
          <w:lang w:eastAsia="es-MX"/>
        </w:rPr>
      </w:pPr>
    </w:p>
    <w:p w:rsidR="00DA17B1" w:rsidRDefault="00DA17B1" w:rsidP="005069FD">
      <w:pPr>
        <w:tabs>
          <w:tab w:val="left" w:pos="851"/>
        </w:tabs>
        <w:spacing w:after="180" w:line="274" w:lineRule="auto"/>
        <w:ind w:left="851"/>
        <w:rPr>
          <w:rFonts w:asciiTheme="minorHAnsi" w:eastAsia="Times New Roman" w:hAnsiTheme="minorHAnsi" w:cs="Arial"/>
          <w:b/>
          <w:sz w:val="18"/>
          <w:szCs w:val="18"/>
          <w:lang w:eastAsia="es-MX"/>
        </w:rPr>
      </w:pPr>
    </w:p>
    <w:p w:rsidR="00DA17B1" w:rsidRDefault="00DA17B1" w:rsidP="005069FD">
      <w:pPr>
        <w:tabs>
          <w:tab w:val="left" w:pos="851"/>
        </w:tabs>
        <w:spacing w:after="180" w:line="274" w:lineRule="auto"/>
        <w:ind w:left="851"/>
        <w:rPr>
          <w:rFonts w:asciiTheme="minorHAnsi" w:eastAsia="Times New Roman" w:hAnsiTheme="minorHAnsi" w:cs="Arial"/>
          <w:b/>
          <w:sz w:val="18"/>
          <w:szCs w:val="18"/>
          <w:lang w:eastAsia="es-MX"/>
        </w:rPr>
      </w:pPr>
    </w:p>
    <w:p w:rsidR="00DA17B1" w:rsidRDefault="00DA17B1" w:rsidP="005069FD">
      <w:pPr>
        <w:tabs>
          <w:tab w:val="left" w:pos="851"/>
        </w:tabs>
        <w:spacing w:after="180" w:line="274" w:lineRule="auto"/>
        <w:ind w:left="851"/>
        <w:rPr>
          <w:rFonts w:asciiTheme="minorHAnsi" w:eastAsia="Times New Roman" w:hAnsiTheme="minorHAnsi" w:cs="Arial"/>
          <w:b/>
          <w:sz w:val="18"/>
          <w:szCs w:val="18"/>
          <w:lang w:eastAsia="es-MX"/>
        </w:rPr>
      </w:pPr>
    </w:p>
    <w:p w:rsidR="00DA17B1" w:rsidRDefault="00DA17B1" w:rsidP="005069FD">
      <w:pPr>
        <w:tabs>
          <w:tab w:val="left" w:pos="851"/>
        </w:tabs>
        <w:spacing w:after="180" w:line="274" w:lineRule="auto"/>
        <w:ind w:left="851"/>
        <w:rPr>
          <w:rFonts w:asciiTheme="minorHAnsi" w:eastAsia="Times New Roman" w:hAnsiTheme="minorHAnsi" w:cs="Arial"/>
          <w:b/>
          <w:sz w:val="18"/>
          <w:szCs w:val="18"/>
          <w:lang w:eastAsia="es-MX"/>
        </w:rPr>
      </w:pPr>
    </w:p>
    <w:p w:rsidR="00DA17B1" w:rsidRDefault="00DA17B1" w:rsidP="005069FD">
      <w:pPr>
        <w:tabs>
          <w:tab w:val="left" w:pos="851"/>
        </w:tabs>
        <w:spacing w:after="180" w:line="274" w:lineRule="auto"/>
        <w:ind w:left="851"/>
        <w:rPr>
          <w:rFonts w:asciiTheme="minorHAnsi" w:eastAsia="Times New Roman" w:hAnsiTheme="minorHAnsi" w:cs="Arial"/>
          <w:b/>
          <w:sz w:val="18"/>
          <w:szCs w:val="18"/>
          <w:lang w:eastAsia="es-MX"/>
        </w:rPr>
      </w:pPr>
    </w:p>
    <w:p w:rsidR="00DA17B1" w:rsidRDefault="00DA17B1" w:rsidP="005069FD">
      <w:pPr>
        <w:tabs>
          <w:tab w:val="left" w:pos="851"/>
        </w:tabs>
        <w:spacing w:after="180" w:line="274" w:lineRule="auto"/>
        <w:ind w:left="851"/>
        <w:rPr>
          <w:rFonts w:asciiTheme="minorHAnsi" w:eastAsia="Times New Roman" w:hAnsiTheme="minorHAnsi" w:cs="Arial"/>
          <w:b/>
          <w:sz w:val="18"/>
          <w:szCs w:val="18"/>
          <w:lang w:eastAsia="es-MX"/>
        </w:rPr>
      </w:pPr>
    </w:p>
    <w:p w:rsidR="00DA17B1" w:rsidRDefault="00DA17B1" w:rsidP="005069FD">
      <w:pPr>
        <w:tabs>
          <w:tab w:val="left" w:pos="851"/>
        </w:tabs>
        <w:spacing w:after="180" w:line="274" w:lineRule="auto"/>
        <w:ind w:left="851"/>
        <w:rPr>
          <w:rFonts w:asciiTheme="minorHAnsi" w:eastAsia="Times New Roman" w:hAnsiTheme="minorHAnsi" w:cs="Arial"/>
          <w:b/>
          <w:sz w:val="18"/>
          <w:szCs w:val="18"/>
          <w:lang w:eastAsia="es-MX"/>
        </w:rPr>
      </w:pPr>
    </w:p>
    <w:p w:rsidR="00DA17B1" w:rsidRDefault="00DA17B1" w:rsidP="005069FD">
      <w:pPr>
        <w:tabs>
          <w:tab w:val="left" w:pos="851"/>
        </w:tabs>
        <w:spacing w:after="180" w:line="274" w:lineRule="auto"/>
        <w:ind w:left="851"/>
        <w:rPr>
          <w:rFonts w:asciiTheme="minorHAnsi" w:eastAsia="Times New Roman" w:hAnsiTheme="minorHAnsi" w:cs="Arial"/>
          <w:b/>
          <w:sz w:val="18"/>
          <w:szCs w:val="18"/>
          <w:lang w:eastAsia="es-MX"/>
        </w:rPr>
      </w:pPr>
    </w:p>
    <w:p w:rsidR="00DA17B1" w:rsidRDefault="00DA17B1" w:rsidP="005069FD">
      <w:pPr>
        <w:tabs>
          <w:tab w:val="left" w:pos="851"/>
        </w:tabs>
        <w:spacing w:after="180" w:line="274" w:lineRule="auto"/>
        <w:ind w:left="851"/>
        <w:rPr>
          <w:rFonts w:asciiTheme="minorHAnsi" w:eastAsia="Times New Roman" w:hAnsiTheme="minorHAnsi" w:cs="Arial"/>
          <w:b/>
          <w:sz w:val="18"/>
          <w:szCs w:val="18"/>
          <w:lang w:eastAsia="es-MX"/>
        </w:rPr>
      </w:pPr>
    </w:p>
    <w:p w:rsidR="00DA17B1" w:rsidRDefault="00DA17B1" w:rsidP="005069FD">
      <w:pPr>
        <w:tabs>
          <w:tab w:val="left" w:pos="851"/>
        </w:tabs>
        <w:spacing w:after="180" w:line="274" w:lineRule="auto"/>
        <w:ind w:left="851"/>
        <w:rPr>
          <w:rFonts w:asciiTheme="minorHAnsi" w:eastAsia="Times New Roman" w:hAnsiTheme="minorHAnsi" w:cs="Arial"/>
          <w:b/>
          <w:sz w:val="18"/>
          <w:szCs w:val="18"/>
          <w:lang w:eastAsia="es-MX"/>
        </w:rPr>
      </w:pPr>
    </w:p>
    <w:p w:rsidR="00DA17B1" w:rsidRDefault="00DA17B1" w:rsidP="005069FD">
      <w:pPr>
        <w:tabs>
          <w:tab w:val="left" w:pos="851"/>
        </w:tabs>
        <w:spacing w:after="180" w:line="274" w:lineRule="auto"/>
        <w:ind w:left="851"/>
        <w:rPr>
          <w:rFonts w:asciiTheme="minorHAnsi" w:eastAsia="Times New Roman" w:hAnsiTheme="minorHAnsi" w:cs="Arial"/>
          <w:b/>
          <w:sz w:val="18"/>
          <w:szCs w:val="18"/>
          <w:lang w:eastAsia="es-MX"/>
        </w:rPr>
      </w:pPr>
    </w:p>
    <w:p w:rsidR="00DA17B1" w:rsidRDefault="00DA17B1" w:rsidP="005069FD">
      <w:pPr>
        <w:tabs>
          <w:tab w:val="left" w:pos="851"/>
        </w:tabs>
        <w:spacing w:after="180" w:line="274" w:lineRule="auto"/>
        <w:ind w:left="851"/>
        <w:rPr>
          <w:rFonts w:asciiTheme="minorHAnsi" w:eastAsia="Times New Roman" w:hAnsiTheme="minorHAnsi" w:cs="Arial"/>
          <w:b/>
          <w:sz w:val="18"/>
          <w:szCs w:val="18"/>
          <w:lang w:eastAsia="es-MX"/>
        </w:rPr>
      </w:pPr>
    </w:p>
    <w:p w:rsidR="00DA17B1" w:rsidRDefault="00DA17B1" w:rsidP="005069FD">
      <w:pPr>
        <w:tabs>
          <w:tab w:val="left" w:pos="851"/>
        </w:tabs>
        <w:spacing w:after="180" w:line="274" w:lineRule="auto"/>
        <w:ind w:left="851"/>
        <w:rPr>
          <w:rFonts w:asciiTheme="minorHAnsi" w:eastAsia="Times New Roman" w:hAnsiTheme="minorHAnsi" w:cs="Arial"/>
          <w:b/>
          <w:sz w:val="18"/>
          <w:szCs w:val="18"/>
          <w:lang w:eastAsia="es-MX"/>
        </w:rPr>
      </w:pPr>
    </w:p>
    <w:p w:rsidR="00E21765" w:rsidRDefault="00E21765" w:rsidP="005069FD">
      <w:pPr>
        <w:tabs>
          <w:tab w:val="left" w:pos="851"/>
        </w:tabs>
        <w:spacing w:after="180" w:line="274" w:lineRule="auto"/>
        <w:ind w:left="851"/>
        <w:rPr>
          <w:rFonts w:asciiTheme="minorHAnsi" w:eastAsia="Times New Roman" w:hAnsiTheme="minorHAnsi" w:cs="Arial"/>
          <w:b/>
          <w:sz w:val="18"/>
          <w:szCs w:val="18"/>
          <w:lang w:eastAsia="es-MX"/>
        </w:rPr>
      </w:pPr>
    </w:p>
    <w:p w:rsidR="00E21765" w:rsidRDefault="00E21765" w:rsidP="005069FD">
      <w:pPr>
        <w:tabs>
          <w:tab w:val="left" w:pos="851"/>
        </w:tabs>
        <w:spacing w:after="180" w:line="274" w:lineRule="auto"/>
        <w:ind w:left="851"/>
        <w:rPr>
          <w:rFonts w:asciiTheme="minorHAnsi" w:eastAsia="Times New Roman" w:hAnsiTheme="minorHAnsi" w:cs="Arial"/>
          <w:b/>
          <w:sz w:val="18"/>
          <w:szCs w:val="18"/>
          <w:lang w:eastAsia="es-MX"/>
        </w:rPr>
      </w:pPr>
    </w:p>
    <w:p w:rsidR="00DA17B1" w:rsidRDefault="00DA17B1" w:rsidP="005069FD">
      <w:pPr>
        <w:tabs>
          <w:tab w:val="left" w:pos="851"/>
        </w:tabs>
        <w:spacing w:after="180" w:line="274" w:lineRule="auto"/>
        <w:ind w:left="851"/>
        <w:rPr>
          <w:rFonts w:asciiTheme="minorHAnsi" w:eastAsia="Times New Roman" w:hAnsiTheme="minorHAnsi" w:cs="Arial"/>
          <w:b/>
          <w:sz w:val="18"/>
          <w:szCs w:val="18"/>
          <w:lang w:eastAsia="es-MX"/>
        </w:rPr>
      </w:pPr>
    </w:p>
    <w:p w:rsidR="005069FD" w:rsidRPr="00BA4C6E" w:rsidRDefault="005069FD" w:rsidP="005069FD">
      <w:pPr>
        <w:numPr>
          <w:ilvl w:val="1"/>
          <w:numId w:val="29"/>
        </w:numPr>
        <w:tabs>
          <w:tab w:val="left" w:pos="851"/>
        </w:tabs>
        <w:spacing w:after="180" w:line="274" w:lineRule="auto"/>
        <w:ind w:left="851" w:hanging="425"/>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Fideicomisos, mandatos y análogos de los cuales es fideicomitente o fiduciario</w:t>
      </w:r>
    </w:p>
    <w:p w:rsidR="005069FD" w:rsidRPr="00BA4C6E" w:rsidRDefault="005069FD" w:rsidP="005069FD">
      <w:pPr>
        <w:tabs>
          <w:tab w:val="left" w:pos="3210"/>
        </w:tabs>
        <w:jc w:val="center"/>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No aplica.</w:t>
      </w:r>
    </w:p>
    <w:p w:rsidR="00DA17B1" w:rsidRDefault="00DA17B1" w:rsidP="00DA17B1">
      <w:pPr>
        <w:tabs>
          <w:tab w:val="left" w:pos="709"/>
        </w:tabs>
        <w:spacing w:after="180" w:line="274" w:lineRule="auto"/>
        <w:ind w:left="720"/>
        <w:rPr>
          <w:rFonts w:asciiTheme="minorHAnsi" w:eastAsia="Times New Roman" w:hAnsiTheme="minorHAnsi" w:cs="Arial"/>
          <w:b/>
          <w:sz w:val="18"/>
          <w:szCs w:val="18"/>
          <w:lang w:eastAsia="es-MX"/>
        </w:rPr>
      </w:pPr>
    </w:p>
    <w:p w:rsidR="005069FD" w:rsidRPr="00BA4C6E" w:rsidRDefault="005069FD" w:rsidP="005069FD">
      <w:pPr>
        <w:numPr>
          <w:ilvl w:val="0"/>
          <w:numId w:val="18"/>
        </w:numPr>
        <w:tabs>
          <w:tab w:val="left" w:pos="709"/>
        </w:tabs>
        <w:spacing w:after="180" w:line="274" w:lineRule="auto"/>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BASES DE PREPARACIÓN DE LOS ESTADOS FINANCIEROS</w:t>
      </w:r>
    </w:p>
    <w:p w:rsidR="005069FD" w:rsidRPr="00BA4C6E" w:rsidRDefault="005069FD" w:rsidP="005069FD">
      <w:pPr>
        <w:numPr>
          <w:ilvl w:val="0"/>
          <w:numId w:val="31"/>
        </w:numPr>
        <w:spacing w:after="180" w:line="274" w:lineRule="auto"/>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Los Estados Financieros de la Comisión Estatal del Agua de Tamaulipas son preparados de acuerdo a los lineamientos establecidos por el Consejo Nacional de Armonización Contable (CONAC) aplicando la Ley General de Contabilidad Gubernamental (LGCG).</w:t>
      </w:r>
    </w:p>
    <w:p w:rsidR="005069FD" w:rsidRPr="00BA4C6E" w:rsidRDefault="005069FD" w:rsidP="005069FD">
      <w:pPr>
        <w:numPr>
          <w:ilvl w:val="0"/>
          <w:numId w:val="31"/>
        </w:numPr>
        <w:spacing w:after="180" w:line="274" w:lineRule="auto"/>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 xml:space="preserve">Todas las operaciones que se realizan en la Comisión Estatal del Agua de Tamaulipas están cuantificados en términos monetarios y se registran aplicando las normatividad establecida como el costo histórico que corresponde al monto erogado para su adquisición conforme a la documentación contable original </w:t>
      </w:r>
      <w:proofErr w:type="gramStart"/>
      <w:r w:rsidRPr="00BA4C6E">
        <w:rPr>
          <w:rFonts w:asciiTheme="minorHAnsi" w:eastAsia="Times New Roman" w:hAnsiTheme="minorHAnsi" w:cs="Arial"/>
          <w:sz w:val="18"/>
          <w:szCs w:val="18"/>
          <w:lang w:eastAsia="es-MX"/>
        </w:rPr>
        <w:t>justificativa y comprobatoria</w:t>
      </w:r>
      <w:proofErr w:type="gramEnd"/>
      <w:r w:rsidRPr="00BA4C6E">
        <w:rPr>
          <w:rFonts w:asciiTheme="minorHAnsi" w:eastAsia="Times New Roman" w:hAnsiTheme="minorHAnsi" w:cs="Arial"/>
          <w:sz w:val="18"/>
          <w:szCs w:val="18"/>
          <w:lang w:eastAsia="es-MX"/>
        </w:rPr>
        <w:t>.</w:t>
      </w:r>
    </w:p>
    <w:p w:rsidR="005069FD" w:rsidRPr="00BA4C6E" w:rsidRDefault="005069FD" w:rsidP="005069FD">
      <w:pPr>
        <w:numPr>
          <w:ilvl w:val="0"/>
          <w:numId w:val="31"/>
        </w:numPr>
        <w:spacing w:after="180" w:line="274" w:lineRule="auto"/>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El registro contable, patrimonial y presupuestario de las operaciones que realiza la Comisión Estatal del Agua de Tamaulipas, así como la preparación de los Estados Financieros, están basados en los Postulados Básicos de Contabilidad Gubernamental: existencia permanente, periodo contable, revelación suficiente, importancia relativa, integración de la información, control presupuestario, base en devengado, costo histórico, dualidad económica, cuantificación en términos monetarios, consistencia.</w:t>
      </w:r>
    </w:p>
    <w:p w:rsidR="005069FD" w:rsidRPr="00BA4C6E" w:rsidRDefault="005069FD" w:rsidP="005069FD">
      <w:pPr>
        <w:numPr>
          <w:ilvl w:val="0"/>
          <w:numId w:val="31"/>
        </w:numPr>
        <w:spacing w:after="180" w:line="274" w:lineRule="auto"/>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No aplica Normatividad supletoria.</w:t>
      </w:r>
    </w:p>
    <w:p w:rsidR="005069FD" w:rsidRPr="00BA4C6E" w:rsidRDefault="005069FD" w:rsidP="005069FD">
      <w:pPr>
        <w:numPr>
          <w:ilvl w:val="0"/>
          <w:numId w:val="31"/>
        </w:numPr>
        <w:spacing w:after="180" w:line="274" w:lineRule="auto"/>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Atendiendo las disposiciones establecidas en la Ley General de Contabilidad Gubernamental, La Comisión Estatal del Agua de Tamaulipas registra las operaciones de acuerdo a los momentos contables del ingreso y del gasto.</w:t>
      </w:r>
    </w:p>
    <w:p w:rsidR="005069FD" w:rsidRPr="00BA4C6E" w:rsidRDefault="005069FD" w:rsidP="005069FD">
      <w:pPr>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 xml:space="preserve">Ingresos: </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 xml:space="preserve">Ingreso estimado: </w:t>
      </w:r>
      <w:r w:rsidRPr="00BA4C6E">
        <w:rPr>
          <w:rFonts w:asciiTheme="minorHAnsi" w:eastAsia="Times New Roman" w:hAnsiTheme="minorHAnsi" w:cs="Arial"/>
          <w:sz w:val="18"/>
          <w:szCs w:val="18"/>
          <w:lang w:eastAsia="es-MX"/>
        </w:rPr>
        <w:t>En este momento contable, se registra el presupuesto de ingresos aprobado por el Consejo de Administración al inicio del ejercicio, se incluyen los ingresos propios, por subsidio estatal y federal.</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 xml:space="preserve">Ingreso modificado: </w:t>
      </w:r>
      <w:r w:rsidRPr="00BA4C6E">
        <w:rPr>
          <w:rFonts w:asciiTheme="minorHAnsi" w:eastAsia="Times New Roman" w:hAnsiTheme="minorHAnsi" w:cs="Arial"/>
          <w:sz w:val="18"/>
          <w:szCs w:val="18"/>
          <w:lang w:eastAsia="es-MX"/>
        </w:rPr>
        <w:t>En este momento contable se reflejan las modificaciones al presupuesto inicial, como son ampliaciones, reducciones y transferencias que se van realizando durante el ejercicio.</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 xml:space="preserve">Ingreso devengado: </w:t>
      </w:r>
      <w:r w:rsidRPr="00BA4C6E">
        <w:rPr>
          <w:rFonts w:asciiTheme="minorHAnsi" w:eastAsia="Times New Roman" w:hAnsiTheme="minorHAnsi" w:cs="Arial"/>
          <w:sz w:val="18"/>
          <w:szCs w:val="18"/>
          <w:lang w:eastAsia="es-MX"/>
        </w:rPr>
        <w:t>Este momento contable se realiza cuando existe jurídicamente el derecho de cobro y que existan los documentos que acrediten la cuenta por cobrar. En el caso de esta Comisión se elaboran facturas o recibos de pago y son enviados solicitando el cobro correspondiente.</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 xml:space="preserve">Ingreso recaudado: </w:t>
      </w:r>
      <w:r w:rsidRPr="00BA4C6E">
        <w:rPr>
          <w:rFonts w:asciiTheme="minorHAnsi" w:eastAsia="Times New Roman" w:hAnsiTheme="minorHAnsi" w:cs="Arial"/>
          <w:sz w:val="18"/>
          <w:szCs w:val="18"/>
          <w:lang w:eastAsia="es-MX"/>
        </w:rPr>
        <w:t>En este momento contable se refleja el cobro en efectivo o cualquier otro medio de pago. En esta Comisión cuando se recibe el efectivo, transferencia o cheque cubriendo los documentos que se registran en el momento contable “devengado”.</w:t>
      </w:r>
    </w:p>
    <w:p w:rsidR="005069FD" w:rsidRPr="00BA4C6E" w:rsidRDefault="005069FD" w:rsidP="005069FD">
      <w:pPr>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Gastos:</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 xml:space="preserve">Gasto aprobado: </w:t>
      </w:r>
      <w:r w:rsidRPr="00BA4C6E">
        <w:rPr>
          <w:rFonts w:asciiTheme="minorHAnsi" w:eastAsia="Times New Roman" w:hAnsiTheme="minorHAnsi" w:cs="Arial"/>
          <w:sz w:val="18"/>
          <w:szCs w:val="18"/>
          <w:lang w:eastAsia="es-MX"/>
        </w:rPr>
        <w:t>En este momento contable, esta Comisión registra el presupuesto de egresos aprobado al inicio del ejercicio y debidamente aprobado y autorizado por el Consejo de Administración, incluyendo servicios personales, materiales y suministros, servicios generales, bienes muebles e inmuebles, transferencias, subsidios y otras ayudas.</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 xml:space="preserve">Gasto modificado: </w:t>
      </w:r>
      <w:r w:rsidRPr="00BA4C6E">
        <w:rPr>
          <w:rFonts w:asciiTheme="minorHAnsi" w:eastAsia="Times New Roman" w:hAnsiTheme="minorHAnsi" w:cs="Arial"/>
          <w:sz w:val="18"/>
          <w:szCs w:val="18"/>
          <w:lang w:eastAsia="es-MX"/>
        </w:rPr>
        <w:t>En este momento contable se registran las ampliaciones, reducciones y transferencias que se realizan durante el transcurso del ejercicio al presupuesto de egresos aprobado.</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 xml:space="preserve">Gasto comprometido: </w:t>
      </w:r>
      <w:r w:rsidRPr="00BA4C6E">
        <w:rPr>
          <w:rFonts w:asciiTheme="minorHAnsi" w:eastAsia="Times New Roman" w:hAnsiTheme="minorHAnsi" w:cs="Arial"/>
          <w:sz w:val="18"/>
          <w:szCs w:val="18"/>
          <w:lang w:eastAsia="es-MX"/>
        </w:rPr>
        <w:t>En este momento contable se refleja la aprobación por la autoridad competente de un acto administrativo u otro instrumento jurídico que formaliza una relación jurídica con terceros para la adquisición de bienes y servicios. (Solicitud de pedido)</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lastRenderedPageBreak/>
        <w:t xml:space="preserve">Gasto devengado: </w:t>
      </w:r>
      <w:r w:rsidRPr="00BA4C6E">
        <w:rPr>
          <w:rFonts w:asciiTheme="minorHAnsi" w:eastAsia="Times New Roman" w:hAnsiTheme="minorHAnsi" w:cs="Arial"/>
          <w:sz w:val="18"/>
          <w:szCs w:val="18"/>
          <w:lang w:eastAsia="es-MX"/>
        </w:rPr>
        <w:t xml:space="preserve">En este momento contable se refleja el reconocimiento de una obligación de pago a favor de terceros por la recepción de bienes y servicios contratados. (Factura). </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 xml:space="preserve">Gasto pagado: </w:t>
      </w:r>
      <w:r w:rsidRPr="00BA4C6E">
        <w:rPr>
          <w:rFonts w:asciiTheme="minorHAnsi" w:eastAsia="Times New Roman" w:hAnsiTheme="minorHAnsi" w:cs="Arial"/>
          <w:sz w:val="18"/>
          <w:szCs w:val="18"/>
          <w:lang w:eastAsia="es-MX"/>
        </w:rPr>
        <w:t>Refleja la cancelación total o parcial de las obligaciones de pago, que se concreta mediante la salida de efectivo, cheque o transferencia. (Pago de facturas).</w:t>
      </w:r>
    </w:p>
    <w:p w:rsidR="005069FD" w:rsidRPr="00BA4C6E" w:rsidRDefault="005069FD" w:rsidP="005069FD">
      <w:pPr>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Plan de implementación:</w:t>
      </w:r>
    </w:p>
    <w:p w:rsidR="005069FD" w:rsidRPr="00BA4C6E" w:rsidRDefault="005069FD" w:rsidP="005069FD">
      <w:pPr>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2012:</w:t>
      </w:r>
      <w:r w:rsidRPr="00BA4C6E">
        <w:rPr>
          <w:rFonts w:asciiTheme="minorHAnsi" w:eastAsia="Times New Roman" w:hAnsiTheme="minorHAnsi" w:cs="Arial"/>
          <w:sz w:val="18"/>
          <w:szCs w:val="18"/>
          <w:lang w:eastAsia="es-MX"/>
        </w:rPr>
        <w:t xml:space="preserve"> Atendiendo las disposiciones del Consejo nacional de Armonización Contable y la aplicación de la Ley General de Contabilidad Gubernamental, La Comisión Estatal del Agua de Tamaulipas adopto el Plan de Cuentas, Clasificador por Objeto del Gasto y Clasificador por Rubro de Ingresos, Manual de Contabilidad Gubernamental, iniciando operaciones a partir del mes de noviembre de 2012 con el sistema implantado por Plataforma Única, </w:t>
      </w:r>
      <w:r w:rsidRPr="00BA4C6E">
        <w:rPr>
          <w:rFonts w:asciiTheme="minorHAnsi" w:eastAsia="Times New Roman" w:hAnsiTheme="minorHAnsi" w:cs="Arial"/>
          <w:b/>
          <w:sz w:val="18"/>
          <w:szCs w:val="18"/>
          <w:lang w:eastAsia="es-MX"/>
        </w:rPr>
        <w:t>SAP.</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 xml:space="preserve">2013: </w:t>
      </w:r>
      <w:r w:rsidRPr="00BA4C6E">
        <w:rPr>
          <w:rFonts w:asciiTheme="minorHAnsi" w:eastAsia="Times New Roman" w:hAnsiTheme="minorHAnsi" w:cs="Arial"/>
          <w:sz w:val="18"/>
          <w:szCs w:val="18"/>
          <w:lang w:eastAsia="es-MX"/>
        </w:rPr>
        <w:t xml:space="preserve">Utilizando el sistema </w:t>
      </w:r>
      <w:r w:rsidRPr="00BA4C6E">
        <w:rPr>
          <w:rFonts w:asciiTheme="minorHAnsi" w:eastAsia="Times New Roman" w:hAnsiTheme="minorHAnsi" w:cs="Arial"/>
          <w:b/>
          <w:sz w:val="18"/>
          <w:szCs w:val="18"/>
          <w:lang w:eastAsia="es-MX"/>
        </w:rPr>
        <w:t xml:space="preserve">SAP, </w:t>
      </w:r>
      <w:r w:rsidRPr="00BA4C6E">
        <w:rPr>
          <w:rFonts w:asciiTheme="minorHAnsi" w:eastAsia="Times New Roman" w:hAnsiTheme="minorHAnsi" w:cs="Arial"/>
          <w:sz w:val="18"/>
          <w:szCs w:val="18"/>
          <w:lang w:eastAsia="es-MX"/>
        </w:rPr>
        <w:t>se realizan las operaciones tratando de dar cumplimiento a la ley General de Contabilidad Gubernamental y a los lineamientos emitidos por el CONAC. Se han realizado algunas correcciones en cuanto al clasificador por objeto del gasto tomando en cuenta las adecuaciones.</w:t>
      </w:r>
    </w:p>
    <w:p w:rsidR="005069FD" w:rsidRPr="00BA4C6E" w:rsidRDefault="005069FD" w:rsidP="005069FD">
      <w:pPr>
        <w:jc w:val="both"/>
        <w:rPr>
          <w:rFonts w:asciiTheme="minorHAnsi" w:eastAsia="Times New Roman" w:hAnsiTheme="minorHAnsi" w:cs="Arial"/>
          <w:sz w:val="18"/>
          <w:szCs w:val="18"/>
          <w:lang w:eastAsia="es-MX"/>
        </w:rPr>
      </w:pP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 xml:space="preserve">En el marco de la Ley general de Contabilidad Gubernamental, la Comisión Estatal del Agua de Tamaulipas realizó la implementación del sistema contable </w:t>
      </w:r>
      <w:r w:rsidRPr="00BA4C6E">
        <w:rPr>
          <w:rFonts w:asciiTheme="minorHAnsi" w:eastAsia="Times New Roman" w:hAnsiTheme="minorHAnsi" w:cs="Arial"/>
          <w:b/>
          <w:sz w:val="18"/>
          <w:szCs w:val="18"/>
          <w:lang w:eastAsia="es-MX"/>
        </w:rPr>
        <w:t>SAP</w:t>
      </w:r>
      <w:r w:rsidRPr="00BA4C6E">
        <w:rPr>
          <w:rFonts w:asciiTheme="minorHAnsi" w:eastAsia="Times New Roman" w:hAnsiTheme="minorHAnsi" w:cs="Arial"/>
          <w:sz w:val="18"/>
          <w:szCs w:val="18"/>
          <w:lang w:eastAsia="es-MX"/>
        </w:rPr>
        <w:t xml:space="preserve"> cumpliendo con el registro contable y presupuestal conforme a las características de estructura, diseño y operación que indica esta Ley. La adecuación consistió en adoptar los instrumentos técnicos como son: El plan de cuentas, clasificador por rubro de ingresos, clasificador por objeto del gasto, manual de contabilidad gubernamental y aplicar los lineamientos emitidos en cuanto al registro y valoración del patrimonio.</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En lo referente a los ingresos se adoptó el clasificador por rubro de ingresos, así como los momentos contables del ingreso, aprobado, modificado, devengado y recaudado. En la contabilidad anterior los ingresos se registraban en el momento de su realización o cobro y de la misma forma se reflejaba en el Estado de Resultados. Con la adopción y aplicación de la Ley en mención los ingresos se reflejan en el estado de Actividades cuando existe jurídicamente el derecho de cobro, es decir cuando se encuentran en el momento contable devengado.</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En lo referente a los egresos, se adoptó el clasificador por objeto del gasto y se implanto el registro de acuerdo a lo establecido en la LGCC, en cuanto al registro de las operaciones, realizando los momentos contables del egreso: aprobado, modificado, comprometido, devengado, ejercido y pagado.</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 xml:space="preserve">2014: </w:t>
      </w:r>
      <w:r w:rsidRPr="00BA4C6E">
        <w:rPr>
          <w:rFonts w:asciiTheme="minorHAnsi" w:eastAsia="Times New Roman" w:hAnsiTheme="minorHAnsi" w:cs="Arial"/>
          <w:sz w:val="18"/>
          <w:szCs w:val="18"/>
          <w:lang w:eastAsia="es-MX"/>
        </w:rPr>
        <w:t>Durante el ejercicio 2014, se utilizó el sistema SAP nuevamente, pero derivado de la revisión realizada a toda la información financiera  del ejercicio 2013 y analizando los registros contables y presupuestales en el sistema SAP, se  encontraron errores en cuanto a la configuración del sistema y al registro de las operaciones y momentos contables, por lo que se informó al área de Plataforma Única, debido a que el costo para corregir dichos errores es muy elevado, nos dimos a la tarea de buscar otro sistema contable que se adecue más a los lineamientos del Consejo Nacional de Armonización Contable y con ello dar cumplimiento a la Ley General de Contabilidad Gubernamental. Dicho sistema se utilizará a partir de enero del ejercicio 2015.</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 xml:space="preserve">2015: </w:t>
      </w:r>
      <w:r w:rsidRPr="00BA4C6E">
        <w:rPr>
          <w:rFonts w:asciiTheme="minorHAnsi" w:eastAsia="Times New Roman" w:hAnsiTheme="minorHAnsi" w:cs="Arial"/>
          <w:sz w:val="18"/>
          <w:szCs w:val="18"/>
          <w:lang w:eastAsia="es-MX"/>
        </w:rPr>
        <w:t>Con motivo de dar cumplimiento a la Ley General de Contabilidad Gubernamental a partir de Enero de 2015, se iniciaron operaciones con el sistema contable SAACG.NET. Presentando la información financiera en tiempo y forma ante las instancias fiscalizadoras, así como contar con la información en tiempo real para la adecuada toma de decisiones.</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2016:</w:t>
      </w:r>
      <w:r w:rsidRPr="00BA4C6E">
        <w:rPr>
          <w:rFonts w:asciiTheme="minorHAnsi" w:eastAsia="Times New Roman" w:hAnsiTheme="minorHAnsi" w:cs="Arial"/>
          <w:sz w:val="18"/>
          <w:szCs w:val="18"/>
          <w:lang w:eastAsia="es-MX"/>
        </w:rPr>
        <w:t xml:space="preserve"> Se continua realizando el registro de las operaciones el en sistema SAACG.NET. Presentando la información financiera en tiempo y forma ante las instancias fiscalizadoras, así como contar con la información en tiempo real para la adecuada toma de decisiones, cumpliendo con lo establecido por el Consejo Nacional de Armonización Contable y la Ley General de Contabilidad Gubernamental.</w:t>
      </w:r>
    </w:p>
    <w:p w:rsidR="005069FD" w:rsidRPr="00BA4C6E" w:rsidRDefault="005069FD" w:rsidP="005069FD">
      <w:pPr>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2017:</w:t>
      </w:r>
      <w:r w:rsidRPr="00BA4C6E">
        <w:rPr>
          <w:rFonts w:asciiTheme="minorHAnsi" w:eastAsia="Times New Roman" w:hAnsiTheme="minorHAnsi" w:cs="Arial"/>
          <w:sz w:val="18"/>
          <w:szCs w:val="18"/>
          <w:lang w:eastAsia="es-MX"/>
        </w:rPr>
        <w:t xml:space="preserve"> Se continua realizando el registro de las operaciones el en sistema SAACG.NET, cumpliendo con lo establecido por el Consejo Nacional de Armonización Contable y la Ley General de Contabilidad Gubernamental.</w:t>
      </w:r>
      <w:r w:rsidRPr="00BA4C6E">
        <w:rPr>
          <w:rFonts w:asciiTheme="minorHAnsi" w:eastAsia="Times New Roman" w:hAnsiTheme="minorHAnsi" w:cs="Arial"/>
          <w:b/>
          <w:sz w:val="18"/>
          <w:szCs w:val="18"/>
          <w:lang w:eastAsia="es-MX"/>
        </w:rPr>
        <w:t xml:space="preserve"> </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lastRenderedPageBreak/>
        <w:t>2018:</w:t>
      </w:r>
      <w:r w:rsidRPr="00BA4C6E">
        <w:rPr>
          <w:rFonts w:asciiTheme="minorHAnsi" w:eastAsia="Times New Roman" w:hAnsiTheme="minorHAnsi" w:cs="Arial"/>
          <w:sz w:val="18"/>
          <w:szCs w:val="18"/>
          <w:lang w:eastAsia="es-MX"/>
        </w:rPr>
        <w:t xml:space="preserve"> Se continua realizando el registro de las operaciones el en sistema SAACG.NET, cumpliendo con lo establecido por el Consejo Nacional de Armonización Contable y la Ley General de Contabilidad Gubernamental.</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2019:</w:t>
      </w:r>
      <w:r w:rsidRPr="00BA4C6E">
        <w:rPr>
          <w:rFonts w:asciiTheme="minorHAnsi" w:eastAsia="Times New Roman" w:hAnsiTheme="minorHAnsi" w:cs="Arial"/>
          <w:sz w:val="18"/>
          <w:szCs w:val="18"/>
          <w:lang w:eastAsia="es-MX"/>
        </w:rPr>
        <w:t xml:space="preserve"> Se continua realizando el registro de las operaciones el en sistema SAACG.NET, cumpliendo con lo establecido por el Consejo Nacional de Armonización Contable y la Ley General de Contabilidad Gubernamental.</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2020:</w:t>
      </w:r>
      <w:r w:rsidRPr="00BA4C6E">
        <w:rPr>
          <w:rFonts w:asciiTheme="minorHAnsi" w:eastAsia="Times New Roman" w:hAnsiTheme="minorHAnsi" w:cs="Arial"/>
          <w:sz w:val="18"/>
          <w:szCs w:val="18"/>
          <w:lang w:eastAsia="es-MX"/>
        </w:rPr>
        <w:t xml:space="preserve"> Se continua realizando el registro de las operaciones el en sistema SAACG.NET, cumpliendo con lo establecido por el Consejo Nacional de Armonización Contable y la Ley General de Contabilidad Gubernamental.</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2021:</w:t>
      </w:r>
      <w:r w:rsidRPr="00BA4C6E">
        <w:rPr>
          <w:rFonts w:asciiTheme="minorHAnsi" w:eastAsia="Times New Roman" w:hAnsiTheme="minorHAnsi" w:cs="Arial"/>
          <w:sz w:val="18"/>
          <w:szCs w:val="18"/>
          <w:lang w:eastAsia="es-MX"/>
        </w:rPr>
        <w:t xml:space="preserve"> Se continua realizando el registro de las operaciones el en sistema SAACG.NET, cumpliendo con lo establecido por el Consejo Nacional de Armonización Contable y la Ley General de Contabilidad Gubernamental.</w:t>
      </w:r>
    </w:p>
    <w:p w:rsidR="005069FD" w:rsidRPr="00BA4C6E" w:rsidRDefault="005069FD" w:rsidP="005069FD">
      <w:pPr>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2022:</w:t>
      </w:r>
      <w:r w:rsidRPr="00BA4C6E">
        <w:rPr>
          <w:rFonts w:asciiTheme="minorHAnsi" w:eastAsia="Times New Roman" w:hAnsiTheme="minorHAnsi" w:cs="Arial"/>
          <w:sz w:val="18"/>
          <w:szCs w:val="18"/>
          <w:lang w:eastAsia="es-MX"/>
        </w:rPr>
        <w:t xml:space="preserve"> Se continua realizando el registro de las operaciones el en sistema SAACG.NET, cumpliendo con lo establecido por el Consejo Nacional de Armonización Contable y la Ley General de Contabilidad Gubernamental.</w:t>
      </w:r>
    </w:p>
    <w:p w:rsidR="005069FD" w:rsidRPr="00BA4C6E" w:rsidRDefault="005069FD" w:rsidP="005069FD">
      <w:pPr>
        <w:jc w:val="both"/>
        <w:rPr>
          <w:rFonts w:asciiTheme="minorHAnsi" w:eastAsia="Times New Roman" w:hAnsiTheme="minorHAnsi" w:cs="Arial"/>
          <w:sz w:val="18"/>
          <w:szCs w:val="18"/>
          <w:lang w:eastAsia="es-MX"/>
        </w:rPr>
      </w:pPr>
    </w:p>
    <w:p w:rsidR="005069FD" w:rsidRPr="00BA4C6E" w:rsidRDefault="005069FD" w:rsidP="005069FD">
      <w:pPr>
        <w:ind w:left="720"/>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6) POLITICAS DE CONTABILIDAD SIGNIFICATIVAS</w:t>
      </w:r>
    </w:p>
    <w:p w:rsidR="005069FD" w:rsidRPr="00BA4C6E" w:rsidRDefault="005069FD" w:rsidP="005069FD">
      <w:pPr>
        <w:tabs>
          <w:tab w:val="left" w:pos="1305"/>
        </w:tabs>
        <w:ind w:left="1134"/>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a) El registro de los activos se realiza a su valor histórico o valor factura, únicamente se registraron los bienes que presentaban un valor de acuerdo a los lineamientos establecidos en las reglas para el registro y valoración del patrimonio.</w:t>
      </w:r>
    </w:p>
    <w:p w:rsidR="005069FD" w:rsidRPr="00BA4C6E" w:rsidRDefault="005069FD" w:rsidP="005069FD">
      <w:pPr>
        <w:tabs>
          <w:tab w:val="left" w:pos="1305"/>
        </w:tabs>
        <w:ind w:left="1134"/>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b) “No aplica”</w:t>
      </w:r>
    </w:p>
    <w:p w:rsidR="005069FD" w:rsidRPr="00BA4C6E" w:rsidRDefault="005069FD" w:rsidP="005069FD">
      <w:pPr>
        <w:tabs>
          <w:tab w:val="left" w:pos="1305"/>
        </w:tabs>
        <w:ind w:left="1134"/>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c) “No aplica”</w:t>
      </w:r>
    </w:p>
    <w:p w:rsidR="005069FD" w:rsidRPr="00BA4C6E" w:rsidRDefault="005069FD" w:rsidP="005069FD">
      <w:pPr>
        <w:tabs>
          <w:tab w:val="left" w:pos="1305"/>
        </w:tabs>
        <w:ind w:left="1134"/>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d) En proceso de realización</w:t>
      </w:r>
    </w:p>
    <w:p w:rsidR="005069FD" w:rsidRPr="00BA4C6E" w:rsidRDefault="005069FD" w:rsidP="005069FD">
      <w:pPr>
        <w:tabs>
          <w:tab w:val="left" w:pos="1305"/>
        </w:tabs>
        <w:ind w:left="1134"/>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e) “No aplica”</w:t>
      </w:r>
    </w:p>
    <w:p w:rsidR="005069FD" w:rsidRPr="00BA4C6E" w:rsidRDefault="005069FD" w:rsidP="005069FD">
      <w:pPr>
        <w:tabs>
          <w:tab w:val="left" w:pos="1305"/>
        </w:tabs>
        <w:ind w:left="1134"/>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f) “No aplica”</w:t>
      </w:r>
    </w:p>
    <w:p w:rsidR="005069FD" w:rsidRPr="00BA4C6E" w:rsidRDefault="005069FD" w:rsidP="005069FD">
      <w:pPr>
        <w:tabs>
          <w:tab w:val="left" w:pos="1305"/>
        </w:tabs>
        <w:ind w:left="1134"/>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g) “No aplica”</w:t>
      </w:r>
    </w:p>
    <w:p w:rsidR="005069FD" w:rsidRPr="00BA4C6E" w:rsidRDefault="005069FD" w:rsidP="005069FD">
      <w:pPr>
        <w:tabs>
          <w:tab w:val="left" w:pos="1305"/>
        </w:tabs>
        <w:ind w:left="1134"/>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h) Se realizaron cambios en las políticas contables del ingreso y gasto, para dar cumplimiento a los lineamientos establecidos por el CONAC y a la Ley de General de Contabilidad Gubernamental. Se realizaron las adecuaciones al Plan de Cuentas, Clasificador por Objeto del Gasto y por Rubro de Ingresos, utilizando el sistema SAACG.NET</w:t>
      </w:r>
    </w:p>
    <w:p w:rsidR="005069FD" w:rsidRPr="00BA4C6E" w:rsidRDefault="005069FD" w:rsidP="005069FD">
      <w:pPr>
        <w:tabs>
          <w:tab w:val="left" w:pos="1305"/>
        </w:tabs>
        <w:ind w:left="1134"/>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i) No se han realizado reclasificaciones</w:t>
      </w:r>
    </w:p>
    <w:p w:rsidR="005069FD" w:rsidRPr="00BA4C6E" w:rsidRDefault="005069FD" w:rsidP="005069FD">
      <w:pPr>
        <w:tabs>
          <w:tab w:val="left" w:pos="1305"/>
        </w:tabs>
        <w:ind w:left="1134"/>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j) Los activos se encuentran debidamente clasificados y registrados de acuerdo a lo establecido en las reglas específicas para el registro y valoración del patrimonio.</w:t>
      </w:r>
    </w:p>
    <w:p w:rsidR="005069FD" w:rsidRPr="00BA4C6E" w:rsidRDefault="005069FD" w:rsidP="005069FD">
      <w:pPr>
        <w:tabs>
          <w:tab w:val="left" w:pos="1305"/>
        </w:tabs>
        <w:ind w:left="709"/>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7) POSICIÓN EN MONEDA EXTRANJERA Y PROTECCIÓN POR RIESGO CAMBIARIO.</w:t>
      </w:r>
    </w:p>
    <w:p w:rsidR="005069FD" w:rsidRPr="00BA4C6E" w:rsidRDefault="005069FD" w:rsidP="005069FD">
      <w:pPr>
        <w:tabs>
          <w:tab w:val="left" w:pos="1305"/>
        </w:tabs>
        <w:ind w:left="709"/>
        <w:jc w:val="center"/>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“NO APLICA”</w:t>
      </w:r>
    </w:p>
    <w:p w:rsidR="005069FD" w:rsidRPr="00BA4C6E" w:rsidRDefault="005069FD" w:rsidP="005069FD">
      <w:pPr>
        <w:tabs>
          <w:tab w:val="left" w:pos="1305"/>
        </w:tabs>
        <w:ind w:left="709"/>
        <w:jc w:val="center"/>
        <w:rPr>
          <w:rFonts w:asciiTheme="minorHAnsi" w:eastAsia="Times New Roman" w:hAnsiTheme="minorHAnsi" w:cs="Arial"/>
          <w:sz w:val="18"/>
          <w:szCs w:val="18"/>
          <w:lang w:eastAsia="es-MX"/>
        </w:rPr>
      </w:pPr>
    </w:p>
    <w:p w:rsidR="005069FD" w:rsidRDefault="005069FD" w:rsidP="005069FD">
      <w:pPr>
        <w:tabs>
          <w:tab w:val="left" w:pos="1305"/>
        </w:tabs>
        <w:ind w:left="709"/>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8) REPORTE ANALITICO DEL ACTIVO</w:t>
      </w:r>
    </w:p>
    <w:p w:rsidR="005069FD" w:rsidRPr="00BA4C6E" w:rsidRDefault="005069FD" w:rsidP="005069FD">
      <w:pPr>
        <w:numPr>
          <w:ilvl w:val="1"/>
          <w:numId w:val="27"/>
        </w:numPr>
        <w:tabs>
          <w:tab w:val="left" w:pos="709"/>
        </w:tabs>
        <w:spacing w:after="180" w:line="274" w:lineRule="auto"/>
        <w:ind w:hanging="731"/>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Vida útil o porcentaje de depreciación, deterioro o amortización utilizados en los diferentes tipos de activos</w:t>
      </w:r>
    </w:p>
    <w:p w:rsidR="005069FD" w:rsidRDefault="005069FD" w:rsidP="005069FD">
      <w:pPr>
        <w:tabs>
          <w:tab w:val="left" w:pos="567"/>
          <w:tab w:val="left" w:pos="709"/>
        </w:tabs>
        <w:ind w:left="567"/>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 xml:space="preserve"> </w:t>
      </w:r>
      <w:r w:rsidRPr="00BA4C6E">
        <w:rPr>
          <w:rFonts w:asciiTheme="minorHAnsi" w:eastAsia="Times New Roman" w:hAnsiTheme="minorHAnsi" w:cs="Arial"/>
          <w:sz w:val="18"/>
          <w:szCs w:val="18"/>
          <w:lang w:eastAsia="es-MX"/>
        </w:rPr>
        <w:t xml:space="preserve">Con fecha 1° de noviembre del 2012, se iniciaron operaciones con el sistema SAP, y se realizó el cálculo de la depreciación a los activos fijos de este organismo, utilizando el método de línea recta, este método de depreciación es </w:t>
      </w:r>
      <w:r w:rsidRPr="00BA4C6E">
        <w:rPr>
          <w:rFonts w:asciiTheme="minorHAnsi" w:eastAsia="Times New Roman" w:hAnsiTheme="minorHAnsi" w:cs="Arial"/>
          <w:sz w:val="18"/>
          <w:szCs w:val="18"/>
          <w:lang w:eastAsia="es-MX"/>
        </w:rPr>
        <w:lastRenderedPageBreak/>
        <w:t>considerado como función del tiempo y no de la utilización de los activos. Resulta un método simple que se basa en considerar la obsolescencia progresiva como la causa primera de una vida de servicio limitada y considerar por lo tanto la disminución de tal utilidad de forma constante en el tiempo. El cargo por la depreciación será igual al costo del activo menos el valor de deshecho entre los años de vida útil. Los parámetros utilizados de estimación de vida útil son los emitidos por el CONAC en la “guía de vida útil estimada y porcentajes de depreciación.</w:t>
      </w:r>
    </w:p>
    <w:p w:rsidR="005069FD" w:rsidRPr="00BA4C6E" w:rsidRDefault="005069FD" w:rsidP="005069FD">
      <w:pPr>
        <w:tabs>
          <w:tab w:val="left" w:pos="567"/>
          <w:tab w:val="left" w:pos="709"/>
        </w:tabs>
        <w:ind w:left="567"/>
        <w:jc w:val="both"/>
        <w:rPr>
          <w:rFonts w:asciiTheme="minorHAnsi" w:eastAsia="Times New Roman" w:hAnsiTheme="minorHAnsi" w:cs="Arial"/>
          <w:sz w:val="18"/>
          <w:szCs w:val="18"/>
          <w:lang w:eastAsia="es-MX"/>
        </w:rPr>
      </w:pPr>
    </w:p>
    <w:p w:rsidR="005069FD" w:rsidRPr="00BA4C6E" w:rsidRDefault="005069FD" w:rsidP="005069FD">
      <w:pPr>
        <w:numPr>
          <w:ilvl w:val="1"/>
          <w:numId w:val="27"/>
        </w:numPr>
        <w:tabs>
          <w:tab w:val="left" w:pos="709"/>
        </w:tabs>
        <w:spacing w:after="180" w:line="274" w:lineRule="auto"/>
        <w:ind w:hanging="731"/>
        <w:jc w:val="both"/>
        <w:rPr>
          <w:rFonts w:asciiTheme="minorHAnsi" w:eastAsia="Times New Roman" w:hAnsiTheme="minorHAnsi" w:cs="Arial"/>
          <w:b/>
          <w:sz w:val="18"/>
          <w:szCs w:val="18"/>
          <w:lang w:eastAsia="es-MX"/>
        </w:rPr>
      </w:pPr>
      <w:r w:rsidRPr="00BA4C6E">
        <w:rPr>
          <w:rFonts w:asciiTheme="minorHAnsi" w:eastAsia="Times New Roman" w:hAnsiTheme="minorHAnsi" w:cs="Arial"/>
          <w:sz w:val="18"/>
          <w:szCs w:val="18"/>
          <w:lang w:eastAsia="es-MX"/>
        </w:rPr>
        <w:t xml:space="preserve"> </w:t>
      </w:r>
      <w:r w:rsidRPr="00BA4C6E">
        <w:rPr>
          <w:rFonts w:asciiTheme="minorHAnsi" w:eastAsia="Times New Roman" w:hAnsiTheme="minorHAnsi" w:cs="Arial"/>
          <w:b/>
          <w:sz w:val="18"/>
          <w:szCs w:val="18"/>
          <w:lang w:eastAsia="es-MX"/>
        </w:rPr>
        <w:t>Cambios en el porcentaje de depreciación o valor residual de los activos</w:t>
      </w:r>
    </w:p>
    <w:p w:rsidR="005069FD" w:rsidRPr="00BA4C6E" w:rsidRDefault="005069FD" w:rsidP="005069FD">
      <w:pPr>
        <w:tabs>
          <w:tab w:val="left" w:pos="709"/>
          <w:tab w:val="left" w:pos="2856"/>
        </w:tabs>
        <w:ind w:left="1440" w:hanging="731"/>
        <w:rPr>
          <w:rFonts w:asciiTheme="minorHAnsi" w:eastAsia="Times New Roman" w:hAnsiTheme="minorHAnsi" w:cs="Arial"/>
          <w:sz w:val="18"/>
          <w:szCs w:val="18"/>
          <w:lang w:eastAsia="es-MX"/>
        </w:rPr>
      </w:pPr>
      <w:r>
        <w:rPr>
          <w:rFonts w:asciiTheme="minorHAnsi" w:eastAsia="Times New Roman" w:hAnsiTheme="minorHAnsi" w:cs="Arial"/>
          <w:sz w:val="18"/>
          <w:szCs w:val="18"/>
          <w:lang w:eastAsia="es-MX"/>
        </w:rPr>
        <w:t xml:space="preserve">                                                                                   </w:t>
      </w:r>
      <w:r w:rsidRPr="00BA4C6E">
        <w:rPr>
          <w:rFonts w:asciiTheme="minorHAnsi" w:eastAsia="Times New Roman" w:hAnsiTheme="minorHAnsi" w:cs="Arial"/>
          <w:sz w:val="18"/>
          <w:szCs w:val="18"/>
          <w:lang w:eastAsia="es-MX"/>
        </w:rPr>
        <w:t>“No aplica”</w:t>
      </w:r>
    </w:p>
    <w:p w:rsidR="005069FD" w:rsidRPr="00BA4C6E" w:rsidRDefault="005069FD" w:rsidP="005069FD">
      <w:pPr>
        <w:numPr>
          <w:ilvl w:val="1"/>
          <w:numId w:val="27"/>
        </w:numPr>
        <w:tabs>
          <w:tab w:val="left" w:pos="709"/>
        </w:tabs>
        <w:spacing w:after="180" w:line="274" w:lineRule="auto"/>
        <w:ind w:hanging="731"/>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 xml:space="preserve"> Importe de los gastos capitalizados en el ejercicio, tanto financieros como de investigación y desarrollo.</w:t>
      </w:r>
    </w:p>
    <w:p w:rsidR="005069FD" w:rsidRPr="00BA4C6E" w:rsidRDefault="005069FD" w:rsidP="005069FD">
      <w:pPr>
        <w:tabs>
          <w:tab w:val="left" w:pos="709"/>
        </w:tabs>
        <w:ind w:hanging="731"/>
        <w:jc w:val="center"/>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“No aplica”</w:t>
      </w:r>
    </w:p>
    <w:p w:rsidR="005069FD" w:rsidRPr="00BA4C6E" w:rsidRDefault="005069FD" w:rsidP="005069FD">
      <w:pPr>
        <w:numPr>
          <w:ilvl w:val="1"/>
          <w:numId w:val="27"/>
        </w:numPr>
        <w:tabs>
          <w:tab w:val="left" w:pos="709"/>
        </w:tabs>
        <w:spacing w:after="180" w:line="274" w:lineRule="auto"/>
        <w:ind w:hanging="731"/>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Riesgos por tipo de cambio o tipo de interés de las inversiones financieras.</w:t>
      </w:r>
    </w:p>
    <w:p w:rsidR="005069FD" w:rsidRPr="00BA4C6E" w:rsidRDefault="005069FD" w:rsidP="005069FD">
      <w:pPr>
        <w:tabs>
          <w:tab w:val="left" w:pos="709"/>
        </w:tabs>
        <w:ind w:left="720" w:hanging="731"/>
        <w:jc w:val="center"/>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“No aplica”</w:t>
      </w:r>
    </w:p>
    <w:p w:rsidR="005069FD" w:rsidRPr="00BA4C6E" w:rsidRDefault="005069FD" w:rsidP="005069FD">
      <w:pPr>
        <w:numPr>
          <w:ilvl w:val="1"/>
          <w:numId w:val="27"/>
        </w:numPr>
        <w:tabs>
          <w:tab w:val="left" w:pos="709"/>
        </w:tabs>
        <w:spacing w:after="180" w:line="274" w:lineRule="auto"/>
        <w:ind w:hanging="731"/>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Valor activado en el ejercicio de los bienes construidos por la entidad.</w:t>
      </w:r>
    </w:p>
    <w:p w:rsidR="005069FD" w:rsidRPr="00BA4C6E" w:rsidRDefault="005069FD" w:rsidP="005069FD">
      <w:pPr>
        <w:tabs>
          <w:tab w:val="left" w:pos="709"/>
        </w:tabs>
        <w:ind w:left="720" w:hanging="731"/>
        <w:jc w:val="center"/>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“No aplica”</w:t>
      </w:r>
    </w:p>
    <w:p w:rsidR="005069FD" w:rsidRPr="00BA4C6E" w:rsidRDefault="005069FD" w:rsidP="005069FD">
      <w:pPr>
        <w:numPr>
          <w:ilvl w:val="1"/>
          <w:numId w:val="27"/>
        </w:numPr>
        <w:tabs>
          <w:tab w:val="left" w:pos="709"/>
        </w:tabs>
        <w:spacing w:after="180" w:line="274" w:lineRule="auto"/>
        <w:ind w:hanging="731"/>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Otras circunstancias de carácter significativo que afecten el activo, tales como bienes en garantía, señalados en embargos, litigios, títulos de inversiones entregados en garantías, baja significativa del valor de inversiones financieras, etc.</w:t>
      </w:r>
    </w:p>
    <w:p w:rsidR="005069FD" w:rsidRPr="00BA4C6E" w:rsidRDefault="005069FD" w:rsidP="005069FD">
      <w:pPr>
        <w:tabs>
          <w:tab w:val="left" w:pos="709"/>
        </w:tabs>
        <w:ind w:left="720" w:hanging="731"/>
        <w:jc w:val="center"/>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“No aplica”</w:t>
      </w:r>
    </w:p>
    <w:p w:rsidR="005069FD" w:rsidRPr="00BA4C6E" w:rsidRDefault="005069FD" w:rsidP="005069FD">
      <w:pPr>
        <w:numPr>
          <w:ilvl w:val="1"/>
          <w:numId w:val="27"/>
        </w:numPr>
        <w:tabs>
          <w:tab w:val="left" w:pos="709"/>
        </w:tabs>
        <w:spacing w:after="180" w:line="274" w:lineRule="auto"/>
        <w:ind w:hanging="731"/>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Desmantelamiento de Activos, procedimientos, implicaciones, efectos contables.</w:t>
      </w:r>
    </w:p>
    <w:p w:rsidR="005069FD" w:rsidRPr="00BA4C6E" w:rsidRDefault="005069FD" w:rsidP="005069FD">
      <w:pPr>
        <w:tabs>
          <w:tab w:val="left" w:pos="709"/>
        </w:tabs>
        <w:ind w:left="720" w:hanging="731"/>
        <w:jc w:val="center"/>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“No aplica”</w:t>
      </w:r>
    </w:p>
    <w:p w:rsidR="005069FD" w:rsidRPr="00BA4C6E" w:rsidRDefault="005069FD" w:rsidP="005069FD">
      <w:pPr>
        <w:numPr>
          <w:ilvl w:val="1"/>
          <w:numId w:val="27"/>
        </w:numPr>
        <w:tabs>
          <w:tab w:val="left" w:pos="709"/>
        </w:tabs>
        <w:spacing w:after="180" w:line="274" w:lineRule="auto"/>
        <w:ind w:hanging="731"/>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Administración de activos; planeación con el objetivo de que el ente los utilice de manera más efectiva.</w:t>
      </w:r>
    </w:p>
    <w:p w:rsidR="005069FD" w:rsidRDefault="005069FD" w:rsidP="005069FD">
      <w:pPr>
        <w:tabs>
          <w:tab w:val="left" w:pos="709"/>
        </w:tabs>
        <w:ind w:left="1440" w:hanging="731"/>
        <w:jc w:val="center"/>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“No aplica”</w:t>
      </w:r>
    </w:p>
    <w:p w:rsidR="005069FD" w:rsidRPr="00F957E7" w:rsidRDefault="005069FD" w:rsidP="005069FD">
      <w:pPr>
        <w:jc w:val="both"/>
        <w:rPr>
          <w:rFonts w:asciiTheme="minorHAnsi" w:eastAsia="Times New Roman" w:hAnsiTheme="minorHAnsi" w:cs="Arial"/>
          <w:b/>
          <w:sz w:val="20"/>
          <w:szCs w:val="18"/>
          <w:lang w:eastAsia="es-MX"/>
        </w:rPr>
      </w:pPr>
      <w:r w:rsidRPr="00F957E7">
        <w:rPr>
          <w:rFonts w:asciiTheme="minorHAnsi" w:eastAsia="Times New Roman" w:hAnsiTheme="minorHAnsi" w:cs="Arial"/>
          <w:b/>
          <w:sz w:val="20"/>
          <w:szCs w:val="18"/>
          <w:lang w:eastAsia="es-MX"/>
        </w:rPr>
        <w:t>Adicionalmente se deben incluir las explicaciones de las principales variaciones en el activo, en cuadros comparativos como sigue:</w:t>
      </w:r>
    </w:p>
    <w:p w:rsidR="005069FD" w:rsidRPr="00BA4C6E" w:rsidRDefault="005069FD" w:rsidP="005069FD">
      <w:pPr>
        <w:numPr>
          <w:ilvl w:val="0"/>
          <w:numId w:val="32"/>
        </w:numPr>
        <w:spacing w:after="180" w:line="240" w:lineRule="auto"/>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Inversiones en valores</w:t>
      </w:r>
      <w:r w:rsidRPr="00BA4C6E">
        <w:rPr>
          <w:rFonts w:asciiTheme="minorHAnsi" w:eastAsia="Times New Roman" w:hAnsiTheme="minorHAnsi" w:cs="Arial"/>
          <w:sz w:val="18"/>
          <w:szCs w:val="18"/>
          <w:lang w:eastAsia="es-MX"/>
        </w:rPr>
        <w:t>: La Comisión Estatal del Agua de Tamaulipas no maneja inversiones en valores</w:t>
      </w:r>
    </w:p>
    <w:p w:rsidR="005069FD" w:rsidRPr="00BA4C6E" w:rsidRDefault="005069FD" w:rsidP="005069FD">
      <w:pPr>
        <w:numPr>
          <w:ilvl w:val="0"/>
          <w:numId w:val="32"/>
        </w:numPr>
        <w:spacing w:after="180" w:line="240" w:lineRule="auto"/>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 xml:space="preserve">Patrimonio de Organismos descentralizados de control presupuestario indirecto. </w:t>
      </w:r>
      <w:r w:rsidRPr="00BA4C6E">
        <w:rPr>
          <w:rFonts w:asciiTheme="minorHAnsi" w:eastAsia="Times New Roman" w:hAnsiTheme="minorHAnsi" w:cs="Arial"/>
          <w:sz w:val="18"/>
          <w:szCs w:val="18"/>
          <w:lang w:eastAsia="es-MX"/>
        </w:rPr>
        <w:t>No aplica</w:t>
      </w:r>
    </w:p>
    <w:p w:rsidR="005069FD" w:rsidRPr="00BA4C6E" w:rsidRDefault="005069FD" w:rsidP="005069FD">
      <w:pPr>
        <w:numPr>
          <w:ilvl w:val="0"/>
          <w:numId w:val="32"/>
        </w:numPr>
        <w:spacing w:after="180" w:line="240" w:lineRule="auto"/>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 xml:space="preserve">Inversiones en empresas de participación mayoritaria: </w:t>
      </w:r>
      <w:r w:rsidRPr="00BA4C6E">
        <w:rPr>
          <w:rFonts w:asciiTheme="minorHAnsi" w:eastAsia="Times New Roman" w:hAnsiTheme="minorHAnsi" w:cs="Arial"/>
          <w:sz w:val="18"/>
          <w:szCs w:val="18"/>
          <w:lang w:eastAsia="es-MX"/>
        </w:rPr>
        <w:t>No aplica</w:t>
      </w:r>
    </w:p>
    <w:p w:rsidR="005069FD" w:rsidRPr="00BA4C6E" w:rsidRDefault="005069FD" w:rsidP="005069FD">
      <w:pPr>
        <w:numPr>
          <w:ilvl w:val="0"/>
          <w:numId w:val="32"/>
        </w:numPr>
        <w:spacing w:after="180" w:line="240" w:lineRule="auto"/>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 xml:space="preserve">Inversiones en empresas de participación minoritaria: </w:t>
      </w:r>
      <w:r w:rsidRPr="00BA4C6E">
        <w:rPr>
          <w:rFonts w:asciiTheme="minorHAnsi" w:eastAsia="Times New Roman" w:hAnsiTheme="minorHAnsi" w:cs="Arial"/>
          <w:sz w:val="18"/>
          <w:szCs w:val="18"/>
          <w:lang w:eastAsia="es-MX"/>
        </w:rPr>
        <w:t xml:space="preserve"> No aplica</w:t>
      </w:r>
    </w:p>
    <w:p w:rsidR="005069FD" w:rsidRDefault="005069FD" w:rsidP="005069FD">
      <w:pPr>
        <w:numPr>
          <w:ilvl w:val="0"/>
          <w:numId w:val="32"/>
        </w:numPr>
        <w:spacing w:after="180" w:line="240" w:lineRule="auto"/>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Patrimonio de Organismos descentralizados de control presupuestario directo, según corresponda:</w:t>
      </w:r>
      <w:r w:rsidRPr="00BA4C6E">
        <w:rPr>
          <w:rFonts w:asciiTheme="minorHAnsi" w:eastAsia="Times New Roman" w:hAnsiTheme="minorHAnsi" w:cs="Arial"/>
          <w:sz w:val="18"/>
          <w:szCs w:val="18"/>
          <w:lang w:eastAsia="es-MX"/>
        </w:rPr>
        <w:t xml:space="preserve"> No aplica</w:t>
      </w:r>
    </w:p>
    <w:p w:rsidR="00DA17B1" w:rsidRDefault="00DA17B1" w:rsidP="00DA17B1">
      <w:pPr>
        <w:spacing w:after="180" w:line="240" w:lineRule="auto"/>
        <w:jc w:val="both"/>
        <w:rPr>
          <w:rFonts w:asciiTheme="minorHAnsi" w:eastAsia="Times New Roman" w:hAnsiTheme="minorHAnsi" w:cs="Arial"/>
          <w:sz w:val="18"/>
          <w:szCs w:val="18"/>
          <w:lang w:eastAsia="es-MX"/>
        </w:rPr>
      </w:pPr>
    </w:p>
    <w:p w:rsidR="00DA17B1" w:rsidRDefault="00DA17B1" w:rsidP="00DA17B1">
      <w:pPr>
        <w:spacing w:after="180" w:line="240" w:lineRule="auto"/>
        <w:jc w:val="both"/>
        <w:rPr>
          <w:rFonts w:asciiTheme="minorHAnsi" w:eastAsia="Times New Roman" w:hAnsiTheme="minorHAnsi" w:cs="Arial"/>
          <w:sz w:val="18"/>
          <w:szCs w:val="18"/>
          <w:lang w:eastAsia="es-MX"/>
        </w:rPr>
      </w:pPr>
    </w:p>
    <w:p w:rsidR="005069FD" w:rsidRPr="00BA4C6E" w:rsidRDefault="005069FD" w:rsidP="00DA17B1">
      <w:pPr>
        <w:ind w:left="360"/>
        <w:jc w:val="both"/>
        <w:rPr>
          <w:rFonts w:asciiTheme="minorHAnsi" w:eastAsia="Times New Roman" w:hAnsiTheme="minorHAnsi" w:cs="Arial"/>
          <w:sz w:val="18"/>
          <w:szCs w:val="18"/>
          <w:lang w:eastAsia="es-MX"/>
        </w:rPr>
      </w:pPr>
      <w:r w:rsidRPr="00BA4C6E">
        <w:rPr>
          <w:rFonts w:asciiTheme="minorHAnsi" w:eastAsia="Times New Roman" w:hAnsiTheme="minorHAnsi" w:cs="Arial"/>
          <w:b/>
          <w:sz w:val="18"/>
          <w:szCs w:val="18"/>
          <w:lang w:eastAsia="es-MX"/>
        </w:rPr>
        <w:t>9.  FIDEICOMISOS, MANDATOS Y ANÁLOGOS</w:t>
      </w:r>
      <w:r>
        <w:rPr>
          <w:rFonts w:asciiTheme="minorHAnsi" w:eastAsia="Times New Roman" w:hAnsiTheme="minorHAnsi" w:cs="Arial"/>
          <w:b/>
          <w:sz w:val="18"/>
          <w:szCs w:val="18"/>
          <w:lang w:eastAsia="es-MX"/>
        </w:rPr>
        <w:t xml:space="preserve">: </w:t>
      </w:r>
      <w:r w:rsidRPr="00BA4C6E">
        <w:rPr>
          <w:rFonts w:asciiTheme="minorHAnsi" w:eastAsia="Times New Roman" w:hAnsiTheme="minorHAnsi" w:cs="Arial"/>
          <w:sz w:val="18"/>
          <w:szCs w:val="18"/>
          <w:lang w:eastAsia="es-MX"/>
        </w:rPr>
        <w:t>NO APLICA</w:t>
      </w:r>
    </w:p>
    <w:p w:rsidR="00DA17B1" w:rsidRDefault="00DA17B1" w:rsidP="005069FD">
      <w:pPr>
        <w:ind w:left="720"/>
        <w:jc w:val="both"/>
        <w:rPr>
          <w:rFonts w:asciiTheme="minorHAnsi" w:eastAsia="Times New Roman" w:hAnsiTheme="minorHAnsi" w:cs="Arial"/>
          <w:b/>
          <w:sz w:val="18"/>
          <w:szCs w:val="18"/>
          <w:lang w:eastAsia="es-MX"/>
        </w:rPr>
      </w:pPr>
    </w:p>
    <w:p w:rsidR="00DA17B1" w:rsidRDefault="00DA17B1" w:rsidP="005069FD">
      <w:pPr>
        <w:ind w:left="720"/>
        <w:jc w:val="both"/>
        <w:rPr>
          <w:rFonts w:asciiTheme="minorHAnsi" w:eastAsia="Times New Roman" w:hAnsiTheme="minorHAnsi" w:cs="Arial"/>
          <w:b/>
          <w:sz w:val="18"/>
          <w:szCs w:val="18"/>
          <w:lang w:eastAsia="es-MX"/>
        </w:rPr>
      </w:pPr>
    </w:p>
    <w:p w:rsidR="00DA17B1" w:rsidRDefault="00DA17B1" w:rsidP="005069FD">
      <w:pPr>
        <w:ind w:left="720"/>
        <w:jc w:val="both"/>
        <w:rPr>
          <w:rFonts w:asciiTheme="minorHAnsi" w:eastAsia="Times New Roman" w:hAnsiTheme="minorHAnsi" w:cs="Arial"/>
          <w:b/>
          <w:sz w:val="18"/>
          <w:szCs w:val="18"/>
          <w:lang w:eastAsia="es-MX"/>
        </w:rPr>
      </w:pPr>
    </w:p>
    <w:p w:rsidR="005069FD" w:rsidRPr="00BA4C6E" w:rsidRDefault="005069FD" w:rsidP="005069FD">
      <w:pPr>
        <w:ind w:left="720"/>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10. REPORTE DE RECAUDACIÓN</w:t>
      </w:r>
    </w:p>
    <w:p w:rsidR="005069FD" w:rsidRPr="00BA4C6E" w:rsidRDefault="005069FD" w:rsidP="005069FD">
      <w:pPr>
        <w:ind w:left="720"/>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a) análisis del comportamiento de la recaudación correspondiente al ente público o cualquier tipo de ingreso, de forma separada los ingresos locales y federales.</w:t>
      </w:r>
    </w:p>
    <w:p w:rsidR="005069FD" w:rsidRDefault="005069FD" w:rsidP="005069FD">
      <w:pPr>
        <w:spacing w:after="0"/>
        <w:rPr>
          <w:rFonts w:asciiTheme="minorHAnsi" w:hAnsiTheme="minorHAnsi" w:cs="Arial"/>
          <w:sz w:val="12"/>
          <w:szCs w:val="12"/>
        </w:rPr>
      </w:pPr>
    </w:p>
    <w:p w:rsidR="005069FD" w:rsidRDefault="005069FD" w:rsidP="005069FD">
      <w:pPr>
        <w:spacing w:after="0"/>
        <w:rPr>
          <w:rFonts w:asciiTheme="minorHAnsi" w:hAnsiTheme="minorHAnsi" w:cs="Arial"/>
          <w:sz w:val="12"/>
          <w:szCs w:val="12"/>
        </w:rPr>
      </w:pPr>
    </w:p>
    <w:p w:rsidR="00C4594F" w:rsidRPr="00BA4C6E" w:rsidRDefault="00C4594F" w:rsidP="00C4594F">
      <w:pPr>
        <w:pStyle w:val="INCISO"/>
        <w:tabs>
          <w:tab w:val="left" w:pos="284"/>
        </w:tabs>
        <w:spacing w:line="240" w:lineRule="exact"/>
        <w:ind w:left="284" w:firstLine="0"/>
        <w:rPr>
          <w:rFonts w:asciiTheme="minorHAnsi" w:hAnsiTheme="minorHAnsi"/>
          <w:b/>
          <w:sz w:val="20"/>
          <w:szCs w:val="20"/>
        </w:rPr>
      </w:pPr>
      <w:r w:rsidRPr="00BA4C6E">
        <w:rPr>
          <w:rFonts w:asciiTheme="minorHAnsi" w:hAnsiTheme="minorHAnsi"/>
          <w:b/>
          <w:sz w:val="20"/>
          <w:szCs w:val="20"/>
        </w:rPr>
        <w:t>Ingresos por Ventas de Bienes y Servicios de Organismos Descentralizados:</w:t>
      </w:r>
    </w:p>
    <w:p w:rsidR="00C4594F" w:rsidRPr="00BA4C6E" w:rsidRDefault="00C4594F" w:rsidP="00C4594F">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sz w:val="20"/>
          <w:szCs w:val="20"/>
        </w:rPr>
        <w:t xml:space="preserve">Representa un importe de </w:t>
      </w:r>
      <w:r w:rsidRPr="00BA4C6E">
        <w:rPr>
          <w:rFonts w:asciiTheme="minorHAnsi" w:hAnsiTheme="minorHAnsi"/>
          <w:b/>
          <w:sz w:val="20"/>
          <w:szCs w:val="20"/>
        </w:rPr>
        <w:t>$ 3,724</w:t>
      </w:r>
      <w:r w:rsidRPr="00BA4C6E">
        <w:rPr>
          <w:rFonts w:asciiTheme="minorHAnsi" w:hAnsiTheme="minorHAnsi"/>
          <w:sz w:val="20"/>
          <w:szCs w:val="20"/>
        </w:rPr>
        <w:t xml:space="preserve"> correspondiente a los ingresos propios de esta comisión por concepto de asesoría química y suministro de cloro, integrado por la venta de reactivos químicos como: hipoclorito de calcio, hipoclorito de sodio, gas cloro y refacciones químicas utilizadas por diferentes usuarios y organismos operadores de agua.</w:t>
      </w:r>
    </w:p>
    <w:p w:rsidR="00C4594F" w:rsidRPr="00BA4C6E" w:rsidRDefault="00C4594F" w:rsidP="00C4594F">
      <w:pPr>
        <w:pStyle w:val="INCISO"/>
        <w:tabs>
          <w:tab w:val="left" w:pos="284"/>
        </w:tabs>
        <w:spacing w:line="240" w:lineRule="exact"/>
        <w:ind w:left="284" w:firstLine="0"/>
        <w:rPr>
          <w:rFonts w:asciiTheme="minorHAnsi" w:hAnsiTheme="minorHAnsi"/>
          <w:sz w:val="20"/>
          <w:szCs w:val="20"/>
        </w:rPr>
      </w:pPr>
    </w:p>
    <w:p w:rsidR="00C4594F" w:rsidRPr="00BA4C6E" w:rsidRDefault="00C4594F" w:rsidP="00C4594F">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sz w:val="20"/>
          <w:szCs w:val="20"/>
        </w:rPr>
        <w:t>El recurso generado con el ingreso propio está incluido en el presupuesto de ingresos y egresos de esta comisión, necesario para su administración y operación.</w:t>
      </w:r>
    </w:p>
    <w:p w:rsidR="00C4594F" w:rsidRDefault="00C4594F" w:rsidP="00C4594F">
      <w:pPr>
        <w:pStyle w:val="INCISO"/>
        <w:tabs>
          <w:tab w:val="left" w:pos="284"/>
        </w:tabs>
        <w:spacing w:line="240" w:lineRule="exact"/>
        <w:ind w:left="284" w:firstLine="0"/>
        <w:rPr>
          <w:rFonts w:asciiTheme="minorHAnsi" w:hAnsiTheme="minorHAnsi"/>
          <w:sz w:val="20"/>
          <w:szCs w:val="20"/>
        </w:rPr>
      </w:pPr>
    </w:p>
    <w:p w:rsidR="00C4594F" w:rsidRPr="00BA4C6E" w:rsidRDefault="00C4594F" w:rsidP="00C4594F">
      <w:pPr>
        <w:pStyle w:val="INCISO"/>
        <w:tabs>
          <w:tab w:val="left" w:pos="284"/>
        </w:tabs>
        <w:spacing w:line="240" w:lineRule="exact"/>
        <w:ind w:left="284" w:firstLine="0"/>
        <w:rPr>
          <w:rFonts w:asciiTheme="minorHAnsi" w:hAnsiTheme="minorHAnsi"/>
          <w:sz w:val="20"/>
          <w:szCs w:val="20"/>
        </w:rPr>
      </w:pPr>
    </w:p>
    <w:p w:rsidR="00C4594F" w:rsidRPr="00BA4C6E" w:rsidRDefault="00C4594F" w:rsidP="00C4594F">
      <w:pPr>
        <w:pStyle w:val="INCISO"/>
        <w:tabs>
          <w:tab w:val="left" w:pos="284"/>
        </w:tabs>
        <w:spacing w:line="240" w:lineRule="exact"/>
        <w:ind w:left="284" w:firstLine="0"/>
        <w:rPr>
          <w:rFonts w:asciiTheme="minorHAnsi" w:hAnsiTheme="minorHAnsi"/>
          <w:b/>
          <w:sz w:val="20"/>
          <w:szCs w:val="20"/>
        </w:rPr>
      </w:pPr>
      <w:r w:rsidRPr="00BA4C6E">
        <w:rPr>
          <w:rFonts w:asciiTheme="minorHAnsi" w:hAnsiTheme="minorHAnsi"/>
          <w:b/>
          <w:sz w:val="20"/>
          <w:szCs w:val="20"/>
        </w:rPr>
        <w:t>Participaciones, Aportaciones, Convenios, Incentivos Derivados de la Colaboración Fiscal, Fondos Distintos de Aportaciones, Transferencias, asignaciones, subsidios y Subvenciones y Pensiones y Jubilaciones.</w:t>
      </w:r>
    </w:p>
    <w:p w:rsidR="00C4594F" w:rsidRPr="00BA4C6E" w:rsidRDefault="00C4594F" w:rsidP="00C4594F">
      <w:pPr>
        <w:pStyle w:val="INCISO"/>
        <w:tabs>
          <w:tab w:val="left" w:pos="284"/>
        </w:tabs>
        <w:spacing w:line="240" w:lineRule="exact"/>
        <w:ind w:left="284" w:firstLine="0"/>
        <w:rPr>
          <w:rFonts w:asciiTheme="minorHAnsi" w:hAnsiTheme="minorHAnsi"/>
          <w:b/>
          <w:sz w:val="20"/>
          <w:szCs w:val="20"/>
        </w:rPr>
      </w:pPr>
    </w:p>
    <w:p w:rsidR="00C4594F" w:rsidRPr="00BA4C6E" w:rsidRDefault="00C4594F" w:rsidP="00C4594F">
      <w:pPr>
        <w:tabs>
          <w:tab w:val="left" w:pos="284"/>
        </w:tabs>
        <w:spacing w:after="101" w:line="240" w:lineRule="exact"/>
        <w:jc w:val="both"/>
        <w:rPr>
          <w:rFonts w:asciiTheme="minorHAnsi" w:eastAsia="Times New Roman" w:hAnsiTheme="minorHAnsi" w:cs="Arial"/>
          <w:sz w:val="20"/>
          <w:szCs w:val="20"/>
          <w:lang w:val="es-ES" w:eastAsia="es-ES"/>
        </w:rPr>
      </w:pPr>
      <w:r w:rsidRPr="00BA4C6E">
        <w:rPr>
          <w:rFonts w:asciiTheme="minorHAnsi" w:hAnsiTheme="minorHAnsi" w:cs="Arial"/>
          <w:b/>
          <w:sz w:val="20"/>
          <w:szCs w:val="20"/>
        </w:rPr>
        <w:t xml:space="preserve">Subsidios y subvenciones: </w:t>
      </w:r>
      <w:r w:rsidRPr="00BA4C6E">
        <w:rPr>
          <w:rFonts w:asciiTheme="minorHAnsi" w:hAnsiTheme="minorHAnsi" w:cs="Arial"/>
          <w:sz w:val="20"/>
          <w:szCs w:val="20"/>
        </w:rPr>
        <w:t xml:space="preserve">el importe que refleja esta partida es por </w:t>
      </w:r>
      <w:r w:rsidRPr="00BA4C6E">
        <w:rPr>
          <w:rFonts w:asciiTheme="minorHAnsi" w:hAnsiTheme="minorHAnsi" w:cs="Arial"/>
          <w:b/>
          <w:sz w:val="20"/>
          <w:szCs w:val="20"/>
        </w:rPr>
        <w:t>$ 90,</w:t>
      </w:r>
      <w:r>
        <w:rPr>
          <w:rFonts w:asciiTheme="minorHAnsi" w:hAnsiTheme="minorHAnsi" w:cs="Arial"/>
          <w:b/>
          <w:sz w:val="20"/>
          <w:szCs w:val="20"/>
        </w:rPr>
        <w:t>291,277</w:t>
      </w:r>
      <w:r w:rsidRPr="00BA4C6E">
        <w:rPr>
          <w:rFonts w:asciiTheme="minorHAnsi" w:hAnsiTheme="minorHAnsi" w:cs="Arial"/>
          <w:b/>
          <w:sz w:val="20"/>
          <w:szCs w:val="20"/>
        </w:rPr>
        <w:t xml:space="preserve"> </w:t>
      </w:r>
      <w:r w:rsidRPr="00BA4C6E">
        <w:rPr>
          <w:rFonts w:asciiTheme="minorHAnsi" w:hAnsiTheme="minorHAnsi" w:cs="Arial"/>
          <w:sz w:val="20"/>
          <w:szCs w:val="20"/>
        </w:rPr>
        <w:t>y se integra de los recursos que proporciona el gobierno del estado a esta comisión para cubrir sueldos del personal, gasto corriente y los gastos de operación de proyectos productivos necesarios para cubrir diversas necesidades de agua potable en el estado.</w:t>
      </w:r>
      <w:r w:rsidRPr="00BA4C6E">
        <w:rPr>
          <w:rFonts w:asciiTheme="minorHAnsi" w:eastAsia="Times New Roman" w:hAnsiTheme="minorHAnsi" w:cs="Arial"/>
          <w:sz w:val="20"/>
          <w:szCs w:val="20"/>
          <w:lang w:val="es-ES" w:eastAsia="es-ES"/>
        </w:rPr>
        <w:t xml:space="preserve"> </w:t>
      </w:r>
    </w:p>
    <w:p w:rsidR="00C4594F" w:rsidRPr="00BA4C6E" w:rsidRDefault="00C4594F" w:rsidP="00C4594F">
      <w:pPr>
        <w:pStyle w:val="INCISO"/>
        <w:tabs>
          <w:tab w:val="left" w:pos="284"/>
        </w:tabs>
        <w:spacing w:line="240" w:lineRule="exact"/>
        <w:ind w:left="284" w:firstLine="0"/>
        <w:rPr>
          <w:rFonts w:asciiTheme="minorHAnsi" w:hAnsiTheme="minorHAnsi"/>
          <w:b/>
          <w:sz w:val="20"/>
          <w:szCs w:val="20"/>
        </w:rPr>
      </w:pPr>
      <w:r w:rsidRPr="00BA4C6E">
        <w:rPr>
          <w:rFonts w:asciiTheme="minorHAnsi" w:hAnsiTheme="minorHAnsi"/>
          <w:b/>
          <w:sz w:val="20"/>
          <w:szCs w:val="20"/>
        </w:rPr>
        <w:t>Otros ingresos y beneficios</w:t>
      </w:r>
    </w:p>
    <w:p w:rsidR="00C4594F" w:rsidRPr="00BA4C6E" w:rsidRDefault="00C4594F" w:rsidP="00C4594F">
      <w:pPr>
        <w:pStyle w:val="INCISO"/>
        <w:tabs>
          <w:tab w:val="left" w:pos="284"/>
        </w:tabs>
        <w:spacing w:line="240" w:lineRule="exact"/>
        <w:ind w:left="284" w:firstLine="0"/>
        <w:rPr>
          <w:rFonts w:asciiTheme="minorHAnsi" w:hAnsiTheme="minorHAnsi"/>
          <w:b/>
          <w:sz w:val="20"/>
          <w:szCs w:val="20"/>
        </w:rPr>
      </w:pPr>
      <w:r w:rsidRPr="00BA4C6E">
        <w:rPr>
          <w:rFonts w:asciiTheme="minorHAnsi" w:hAnsiTheme="minorHAnsi"/>
          <w:b/>
          <w:sz w:val="20"/>
          <w:szCs w:val="20"/>
        </w:rPr>
        <w:t>Ingresos financieros.</w:t>
      </w:r>
    </w:p>
    <w:p w:rsidR="00C4594F" w:rsidRDefault="00C4594F" w:rsidP="00C4594F">
      <w:pPr>
        <w:pStyle w:val="INCISO"/>
        <w:tabs>
          <w:tab w:val="left" w:pos="284"/>
        </w:tabs>
        <w:spacing w:line="240" w:lineRule="exact"/>
        <w:ind w:left="284" w:firstLine="0"/>
        <w:rPr>
          <w:rFonts w:asciiTheme="minorHAnsi" w:hAnsiTheme="minorHAnsi"/>
          <w:sz w:val="20"/>
          <w:szCs w:val="20"/>
        </w:rPr>
      </w:pPr>
      <w:r w:rsidRPr="00BA4C6E">
        <w:rPr>
          <w:rFonts w:asciiTheme="minorHAnsi" w:hAnsiTheme="minorHAnsi"/>
          <w:b/>
          <w:sz w:val="20"/>
          <w:szCs w:val="20"/>
        </w:rPr>
        <w:t xml:space="preserve">Intereses ganados de valores, créditos, bonos y otros.- </w:t>
      </w:r>
      <w:r w:rsidRPr="00BA4C6E">
        <w:rPr>
          <w:rFonts w:asciiTheme="minorHAnsi" w:hAnsiTheme="minorHAnsi"/>
          <w:sz w:val="20"/>
          <w:szCs w:val="20"/>
        </w:rPr>
        <w:t xml:space="preserve">Esta partida muestra un saldo al 31 de diciembre de 2022 por </w:t>
      </w:r>
      <w:r w:rsidRPr="00BA4C6E">
        <w:rPr>
          <w:rFonts w:asciiTheme="minorHAnsi" w:hAnsiTheme="minorHAnsi"/>
          <w:b/>
          <w:sz w:val="20"/>
          <w:szCs w:val="20"/>
        </w:rPr>
        <w:t>$18,83</w:t>
      </w:r>
      <w:r>
        <w:rPr>
          <w:rFonts w:asciiTheme="minorHAnsi" w:hAnsiTheme="minorHAnsi"/>
          <w:b/>
          <w:sz w:val="20"/>
          <w:szCs w:val="20"/>
        </w:rPr>
        <w:t>4</w:t>
      </w:r>
      <w:r w:rsidRPr="00BA4C6E">
        <w:rPr>
          <w:rFonts w:asciiTheme="minorHAnsi" w:hAnsiTheme="minorHAnsi"/>
          <w:b/>
          <w:sz w:val="20"/>
          <w:szCs w:val="20"/>
        </w:rPr>
        <w:t xml:space="preserve"> </w:t>
      </w:r>
      <w:r w:rsidRPr="00BA4C6E">
        <w:rPr>
          <w:rFonts w:asciiTheme="minorHAnsi" w:hAnsiTheme="minorHAnsi"/>
          <w:sz w:val="20"/>
          <w:szCs w:val="20"/>
        </w:rPr>
        <w:t>correspondiente a intereses generados de las cuentas bancarias.</w:t>
      </w:r>
    </w:p>
    <w:p w:rsidR="00C4594F" w:rsidRDefault="00C4594F" w:rsidP="00C4594F">
      <w:pPr>
        <w:pStyle w:val="INCISO"/>
        <w:tabs>
          <w:tab w:val="left" w:pos="284"/>
        </w:tabs>
        <w:spacing w:line="240" w:lineRule="exact"/>
        <w:ind w:left="284" w:firstLine="0"/>
        <w:rPr>
          <w:rFonts w:asciiTheme="minorHAnsi" w:hAnsiTheme="minorHAnsi"/>
          <w:b/>
          <w:sz w:val="20"/>
          <w:szCs w:val="20"/>
          <w:highlight w:val="yellow"/>
        </w:rPr>
      </w:pPr>
    </w:p>
    <w:p w:rsidR="005069FD" w:rsidRPr="00BA4C6E" w:rsidRDefault="005069FD" w:rsidP="005069FD">
      <w:pPr>
        <w:spacing w:after="0"/>
        <w:rPr>
          <w:rFonts w:asciiTheme="minorHAnsi" w:hAnsiTheme="minorHAnsi" w:cs="Arial"/>
          <w:vanish/>
          <w:sz w:val="12"/>
          <w:szCs w:val="12"/>
        </w:rPr>
      </w:pPr>
    </w:p>
    <w:p w:rsidR="005069FD" w:rsidRPr="00BA4C6E" w:rsidRDefault="005069FD" w:rsidP="005069FD">
      <w:pPr>
        <w:spacing w:after="180" w:line="274" w:lineRule="auto"/>
        <w:ind w:left="1070"/>
        <w:rPr>
          <w:rFonts w:asciiTheme="minorHAnsi" w:hAnsiTheme="minorHAnsi" w:cs="Arial"/>
          <w:vanish/>
          <w:sz w:val="12"/>
          <w:szCs w:val="12"/>
        </w:rPr>
      </w:pPr>
    </w:p>
    <w:p w:rsidR="005069FD" w:rsidRPr="00BA4C6E" w:rsidRDefault="005069FD" w:rsidP="005069FD">
      <w:pPr>
        <w:spacing w:after="180" w:line="274" w:lineRule="auto"/>
        <w:ind w:left="1070"/>
        <w:rPr>
          <w:rFonts w:asciiTheme="minorHAnsi" w:hAnsiTheme="minorHAnsi" w:cs="Arial"/>
          <w:vanish/>
          <w:sz w:val="12"/>
          <w:szCs w:val="12"/>
        </w:rPr>
      </w:pPr>
    </w:p>
    <w:p w:rsidR="005069FD" w:rsidRPr="00BA4C6E" w:rsidRDefault="005069FD" w:rsidP="005069FD">
      <w:pPr>
        <w:spacing w:after="180" w:line="274" w:lineRule="auto"/>
        <w:ind w:left="1070"/>
        <w:rPr>
          <w:rFonts w:asciiTheme="minorHAnsi" w:hAnsiTheme="minorHAnsi" w:cs="Arial"/>
          <w:vanish/>
          <w:sz w:val="12"/>
          <w:szCs w:val="12"/>
        </w:rPr>
      </w:pPr>
    </w:p>
    <w:p w:rsidR="005069FD" w:rsidRPr="00BA4C6E" w:rsidRDefault="005069FD" w:rsidP="005069FD">
      <w:pPr>
        <w:spacing w:after="180" w:line="274" w:lineRule="auto"/>
        <w:rPr>
          <w:rFonts w:asciiTheme="minorHAnsi" w:eastAsia="Times New Roman" w:hAnsiTheme="minorHAnsi" w:cs="Arial"/>
          <w:sz w:val="18"/>
          <w:szCs w:val="18"/>
          <w:lang w:eastAsia="es-MX"/>
        </w:rPr>
      </w:pPr>
    </w:p>
    <w:p w:rsidR="005069FD" w:rsidRPr="00196609" w:rsidRDefault="005069FD" w:rsidP="005069FD">
      <w:pPr>
        <w:pStyle w:val="Prrafodelista"/>
        <w:numPr>
          <w:ilvl w:val="0"/>
          <w:numId w:val="34"/>
        </w:numPr>
        <w:spacing w:after="180" w:line="274" w:lineRule="auto"/>
        <w:rPr>
          <w:rFonts w:asciiTheme="minorHAnsi" w:eastAsia="Times New Roman" w:hAnsiTheme="minorHAnsi" w:cs="Arial"/>
          <w:sz w:val="18"/>
          <w:szCs w:val="18"/>
          <w:lang w:eastAsia="es-MX"/>
        </w:rPr>
      </w:pPr>
      <w:r w:rsidRPr="00196609">
        <w:rPr>
          <w:rFonts w:asciiTheme="minorHAnsi" w:eastAsia="Times New Roman" w:hAnsiTheme="minorHAnsi" w:cs="Arial"/>
          <w:b/>
          <w:sz w:val="18"/>
          <w:szCs w:val="18"/>
          <w:lang w:eastAsia="es-MX"/>
        </w:rPr>
        <w:t>Proyección de la recaudación e ingresos en el mediano plazo.</w:t>
      </w:r>
    </w:p>
    <w:p w:rsidR="005069FD" w:rsidRPr="00BA4C6E" w:rsidRDefault="005069FD" w:rsidP="005069FD">
      <w:pPr>
        <w:ind w:left="1070"/>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 xml:space="preserve">El reporte anterior muestra los ingresos recaudados al 31 de diciembre de 2022, mostrando un avance del 97.15% de lo que se tenía estimado, no se cumplió al 100% debido a la estimación de </w:t>
      </w:r>
      <w:r w:rsidRPr="00BA4C6E">
        <w:rPr>
          <w:rFonts w:asciiTheme="minorHAnsi" w:eastAsia="Times New Roman" w:hAnsiTheme="minorHAnsi" w:cs="Arial"/>
          <w:b/>
          <w:sz w:val="18"/>
          <w:szCs w:val="18"/>
          <w:lang w:eastAsia="es-MX"/>
        </w:rPr>
        <w:t>$80,000.00</w:t>
      </w:r>
      <w:r w:rsidRPr="00BA4C6E">
        <w:rPr>
          <w:rFonts w:asciiTheme="minorHAnsi" w:eastAsia="Times New Roman" w:hAnsiTheme="minorHAnsi" w:cs="Arial"/>
          <w:sz w:val="18"/>
          <w:szCs w:val="18"/>
          <w:lang w:eastAsia="es-MX"/>
        </w:rPr>
        <w:t xml:space="preserve"> (ochenta mil pesos 00/100 m.n.) en ingresos por ventas de bienes ya que solo se obtuvieron </w:t>
      </w:r>
      <w:r w:rsidRPr="00BA4C6E">
        <w:rPr>
          <w:rFonts w:asciiTheme="minorHAnsi" w:eastAsia="Times New Roman" w:hAnsiTheme="minorHAnsi" w:cs="Arial"/>
          <w:b/>
          <w:sz w:val="18"/>
          <w:szCs w:val="18"/>
          <w:lang w:eastAsia="es-MX"/>
        </w:rPr>
        <w:t>$ 3,724</w:t>
      </w:r>
      <w:r>
        <w:rPr>
          <w:rFonts w:asciiTheme="minorHAnsi" w:eastAsia="Times New Roman" w:hAnsiTheme="minorHAnsi" w:cs="Arial"/>
          <w:b/>
          <w:sz w:val="18"/>
          <w:szCs w:val="18"/>
          <w:lang w:eastAsia="es-MX"/>
        </w:rPr>
        <w:t>.00</w:t>
      </w:r>
      <w:r w:rsidRPr="00BA4C6E">
        <w:rPr>
          <w:rFonts w:asciiTheme="minorHAnsi" w:eastAsia="Times New Roman" w:hAnsiTheme="minorHAnsi" w:cs="Arial"/>
          <w:sz w:val="18"/>
          <w:szCs w:val="18"/>
          <w:lang w:eastAsia="es-MX"/>
        </w:rPr>
        <w:t xml:space="preserve"> (tres mil s</w:t>
      </w:r>
      <w:r>
        <w:rPr>
          <w:rFonts w:asciiTheme="minorHAnsi" w:eastAsia="Times New Roman" w:hAnsiTheme="minorHAnsi" w:cs="Arial"/>
          <w:sz w:val="18"/>
          <w:szCs w:val="18"/>
          <w:lang w:eastAsia="es-MX"/>
        </w:rPr>
        <w:t>etecientos veinticuatro pesos 00</w:t>
      </w:r>
      <w:r w:rsidRPr="00BA4C6E">
        <w:rPr>
          <w:rFonts w:asciiTheme="minorHAnsi" w:eastAsia="Times New Roman" w:hAnsiTheme="minorHAnsi" w:cs="Arial"/>
          <w:sz w:val="18"/>
          <w:szCs w:val="18"/>
          <w:lang w:eastAsia="es-MX"/>
        </w:rPr>
        <w:t>/100 m.n.)</w:t>
      </w:r>
    </w:p>
    <w:p w:rsidR="005069FD" w:rsidRPr="00BA4C6E" w:rsidRDefault="005069FD" w:rsidP="005069FD">
      <w:pPr>
        <w:ind w:left="709"/>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11. INFORMACIÓN SOBRE LA DEUDA Y EL REPORTE ANALÍTICO DE LA DEUDA</w:t>
      </w:r>
    </w:p>
    <w:p w:rsidR="005069FD" w:rsidRPr="00BA4C6E" w:rsidRDefault="005069FD" w:rsidP="005069FD">
      <w:pPr>
        <w:ind w:left="709"/>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a) no aplica</w:t>
      </w:r>
    </w:p>
    <w:p w:rsidR="005069FD" w:rsidRPr="00BA4C6E" w:rsidRDefault="005069FD" w:rsidP="005069FD">
      <w:pPr>
        <w:ind w:left="709"/>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b) no aplica</w:t>
      </w:r>
    </w:p>
    <w:p w:rsidR="005069FD" w:rsidRPr="00BA4C6E" w:rsidRDefault="005069FD" w:rsidP="005069FD">
      <w:pPr>
        <w:ind w:left="709"/>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12. CALIFICACIONES OTORGADAS</w:t>
      </w:r>
    </w:p>
    <w:p w:rsidR="005069FD" w:rsidRPr="00BA4C6E" w:rsidRDefault="005069FD" w:rsidP="005069FD">
      <w:pPr>
        <w:ind w:left="709"/>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No aplica</w:t>
      </w:r>
    </w:p>
    <w:p w:rsidR="005069FD" w:rsidRPr="00BA4C6E" w:rsidRDefault="005069FD" w:rsidP="005069FD">
      <w:pPr>
        <w:ind w:left="709"/>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13. PROCESO DE MEJORA</w:t>
      </w:r>
    </w:p>
    <w:p w:rsidR="005069FD" w:rsidRPr="00BA4C6E" w:rsidRDefault="005069FD" w:rsidP="005069FD">
      <w:pPr>
        <w:ind w:left="709"/>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a) Principales políticas de control interno</w:t>
      </w:r>
    </w:p>
    <w:p w:rsidR="005069FD" w:rsidRPr="00BA4C6E" w:rsidRDefault="005069FD" w:rsidP="005069FD">
      <w:pPr>
        <w:ind w:left="-142"/>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lastRenderedPageBreak/>
        <w:t>La Comisión Estatal del Agua de Tamaulipas lleva un estricto control interno en cuanto al registro de las operaciones, control de expedientes contables, almacenes, activos fijos, activos controlables  etc. de tal manera que se da cumplimiento a la Ley General de Contabilidad Gubernamental, adecuando la estructura contable y presupuestal con el sistema SAACG.NET y generando información financiera armonizada.</w:t>
      </w:r>
    </w:p>
    <w:p w:rsidR="005069FD" w:rsidRPr="00BA4C6E" w:rsidRDefault="005069FD" w:rsidP="005069FD">
      <w:pPr>
        <w:ind w:left="709"/>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b) Medidas de desempeño financiero, metas y alcance</w:t>
      </w:r>
    </w:p>
    <w:p w:rsidR="005069FD" w:rsidRPr="00BA4C6E" w:rsidRDefault="005069FD" w:rsidP="005069FD">
      <w:pPr>
        <w:ind w:left="-142"/>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La Comisión Estatal del Agua de Tamaulipas se continúa trabajando en el cambio transcendental que ha surgido a partir del proceso de armonización contable, la meta es emitir Estados Financieros Armonizados y que den cumplimiento a los lineamientos que establecen  el CONAC y la LGCG. Y el alcance es la rendición de cuentas en forma oportuna a la instancia que lo requiere, además de ser una herramienta eficaz que contribuya a la adecuada toma de decisiones.</w:t>
      </w:r>
    </w:p>
    <w:p w:rsidR="005069FD" w:rsidRPr="00BA4C6E" w:rsidRDefault="005069FD" w:rsidP="005069FD">
      <w:pPr>
        <w:ind w:left="709"/>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14. INFORMACIÓN POR SEGMENTOS</w:t>
      </w:r>
    </w:p>
    <w:p w:rsidR="005069FD" w:rsidRPr="00BA4C6E" w:rsidRDefault="005069FD" w:rsidP="005069FD">
      <w:pPr>
        <w:ind w:left="1070"/>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No aplica</w:t>
      </w:r>
    </w:p>
    <w:p w:rsidR="005069FD" w:rsidRPr="00BA4C6E" w:rsidRDefault="005069FD" w:rsidP="005069FD">
      <w:pPr>
        <w:ind w:left="709"/>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15. EVENTOS POSTERIORES AL CIERRE</w:t>
      </w:r>
    </w:p>
    <w:p w:rsidR="005069FD" w:rsidRPr="00BA4C6E" w:rsidRDefault="005069FD" w:rsidP="005069FD">
      <w:pPr>
        <w:ind w:left="1070" w:hanging="1212"/>
        <w:jc w:val="both"/>
        <w:rPr>
          <w:rFonts w:asciiTheme="minorHAnsi" w:eastAsia="Times New Roman" w:hAnsiTheme="minorHAnsi" w:cs="Arial"/>
          <w:sz w:val="18"/>
          <w:szCs w:val="18"/>
          <w:lang w:eastAsia="es-MX"/>
        </w:rPr>
      </w:pPr>
      <w:r w:rsidRPr="00BA4C6E">
        <w:rPr>
          <w:rFonts w:asciiTheme="minorHAnsi" w:eastAsia="Times New Roman" w:hAnsiTheme="minorHAnsi" w:cs="Arial"/>
          <w:sz w:val="18"/>
          <w:szCs w:val="18"/>
          <w:lang w:eastAsia="es-MX"/>
        </w:rPr>
        <w:t>No existen eventos posteriores al cierre</w:t>
      </w:r>
    </w:p>
    <w:p w:rsidR="005069FD" w:rsidRPr="00BA4C6E" w:rsidRDefault="005069FD" w:rsidP="005069FD">
      <w:pPr>
        <w:ind w:left="709"/>
        <w:jc w:val="both"/>
        <w:rPr>
          <w:rFonts w:asciiTheme="minorHAnsi" w:eastAsia="Times New Roman" w:hAnsiTheme="minorHAnsi" w:cs="Arial"/>
          <w:b/>
          <w:sz w:val="18"/>
          <w:szCs w:val="18"/>
          <w:lang w:eastAsia="es-MX"/>
        </w:rPr>
      </w:pPr>
      <w:r w:rsidRPr="00BA4C6E">
        <w:rPr>
          <w:rFonts w:asciiTheme="minorHAnsi" w:eastAsia="Times New Roman" w:hAnsiTheme="minorHAnsi" w:cs="Arial"/>
          <w:b/>
          <w:sz w:val="18"/>
          <w:szCs w:val="18"/>
          <w:lang w:eastAsia="es-MX"/>
        </w:rPr>
        <w:t>16. PARTES RELACIONADAS</w:t>
      </w:r>
    </w:p>
    <w:p w:rsidR="005069FD" w:rsidRDefault="005069FD" w:rsidP="005069FD">
      <w:pPr>
        <w:jc w:val="both"/>
        <w:rPr>
          <w:rFonts w:asciiTheme="minorHAnsi" w:eastAsia="Times New Roman" w:hAnsiTheme="minorHAnsi" w:cs="Arial"/>
          <w:b/>
          <w:sz w:val="18"/>
          <w:szCs w:val="18"/>
          <w:lang w:eastAsia="es-MX"/>
        </w:rPr>
      </w:pPr>
      <w:r w:rsidRPr="00BA4C6E">
        <w:rPr>
          <w:rFonts w:asciiTheme="minorHAnsi" w:eastAsia="Times New Roman" w:hAnsiTheme="minorHAnsi" w:cs="Arial"/>
          <w:sz w:val="18"/>
          <w:szCs w:val="18"/>
          <w:lang w:eastAsia="es-MX"/>
        </w:rPr>
        <w:t>No existen partes relacionadas que pudieran ejercer influencia significativa sobre la toma de decisiones financieras y operativas.</w:t>
      </w:r>
      <w:r w:rsidRPr="00BA4C6E">
        <w:rPr>
          <w:rFonts w:asciiTheme="minorHAnsi" w:eastAsia="Times New Roman" w:hAnsiTheme="minorHAnsi" w:cs="Arial"/>
          <w:b/>
          <w:sz w:val="18"/>
          <w:szCs w:val="18"/>
          <w:lang w:eastAsia="es-MX"/>
        </w:rPr>
        <w:tab/>
      </w:r>
    </w:p>
    <w:p w:rsidR="005069FD" w:rsidRDefault="005069FD" w:rsidP="005069FD">
      <w:pPr>
        <w:jc w:val="both"/>
        <w:rPr>
          <w:rFonts w:asciiTheme="minorHAnsi" w:eastAsia="Times New Roman" w:hAnsiTheme="minorHAnsi" w:cs="Arial"/>
          <w:sz w:val="14"/>
          <w:szCs w:val="12"/>
          <w:lang w:val="es-ES" w:eastAsia="es-ES"/>
        </w:rPr>
      </w:pPr>
      <w:r w:rsidRPr="00196609">
        <w:rPr>
          <w:rFonts w:asciiTheme="minorHAnsi" w:eastAsia="Times New Roman" w:hAnsiTheme="minorHAnsi" w:cs="Arial"/>
          <w:sz w:val="14"/>
          <w:szCs w:val="12"/>
          <w:lang w:val="es-ES" w:eastAsia="es-ES"/>
        </w:rPr>
        <w:t>Bajo protesta de decir verdad declaramos que los Estados Financieros y sus Notas son razonablemente correctos y son responsabilidad del emisor</w:t>
      </w:r>
    </w:p>
    <w:p w:rsidR="00457684" w:rsidRDefault="00457684" w:rsidP="005069FD">
      <w:pPr>
        <w:jc w:val="both"/>
        <w:rPr>
          <w:rFonts w:asciiTheme="minorHAnsi" w:eastAsia="Times New Roman" w:hAnsiTheme="minorHAnsi" w:cs="Arial"/>
          <w:sz w:val="14"/>
          <w:szCs w:val="12"/>
          <w:lang w:val="es-ES" w:eastAsia="es-ES"/>
        </w:rPr>
      </w:pPr>
    </w:p>
    <w:p w:rsidR="00457684" w:rsidRDefault="00457684" w:rsidP="005069FD">
      <w:pPr>
        <w:jc w:val="both"/>
        <w:rPr>
          <w:rFonts w:asciiTheme="minorHAnsi" w:eastAsia="Times New Roman" w:hAnsiTheme="minorHAnsi" w:cs="Arial"/>
          <w:sz w:val="14"/>
          <w:szCs w:val="12"/>
          <w:lang w:val="es-ES" w:eastAsia="es-ES"/>
        </w:rPr>
      </w:pPr>
    </w:p>
    <w:p w:rsidR="009D181F" w:rsidRDefault="009D181F" w:rsidP="005069FD">
      <w:pPr>
        <w:jc w:val="both"/>
        <w:rPr>
          <w:rFonts w:asciiTheme="minorHAnsi" w:eastAsia="Times New Roman" w:hAnsiTheme="minorHAnsi" w:cs="Arial"/>
          <w:sz w:val="14"/>
          <w:szCs w:val="12"/>
          <w:lang w:val="es-ES" w:eastAsia="es-ES"/>
        </w:rPr>
      </w:pPr>
    </w:p>
    <w:p w:rsidR="009D181F" w:rsidRDefault="009D181F" w:rsidP="005069FD">
      <w:pPr>
        <w:jc w:val="both"/>
        <w:rPr>
          <w:rFonts w:asciiTheme="minorHAnsi" w:eastAsia="Times New Roman" w:hAnsiTheme="minorHAnsi" w:cs="Arial"/>
          <w:sz w:val="14"/>
          <w:szCs w:val="12"/>
          <w:lang w:val="es-ES" w:eastAsia="es-ES"/>
        </w:rPr>
      </w:pPr>
    </w:p>
    <w:p w:rsidR="009D181F" w:rsidRDefault="009D181F" w:rsidP="005069FD">
      <w:pPr>
        <w:jc w:val="both"/>
        <w:rPr>
          <w:rFonts w:asciiTheme="minorHAnsi" w:eastAsia="Times New Roman" w:hAnsiTheme="minorHAnsi" w:cs="Arial"/>
          <w:sz w:val="14"/>
          <w:szCs w:val="12"/>
          <w:lang w:val="es-ES" w:eastAsia="es-ES"/>
        </w:rPr>
      </w:pPr>
    </w:p>
    <w:p w:rsidR="009D181F" w:rsidRDefault="009D181F" w:rsidP="005069FD">
      <w:pPr>
        <w:jc w:val="both"/>
        <w:rPr>
          <w:rFonts w:asciiTheme="minorHAnsi" w:eastAsia="Times New Roman" w:hAnsiTheme="minorHAnsi" w:cs="Arial"/>
          <w:sz w:val="14"/>
          <w:szCs w:val="12"/>
          <w:lang w:val="es-ES" w:eastAsia="es-ES"/>
        </w:rPr>
      </w:pPr>
    </w:p>
    <w:p w:rsidR="009D181F" w:rsidRDefault="009D181F" w:rsidP="005069FD">
      <w:pPr>
        <w:jc w:val="both"/>
        <w:rPr>
          <w:rFonts w:asciiTheme="minorHAnsi" w:eastAsia="Times New Roman" w:hAnsiTheme="minorHAnsi" w:cs="Arial"/>
          <w:sz w:val="14"/>
          <w:szCs w:val="12"/>
          <w:lang w:val="es-ES" w:eastAsia="es-ES"/>
        </w:rPr>
      </w:pPr>
    </w:p>
    <w:p w:rsidR="009D181F" w:rsidRDefault="009D181F" w:rsidP="005069FD">
      <w:pPr>
        <w:jc w:val="both"/>
        <w:rPr>
          <w:rFonts w:asciiTheme="minorHAnsi" w:eastAsia="Times New Roman" w:hAnsiTheme="minorHAnsi" w:cs="Arial"/>
          <w:sz w:val="14"/>
          <w:szCs w:val="12"/>
          <w:lang w:val="es-ES" w:eastAsia="es-ES"/>
        </w:rPr>
      </w:pPr>
    </w:p>
    <w:p w:rsidR="009D181F" w:rsidRDefault="009D181F" w:rsidP="005069FD">
      <w:pPr>
        <w:jc w:val="both"/>
        <w:rPr>
          <w:rFonts w:asciiTheme="minorHAnsi" w:eastAsia="Times New Roman" w:hAnsiTheme="minorHAnsi" w:cs="Arial"/>
          <w:sz w:val="14"/>
          <w:szCs w:val="12"/>
          <w:lang w:val="es-ES" w:eastAsia="es-ES"/>
        </w:rPr>
      </w:pPr>
    </w:p>
    <w:p w:rsidR="009D181F" w:rsidRDefault="009D181F" w:rsidP="005069FD">
      <w:pPr>
        <w:jc w:val="both"/>
        <w:rPr>
          <w:rFonts w:asciiTheme="minorHAnsi" w:eastAsia="Times New Roman" w:hAnsiTheme="minorHAnsi" w:cs="Arial"/>
          <w:sz w:val="14"/>
          <w:szCs w:val="12"/>
          <w:lang w:val="es-ES" w:eastAsia="es-ES"/>
        </w:rPr>
      </w:pPr>
    </w:p>
    <w:p w:rsidR="00EC53D2" w:rsidRDefault="00EC53D2" w:rsidP="005069FD">
      <w:pPr>
        <w:jc w:val="both"/>
        <w:rPr>
          <w:rFonts w:asciiTheme="minorHAnsi" w:eastAsia="Times New Roman" w:hAnsiTheme="minorHAnsi" w:cs="Arial"/>
          <w:sz w:val="14"/>
          <w:szCs w:val="12"/>
          <w:lang w:val="es-ES" w:eastAsia="es-ES"/>
        </w:rPr>
      </w:pPr>
    </w:p>
    <w:p w:rsidR="005069FD" w:rsidRPr="00196609" w:rsidRDefault="005069FD" w:rsidP="005069FD">
      <w:pPr>
        <w:spacing w:after="0" w:line="240" w:lineRule="exact"/>
        <w:jc w:val="both"/>
        <w:rPr>
          <w:rFonts w:asciiTheme="minorHAnsi" w:hAnsiTheme="minorHAnsi"/>
          <w:szCs w:val="20"/>
          <w:lang w:eastAsia="es-MX"/>
        </w:rPr>
      </w:pPr>
      <w:r w:rsidRPr="00196609">
        <w:rPr>
          <w:rFonts w:asciiTheme="minorHAnsi" w:eastAsia="Times New Roman" w:hAnsiTheme="minorHAnsi" w:cs="Arial"/>
          <w:vanish/>
          <w:sz w:val="28"/>
          <w:lang w:val="es-ES" w:eastAsia="es-ES"/>
        </w:rPr>
        <w:t>0,177.009.00</w:t>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r w:rsidRPr="00196609">
        <w:rPr>
          <w:rFonts w:asciiTheme="minorHAnsi" w:eastAsia="Times New Roman" w:hAnsiTheme="minorHAnsi" w:cs="Arial"/>
          <w:vanish/>
          <w:sz w:val="28"/>
          <w:lang w:val="es-ES" w:eastAsia="es-ES"/>
        </w:rPr>
        <w:pgNum/>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686"/>
        <w:gridCol w:w="2871"/>
      </w:tblGrid>
      <w:tr w:rsidR="005069FD" w:rsidRPr="005069FD" w:rsidTr="00C07EAF">
        <w:tc>
          <w:tcPr>
            <w:tcW w:w="2943" w:type="dxa"/>
          </w:tcPr>
          <w:p w:rsidR="005069FD" w:rsidRPr="005069FD" w:rsidRDefault="005069FD" w:rsidP="005069FD">
            <w:pPr>
              <w:pStyle w:val="NormalWeb"/>
              <w:spacing w:before="0" w:beforeAutospacing="0" w:after="0" w:afterAutospacing="0"/>
              <w:jc w:val="center"/>
              <w:rPr>
                <w:rFonts w:asciiTheme="minorHAnsi" w:hAnsiTheme="minorHAnsi" w:cs="Arial"/>
                <w:b/>
                <w:smallCaps/>
                <w:sz w:val="18"/>
                <w:szCs w:val="20"/>
              </w:rPr>
            </w:pPr>
          </w:p>
        </w:tc>
        <w:tc>
          <w:tcPr>
            <w:tcW w:w="3686" w:type="dxa"/>
          </w:tcPr>
          <w:p w:rsidR="005069FD" w:rsidRPr="005069FD" w:rsidRDefault="005069FD" w:rsidP="00C07EAF">
            <w:pPr>
              <w:pStyle w:val="NormalWeb"/>
              <w:spacing w:before="0" w:beforeAutospacing="0" w:after="0" w:afterAutospacing="0"/>
              <w:jc w:val="center"/>
              <w:rPr>
                <w:rFonts w:asciiTheme="minorHAnsi" w:hAnsiTheme="minorHAnsi" w:cs="Arial"/>
                <w:b/>
                <w:smallCaps/>
                <w:sz w:val="18"/>
                <w:szCs w:val="20"/>
              </w:rPr>
            </w:pPr>
          </w:p>
        </w:tc>
        <w:tc>
          <w:tcPr>
            <w:tcW w:w="2871" w:type="dxa"/>
          </w:tcPr>
          <w:p w:rsidR="005069FD" w:rsidRPr="005069FD" w:rsidRDefault="005069FD" w:rsidP="00C07EAF">
            <w:pPr>
              <w:pStyle w:val="NormalWeb"/>
              <w:spacing w:before="0" w:beforeAutospacing="0" w:after="0" w:afterAutospacing="0"/>
              <w:jc w:val="center"/>
              <w:rPr>
                <w:rFonts w:asciiTheme="minorHAnsi" w:hAnsiTheme="minorHAnsi" w:cs="Arial"/>
                <w:b/>
                <w:smallCaps/>
                <w:sz w:val="18"/>
                <w:szCs w:val="20"/>
              </w:rPr>
            </w:pPr>
          </w:p>
        </w:tc>
      </w:tr>
    </w:tbl>
    <w:p w:rsidR="005069FD" w:rsidRPr="00BA4C6E" w:rsidRDefault="005069FD" w:rsidP="005069FD">
      <w:pPr>
        <w:tabs>
          <w:tab w:val="left" w:pos="709"/>
        </w:tabs>
        <w:spacing w:after="40"/>
        <w:outlineLvl w:val="0"/>
        <w:rPr>
          <w:rFonts w:asciiTheme="minorHAnsi" w:hAnsiTheme="minorHAnsi"/>
          <w:color w:val="646569"/>
          <w:sz w:val="20"/>
        </w:rPr>
      </w:pPr>
    </w:p>
    <w:p w:rsidR="00DF01DA" w:rsidRPr="00010BEF" w:rsidRDefault="00DF01DA" w:rsidP="005069FD">
      <w:pPr>
        <w:pStyle w:val="Texto"/>
        <w:spacing w:after="0" w:line="240" w:lineRule="exact"/>
        <w:jc w:val="center"/>
        <w:rPr>
          <w:rFonts w:ascii="Encode Sans" w:hAnsi="Encode Sans" w:cs="DIN Pro Regular"/>
          <w:b/>
          <w:sz w:val="20"/>
        </w:rPr>
      </w:pPr>
    </w:p>
    <w:sectPr w:rsidR="00DF01DA" w:rsidRPr="00010BEF" w:rsidSect="005C0D0D">
      <w:headerReference w:type="even" r:id="rId11"/>
      <w:headerReference w:type="default" r:id="rId12"/>
      <w:footerReference w:type="even" r:id="rId13"/>
      <w:pgSz w:w="12240" w:h="15840"/>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BAC" w:rsidRDefault="00F34BAC" w:rsidP="00EA5418">
      <w:pPr>
        <w:spacing w:after="0" w:line="240" w:lineRule="auto"/>
      </w:pPr>
      <w:r>
        <w:separator/>
      </w:r>
    </w:p>
  </w:endnote>
  <w:endnote w:type="continuationSeparator" w:id="0">
    <w:p w:rsidR="00F34BAC" w:rsidRDefault="00F34BA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Malgun Gothic"/>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ncode Sans">
    <w:panose1 w:val="00000000000000000000"/>
    <w:charset w:val="00"/>
    <w:family w:val="auto"/>
    <w:pitch w:val="variable"/>
    <w:sig w:usb0="A00000FF" w:usb1="4000207B" w:usb2="00000000" w:usb3="00000000" w:csb0="00000193" w:csb1="00000000"/>
  </w:font>
  <w:font w:name="DIN Pro Regular">
    <w:altName w:val="Segoe Script"/>
    <w:charset w:val="00"/>
    <w:family w:val="swiss"/>
    <w:pitch w:val="variable"/>
    <w:sig w:usb0="A00002BF" w:usb1="4000207B" w:usb2="00000008" w:usb3="00000000" w:csb0="00000097"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CB5" w:rsidRPr="00241D8F" w:rsidRDefault="008A6CB5" w:rsidP="0013011C">
    <w:pPr>
      <w:pStyle w:val="Piedepgina"/>
      <w:jc w:val="center"/>
      <w:rPr>
        <w:rFonts w:ascii="Arial" w:hAnsi="Arial" w:cs="Arial"/>
      </w:rPr>
    </w:pPr>
    <w:r w:rsidRPr="00241D8F">
      <w:rPr>
        <w:rFonts w:ascii="Arial" w:hAnsi="Arial" w:cs="Arial"/>
        <w:noProof/>
        <w:lang w:eastAsia="es-MX"/>
      </w:rPr>
      <mc:AlternateContent>
        <mc:Choice Requires="wps">
          <w:drawing>
            <wp:anchor distT="0" distB="0" distL="114300" distR="114300" simplePos="0" relativeHeight="251658752" behindDoc="0" locked="0" layoutInCell="1" allowOverlap="1" wp14:anchorId="26909521" wp14:editId="13B5D65A">
              <wp:simplePos x="0" y="0"/>
              <wp:positionH relativeFrom="column">
                <wp:posOffset>-1864360</wp:posOffset>
              </wp:positionH>
              <wp:positionV relativeFrom="paragraph">
                <wp:posOffset>-19050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noFill/>
                      <a:ln w="19050" cap="flat" cmpd="sng" algn="ctr">
                        <a:solidFill>
                          <a:srgbClr val="C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7FE1C59" id="12 Conector recto"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6.8pt,-1.5pt" to="647.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" strokecolor="#c00000" strokeweight="1.5pt">
              <o:lock v:ext="edit" shapetype="f"/>
            </v:line>
          </w:pict>
        </mc:Fallback>
      </mc:AlternateContent>
    </w:r>
    <w:r w:rsidRPr="00241D8F">
      <w:rPr>
        <w:rFonts w:ascii="Arial" w:hAnsi="Arial" w:cs="Arial"/>
      </w:rPr>
      <w:t xml:space="preserve">Contable / </w:t>
    </w:r>
    <w:r w:rsidRPr="00241D8F">
      <w:rPr>
        <w:rFonts w:ascii="Arial" w:hAnsi="Arial" w:cs="Arial"/>
      </w:rPr>
      <w:fldChar w:fldCharType="begin"/>
    </w:r>
    <w:r w:rsidRPr="00241D8F">
      <w:rPr>
        <w:rFonts w:ascii="Arial" w:hAnsi="Arial" w:cs="Arial"/>
      </w:rPr>
      <w:instrText>PAGE   \* MERGEFORMAT</w:instrText>
    </w:r>
    <w:r w:rsidRPr="00241D8F">
      <w:rPr>
        <w:rFonts w:ascii="Arial" w:hAnsi="Arial" w:cs="Arial"/>
      </w:rPr>
      <w:fldChar w:fldCharType="separate"/>
    </w:r>
    <w:r w:rsidRPr="005C0D0D">
      <w:rPr>
        <w:rFonts w:ascii="Arial" w:hAnsi="Arial" w:cs="Arial"/>
        <w:noProof/>
        <w:lang w:val="es-ES"/>
      </w:rPr>
      <w:t>34</w:t>
    </w:r>
    <w:r w:rsidRPr="00241D8F">
      <w:rPr>
        <w:rFonts w:ascii="Arial" w:hAnsi="Arial" w:cs="Arial"/>
      </w:rPr>
      <w:fldChar w:fldCharType="end"/>
    </w:r>
  </w:p>
  <w:p w:rsidR="008A6CB5" w:rsidRDefault="008A6C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BAC" w:rsidRDefault="00F34BAC" w:rsidP="00EA5418">
      <w:pPr>
        <w:spacing w:after="0" w:line="240" w:lineRule="auto"/>
      </w:pPr>
      <w:r>
        <w:separator/>
      </w:r>
    </w:p>
  </w:footnote>
  <w:footnote w:type="continuationSeparator" w:id="0">
    <w:p w:rsidR="00F34BAC" w:rsidRDefault="00F34BAC"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CB5" w:rsidRDefault="008A6CB5">
    <w:pPr>
      <w:pStyle w:val="Encabezado"/>
    </w:pPr>
    <w:r>
      <w:rPr>
        <w:noProof/>
        <w:lang w:eastAsia="es-MX"/>
      </w:rPr>
      <mc:AlternateContent>
        <mc:Choice Requires="wps">
          <w:drawing>
            <wp:anchor distT="0" distB="0" distL="114300" distR="114300" simplePos="0" relativeHeight="251653632" behindDoc="0" locked="0" layoutInCell="1" allowOverlap="1" wp14:anchorId="13FE88EB" wp14:editId="26D74A28">
              <wp:simplePos x="0" y="0"/>
              <wp:positionH relativeFrom="column">
                <wp:posOffset>-1524000</wp:posOffset>
              </wp:positionH>
              <wp:positionV relativeFrom="paragraph">
                <wp:posOffset>234315</wp:posOffset>
              </wp:positionV>
              <wp:extent cx="10083800" cy="16510"/>
              <wp:effectExtent l="0" t="0" r="31750" b="21590"/>
              <wp:wrapNone/>
              <wp:docPr id="8"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noFill/>
                      <a:ln w="19050" cap="flat" cmpd="sng" algn="ctr">
                        <a:solidFill>
                          <a:srgbClr val="C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C3419B8" id="4 Conector recto"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0pt,18.45pt" to="674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" strokecolor="#c00000" strokeweight="1.5pt">
              <o:lock v:ext="edit" shapetype="f"/>
            </v:line>
          </w:pict>
        </mc:Fallback>
      </mc:AlternateContent>
    </w:r>
    <w:r>
      <w:rPr>
        <w:noProof/>
        <w:lang w:eastAsia="es-MX"/>
      </w:rPr>
      <mc:AlternateContent>
        <mc:Choice Requires="wpg">
          <w:drawing>
            <wp:anchor distT="0" distB="0" distL="114300" distR="114300" simplePos="0" relativeHeight="251654656" behindDoc="0" locked="0" layoutInCell="1" allowOverlap="1" wp14:anchorId="2C44AF82" wp14:editId="620DD2EF">
              <wp:simplePos x="0" y="0"/>
              <wp:positionH relativeFrom="column">
                <wp:posOffset>3533775</wp:posOffset>
              </wp:positionH>
              <wp:positionV relativeFrom="paragraph">
                <wp:posOffset>-297180</wp:posOffset>
              </wp:positionV>
              <wp:extent cx="3210561" cy="458272"/>
              <wp:effectExtent l="0" t="0" r="8890" b="0"/>
              <wp:wrapNone/>
              <wp:docPr id="9"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0561" cy="458272"/>
                        <a:chOff x="0" y="0"/>
                        <a:chExt cx="3210483" cy="431597"/>
                      </a:xfrm>
                    </wpg:grpSpPr>
                    <wps:wsp>
                      <wps:cNvPr id="4" name="Cuadro de texto 5"/>
                      <wps:cNvSpPr txBox="1">
                        <a:spLocks noChangeArrowheads="1"/>
                      </wps:cNvSpPr>
                      <wps:spPr bwMode="auto">
                        <a:xfrm>
                          <a:off x="0" y="44852"/>
                          <a:ext cx="2289175" cy="3859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CB5" w:rsidRPr="008A011E" w:rsidRDefault="008A6CB5" w:rsidP="00040466">
                            <w:pPr>
                              <w:spacing w:after="120"/>
                              <w:jc w:val="right"/>
                              <w:rPr>
                                <w:rFonts w:cs="Arial"/>
                                <w:color w:val="808080"/>
                                <w:sz w:val="32"/>
                                <w:szCs w:val="32"/>
                              </w:rPr>
                            </w:pPr>
                            <w:r w:rsidRPr="008A011E">
                              <w:rPr>
                                <w:rFonts w:cs="Arial"/>
                                <w:color w:val="808080"/>
                                <w:sz w:val="32"/>
                                <w:szCs w:val="32"/>
                              </w:rPr>
                              <w:t>CUENTA PÚBLICA</w:t>
                            </w:r>
                          </w:p>
                          <w:p w:rsidR="008A6CB5" w:rsidRPr="00DF6363" w:rsidRDefault="008A6CB5" w:rsidP="00040466">
                            <w:pPr>
                              <w:jc w:val="right"/>
                              <w:rPr>
                                <w:rFonts w:ascii="DIN Pro Regular" w:hAnsi="DIN Pro Regular" w:cs="DIN Pro Regular"/>
                                <w:color w:val="808080"/>
                                <w:sz w:val="36"/>
                                <w:szCs w:val="36"/>
                              </w:rPr>
                            </w:pPr>
                          </w:p>
                        </w:txbxContent>
                      </wps:txbx>
                      <wps:bodyPr rot="0" vert="horz" wrap="square" lIns="91440" tIns="45720" rIns="91440" bIns="45720" anchor="t" anchorCtr="0" upright="1">
                        <a:noAutofit/>
                      </wps:bodyPr>
                    </wps:wsp>
                    <wpg:grpSp>
                      <wpg:cNvPr id="11" name="9 Grupo"/>
                      <wpg:cNvGrpSpPr>
                        <a:grpSpLocks/>
                      </wpg:cNvGrpSpPr>
                      <wpg:grpSpPr bwMode="auto">
                        <a:xfrm>
                          <a:off x="2289657" y="0"/>
                          <a:ext cx="920826" cy="431597"/>
                          <a:chOff x="0" y="0"/>
                          <a:chExt cx="920826" cy="431597"/>
                        </a:xfrm>
                      </wpg:grpSpPr>
                      <pic:pic xmlns:pic="http://schemas.openxmlformats.org/drawingml/2006/picture">
                        <pic:nvPicPr>
                          <pic:cNvPr id="13"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98" cy="43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Cuadro de texto 5"/>
                        <wps:cNvSpPr txBox="1">
                          <a:spLocks noChangeArrowheads="1"/>
                        </wps:cNvSpPr>
                        <wps:spPr bwMode="auto">
                          <a:xfrm>
                            <a:off x="34387" y="0"/>
                            <a:ext cx="886439" cy="431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CB5" w:rsidRPr="008A011E" w:rsidRDefault="008A6CB5" w:rsidP="00040466">
                              <w:pPr>
                                <w:jc w:val="both"/>
                                <w:rPr>
                                  <w:rFonts w:cs="Arial"/>
                                  <w:color w:val="808080"/>
                                  <w:sz w:val="42"/>
                                  <w:szCs w:val="42"/>
                                </w:rPr>
                              </w:pPr>
                              <w:r w:rsidRPr="008A011E">
                                <w:rPr>
                                  <w:rFonts w:cs="Arial"/>
                                  <w:color w:val="808080"/>
                                  <w:sz w:val="42"/>
                                  <w:szCs w:val="42"/>
                                </w:rPr>
                                <w:t>2022</w:t>
                              </w:r>
                            </w:p>
                            <w:p w:rsidR="008A6CB5" w:rsidRDefault="008A6CB5" w:rsidP="00040466">
                              <w:pPr>
                                <w:jc w:val="both"/>
                                <w:rPr>
                                  <w:rFonts w:ascii="Helvetica" w:hAnsi="Helvetica" w:cs="Arial"/>
                                  <w:color w:val="808080"/>
                                  <w:sz w:val="42"/>
                                  <w:szCs w:val="42"/>
                                </w:rPr>
                              </w:pPr>
                            </w:p>
                            <w:p w:rsidR="008A6CB5" w:rsidRDefault="008A6CB5" w:rsidP="00040466">
                              <w:pPr>
                                <w:jc w:val="both"/>
                                <w:rPr>
                                  <w:rFonts w:ascii="Helvetica" w:hAnsi="Helvetica" w:cs="Arial"/>
                                  <w:color w:val="808080"/>
                                  <w:sz w:val="42"/>
                                  <w:szCs w:val="42"/>
                                </w:rPr>
                              </w:pPr>
                            </w:p>
                            <w:p w:rsidR="008A6CB5" w:rsidRPr="00DC53C5" w:rsidRDefault="008A6CB5" w:rsidP="00040466">
                              <w:pPr>
                                <w:jc w:val="both"/>
                                <w:rPr>
                                  <w:rFonts w:ascii="Arial" w:hAnsi="Arial" w:cs="Arial"/>
                                  <w:color w:val="808080"/>
                                  <w:sz w:val="42"/>
                                  <w:szCs w:val="42"/>
                                </w:rPr>
                              </w:pPr>
                            </w:p>
                            <w:p w:rsidR="008A6CB5" w:rsidRPr="00DC53C5" w:rsidRDefault="008A6CB5" w:rsidP="00040466">
                              <w:pPr>
                                <w:jc w:val="both"/>
                                <w:rPr>
                                  <w:rFonts w:ascii="Arial" w:hAnsi="Arial" w:cs="Arial"/>
                                  <w:color w:val="808080"/>
                                  <w:sz w:val="42"/>
                                  <w:szCs w:val="4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6 Grupo" o:spid="_x0000_s1026" style="position:absolute;margin-left:278.25pt;margin-top:-23.4pt;width:252.8pt;height:36.1pt;z-index:251654656" coordsize="32104,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qO6uVtLd5G+6gLHHoOa4H9mH9pn&#10;w3+1t8H9O8ceExqH9h6pJLHB9th8mbMblGyuTj5lPep5lfl6mUq1NVFSb95ptLq0rXfyuvvPQqKK&#10;Ko1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N/bG8spYlbaZEK5Pb&#10;IxXi/wDwT0/ZKuv2Jf2W9D+Hd9rVv4guNHmuZTew25t0k82ZpMbCzEY3Y617dRR5ndTzLEU8HUwE&#10;X+7qShKSstZQU1F33VlOWi0d9dkFFFFBw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H4sb2/vUb2/vUmPajHtQZi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">
              <v:shapetype id="_x0000_t202" coordsize="21600,21600" o:spt="202" path="m,l,21600r21600,l21600,xe">
                <v:stroke joinstyle="miter"/>
                <v:path gradientshapeok="t" o:connecttype="rect"/>
              </v:shapetype>
              <v:shape id="Cuadro de texto 5" o:spid="_x0000_s1027" type="#_x0000_t202" style="position:absolute;top:448;width:22891;height:3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8A6CB5" w:rsidRPr="008A011E" w:rsidRDefault="008A6CB5" w:rsidP="00040466">
                      <w:pPr>
                        <w:spacing w:after="120"/>
                        <w:jc w:val="right"/>
                        <w:rPr>
                          <w:rFonts w:cs="Arial"/>
                          <w:color w:val="808080"/>
                          <w:sz w:val="32"/>
                          <w:szCs w:val="32"/>
                        </w:rPr>
                      </w:pPr>
                      <w:r w:rsidRPr="008A011E">
                        <w:rPr>
                          <w:rFonts w:cs="Arial"/>
                          <w:color w:val="808080"/>
                          <w:sz w:val="32"/>
                          <w:szCs w:val="32"/>
                        </w:rPr>
                        <w:t>CUENTA PÚBLICA</w:t>
                      </w:r>
                    </w:p>
                    <w:p w:rsidR="008A6CB5" w:rsidRPr="00DF6363" w:rsidRDefault="008A6CB5" w:rsidP="00040466">
                      <w:pPr>
                        <w:jc w:val="right"/>
                        <w:rPr>
                          <w:rFonts w:ascii="DIN Pro Regular" w:hAnsi="DIN Pro Regular" w:cs="DIN Pro Regular"/>
                          <w:color w:val="808080"/>
                          <w:sz w:val="36"/>
                          <w:szCs w:val="36"/>
                        </w:rPr>
                      </w:pPr>
                    </w:p>
                  </w:txbxContent>
                </v:textbox>
              </v:shape>
              <v:group id="9 Grupo" o:spid="_x0000_s1028" style="position:absolute;left:22896;width:9208;height:4315" coordsize="920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ol/vEAAAA2wAAAA8AAABkcnMvZG93bnJldi54bWxEj0FrwkAQhe8F/8MyQm/NJhakpq4hCIJg&#10;D60K9jhkp9nQ3dmYXTX9912h0NsM78373iyr0VlxpSF0nhUUWQ6CuPG641bB8bB5egERIrJG65kU&#10;/FCAajV5WGKp/Y0/6LqPrUghHEpUYGLsSylDY8hhyHxPnLQvPziMaR1aqQe8pXBn5SzP59Jhx4lg&#10;sKe1oeZ7f3EJcl68h7w9mY2VWu9MUdu3z1qpx+lYv4KINMZ/89/1Vqf6z3D/JQ0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ol/vEAAAA2wAAAA8AAAAAAAAAAAAAAAAA&#10;nwIAAGRycy9kb3ducmV2LnhtbFBLBQYAAAAABAAEAPcAAACQAwAAAAA=&#10;">
                  <v:imagedata r:id="rId2" o:title="" croptop="4055f" cropbottom="57131f" cropleft="36353f" cropright="28433f"/>
                  <v:path arrowok="t"/>
                </v:shape>
                <v:shape id="Cuadro de texto 5" o:spid="_x0000_s1030" type="#_x0000_t202" style="position:absolute;left:343;width:8865;height:4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8A6CB5" w:rsidRPr="008A011E" w:rsidRDefault="008A6CB5" w:rsidP="00040466">
                        <w:pPr>
                          <w:jc w:val="both"/>
                          <w:rPr>
                            <w:rFonts w:cs="Arial"/>
                            <w:color w:val="808080"/>
                            <w:sz w:val="42"/>
                            <w:szCs w:val="42"/>
                          </w:rPr>
                        </w:pPr>
                        <w:r w:rsidRPr="008A011E">
                          <w:rPr>
                            <w:rFonts w:cs="Arial"/>
                            <w:color w:val="808080"/>
                            <w:sz w:val="42"/>
                            <w:szCs w:val="42"/>
                          </w:rPr>
                          <w:t>2022</w:t>
                        </w:r>
                      </w:p>
                      <w:p w:rsidR="008A6CB5" w:rsidRDefault="008A6CB5" w:rsidP="00040466">
                        <w:pPr>
                          <w:jc w:val="both"/>
                          <w:rPr>
                            <w:rFonts w:ascii="Helvetica" w:hAnsi="Helvetica" w:cs="Arial"/>
                            <w:color w:val="808080"/>
                            <w:sz w:val="42"/>
                            <w:szCs w:val="42"/>
                          </w:rPr>
                        </w:pPr>
                      </w:p>
                      <w:p w:rsidR="008A6CB5" w:rsidRDefault="008A6CB5" w:rsidP="00040466">
                        <w:pPr>
                          <w:jc w:val="both"/>
                          <w:rPr>
                            <w:rFonts w:ascii="Helvetica" w:hAnsi="Helvetica" w:cs="Arial"/>
                            <w:color w:val="808080"/>
                            <w:sz w:val="42"/>
                            <w:szCs w:val="42"/>
                          </w:rPr>
                        </w:pPr>
                      </w:p>
                      <w:p w:rsidR="008A6CB5" w:rsidRPr="00DC53C5" w:rsidRDefault="008A6CB5" w:rsidP="00040466">
                        <w:pPr>
                          <w:jc w:val="both"/>
                          <w:rPr>
                            <w:rFonts w:ascii="Arial" w:hAnsi="Arial" w:cs="Arial"/>
                            <w:color w:val="808080"/>
                            <w:sz w:val="42"/>
                            <w:szCs w:val="42"/>
                          </w:rPr>
                        </w:pPr>
                      </w:p>
                      <w:p w:rsidR="008A6CB5" w:rsidRPr="00DC53C5" w:rsidRDefault="008A6CB5" w:rsidP="00040466">
                        <w:pPr>
                          <w:jc w:val="both"/>
                          <w:rPr>
                            <w:rFonts w:ascii="Arial" w:hAnsi="Arial" w:cs="Arial"/>
                            <w:color w:val="808080"/>
                            <w:sz w:val="42"/>
                            <w:szCs w:val="42"/>
                          </w:rPr>
                        </w:pP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CB5" w:rsidRDefault="008A6CB5" w:rsidP="00781998">
    <w:pPr>
      <w:pStyle w:val="Encabezado"/>
      <w:tabs>
        <w:tab w:val="clear" w:pos="8838"/>
        <w:tab w:val="left" w:pos="7965"/>
      </w:tabs>
      <w:jc w:val="center"/>
      <w:rPr>
        <w:rFonts w:ascii="Encode Sans" w:hAnsi="Encode Sans" w:cs="Arial"/>
        <w:b/>
      </w:rPr>
    </w:pPr>
    <w:r>
      <w:rPr>
        <w:noProof/>
        <w:lang w:eastAsia="es-MX"/>
      </w:rPr>
      <w:drawing>
        <wp:anchor distT="0" distB="0" distL="114300" distR="114300" simplePos="0" relativeHeight="251662848" behindDoc="0" locked="0" layoutInCell="1" allowOverlap="1" wp14:anchorId="14D266D2" wp14:editId="66BF4A19">
          <wp:simplePos x="0" y="0"/>
          <wp:positionH relativeFrom="column">
            <wp:posOffset>4905375</wp:posOffset>
          </wp:positionH>
          <wp:positionV relativeFrom="paragraph">
            <wp:posOffset>-74930</wp:posOffset>
          </wp:positionV>
          <wp:extent cx="1419225" cy="473075"/>
          <wp:effectExtent l="0" t="0" r="9525" b="3175"/>
          <wp:wrapNone/>
          <wp:docPr id="7"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9225" cy="47307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1824" behindDoc="0" locked="0" layoutInCell="1" allowOverlap="1" wp14:anchorId="538A89AE" wp14:editId="04D0C7EF">
          <wp:simplePos x="0" y="0"/>
          <wp:positionH relativeFrom="column">
            <wp:posOffset>-295275</wp:posOffset>
          </wp:positionH>
          <wp:positionV relativeFrom="paragraph">
            <wp:posOffset>-173990</wp:posOffset>
          </wp:positionV>
          <wp:extent cx="1419225" cy="567055"/>
          <wp:effectExtent l="0" t="0" r="9525" b="4445"/>
          <wp:wrapTopAndBottom/>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pic:cNvPicPr>
                    <a:picLocks noChangeAspect="1"/>
                  </pic:cNvPicPr>
                </pic:nvPicPr>
                <pic:blipFill rotWithShape="1">
                  <a:blip r:embed="rId2">
                    <a:extLst>
                      <a:ext uri="{28A0092B-C50C-407E-A947-70E740481C1C}">
                        <a14:useLocalDpi xmlns:a14="http://schemas.microsoft.com/office/drawing/2010/main" val="0"/>
                      </a:ext>
                    </a:extLst>
                  </a:blip>
                  <a:srcRect l="3009" t="5953"/>
                  <a:stretch/>
                </pic:blipFill>
                <pic:spPr>
                  <a:xfrm>
                    <a:off x="0" y="0"/>
                    <a:ext cx="1419225" cy="567055"/>
                  </a:xfrm>
                  <a:prstGeom prst="rect">
                    <a:avLst/>
                  </a:prstGeom>
                </pic:spPr>
              </pic:pic>
            </a:graphicData>
          </a:graphic>
          <wp14:sizeRelH relativeFrom="page">
            <wp14:pctWidth>0</wp14:pctWidth>
          </wp14:sizeRelH>
          <wp14:sizeRelV relativeFrom="page">
            <wp14:pctHeight>0</wp14:pctHeight>
          </wp14:sizeRelV>
        </wp:anchor>
      </w:drawing>
    </w:r>
    <w:r>
      <w:rPr>
        <w:rFonts w:ascii="Encode Sans" w:hAnsi="Encode Sans" w:cs="Arial"/>
        <w:b/>
      </w:rPr>
      <w:t>COMISIÓN ESTATAL DEL AGUA DE TAMAULIPAS</w:t>
    </w:r>
  </w:p>
  <w:p w:rsidR="008A6CB5" w:rsidRPr="00010BEF" w:rsidRDefault="008A6CB5" w:rsidP="002164CC">
    <w:pPr>
      <w:pStyle w:val="Encabezado"/>
      <w:tabs>
        <w:tab w:val="clear" w:pos="8838"/>
        <w:tab w:val="left" w:pos="7965"/>
      </w:tabs>
      <w:jc w:val="center"/>
      <w:rPr>
        <w:rFonts w:ascii="Encode Sans" w:hAnsi="Encode Sans" w:cs="Arial"/>
        <w:b/>
      </w:rPr>
    </w:pPr>
    <w:r w:rsidRPr="00010BEF">
      <w:rPr>
        <w:rFonts w:ascii="Encode Sans" w:hAnsi="Encode Sans" w:cs="Arial"/>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59C7139"/>
    <w:multiLevelType w:val="hybridMultilevel"/>
    <w:tmpl w:val="DA1A9790"/>
    <w:lvl w:ilvl="0" w:tplc="8B70BAB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876444D"/>
    <w:multiLevelType w:val="multilevel"/>
    <w:tmpl w:val="FB9E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813818"/>
    <w:multiLevelType w:val="hybridMultilevel"/>
    <w:tmpl w:val="16BC9C4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C635EB0"/>
    <w:multiLevelType w:val="multilevel"/>
    <w:tmpl w:val="38E03F0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644" w:hanging="360"/>
      </w:pPr>
      <w:rPr>
        <w:rFonts w:hint="default"/>
        <w:color w:val="auto"/>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17A71C64"/>
    <w:multiLevelType w:val="hybridMultilevel"/>
    <w:tmpl w:val="B76EAC6A"/>
    <w:lvl w:ilvl="0" w:tplc="46A0DEEC">
      <w:start w:val="2"/>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7">
    <w:nsid w:val="1C71464D"/>
    <w:multiLevelType w:val="multilevel"/>
    <w:tmpl w:val="6308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350A20"/>
    <w:multiLevelType w:val="multilevel"/>
    <w:tmpl w:val="54AA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C65946"/>
    <w:multiLevelType w:val="multilevel"/>
    <w:tmpl w:val="81FAEB80"/>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F466719"/>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2082497E"/>
    <w:multiLevelType w:val="hybridMultilevel"/>
    <w:tmpl w:val="4C5489C0"/>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09457E9"/>
    <w:multiLevelType w:val="multilevel"/>
    <w:tmpl w:val="7BC0D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EE3786"/>
    <w:multiLevelType w:val="hybridMultilevel"/>
    <w:tmpl w:val="4A60B07C"/>
    <w:lvl w:ilvl="0" w:tplc="21FAD8A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34A018B9"/>
    <w:multiLevelType w:val="hybridMultilevel"/>
    <w:tmpl w:val="113688AC"/>
    <w:lvl w:ilvl="0" w:tplc="89307B0C">
      <w:numFmt w:val="bullet"/>
      <w:lvlText w:val="-"/>
      <w:lvlJc w:val="left"/>
      <w:pPr>
        <w:ind w:left="720" w:hanging="360"/>
      </w:pPr>
      <w:rPr>
        <w:rFonts w:ascii="Helvetica Neue" w:eastAsia="Cambria" w:hAnsi="Helvetica Neu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66744F3"/>
    <w:multiLevelType w:val="hybridMultilevel"/>
    <w:tmpl w:val="6570F648"/>
    <w:lvl w:ilvl="0" w:tplc="EF24D1A0">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nsid w:val="38EF74D4"/>
    <w:multiLevelType w:val="hybridMultilevel"/>
    <w:tmpl w:val="F0F81904"/>
    <w:lvl w:ilvl="0" w:tplc="FAAC4E2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3D9714FD"/>
    <w:multiLevelType w:val="multilevel"/>
    <w:tmpl w:val="DA848C6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ED22D9F"/>
    <w:multiLevelType w:val="hybridMultilevel"/>
    <w:tmpl w:val="578029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3E2710B"/>
    <w:multiLevelType w:val="hybridMultilevel"/>
    <w:tmpl w:val="4C4A46B6"/>
    <w:lvl w:ilvl="0" w:tplc="080A0017">
      <w:start w:val="1"/>
      <w:numFmt w:val="lowerLetter"/>
      <w:lvlText w:val="%1)"/>
      <w:lvlJc w:val="left"/>
      <w:pPr>
        <w:ind w:left="107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7BE0FFE"/>
    <w:multiLevelType w:val="multilevel"/>
    <w:tmpl w:val="66B2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5B7E21"/>
    <w:multiLevelType w:val="hybridMultilevel"/>
    <w:tmpl w:val="2ADA3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4882A31"/>
    <w:multiLevelType w:val="multilevel"/>
    <w:tmpl w:val="B818FB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C97BAA"/>
    <w:multiLevelType w:val="hybridMultilevel"/>
    <w:tmpl w:val="1CA656D2"/>
    <w:lvl w:ilvl="0" w:tplc="080A0011">
      <w:start w:val="1"/>
      <w:numFmt w:val="decimal"/>
      <w:lvlText w:val="%1)"/>
      <w:lvlJc w:val="left"/>
      <w:pPr>
        <w:ind w:left="1070" w:hanging="360"/>
      </w:p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6">
    <w:nsid w:val="56FA00CF"/>
    <w:multiLevelType w:val="hybridMultilevel"/>
    <w:tmpl w:val="A9DC0BE4"/>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5AD62057"/>
    <w:multiLevelType w:val="hybridMultilevel"/>
    <w:tmpl w:val="E8B2A39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C5449F4"/>
    <w:multiLevelType w:val="multilevel"/>
    <w:tmpl w:val="BA80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B0793C"/>
    <w:multiLevelType w:val="multilevel"/>
    <w:tmpl w:val="CB3C758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C629B3"/>
    <w:multiLevelType w:val="multilevel"/>
    <w:tmpl w:val="ECBA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CC6E37"/>
    <w:multiLevelType w:val="hybridMultilevel"/>
    <w:tmpl w:val="BDECB08E"/>
    <w:lvl w:ilvl="0" w:tplc="EBA823E0">
      <w:start w:val="3"/>
      <w:numFmt w:val="bullet"/>
      <w:lvlText w:val="-"/>
      <w:lvlJc w:val="left"/>
      <w:pPr>
        <w:ind w:left="720" w:hanging="360"/>
      </w:pPr>
      <w:rPr>
        <w:rFonts w:ascii="Helvetica Neue" w:eastAsia="Cambria" w:hAnsi="Helvetica Neue"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nsid w:val="617D4A38"/>
    <w:multiLevelType w:val="hybridMultilevel"/>
    <w:tmpl w:val="1AF21A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7585B58"/>
    <w:multiLevelType w:val="hybridMultilevel"/>
    <w:tmpl w:val="258001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nsid w:val="695B1EBE"/>
    <w:multiLevelType w:val="hybridMultilevel"/>
    <w:tmpl w:val="4454D80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5">
    <w:nsid w:val="7BAC38D6"/>
    <w:multiLevelType w:val="hybridMultilevel"/>
    <w:tmpl w:val="397A7B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17"/>
  </w:num>
  <w:num w:numId="4">
    <w:abstractNumId w:val="12"/>
  </w:num>
  <w:num w:numId="5">
    <w:abstractNumId w:val="1"/>
  </w:num>
  <w:num w:numId="6">
    <w:abstractNumId w:val="10"/>
  </w:num>
  <w:num w:numId="7">
    <w:abstractNumId w:val="18"/>
  </w:num>
  <w:num w:numId="8">
    <w:abstractNumId w:val="16"/>
  </w:num>
  <w:num w:numId="9">
    <w:abstractNumId w:val="14"/>
  </w:num>
  <w:num w:numId="10">
    <w:abstractNumId w:val="15"/>
  </w:num>
  <w:num w:numId="11">
    <w:abstractNumId w:val="31"/>
  </w:num>
  <w:num w:numId="12">
    <w:abstractNumId w:val="9"/>
  </w:num>
  <w:num w:numId="13">
    <w:abstractNumId w:val="19"/>
  </w:num>
  <w:num w:numId="14">
    <w:abstractNumId w:val="33"/>
  </w:num>
  <w:num w:numId="15">
    <w:abstractNumId w:val="25"/>
  </w:num>
  <w:num w:numId="16">
    <w:abstractNumId w:val="26"/>
  </w:num>
  <w:num w:numId="17">
    <w:abstractNumId w:val="3"/>
  </w:num>
  <w:num w:numId="18">
    <w:abstractNumId w:val="27"/>
  </w:num>
  <w:num w:numId="19">
    <w:abstractNumId w:val="21"/>
  </w:num>
  <w:num w:numId="20">
    <w:abstractNumId w:val="7"/>
  </w:num>
  <w:num w:numId="21">
    <w:abstractNumId w:val="13"/>
  </w:num>
  <w:num w:numId="22">
    <w:abstractNumId w:val="2"/>
  </w:num>
  <w:num w:numId="23">
    <w:abstractNumId w:val="28"/>
  </w:num>
  <w:num w:numId="24">
    <w:abstractNumId w:val="8"/>
  </w:num>
  <w:num w:numId="25">
    <w:abstractNumId w:val="22"/>
  </w:num>
  <w:num w:numId="26">
    <w:abstractNumId w:val="30"/>
  </w:num>
  <w:num w:numId="27">
    <w:abstractNumId w:val="24"/>
  </w:num>
  <w:num w:numId="28">
    <w:abstractNumId w:val="29"/>
  </w:num>
  <w:num w:numId="29">
    <w:abstractNumId w:val="4"/>
  </w:num>
  <w:num w:numId="30">
    <w:abstractNumId w:val="34"/>
  </w:num>
  <w:num w:numId="31">
    <w:abstractNumId w:val="20"/>
  </w:num>
  <w:num w:numId="32">
    <w:abstractNumId w:val="32"/>
  </w:num>
  <w:num w:numId="33">
    <w:abstractNumId w:val="23"/>
  </w:num>
  <w:num w:numId="34">
    <w:abstractNumId w:val="6"/>
  </w:num>
  <w:num w:numId="35">
    <w:abstractNumId w:val="11"/>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drawingGridHorizontalSpacing w:val="110"/>
  <w:displayHorizontalDrawingGridEvery w:val="2"/>
  <w:characterSpacingControl w:val="doNotCompress"/>
  <w:hdrShapeDefaults>
    <o:shapedefaults v:ext="edit" spidmax="6145">
      <o:colormru v:ext="edit" colors="#40b4e5,#005cb9,#95d600,#0064a7,#97c93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52AF"/>
    <w:rsid w:val="00006431"/>
    <w:rsid w:val="00010BEF"/>
    <w:rsid w:val="000113AB"/>
    <w:rsid w:val="00040466"/>
    <w:rsid w:val="00045000"/>
    <w:rsid w:val="0004649B"/>
    <w:rsid w:val="00050441"/>
    <w:rsid w:val="00067F40"/>
    <w:rsid w:val="000803D2"/>
    <w:rsid w:val="00093161"/>
    <w:rsid w:val="000931E9"/>
    <w:rsid w:val="000A6616"/>
    <w:rsid w:val="000B3006"/>
    <w:rsid w:val="000C7E64"/>
    <w:rsid w:val="000D5EFE"/>
    <w:rsid w:val="000E0A27"/>
    <w:rsid w:val="000E6439"/>
    <w:rsid w:val="0013011C"/>
    <w:rsid w:val="00145173"/>
    <w:rsid w:val="00163D6C"/>
    <w:rsid w:val="00174108"/>
    <w:rsid w:val="001806FC"/>
    <w:rsid w:val="001819BD"/>
    <w:rsid w:val="00185224"/>
    <w:rsid w:val="00186C07"/>
    <w:rsid w:val="001954E6"/>
    <w:rsid w:val="001B1B72"/>
    <w:rsid w:val="001B3965"/>
    <w:rsid w:val="001B6AFE"/>
    <w:rsid w:val="001C2F26"/>
    <w:rsid w:val="001C3CA6"/>
    <w:rsid w:val="001C5533"/>
    <w:rsid w:val="001C6FD8"/>
    <w:rsid w:val="001C760F"/>
    <w:rsid w:val="001D5897"/>
    <w:rsid w:val="001E2701"/>
    <w:rsid w:val="002036A2"/>
    <w:rsid w:val="002052B5"/>
    <w:rsid w:val="0020554C"/>
    <w:rsid w:val="002138E7"/>
    <w:rsid w:val="002164CC"/>
    <w:rsid w:val="00236391"/>
    <w:rsid w:val="00241D8F"/>
    <w:rsid w:val="002437CF"/>
    <w:rsid w:val="0024446D"/>
    <w:rsid w:val="00264F1F"/>
    <w:rsid w:val="0027220A"/>
    <w:rsid w:val="00290E6D"/>
    <w:rsid w:val="002A70B3"/>
    <w:rsid w:val="002B3FDA"/>
    <w:rsid w:val="002C3BA7"/>
    <w:rsid w:val="002C576A"/>
    <w:rsid w:val="002C7C1D"/>
    <w:rsid w:val="002D015C"/>
    <w:rsid w:val="002D7A6B"/>
    <w:rsid w:val="002E4038"/>
    <w:rsid w:val="002F5509"/>
    <w:rsid w:val="00302583"/>
    <w:rsid w:val="00306E20"/>
    <w:rsid w:val="00327EC4"/>
    <w:rsid w:val="00351DD9"/>
    <w:rsid w:val="0036590F"/>
    <w:rsid w:val="00372F40"/>
    <w:rsid w:val="00374036"/>
    <w:rsid w:val="00375BBC"/>
    <w:rsid w:val="00375C20"/>
    <w:rsid w:val="0039289D"/>
    <w:rsid w:val="003A0303"/>
    <w:rsid w:val="003C1806"/>
    <w:rsid w:val="003D23FC"/>
    <w:rsid w:val="003D5DBF"/>
    <w:rsid w:val="003D7B22"/>
    <w:rsid w:val="003E46AF"/>
    <w:rsid w:val="003E46D2"/>
    <w:rsid w:val="003E7FD0"/>
    <w:rsid w:val="003F39C5"/>
    <w:rsid w:val="004152B3"/>
    <w:rsid w:val="0044253C"/>
    <w:rsid w:val="00451D35"/>
    <w:rsid w:val="00457684"/>
    <w:rsid w:val="00460462"/>
    <w:rsid w:val="00484C0D"/>
    <w:rsid w:val="00493508"/>
    <w:rsid w:val="00497203"/>
    <w:rsid w:val="00497D8B"/>
    <w:rsid w:val="004C09C1"/>
    <w:rsid w:val="004C1FD4"/>
    <w:rsid w:val="004D41B8"/>
    <w:rsid w:val="0050622C"/>
    <w:rsid w:val="005069FD"/>
    <w:rsid w:val="00507A88"/>
    <w:rsid w:val="00522632"/>
    <w:rsid w:val="00522ECA"/>
    <w:rsid w:val="00527F14"/>
    <w:rsid w:val="005350B8"/>
    <w:rsid w:val="00540418"/>
    <w:rsid w:val="00564F15"/>
    <w:rsid w:val="005655B2"/>
    <w:rsid w:val="005774F0"/>
    <w:rsid w:val="0058150F"/>
    <w:rsid w:val="00591EE2"/>
    <w:rsid w:val="00593AE6"/>
    <w:rsid w:val="005A137F"/>
    <w:rsid w:val="005B24BE"/>
    <w:rsid w:val="005C0D0D"/>
    <w:rsid w:val="005E5C36"/>
    <w:rsid w:val="00655E50"/>
    <w:rsid w:val="00677336"/>
    <w:rsid w:val="00692CDF"/>
    <w:rsid w:val="006A30B4"/>
    <w:rsid w:val="006C4132"/>
    <w:rsid w:val="006D41B9"/>
    <w:rsid w:val="006E4041"/>
    <w:rsid w:val="006E77DD"/>
    <w:rsid w:val="007006CA"/>
    <w:rsid w:val="0070709C"/>
    <w:rsid w:val="007075A0"/>
    <w:rsid w:val="00725F56"/>
    <w:rsid w:val="007460DF"/>
    <w:rsid w:val="007658CB"/>
    <w:rsid w:val="007818C6"/>
    <w:rsid w:val="00781998"/>
    <w:rsid w:val="0079582C"/>
    <w:rsid w:val="007A5B39"/>
    <w:rsid w:val="007B4BD8"/>
    <w:rsid w:val="007B5517"/>
    <w:rsid w:val="007D6E9A"/>
    <w:rsid w:val="007E4A53"/>
    <w:rsid w:val="007F08FA"/>
    <w:rsid w:val="00811DAC"/>
    <w:rsid w:val="00820190"/>
    <w:rsid w:val="00847907"/>
    <w:rsid w:val="00847B0D"/>
    <w:rsid w:val="0085677D"/>
    <w:rsid w:val="00862A0D"/>
    <w:rsid w:val="00876FA6"/>
    <w:rsid w:val="00890055"/>
    <w:rsid w:val="008A011E"/>
    <w:rsid w:val="008A120B"/>
    <w:rsid w:val="008A23CA"/>
    <w:rsid w:val="008A6CB5"/>
    <w:rsid w:val="008A6E4D"/>
    <w:rsid w:val="008B0017"/>
    <w:rsid w:val="008B3251"/>
    <w:rsid w:val="008B41CF"/>
    <w:rsid w:val="008B7849"/>
    <w:rsid w:val="008E3652"/>
    <w:rsid w:val="008F6D58"/>
    <w:rsid w:val="00910AF6"/>
    <w:rsid w:val="009426AC"/>
    <w:rsid w:val="00961E75"/>
    <w:rsid w:val="009915EB"/>
    <w:rsid w:val="00994738"/>
    <w:rsid w:val="009B7FAD"/>
    <w:rsid w:val="009C5C3A"/>
    <w:rsid w:val="009D181F"/>
    <w:rsid w:val="00A10572"/>
    <w:rsid w:val="00A35095"/>
    <w:rsid w:val="00A40022"/>
    <w:rsid w:val="00A43FDE"/>
    <w:rsid w:val="00A5532B"/>
    <w:rsid w:val="00A74F12"/>
    <w:rsid w:val="00A752B2"/>
    <w:rsid w:val="00AD6B30"/>
    <w:rsid w:val="00AE608D"/>
    <w:rsid w:val="00AE777E"/>
    <w:rsid w:val="00AF2F48"/>
    <w:rsid w:val="00AF50E1"/>
    <w:rsid w:val="00AF7996"/>
    <w:rsid w:val="00B06762"/>
    <w:rsid w:val="00B10695"/>
    <w:rsid w:val="00B26248"/>
    <w:rsid w:val="00B368BA"/>
    <w:rsid w:val="00B60517"/>
    <w:rsid w:val="00B73DF3"/>
    <w:rsid w:val="00B849EE"/>
    <w:rsid w:val="00BA2940"/>
    <w:rsid w:val="00BA648B"/>
    <w:rsid w:val="00BD394C"/>
    <w:rsid w:val="00BD6292"/>
    <w:rsid w:val="00BE6581"/>
    <w:rsid w:val="00C07D59"/>
    <w:rsid w:val="00C07EAF"/>
    <w:rsid w:val="00C11164"/>
    <w:rsid w:val="00C24E4A"/>
    <w:rsid w:val="00C2567A"/>
    <w:rsid w:val="00C4594F"/>
    <w:rsid w:val="00C71B04"/>
    <w:rsid w:val="00C7736C"/>
    <w:rsid w:val="00C80663"/>
    <w:rsid w:val="00C80DE1"/>
    <w:rsid w:val="00C87D23"/>
    <w:rsid w:val="00C912E4"/>
    <w:rsid w:val="00C9777A"/>
    <w:rsid w:val="00CC2371"/>
    <w:rsid w:val="00CD0037"/>
    <w:rsid w:val="00D0206A"/>
    <w:rsid w:val="00D055EC"/>
    <w:rsid w:val="00D10273"/>
    <w:rsid w:val="00D82477"/>
    <w:rsid w:val="00D846EF"/>
    <w:rsid w:val="00D85F71"/>
    <w:rsid w:val="00D9138F"/>
    <w:rsid w:val="00DA17B1"/>
    <w:rsid w:val="00DC53C5"/>
    <w:rsid w:val="00DE0B18"/>
    <w:rsid w:val="00DF01DA"/>
    <w:rsid w:val="00DF166B"/>
    <w:rsid w:val="00DF6363"/>
    <w:rsid w:val="00E07C35"/>
    <w:rsid w:val="00E21765"/>
    <w:rsid w:val="00E3056B"/>
    <w:rsid w:val="00E32708"/>
    <w:rsid w:val="00E71540"/>
    <w:rsid w:val="00E75E3C"/>
    <w:rsid w:val="00E96655"/>
    <w:rsid w:val="00EA22F9"/>
    <w:rsid w:val="00EA5418"/>
    <w:rsid w:val="00EB26B0"/>
    <w:rsid w:val="00EB37D6"/>
    <w:rsid w:val="00EB4758"/>
    <w:rsid w:val="00EC3B2B"/>
    <w:rsid w:val="00EC53D2"/>
    <w:rsid w:val="00ED118F"/>
    <w:rsid w:val="00EF2D81"/>
    <w:rsid w:val="00F34BAC"/>
    <w:rsid w:val="00F43993"/>
    <w:rsid w:val="00F45C83"/>
    <w:rsid w:val="00F4664C"/>
    <w:rsid w:val="00F51557"/>
    <w:rsid w:val="00FA363B"/>
    <w:rsid w:val="00FB1010"/>
    <w:rsid w:val="00FC1C31"/>
    <w:rsid w:val="00FD2B3A"/>
    <w:rsid w:val="00FE382D"/>
    <w:rsid w:val="00FE4A87"/>
    <w:rsid w:val="00FE55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40b4e5,#005cb9,#95d600,#0064a7,#97c93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table" w:styleId="Tablaconcuadrcula">
    <w:name w:val="Table Grid"/>
    <w:basedOn w:val="Tablanormal"/>
    <w:uiPriority w:val="59"/>
    <w:rsid w:val="008900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0622C"/>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basedOn w:val="Fuentedeprrafopredeter"/>
    <w:uiPriority w:val="99"/>
    <w:unhideWhenUsed/>
    <w:rsid w:val="001D5897"/>
    <w:rPr>
      <w:color w:val="0563C1" w:themeColor="hyperlink"/>
      <w:u w:val="single"/>
    </w:rPr>
  </w:style>
  <w:style w:type="character" w:customStyle="1" w:styleId="TextocomentarioCar">
    <w:name w:val="Texto comentario Car"/>
    <w:basedOn w:val="Fuentedeprrafopredeter"/>
    <w:link w:val="Textocomentario"/>
    <w:uiPriority w:val="99"/>
    <w:semiHidden/>
    <w:rsid w:val="001D5897"/>
    <w:rPr>
      <w:rFonts w:ascii="Cambria" w:eastAsia="Cambria" w:hAnsi="Cambria"/>
      <w:lang w:val="es-ES_tradnl" w:eastAsia="en-US"/>
    </w:rPr>
  </w:style>
  <w:style w:type="paragraph" w:styleId="Textocomentario">
    <w:name w:val="annotation text"/>
    <w:basedOn w:val="Normal"/>
    <w:link w:val="TextocomentarioCar"/>
    <w:uiPriority w:val="99"/>
    <w:semiHidden/>
    <w:unhideWhenUsed/>
    <w:rsid w:val="001D5897"/>
    <w:pPr>
      <w:spacing w:line="240" w:lineRule="auto"/>
    </w:pPr>
    <w:rPr>
      <w:rFonts w:ascii="Cambria" w:eastAsia="Cambria" w:hAnsi="Cambria"/>
      <w:sz w:val="20"/>
      <w:szCs w:val="20"/>
      <w:lang w:val="es-ES_tradnl"/>
    </w:rPr>
  </w:style>
  <w:style w:type="character" w:customStyle="1" w:styleId="AsuntodelcomentarioCar">
    <w:name w:val="Asunto del comentario Car"/>
    <w:basedOn w:val="TextocomentarioCar"/>
    <w:link w:val="Asuntodelcomentario"/>
    <w:uiPriority w:val="99"/>
    <w:semiHidden/>
    <w:rsid w:val="001D5897"/>
    <w:rPr>
      <w:rFonts w:ascii="Cambria" w:eastAsia="Cambria" w:hAnsi="Cambria"/>
      <w:b/>
      <w:bCs/>
      <w:lang w:val="es-ES_tradnl" w:eastAsia="en-US"/>
    </w:rPr>
  </w:style>
  <w:style w:type="paragraph" w:styleId="Asuntodelcomentario">
    <w:name w:val="annotation subject"/>
    <w:basedOn w:val="Textocomentario"/>
    <w:next w:val="Textocomentario"/>
    <w:link w:val="AsuntodelcomentarioCar"/>
    <w:uiPriority w:val="99"/>
    <w:semiHidden/>
    <w:unhideWhenUsed/>
    <w:rsid w:val="001D5897"/>
    <w:rPr>
      <w:b/>
      <w:bCs/>
    </w:rPr>
  </w:style>
  <w:style w:type="paragraph" w:customStyle="1" w:styleId="xl113">
    <w:name w:val="xl113"/>
    <w:basedOn w:val="Normal"/>
    <w:rsid w:val="001D5897"/>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114">
    <w:name w:val="xl114"/>
    <w:basedOn w:val="Normal"/>
    <w:rsid w:val="001D5897"/>
    <w:pPr>
      <w:pBdr>
        <w:top w:val="single" w:sz="4" w:space="0" w:color="auto"/>
      </w:pBdr>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115">
    <w:name w:val="xl115"/>
    <w:basedOn w:val="Normal"/>
    <w:rsid w:val="001D5897"/>
    <w:pPr>
      <w:spacing w:before="100" w:beforeAutospacing="1" w:after="100" w:afterAutospacing="1" w:line="240" w:lineRule="auto"/>
    </w:pPr>
    <w:rPr>
      <w:rFonts w:ascii="Times New Roman" w:eastAsia="Times New Roman" w:hAnsi="Times New Roman"/>
      <w:sz w:val="14"/>
      <w:szCs w:val="14"/>
      <w:lang w:eastAsia="es-MX"/>
    </w:rPr>
  </w:style>
  <w:style w:type="paragraph" w:customStyle="1" w:styleId="xl116">
    <w:name w:val="xl116"/>
    <w:basedOn w:val="Normal"/>
    <w:rsid w:val="001D5897"/>
    <w:pPr>
      <w:spacing w:before="100" w:beforeAutospacing="1" w:after="100" w:afterAutospacing="1" w:line="240" w:lineRule="auto"/>
    </w:pPr>
    <w:rPr>
      <w:rFonts w:ascii="Times New Roman" w:eastAsia="Times New Roman" w:hAnsi="Times New Roman"/>
      <w:sz w:val="14"/>
      <w:szCs w:val="14"/>
      <w:lang w:eastAsia="es-MX"/>
    </w:rPr>
  </w:style>
  <w:style w:type="paragraph" w:customStyle="1" w:styleId="xl117">
    <w:name w:val="xl117"/>
    <w:basedOn w:val="Normal"/>
    <w:rsid w:val="001D5897"/>
    <w:pPr>
      <w:pBdr>
        <w:left w:val="single" w:sz="4" w:space="0" w:color="auto"/>
      </w:pBdr>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118">
    <w:name w:val="xl118"/>
    <w:basedOn w:val="Normal"/>
    <w:rsid w:val="001D5897"/>
    <w:pPr>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119">
    <w:name w:val="xl119"/>
    <w:basedOn w:val="Normal"/>
    <w:rsid w:val="001D5897"/>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120">
    <w:name w:val="xl120"/>
    <w:basedOn w:val="Normal"/>
    <w:rsid w:val="001D5897"/>
    <w:pPr>
      <w:pBdr>
        <w:bottom w:val="single" w:sz="4" w:space="0" w:color="auto"/>
      </w:pBdr>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121">
    <w:name w:val="xl121"/>
    <w:basedOn w:val="Normal"/>
    <w:rsid w:val="001D5897"/>
    <w:pPr>
      <w:pBdr>
        <w:top w:val="single" w:sz="4" w:space="0" w:color="auto"/>
        <w:left w:val="single" w:sz="4" w:space="0" w:color="auto"/>
        <w:bottom w:val="single" w:sz="4" w:space="0" w:color="auto"/>
      </w:pBdr>
      <w:shd w:val="clear" w:color="000000" w:fill="990033"/>
      <w:spacing w:before="100" w:beforeAutospacing="1" w:after="100" w:afterAutospacing="1" w:line="240" w:lineRule="auto"/>
      <w:jc w:val="center"/>
      <w:textAlignment w:val="center"/>
    </w:pPr>
    <w:rPr>
      <w:rFonts w:ascii="Arial" w:eastAsia="Times New Roman" w:hAnsi="Arial" w:cs="Arial"/>
      <w:b/>
      <w:bCs/>
      <w:color w:val="FFFFFF"/>
      <w:sz w:val="14"/>
      <w:szCs w:val="14"/>
      <w:lang w:eastAsia="es-MX"/>
    </w:rPr>
  </w:style>
  <w:style w:type="paragraph" w:customStyle="1" w:styleId="xl122">
    <w:name w:val="xl122"/>
    <w:basedOn w:val="Normal"/>
    <w:rsid w:val="001D5897"/>
    <w:pPr>
      <w:pBdr>
        <w:top w:val="single" w:sz="4" w:space="0" w:color="auto"/>
        <w:left w:val="single" w:sz="4" w:space="0" w:color="auto"/>
        <w:right w:val="single" w:sz="4" w:space="0" w:color="auto"/>
      </w:pBdr>
      <w:shd w:val="clear" w:color="000000" w:fill="990033"/>
      <w:spacing w:before="100" w:beforeAutospacing="1" w:after="100" w:afterAutospacing="1" w:line="240" w:lineRule="auto"/>
      <w:jc w:val="center"/>
      <w:textAlignment w:val="center"/>
    </w:pPr>
    <w:rPr>
      <w:rFonts w:ascii="Times New Roman" w:eastAsia="Times New Roman" w:hAnsi="Times New Roman"/>
      <w:b/>
      <w:bCs/>
      <w:color w:val="FFFFFF"/>
      <w:sz w:val="14"/>
      <w:szCs w:val="14"/>
      <w:lang w:eastAsia="es-MX"/>
    </w:rPr>
  </w:style>
  <w:style w:type="paragraph" w:customStyle="1" w:styleId="xl123">
    <w:name w:val="xl123"/>
    <w:basedOn w:val="Normal"/>
    <w:rsid w:val="001D5897"/>
    <w:pPr>
      <w:pBdr>
        <w:left w:val="single" w:sz="4" w:space="0" w:color="auto"/>
        <w:bottom w:val="single" w:sz="4" w:space="0" w:color="auto"/>
        <w:right w:val="single" w:sz="4" w:space="0" w:color="auto"/>
      </w:pBdr>
      <w:shd w:val="clear" w:color="000000" w:fill="990033"/>
      <w:spacing w:before="100" w:beforeAutospacing="1" w:after="100" w:afterAutospacing="1" w:line="240" w:lineRule="auto"/>
      <w:jc w:val="center"/>
      <w:textAlignment w:val="center"/>
    </w:pPr>
    <w:rPr>
      <w:rFonts w:ascii="Times New Roman" w:eastAsia="Times New Roman" w:hAnsi="Times New Roman"/>
      <w:b/>
      <w:bCs/>
      <w:color w:val="FFFFFF"/>
      <w:sz w:val="14"/>
      <w:szCs w:val="14"/>
      <w:lang w:eastAsia="es-MX"/>
    </w:rPr>
  </w:style>
  <w:style w:type="paragraph" w:customStyle="1" w:styleId="xl124">
    <w:name w:val="xl124"/>
    <w:basedOn w:val="Normal"/>
    <w:rsid w:val="001D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4"/>
      <w:szCs w:val="14"/>
      <w:lang w:eastAsia="es-MX"/>
    </w:rPr>
  </w:style>
  <w:style w:type="paragraph" w:customStyle="1" w:styleId="xl125">
    <w:name w:val="xl125"/>
    <w:basedOn w:val="Normal"/>
    <w:rsid w:val="001D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4"/>
      <w:szCs w:val="14"/>
      <w:lang w:eastAsia="es-MX"/>
    </w:rPr>
  </w:style>
  <w:style w:type="paragraph" w:customStyle="1" w:styleId="xl126">
    <w:name w:val="xl126"/>
    <w:basedOn w:val="Normal"/>
    <w:rsid w:val="001D5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es-MX"/>
    </w:rPr>
  </w:style>
  <w:style w:type="paragraph" w:customStyle="1" w:styleId="xl127">
    <w:name w:val="xl127"/>
    <w:basedOn w:val="Normal"/>
    <w:rsid w:val="001D5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14"/>
      <w:szCs w:val="14"/>
      <w:lang w:eastAsia="es-MX"/>
    </w:rPr>
  </w:style>
  <w:style w:type="paragraph" w:customStyle="1" w:styleId="xl128">
    <w:name w:val="xl128"/>
    <w:basedOn w:val="Normal"/>
    <w:rsid w:val="001D5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4"/>
      <w:szCs w:val="14"/>
      <w:lang w:eastAsia="es-MX"/>
    </w:rPr>
  </w:style>
  <w:style w:type="paragraph" w:customStyle="1" w:styleId="xl129">
    <w:name w:val="xl129"/>
    <w:basedOn w:val="Normal"/>
    <w:rsid w:val="001D5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4"/>
      <w:szCs w:val="14"/>
      <w:lang w:eastAsia="es-MX"/>
    </w:rPr>
  </w:style>
  <w:style w:type="paragraph" w:customStyle="1" w:styleId="xl130">
    <w:name w:val="xl130"/>
    <w:basedOn w:val="Normal"/>
    <w:rsid w:val="001D5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4"/>
      <w:szCs w:val="14"/>
      <w:lang w:eastAsia="es-MX"/>
    </w:rPr>
  </w:style>
  <w:style w:type="paragraph" w:customStyle="1" w:styleId="xl131">
    <w:name w:val="xl131"/>
    <w:basedOn w:val="Normal"/>
    <w:rsid w:val="001D5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4"/>
      <w:szCs w:val="14"/>
      <w:lang w:eastAsia="es-MX"/>
    </w:rPr>
  </w:style>
  <w:style w:type="paragraph" w:customStyle="1" w:styleId="xl132">
    <w:name w:val="xl132"/>
    <w:basedOn w:val="Normal"/>
    <w:rsid w:val="001D5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4"/>
      <w:szCs w:val="14"/>
      <w:lang w:eastAsia="es-MX"/>
    </w:rPr>
  </w:style>
  <w:style w:type="paragraph" w:customStyle="1" w:styleId="xl133">
    <w:name w:val="xl133"/>
    <w:basedOn w:val="Normal"/>
    <w:rsid w:val="001D5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4"/>
      <w:szCs w:val="14"/>
      <w:lang w:eastAsia="es-MX"/>
    </w:rPr>
  </w:style>
  <w:style w:type="paragraph" w:customStyle="1" w:styleId="xl134">
    <w:name w:val="xl134"/>
    <w:basedOn w:val="Normal"/>
    <w:rsid w:val="001D5897"/>
    <w:pPr>
      <w:pBdr>
        <w:top w:val="single" w:sz="4" w:space="0" w:color="auto"/>
        <w:left w:val="single" w:sz="4" w:space="0" w:color="auto"/>
        <w:bottom w:val="single" w:sz="4" w:space="0" w:color="auto"/>
        <w:right w:val="single" w:sz="4" w:space="0" w:color="auto"/>
      </w:pBdr>
      <w:shd w:val="clear" w:color="000000" w:fill="800000"/>
      <w:spacing w:before="100" w:beforeAutospacing="1" w:after="100" w:afterAutospacing="1" w:line="240" w:lineRule="auto"/>
      <w:textAlignment w:val="top"/>
    </w:pPr>
    <w:rPr>
      <w:rFonts w:ascii="Arial" w:eastAsia="Times New Roman" w:hAnsi="Arial" w:cs="Arial"/>
      <w:b/>
      <w:bCs/>
      <w:color w:val="FFFFFF"/>
      <w:sz w:val="14"/>
      <w:szCs w:val="14"/>
      <w:lang w:eastAsia="es-MX"/>
    </w:rPr>
  </w:style>
  <w:style w:type="paragraph" w:customStyle="1" w:styleId="xl135">
    <w:name w:val="xl135"/>
    <w:basedOn w:val="Normal"/>
    <w:rsid w:val="001D5897"/>
    <w:pPr>
      <w:pBdr>
        <w:top w:val="single" w:sz="4" w:space="0" w:color="auto"/>
        <w:left w:val="single" w:sz="4" w:space="0" w:color="auto"/>
        <w:bottom w:val="single" w:sz="4" w:space="0" w:color="auto"/>
        <w:right w:val="single" w:sz="4" w:space="0" w:color="auto"/>
      </w:pBdr>
      <w:shd w:val="clear" w:color="000000" w:fill="800000"/>
      <w:spacing w:before="100" w:beforeAutospacing="1" w:after="100" w:afterAutospacing="1" w:line="240" w:lineRule="auto"/>
      <w:jc w:val="right"/>
      <w:textAlignment w:val="top"/>
    </w:pPr>
    <w:rPr>
      <w:rFonts w:ascii="Arial" w:eastAsia="Times New Roman" w:hAnsi="Arial" w:cs="Arial"/>
      <w:b/>
      <w:bCs/>
      <w:color w:val="FFFFFF"/>
      <w:sz w:val="14"/>
      <w:szCs w:val="14"/>
      <w:lang w:eastAsia="es-MX"/>
    </w:rPr>
  </w:style>
  <w:style w:type="paragraph" w:customStyle="1" w:styleId="xl136">
    <w:name w:val="xl136"/>
    <w:basedOn w:val="Normal"/>
    <w:rsid w:val="001D5897"/>
    <w:pPr>
      <w:spacing w:before="100" w:beforeAutospacing="1" w:after="100" w:afterAutospacing="1" w:line="240" w:lineRule="auto"/>
      <w:textAlignment w:val="center"/>
    </w:pPr>
    <w:rPr>
      <w:rFonts w:ascii="Times New Roman" w:eastAsia="Times New Roman" w:hAnsi="Times New Roman"/>
      <w:sz w:val="14"/>
      <w:szCs w:val="14"/>
      <w:lang w:eastAsia="es-MX"/>
    </w:rPr>
  </w:style>
  <w:style w:type="paragraph" w:customStyle="1" w:styleId="xl137">
    <w:name w:val="xl137"/>
    <w:basedOn w:val="Normal"/>
    <w:rsid w:val="001D5897"/>
    <w:pPr>
      <w:spacing w:before="100" w:beforeAutospacing="1" w:after="100" w:afterAutospacing="1" w:line="240" w:lineRule="auto"/>
      <w:textAlignment w:val="center"/>
    </w:pPr>
    <w:rPr>
      <w:rFonts w:ascii="Times New Roman" w:eastAsia="Times New Roman" w:hAnsi="Times New Roman"/>
      <w:sz w:val="14"/>
      <w:szCs w:val="14"/>
      <w:lang w:eastAsia="es-MX"/>
    </w:rPr>
  </w:style>
  <w:style w:type="paragraph" w:customStyle="1" w:styleId="xl138">
    <w:name w:val="xl138"/>
    <w:basedOn w:val="Normal"/>
    <w:rsid w:val="001D5897"/>
    <w:pPr>
      <w:spacing w:before="100" w:beforeAutospacing="1" w:after="100" w:afterAutospacing="1" w:line="240" w:lineRule="auto"/>
    </w:pPr>
    <w:rPr>
      <w:rFonts w:ascii="Times New Roman" w:eastAsia="Times New Roman" w:hAnsi="Times New Roman"/>
      <w:color w:val="000000"/>
      <w:sz w:val="14"/>
      <w:szCs w:val="14"/>
      <w:lang w:eastAsia="es-MX"/>
    </w:rPr>
  </w:style>
  <w:style w:type="paragraph" w:customStyle="1" w:styleId="xl139">
    <w:name w:val="xl139"/>
    <w:basedOn w:val="Normal"/>
    <w:rsid w:val="001D5897"/>
    <w:pPr>
      <w:spacing w:before="100" w:beforeAutospacing="1" w:after="100" w:afterAutospacing="1" w:line="240" w:lineRule="auto"/>
      <w:jc w:val="center"/>
      <w:textAlignment w:val="center"/>
    </w:pPr>
    <w:rPr>
      <w:rFonts w:ascii="Times New Roman" w:eastAsia="Times New Roman" w:hAnsi="Times New Roman"/>
      <w:sz w:val="14"/>
      <w:szCs w:val="14"/>
      <w:lang w:eastAsia="es-MX"/>
    </w:rPr>
  </w:style>
  <w:style w:type="paragraph" w:customStyle="1" w:styleId="xl140">
    <w:name w:val="xl140"/>
    <w:basedOn w:val="Normal"/>
    <w:rsid w:val="001D5897"/>
    <w:pPr>
      <w:spacing w:before="100" w:beforeAutospacing="1" w:after="100" w:afterAutospacing="1" w:line="240" w:lineRule="auto"/>
      <w:textAlignment w:val="center"/>
    </w:pPr>
    <w:rPr>
      <w:rFonts w:ascii="Times New Roman" w:eastAsia="Times New Roman" w:hAnsi="Times New Roman"/>
      <w:sz w:val="14"/>
      <w:szCs w:val="14"/>
      <w:lang w:eastAsia="es-MX"/>
    </w:rPr>
  </w:style>
  <w:style w:type="paragraph" w:customStyle="1" w:styleId="xl141">
    <w:name w:val="xl141"/>
    <w:basedOn w:val="Normal"/>
    <w:rsid w:val="001D5897"/>
    <w:pPr>
      <w:spacing w:before="100" w:beforeAutospacing="1" w:after="100" w:afterAutospacing="1" w:line="240" w:lineRule="auto"/>
      <w:jc w:val="center"/>
      <w:textAlignment w:val="center"/>
    </w:pPr>
    <w:rPr>
      <w:rFonts w:ascii="Times New Roman" w:eastAsia="Times New Roman" w:hAnsi="Times New Roman"/>
      <w:sz w:val="14"/>
      <w:szCs w:val="14"/>
      <w:lang w:eastAsia="es-MX"/>
    </w:rPr>
  </w:style>
  <w:style w:type="paragraph" w:customStyle="1" w:styleId="xl142">
    <w:name w:val="xl142"/>
    <w:basedOn w:val="Normal"/>
    <w:rsid w:val="001D5897"/>
    <w:pPr>
      <w:spacing w:before="100" w:beforeAutospacing="1" w:after="100" w:afterAutospacing="1" w:line="240" w:lineRule="auto"/>
    </w:pPr>
    <w:rPr>
      <w:rFonts w:ascii="Times New Roman" w:eastAsia="Times New Roman" w:hAnsi="Times New Roman"/>
      <w:sz w:val="14"/>
      <w:szCs w:val="14"/>
      <w:lang w:eastAsia="es-MX"/>
    </w:rPr>
  </w:style>
  <w:style w:type="character" w:styleId="Refdecomentario">
    <w:name w:val="annotation reference"/>
    <w:basedOn w:val="Fuentedeprrafopredeter"/>
    <w:uiPriority w:val="99"/>
    <w:semiHidden/>
    <w:unhideWhenUsed/>
    <w:rsid w:val="005069FD"/>
    <w:rPr>
      <w:sz w:val="16"/>
      <w:szCs w:val="16"/>
    </w:rPr>
  </w:style>
  <w:style w:type="character" w:styleId="Hipervnculovisitado">
    <w:name w:val="FollowedHyperlink"/>
    <w:basedOn w:val="Fuentedeprrafopredeter"/>
    <w:uiPriority w:val="99"/>
    <w:semiHidden/>
    <w:unhideWhenUsed/>
    <w:rsid w:val="005069F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table" w:styleId="Tablaconcuadrcula">
    <w:name w:val="Table Grid"/>
    <w:basedOn w:val="Tablanormal"/>
    <w:uiPriority w:val="59"/>
    <w:rsid w:val="008900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0622C"/>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basedOn w:val="Fuentedeprrafopredeter"/>
    <w:uiPriority w:val="99"/>
    <w:unhideWhenUsed/>
    <w:rsid w:val="001D5897"/>
    <w:rPr>
      <w:color w:val="0563C1" w:themeColor="hyperlink"/>
      <w:u w:val="single"/>
    </w:rPr>
  </w:style>
  <w:style w:type="character" w:customStyle="1" w:styleId="TextocomentarioCar">
    <w:name w:val="Texto comentario Car"/>
    <w:basedOn w:val="Fuentedeprrafopredeter"/>
    <w:link w:val="Textocomentario"/>
    <w:uiPriority w:val="99"/>
    <w:semiHidden/>
    <w:rsid w:val="001D5897"/>
    <w:rPr>
      <w:rFonts w:ascii="Cambria" w:eastAsia="Cambria" w:hAnsi="Cambria"/>
      <w:lang w:val="es-ES_tradnl" w:eastAsia="en-US"/>
    </w:rPr>
  </w:style>
  <w:style w:type="paragraph" w:styleId="Textocomentario">
    <w:name w:val="annotation text"/>
    <w:basedOn w:val="Normal"/>
    <w:link w:val="TextocomentarioCar"/>
    <w:uiPriority w:val="99"/>
    <w:semiHidden/>
    <w:unhideWhenUsed/>
    <w:rsid w:val="001D5897"/>
    <w:pPr>
      <w:spacing w:line="240" w:lineRule="auto"/>
    </w:pPr>
    <w:rPr>
      <w:rFonts w:ascii="Cambria" w:eastAsia="Cambria" w:hAnsi="Cambria"/>
      <w:sz w:val="20"/>
      <w:szCs w:val="20"/>
      <w:lang w:val="es-ES_tradnl"/>
    </w:rPr>
  </w:style>
  <w:style w:type="character" w:customStyle="1" w:styleId="AsuntodelcomentarioCar">
    <w:name w:val="Asunto del comentario Car"/>
    <w:basedOn w:val="TextocomentarioCar"/>
    <w:link w:val="Asuntodelcomentario"/>
    <w:uiPriority w:val="99"/>
    <w:semiHidden/>
    <w:rsid w:val="001D5897"/>
    <w:rPr>
      <w:rFonts w:ascii="Cambria" w:eastAsia="Cambria" w:hAnsi="Cambria"/>
      <w:b/>
      <w:bCs/>
      <w:lang w:val="es-ES_tradnl" w:eastAsia="en-US"/>
    </w:rPr>
  </w:style>
  <w:style w:type="paragraph" w:styleId="Asuntodelcomentario">
    <w:name w:val="annotation subject"/>
    <w:basedOn w:val="Textocomentario"/>
    <w:next w:val="Textocomentario"/>
    <w:link w:val="AsuntodelcomentarioCar"/>
    <w:uiPriority w:val="99"/>
    <w:semiHidden/>
    <w:unhideWhenUsed/>
    <w:rsid w:val="001D5897"/>
    <w:rPr>
      <w:b/>
      <w:bCs/>
    </w:rPr>
  </w:style>
  <w:style w:type="paragraph" w:customStyle="1" w:styleId="xl113">
    <w:name w:val="xl113"/>
    <w:basedOn w:val="Normal"/>
    <w:rsid w:val="001D5897"/>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114">
    <w:name w:val="xl114"/>
    <w:basedOn w:val="Normal"/>
    <w:rsid w:val="001D5897"/>
    <w:pPr>
      <w:pBdr>
        <w:top w:val="single" w:sz="4" w:space="0" w:color="auto"/>
      </w:pBdr>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115">
    <w:name w:val="xl115"/>
    <w:basedOn w:val="Normal"/>
    <w:rsid w:val="001D5897"/>
    <w:pPr>
      <w:spacing w:before="100" w:beforeAutospacing="1" w:after="100" w:afterAutospacing="1" w:line="240" w:lineRule="auto"/>
    </w:pPr>
    <w:rPr>
      <w:rFonts w:ascii="Times New Roman" w:eastAsia="Times New Roman" w:hAnsi="Times New Roman"/>
      <w:sz w:val="14"/>
      <w:szCs w:val="14"/>
      <w:lang w:eastAsia="es-MX"/>
    </w:rPr>
  </w:style>
  <w:style w:type="paragraph" w:customStyle="1" w:styleId="xl116">
    <w:name w:val="xl116"/>
    <w:basedOn w:val="Normal"/>
    <w:rsid w:val="001D5897"/>
    <w:pPr>
      <w:spacing w:before="100" w:beforeAutospacing="1" w:after="100" w:afterAutospacing="1" w:line="240" w:lineRule="auto"/>
    </w:pPr>
    <w:rPr>
      <w:rFonts w:ascii="Times New Roman" w:eastAsia="Times New Roman" w:hAnsi="Times New Roman"/>
      <w:sz w:val="14"/>
      <w:szCs w:val="14"/>
      <w:lang w:eastAsia="es-MX"/>
    </w:rPr>
  </w:style>
  <w:style w:type="paragraph" w:customStyle="1" w:styleId="xl117">
    <w:name w:val="xl117"/>
    <w:basedOn w:val="Normal"/>
    <w:rsid w:val="001D5897"/>
    <w:pPr>
      <w:pBdr>
        <w:left w:val="single" w:sz="4" w:space="0" w:color="auto"/>
      </w:pBdr>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118">
    <w:name w:val="xl118"/>
    <w:basedOn w:val="Normal"/>
    <w:rsid w:val="001D5897"/>
    <w:pPr>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119">
    <w:name w:val="xl119"/>
    <w:basedOn w:val="Normal"/>
    <w:rsid w:val="001D5897"/>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120">
    <w:name w:val="xl120"/>
    <w:basedOn w:val="Normal"/>
    <w:rsid w:val="001D5897"/>
    <w:pPr>
      <w:pBdr>
        <w:bottom w:val="single" w:sz="4" w:space="0" w:color="auto"/>
      </w:pBdr>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121">
    <w:name w:val="xl121"/>
    <w:basedOn w:val="Normal"/>
    <w:rsid w:val="001D5897"/>
    <w:pPr>
      <w:pBdr>
        <w:top w:val="single" w:sz="4" w:space="0" w:color="auto"/>
        <w:left w:val="single" w:sz="4" w:space="0" w:color="auto"/>
        <w:bottom w:val="single" w:sz="4" w:space="0" w:color="auto"/>
      </w:pBdr>
      <w:shd w:val="clear" w:color="000000" w:fill="990033"/>
      <w:spacing w:before="100" w:beforeAutospacing="1" w:after="100" w:afterAutospacing="1" w:line="240" w:lineRule="auto"/>
      <w:jc w:val="center"/>
      <w:textAlignment w:val="center"/>
    </w:pPr>
    <w:rPr>
      <w:rFonts w:ascii="Arial" w:eastAsia="Times New Roman" w:hAnsi="Arial" w:cs="Arial"/>
      <w:b/>
      <w:bCs/>
      <w:color w:val="FFFFFF"/>
      <w:sz w:val="14"/>
      <w:szCs w:val="14"/>
      <w:lang w:eastAsia="es-MX"/>
    </w:rPr>
  </w:style>
  <w:style w:type="paragraph" w:customStyle="1" w:styleId="xl122">
    <w:name w:val="xl122"/>
    <w:basedOn w:val="Normal"/>
    <w:rsid w:val="001D5897"/>
    <w:pPr>
      <w:pBdr>
        <w:top w:val="single" w:sz="4" w:space="0" w:color="auto"/>
        <w:left w:val="single" w:sz="4" w:space="0" w:color="auto"/>
        <w:right w:val="single" w:sz="4" w:space="0" w:color="auto"/>
      </w:pBdr>
      <w:shd w:val="clear" w:color="000000" w:fill="990033"/>
      <w:spacing w:before="100" w:beforeAutospacing="1" w:after="100" w:afterAutospacing="1" w:line="240" w:lineRule="auto"/>
      <w:jc w:val="center"/>
      <w:textAlignment w:val="center"/>
    </w:pPr>
    <w:rPr>
      <w:rFonts w:ascii="Times New Roman" w:eastAsia="Times New Roman" w:hAnsi="Times New Roman"/>
      <w:b/>
      <w:bCs/>
      <w:color w:val="FFFFFF"/>
      <w:sz w:val="14"/>
      <w:szCs w:val="14"/>
      <w:lang w:eastAsia="es-MX"/>
    </w:rPr>
  </w:style>
  <w:style w:type="paragraph" w:customStyle="1" w:styleId="xl123">
    <w:name w:val="xl123"/>
    <w:basedOn w:val="Normal"/>
    <w:rsid w:val="001D5897"/>
    <w:pPr>
      <w:pBdr>
        <w:left w:val="single" w:sz="4" w:space="0" w:color="auto"/>
        <w:bottom w:val="single" w:sz="4" w:space="0" w:color="auto"/>
        <w:right w:val="single" w:sz="4" w:space="0" w:color="auto"/>
      </w:pBdr>
      <w:shd w:val="clear" w:color="000000" w:fill="990033"/>
      <w:spacing w:before="100" w:beforeAutospacing="1" w:after="100" w:afterAutospacing="1" w:line="240" w:lineRule="auto"/>
      <w:jc w:val="center"/>
      <w:textAlignment w:val="center"/>
    </w:pPr>
    <w:rPr>
      <w:rFonts w:ascii="Times New Roman" w:eastAsia="Times New Roman" w:hAnsi="Times New Roman"/>
      <w:b/>
      <w:bCs/>
      <w:color w:val="FFFFFF"/>
      <w:sz w:val="14"/>
      <w:szCs w:val="14"/>
      <w:lang w:eastAsia="es-MX"/>
    </w:rPr>
  </w:style>
  <w:style w:type="paragraph" w:customStyle="1" w:styleId="xl124">
    <w:name w:val="xl124"/>
    <w:basedOn w:val="Normal"/>
    <w:rsid w:val="001D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4"/>
      <w:szCs w:val="14"/>
      <w:lang w:eastAsia="es-MX"/>
    </w:rPr>
  </w:style>
  <w:style w:type="paragraph" w:customStyle="1" w:styleId="xl125">
    <w:name w:val="xl125"/>
    <w:basedOn w:val="Normal"/>
    <w:rsid w:val="001D5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4"/>
      <w:szCs w:val="14"/>
      <w:lang w:eastAsia="es-MX"/>
    </w:rPr>
  </w:style>
  <w:style w:type="paragraph" w:customStyle="1" w:styleId="xl126">
    <w:name w:val="xl126"/>
    <w:basedOn w:val="Normal"/>
    <w:rsid w:val="001D5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es-MX"/>
    </w:rPr>
  </w:style>
  <w:style w:type="paragraph" w:customStyle="1" w:styleId="xl127">
    <w:name w:val="xl127"/>
    <w:basedOn w:val="Normal"/>
    <w:rsid w:val="001D5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14"/>
      <w:szCs w:val="14"/>
      <w:lang w:eastAsia="es-MX"/>
    </w:rPr>
  </w:style>
  <w:style w:type="paragraph" w:customStyle="1" w:styleId="xl128">
    <w:name w:val="xl128"/>
    <w:basedOn w:val="Normal"/>
    <w:rsid w:val="001D5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4"/>
      <w:szCs w:val="14"/>
      <w:lang w:eastAsia="es-MX"/>
    </w:rPr>
  </w:style>
  <w:style w:type="paragraph" w:customStyle="1" w:styleId="xl129">
    <w:name w:val="xl129"/>
    <w:basedOn w:val="Normal"/>
    <w:rsid w:val="001D5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4"/>
      <w:szCs w:val="14"/>
      <w:lang w:eastAsia="es-MX"/>
    </w:rPr>
  </w:style>
  <w:style w:type="paragraph" w:customStyle="1" w:styleId="xl130">
    <w:name w:val="xl130"/>
    <w:basedOn w:val="Normal"/>
    <w:rsid w:val="001D5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4"/>
      <w:szCs w:val="14"/>
      <w:lang w:eastAsia="es-MX"/>
    </w:rPr>
  </w:style>
  <w:style w:type="paragraph" w:customStyle="1" w:styleId="xl131">
    <w:name w:val="xl131"/>
    <w:basedOn w:val="Normal"/>
    <w:rsid w:val="001D5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4"/>
      <w:szCs w:val="14"/>
      <w:lang w:eastAsia="es-MX"/>
    </w:rPr>
  </w:style>
  <w:style w:type="paragraph" w:customStyle="1" w:styleId="xl132">
    <w:name w:val="xl132"/>
    <w:basedOn w:val="Normal"/>
    <w:rsid w:val="001D5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4"/>
      <w:szCs w:val="14"/>
      <w:lang w:eastAsia="es-MX"/>
    </w:rPr>
  </w:style>
  <w:style w:type="paragraph" w:customStyle="1" w:styleId="xl133">
    <w:name w:val="xl133"/>
    <w:basedOn w:val="Normal"/>
    <w:rsid w:val="001D5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4"/>
      <w:szCs w:val="14"/>
      <w:lang w:eastAsia="es-MX"/>
    </w:rPr>
  </w:style>
  <w:style w:type="paragraph" w:customStyle="1" w:styleId="xl134">
    <w:name w:val="xl134"/>
    <w:basedOn w:val="Normal"/>
    <w:rsid w:val="001D5897"/>
    <w:pPr>
      <w:pBdr>
        <w:top w:val="single" w:sz="4" w:space="0" w:color="auto"/>
        <w:left w:val="single" w:sz="4" w:space="0" w:color="auto"/>
        <w:bottom w:val="single" w:sz="4" w:space="0" w:color="auto"/>
        <w:right w:val="single" w:sz="4" w:space="0" w:color="auto"/>
      </w:pBdr>
      <w:shd w:val="clear" w:color="000000" w:fill="800000"/>
      <w:spacing w:before="100" w:beforeAutospacing="1" w:after="100" w:afterAutospacing="1" w:line="240" w:lineRule="auto"/>
      <w:textAlignment w:val="top"/>
    </w:pPr>
    <w:rPr>
      <w:rFonts w:ascii="Arial" w:eastAsia="Times New Roman" w:hAnsi="Arial" w:cs="Arial"/>
      <w:b/>
      <w:bCs/>
      <w:color w:val="FFFFFF"/>
      <w:sz w:val="14"/>
      <w:szCs w:val="14"/>
      <w:lang w:eastAsia="es-MX"/>
    </w:rPr>
  </w:style>
  <w:style w:type="paragraph" w:customStyle="1" w:styleId="xl135">
    <w:name w:val="xl135"/>
    <w:basedOn w:val="Normal"/>
    <w:rsid w:val="001D5897"/>
    <w:pPr>
      <w:pBdr>
        <w:top w:val="single" w:sz="4" w:space="0" w:color="auto"/>
        <w:left w:val="single" w:sz="4" w:space="0" w:color="auto"/>
        <w:bottom w:val="single" w:sz="4" w:space="0" w:color="auto"/>
        <w:right w:val="single" w:sz="4" w:space="0" w:color="auto"/>
      </w:pBdr>
      <w:shd w:val="clear" w:color="000000" w:fill="800000"/>
      <w:spacing w:before="100" w:beforeAutospacing="1" w:after="100" w:afterAutospacing="1" w:line="240" w:lineRule="auto"/>
      <w:jc w:val="right"/>
      <w:textAlignment w:val="top"/>
    </w:pPr>
    <w:rPr>
      <w:rFonts w:ascii="Arial" w:eastAsia="Times New Roman" w:hAnsi="Arial" w:cs="Arial"/>
      <w:b/>
      <w:bCs/>
      <w:color w:val="FFFFFF"/>
      <w:sz w:val="14"/>
      <w:szCs w:val="14"/>
      <w:lang w:eastAsia="es-MX"/>
    </w:rPr>
  </w:style>
  <w:style w:type="paragraph" w:customStyle="1" w:styleId="xl136">
    <w:name w:val="xl136"/>
    <w:basedOn w:val="Normal"/>
    <w:rsid w:val="001D5897"/>
    <w:pPr>
      <w:spacing w:before="100" w:beforeAutospacing="1" w:after="100" w:afterAutospacing="1" w:line="240" w:lineRule="auto"/>
      <w:textAlignment w:val="center"/>
    </w:pPr>
    <w:rPr>
      <w:rFonts w:ascii="Times New Roman" w:eastAsia="Times New Roman" w:hAnsi="Times New Roman"/>
      <w:sz w:val="14"/>
      <w:szCs w:val="14"/>
      <w:lang w:eastAsia="es-MX"/>
    </w:rPr>
  </w:style>
  <w:style w:type="paragraph" w:customStyle="1" w:styleId="xl137">
    <w:name w:val="xl137"/>
    <w:basedOn w:val="Normal"/>
    <w:rsid w:val="001D5897"/>
    <w:pPr>
      <w:spacing w:before="100" w:beforeAutospacing="1" w:after="100" w:afterAutospacing="1" w:line="240" w:lineRule="auto"/>
      <w:textAlignment w:val="center"/>
    </w:pPr>
    <w:rPr>
      <w:rFonts w:ascii="Times New Roman" w:eastAsia="Times New Roman" w:hAnsi="Times New Roman"/>
      <w:sz w:val="14"/>
      <w:szCs w:val="14"/>
      <w:lang w:eastAsia="es-MX"/>
    </w:rPr>
  </w:style>
  <w:style w:type="paragraph" w:customStyle="1" w:styleId="xl138">
    <w:name w:val="xl138"/>
    <w:basedOn w:val="Normal"/>
    <w:rsid w:val="001D5897"/>
    <w:pPr>
      <w:spacing w:before="100" w:beforeAutospacing="1" w:after="100" w:afterAutospacing="1" w:line="240" w:lineRule="auto"/>
    </w:pPr>
    <w:rPr>
      <w:rFonts w:ascii="Times New Roman" w:eastAsia="Times New Roman" w:hAnsi="Times New Roman"/>
      <w:color w:val="000000"/>
      <w:sz w:val="14"/>
      <w:szCs w:val="14"/>
      <w:lang w:eastAsia="es-MX"/>
    </w:rPr>
  </w:style>
  <w:style w:type="paragraph" w:customStyle="1" w:styleId="xl139">
    <w:name w:val="xl139"/>
    <w:basedOn w:val="Normal"/>
    <w:rsid w:val="001D5897"/>
    <w:pPr>
      <w:spacing w:before="100" w:beforeAutospacing="1" w:after="100" w:afterAutospacing="1" w:line="240" w:lineRule="auto"/>
      <w:jc w:val="center"/>
      <w:textAlignment w:val="center"/>
    </w:pPr>
    <w:rPr>
      <w:rFonts w:ascii="Times New Roman" w:eastAsia="Times New Roman" w:hAnsi="Times New Roman"/>
      <w:sz w:val="14"/>
      <w:szCs w:val="14"/>
      <w:lang w:eastAsia="es-MX"/>
    </w:rPr>
  </w:style>
  <w:style w:type="paragraph" w:customStyle="1" w:styleId="xl140">
    <w:name w:val="xl140"/>
    <w:basedOn w:val="Normal"/>
    <w:rsid w:val="001D5897"/>
    <w:pPr>
      <w:spacing w:before="100" w:beforeAutospacing="1" w:after="100" w:afterAutospacing="1" w:line="240" w:lineRule="auto"/>
      <w:textAlignment w:val="center"/>
    </w:pPr>
    <w:rPr>
      <w:rFonts w:ascii="Times New Roman" w:eastAsia="Times New Roman" w:hAnsi="Times New Roman"/>
      <w:sz w:val="14"/>
      <w:szCs w:val="14"/>
      <w:lang w:eastAsia="es-MX"/>
    </w:rPr>
  </w:style>
  <w:style w:type="paragraph" w:customStyle="1" w:styleId="xl141">
    <w:name w:val="xl141"/>
    <w:basedOn w:val="Normal"/>
    <w:rsid w:val="001D5897"/>
    <w:pPr>
      <w:spacing w:before="100" w:beforeAutospacing="1" w:after="100" w:afterAutospacing="1" w:line="240" w:lineRule="auto"/>
      <w:jc w:val="center"/>
      <w:textAlignment w:val="center"/>
    </w:pPr>
    <w:rPr>
      <w:rFonts w:ascii="Times New Roman" w:eastAsia="Times New Roman" w:hAnsi="Times New Roman"/>
      <w:sz w:val="14"/>
      <w:szCs w:val="14"/>
      <w:lang w:eastAsia="es-MX"/>
    </w:rPr>
  </w:style>
  <w:style w:type="paragraph" w:customStyle="1" w:styleId="xl142">
    <w:name w:val="xl142"/>
    <w:basedOn w:val="Normal"/>
    <w:rsid w:val="001D5897"/>
    <w:pPr>
      <w:spacing w:before="100" w:beforeAutospacing="1" w:after="100" w:afterAutospacing="1" w:line="240" w:lineRule="auto"/>
    </w:pPr>
    <w:rPr>
      <w:rFonts w:ascii="Times New Roman" w:eastAsia="Times New Roman" w:hAnsi="Times New Roman"/>
      <w:sz w:val="14"/>
      <w:szCs w:val="14"/>
      <w:lang w:eastAsia="es-MX"/>
    </w:rPr>
  </w:style>
  <w:style w:type="character" w:styleId="Refdecomentario">
    <w:name w:val="annotation reference"/>
    <w:basedOn w:val="Fuentedeprrafopredeter"/>
    <w:uiPriority w:val="99"/>
    <w:semiHidden/>
    <w:unhideWhenUsed/>
    <w:rsid w:val="005069FD"/>
    <w:rPr>
      <w:sz w:val="16"/>
      <w:szCs w:val="16"/>
    </w:rPr>
  </w:style>
  <w:style w:type="character" w:styleId="Hipervnculovisitado">
    <w:name w:val="FollowedHyperlink"/>
    <w:basedOn w:val="Fuentedeprrafopredeter"/>
    <w:uiPriority w:val="99"/>
    <w:semiHidden/>
    <w:unhideWhenUsed/>
    <w:rsid w:val="005069F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7531">
      <w:bodyDiv w:val="1"/>
      <w:marLeft w:val="0"/>
      <w:marRight w:val="0"/>
      <w:marTop w:val="0"/>
      <w:marBottom w:val="0"/>
      <w:divBdr>
        <w:top w:val="none" w:sz="0" w:space="0" w:color="auto"/>
        <w:left w:val="none" w:sz="0" w:space="0" w:color="auto"/>
        <w:bottom w:val="none" w:sz="0" w:space="0" w:color="auto"/>
        <w:right w:val="none" w:sz="0" w:space="0" w:color="auto"/>
      </w:divBdr>
    </w:div>
    <w:div w:id="116726642">
      <w:bodyDiv w:val="1"/>
      <w:marLeft w:val="0"/>
      <w:marRight w:val="0"/>
      <w:marTop w:val="0"/>
      <w:marBottom w:val="0"/>
      <w:divBdr>
        <w:top w:val="none" w:sz="0" w:space="0" w:color="auto"/>
        <w:left w:val="none" w:sz="0" w:space="0" w:color="auto"/>
        <w:bottom w:val="none" w:sz="0" w:space="0" w:color="auto"/>
        <w:right w:val="none" w:sz="0" w:space="0" w:color="auto"/>
      </w:divBdr>
    </w:div>
    <w:div w:id="164171359">
      <w:bodyDiv w:val="1"/>
      <w:marLeft w:val="0"/>
      <w:marRight w:val="0"/>
      <w:marTop w:val="0"/>
      <w:marBottom w:val="0"/>
      <w:divBdr>
        <w:top w:val="none" w:sz="0" w:space="0" w:color="auto"/>
        <w:left w:val="none" w:sz="0" w:space="0" w:color="auto"/>
        <w:bottom w:val="none" w:sz="0" w:space="0" w:color="auto"/>
        <w:right w:val="none" w:sz="0" w:space="0" w:color="auto"/>
      </w:divBdr>
    </w:div>
    <w:div w:id="174030474">
      <w:bodyDiv w:val="1"/>
      <w:marLeft w:val="0"/>
      <w:marRight w:val="0"/>
      <w:marTop w:val="0"/>
      <w:marBottom w:val="0"/>
      <w:divBdr>
        <w:top w:val="none" w:sz="0" w:space="0" w:color="auto"/>
        <w:left w:val="none" w:sz="0" w:space="0" w:color="auto"/>
        <w:bottom w:val="none" w:sz="0" w:space="0" w:color="auto"/>
        <w:right w:val="none" w:sz="0" w:space="0" w:color="auto"/>
      </w:divBdr>
    </w:div>
    <w:div w:id="180701535">
      <w:bodyDiv w:val="1"/>
      <w:marLeft w:val="0"/>
      <w:marRight w:val="0"/>
      <w:marTop w:val="0"/>
      <w:marBottom w:val="0"/>
      <w:divBdr>
        <w:top w:val="none" w:sz="0" w:space="0" w:color="auto"/>
        <w:left w:val="none" w:sz="0" w:space="0" w:color="auto"/>
        <w:bottom w:val="none" w:sz="0" w:space="0" w:color="auto"/>
        <w:right w:val="none" w:sz="0" w:space="0" w:color="auto"/>
      </w:divBdr>
    </w:div>
    <w:div w:id="267742445">
      <w:bodyDiv w:val="1"/>
      <w:marLeft w:val="0"/>
      <w:marRight w:val="0"/>
      <w:marTop w:val="0"/>
      <w:marBottom w:val="0"/>
      <w:divBdr>
        <w:top w:val="none" w:sz="0" w:space="0" w:color="auto"/>
        <w:left w:val="none" w:sz="0" w:space="0" w:color="auto"/>
        <w:bottom w:val="none" w:sz="0" w:space="0" w:color="auto"/>
        <w:right w:val="none" w:sz="0" w:space="0" w:color="auto"/>
      </w:divBdr>
    </w:div>
    <w:div w:id="285939181">
      <w:bodyDiv w:val="1"/>
      <w:marLeft w:val="0"/>
      <w:marRight w:val="0"/>
      <w:marTop w:val="0"/>
      <w:marBottom w:val="0"/>
      <w:divBdr>
        <w:top w:val="none" w:sz="0" w:space="0" w:color="auto"/>
        <w:left w:val="none" w:sz="0" w:space="0" w:color="auto"/>
        <w:bottom w:val="none" w:sz="0" w:space="0" w:color="auto"/>
        <w:right w:val="none" w:sz="0" w:space="0" w:color="auto"/>
      </w:divBdr>
    </w:div>
    <w:div w:id="290210032">
      <w:bodyDiv w:val="1"/>
      <w:marLeft w:val="0"/>
      <w:marRight w:val="0"/>
      <w:marTop w:val="0"/>
      <w:marBottom w:val="0"/>
      <w:divBdr>
        <w:top w:val="none" w:sz="0" w:space="0" w:color="auto"/>
        <w:left w:val="none" w:sz="0" w:space="0" w:color="auto"/>
        <w:bottom w:val="none" w:sz="0" w:space="0" w:color="auto"/>
        <w:right w:val="none" w:sz="0" w:space="0" w:color="auto"/>
      </w:divBdr>
    </w:div>
    <w:div w:id="291978624">
      <w:bodyDiv w:val="1"/>
      <w:marLeft w:val="0"/>
      <w:marRight w:val="0"/>
      <w:marTop w:val="0"/>
      <w:marBottom w:val="0"/>
      <w:divBdr>
        <w:top w:val="none" w:sz="0" w:space="0" w:color="auto"/>
        <w:left w:val="none" w:sz="0" w:space="0" w:color="auto"/>
        <w:bottom w:val="none" w:sz="0" w:space="0" w:color="auto"/>
        <w:right w:val="none" w:sz="0" w:space="0" w:color="auto"/>
      </w:divBdr>
    </w:div>
    <w:div w:id="661547588">
      <w:bodyDiv w:val="1"/>
      <w:marLeft w:val="0"/>
      <w:marRight w:val="0"/>
      <w:marTop w:val="0"/>
      <w:marBottom w:val="0"/>
      <w:divBdr>
        <w:top w:val="none" w:sz="0" w:space="0" w:color="auto"/>
        <w:left w:val="none" w:sz="0" w:space="0" w:color="auto"/>
        <w:bottom w:val="none" w:sz="0" w:space="0" w:color="auto"/>
        <w:right w:val="none" w:sz="0" w:space="0" w:color="auto"/>
      </w:divBdr>
    </w:div>
    <w:div w:id="846599577">
      <w:bodyDiv w:val="1"/>
      <w:marLeft w:val="0"/>
      <w:marRight w:val="0"/>
      <w:marTop w:val="0"/>
      <w:marBottom w:val="0"/>
      <w:divBdr>
        <w:top w:val="none" w:sz="0" w:space="0" w:color="auto"/>
        <w:left w:val="none" w:sz="0" w:space="0" w:color="auto"/>
        <w:bottom w:val="none" w:sz="0" w:space="0" w:color="auto"/>
        <w:right w:val="none" w:sz="0" w:space="0" w:color="auto"/>
      </w:divBdr>
    </w:div>
    <w:div w:id="1218198958">
      <w:bodyDiv w:val="1"/>
      <w:marLeft w:val="0"/>
      <w:marRight w:val="0"/>
      <w:marTop w:val="0"/>
      <w:marBottom w:val="0"/>
      <w:divBdr>
        <w:top w:val="none" w:sz="0" w:space="0" w:color="auto"/>
        <w:left w:val="none" w:sz="0" w:space="0" w:color="auto"/>
        <w:bottom w:val="none" w:sz="0" w:space="0" w:color="auto"/>
        <w:right w:val="none" w:sz="0" w:space="0" w:color="auto"/>
      </w:divBdr>
    </w:div>
    <w:div w:id="1380086918">
      <w:bodyDiv w:val="1"/>
      <w:marLeft w:val="0"/>
      <w:marRight w:val="0"/>
      <w:marTop w:val="0"/>
      <w:marBottom w:val="0"/>
      <w:divBdr>
        <w:top w:val="none" w:sz="0" w:space="0" w:color="auto"/>
        <w:left w:val="none" w:sz="0" w:space="0" w:color="auto"/>
        <w:bottom w:val="none" w:sz="0" w:space="0" w:color="auto"/>
        <w:right w:val="none" w:sz="0" w:space="0" w:color="auto"/>
      </w:divBdr>
    </w:div>
    <w:div w:id="1498643443">
      <w:bodyDiv w:val="1"/>
      <w:marLeft w:val="0"/>
      <w:marRight w:val="0"/>
      <w:marTop w:val="0"/>
      <w:marBottom w:val="0"/>
      <w:divBdr>
        <w:top w:val="none" w:sz="0" w:space="0" w:color="auto"/>
        <w:left w:val="none" w:sz="0" w:space="0" w:color="auto"/>
        <w:bottom w:val="none" w:sz="0" w:space="0" w:color="auto"/>
        <w:right w:val="none" w:sz="0" w:space="0" w:color="auto"/>
      </w:divBdr>
    </w:div>
    <w:div w:id="1641350296">
      <w:bodyDiv w:val="1"/>
      <w:marLeft w:val="0"/>
      <w:marRight w:val="0"/>
      <w:marTop w:val="0"/>
      <w:marBottom w:val="0"/>
      <w:divBdr>
        <w:top w:val="none" w:sz="0" w:space="0" w:color="auto"/>
        <w:left w:val="none" w:sz="0" w:space="0" w:color="auto"/>
        <w:bottom w:val="none" w:sz="0" w:space="0" w:color="auto"/>
        <w:right w:val="none" w:sz="0" w:space="0" w:color="auto"/>
      </w:divBdr>
    </w:div>
    <w:div w:id="177689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1D1CD-9F6E-44F5-864C-F4E34E45B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31</Pages>
  <Words>9906</Words>
  <Characters>54489</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64267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MARIBEL AGUILAR HERNANDEZ</cp:lastModifiedBy>
  <cp:revision>81</cp:revision>
  <cp:lastPrinted>2023-02-27T16:49:00Z</cp:lastPrinted>
  <dcterms:created xsi:type="dcterms:W3CDTF">2021-01-09T00:40:00Z</dcterms:created>
  <dcterms:modified xsi:type="dcterms:W3CDTF">2023-02-27T16:50:00Z</dcterms:modified>
</cp:coreProperties>
</file>