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D6" w:rsidRDefault="00CF63D6" w:rsidP="009E4C72">
      <w:pPr>
        <w:jc w:val="center"/>
        <w:rPr>
          <w:rFonts w:ascii="Encode Sans" w:hAnsi="Encode Sans" w:cs="Arial"/>
          <w:b/>
        </w:rPr>
      </w:pPr>
    </w:p>
    <w:p w:rsidR="00E20B95" w:rsidRPr="00CF63D6" w:rsidRDefault="00CF63D6" w:rsidP="009E4C72">
      <w:pPr>
        <w:jc w:val="center"/>
        <w:rPr>
          <w:rFonts w:ascii="Encode Sans" w:hAnsi="Encode Sans" w:cs="Arial"/>
          <w:b/>
        </w:rPr>
      </w:pPr>
      <w:r w:rsidRPr="00CF63D6">
        <w:rPr>
          <w:rFonts w:ascii="Encode Sans" w:hAnsi="Encode Sans" w:cs="Arial"/>
          <w:b/>
        </w:rPr>
        <w:t>CUENTA P</w:t>
      </w:r>
      <w:r>
        <w:rPr>
          <w:rFonts w:ascii="Encode Sans" w:hAnsi="Encode Sans" w:cs="Arial"/>
          <w:b/>
        </w:rPr>
        <w:t>Ú</w:t>
      </w:r>
      <w:r w:rsidRPr="00CF63D6">
        <w:rPr>
          <w:rFonts w:ascii="Encode Sans" w:hAnsi="Encode Sans" w:cs="Arial"/>
          <w:b/>
        </w:rPr>
        <w:t>BLICA 2022</w:t>
      </w:r>
    </w:p>
    <w:p w:rsidR="009E4C72" w:rsidRPr="007D2823" w:rsidRDefault="009E4C72" w:rsidP="009E4C72">
      <w:pPr>
        <w:jc w:val="center"/>
        <w:rPr>
          <w:rFonts w:ascii="Encode Sans" w:hAnsi="Encode Sans" w:cs="DIN Pro Regular"/>
          <w:b/>
        </w:rPr>
      </w:pPr>
      <w:r w:rsidRPr="007D2823">
        <w:rPr>
          <w:rFonts w:ascii="Encode Sans" w:hAnsi="Encode Sans" w:cs="DIN Pro Regular"/>
          <w:b/>
        </w:rPr>
        <w:t>INDICADORES DE RESULTADOS</w:t>
      </w:r>
    </w:p>
    <w:tbl>
      <w:tblPr>
        <w:tblStyle w:val="Tablaconcuadrcula"/>
        <w:tblW w:w="13433" w:type="dxa"/>
        <w:tblLayout w:type="fixed"/>
        <w:tblLook w:val="04A0" w:firstRow="1" w:lastRow="0" w:firstColumn="1" w:lastColumn="0" w:noHBand="0" w:noVBand="1"/>
      </w:tblPr>
      <w:tblGrid>
        <w:gridCol w:w="1738"/>
        <w:gridCol w:w="1669"/>
        <w:gridCol w:w="2230"/>
        <w:gridCol w:w="1085"/>
        <w:gridCol w:w="817"/>
        <w:gridCol w:w="1262"/>
        <w:gridCol w:w="1145"/>
        <w:gridCol w:w="1045"/>
        <w:gridCol w:w="2442"/>
      </w:tblGrid>
      <w:tr w:rsidR="00042514" w:rsidRPr="00042514" w:rsidTr="000E6DB0">
        <w:trPr>
          <w:trHeight w:val="825"/>
        </w:trPr>
        <w:tc>
          <w:tcPr>
            <w:tcW w:w="1738"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Nombre del Programa</w:t>
            </w:r>
          </w:p>
        </w:tc>
        <w:tc>
          <w:tcPr>
            <w:tcW w:w="1669"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Nombre del Indicador</w:t>
            </w:r>
          </w:p>
        </w:tc>
        <w:tc>
          <w:tcPr>
            <w:tcW w:w="2230"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Método de cálculo</w:t>
            </w:r>
          </w:p>
        </w:tc>
        <w:tc>
          <w:tcPr>
            <w:tcW w:w="1085"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Unidad de medida</w:t>
            </w:r>
          </w:p>
        </w:tc>
        <w:tc>
          <w:tcPr>
            <w:tcW w:w="817"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Meta</w:t>
            </w:r>
          </w:p>
        </w:tc>
        <w:tc>
          <w:tcPr>
            <w:tcW w:w="1262"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Tipo-dimensión-frecuencia</w:t>
            </w:r>
          </w:p>
        </w:tc>
        <w:tc>
          <w:tcPr>
            <w:tcW w:w="1145"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Realizado en el periodo</w:t>
            </w:r>
          </w:p>
        </w:tc>
        <w:tc>
          <w:tcPr>
            <w:tcW w:w="1045"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Avance respecto a la meta anual</w:t>
            </w:r>
          </w:p>
        </w:tc>
        <w:tc>
          <w:tcPr>
            <w:tcW w:w="2442" w:type="dxa"/>
            <w:shd w:val="clear" w:color="auto" w:fill="AB0033"/>
            <w:hideMark/>
          </w:tcPr>
          <w:p w:rsidR="00042514" w:rsidRPr="00042514" w:rsidRDefault="00042514" w:rsidP="00042514">
            <w:pPr>
              <w:tabs>
                <w:tab w:val="left" w:pos="11760"/>
              </w:tabs>
              <w:jc w:val="center"/>
              <w:rPr>
                <w:rFonts w:cs="DIN Pro Regular"/>
                <w:b/>
                <w:bCs/>
                <w:color w:val="FFFFFF" w:themeColor="background1"/>
              </w:rPr>
            </w:pPr>
            <w:r w:rsidRPr="00042514">
              <w:rPr>
                <w:rFonts w:cs="DIN Pro Regular"/>
                <w:b/>
                <w:bCs/>
                <w:color w:val="FFFFFF" w:themeColor="background1"/>
              </w:rPr>
              <w:t>Justificaciones</w:t>
            </w:r>
          </w:p>
        </w:tc>
      </w:tr>
      <w:tr w:rsidR="00042514" w:rsidRPr="00042514" w:rsidTr="00042514">
        <w:trPr>
          <w:trHeight w:val="187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movimiento de cargas potenciales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movimiento de cargas potenciales en el año / Número de movimiento de cargas potenciales en otros puertos en el año)* 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 xml:space="preserve">Cargas </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30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que el puerto no ha entrado en operación por cuestiones de desfase de otros conceptos programados, por lo que no ha sido posible tener un movimiento de cargas registrado.</w:t>
            </w:r>
          </w:p>
        </w:tc>
      </w:tr>
      <w:tr w:rsidR="00042514" w:rsidRPr="00042514" w:rsidTr="00042514">
        <w:trPr>
          <w:trHeight w:val="187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mercancía movilizada</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mercancías movilizadas en el puerto de Matamoros en el año / Número de mercancía movilizada en otros puertos de Tamaulipas en el año)* 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Mercancía</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50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 xml:space="preserve">Durante el trimestre que se informa no se reportaron avances debido a que el puerto no ha entrado en operación por cuestiones de desfase de otros conceptos </w:t>
            </w:r>
            <w:r w:rsidRPr="00042514">
              <w:rPr>
                <w:rFonts w:cs="DIN Pro Regular"/>
                <w:sz w:val="20"/>
                <w:szCs w:val="20"/>
              </w:rPr>
              <w:lastRenderedPageBreak/>
              <w:t>programados, por lo cual no ha sido posible tener un movimiento de cargas registrado.</w:t>
            </w:r>
          </w:p>
        </w:tc>
      </w:tr>
      <w:tr w:rsidR="00042514" w:rsidRPr="00042514" w:rsidTr="00042514">
        <w:trPr>
          <w:trHeight w:val="187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lastRenderedPageBreak/>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Contratos de Cesión Parcial de Derechos y Obligaciones celebrados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contratos de Cesión Parcial de Derechos y Obligaciones celebrados en el año / Contratos de Cesión Parcial de Derechos y Obligaciones programados en el año)* 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 xml:space="preserve">Contrato </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50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desfase de otros conceptos programados. En especifico para esta meta, el proceso que se inicio para la elaboración de las bases de licitación para celebrar un contrato de Cesión Parcial de Derechos se encuentra suspendido por cuestiones de organización en la planeación programada.</w:t>
            </w:r>
          </w:p>
        </w:tc>
      </w:tr>
      <w:tr w:rsidR="00042514" w:rsidRPr="00042514" w:rsidTr="00042514">
        <w:trPr>
          <w:trHeight w:val="187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programas ambientales ejecutados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programas ambientales ejecutados en el año / número de programas ambientales programados en el año)* 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Programas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70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3.22</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reorientación del recurso disponible y cierre de administración 2016-2022.</w:t>
            </w:r>
          </w:p>
        </w:tc>
      </w:tr>
      <w:tr w:rsidR="00042514" w:rsidRPr="00042514" w:rsidTr="00042514">
        <w:trPr>
          <w:trHeight w:val="187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lastRenderedPageBreak/>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Cumplimiento de obligaciones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obligaciones cumplidas derivadas del Título de Concesión en el año /Obligaciones del Título de Concesión en el año )*100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Obligaciones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25</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100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se ha cumplido en tiempo y forma con las obligaciones del Título de Concesión.</w:t>
            </w:r>
          </w:p>
        </w:tc>
      </w:tr>
      <w:tr w:rsidR="00042514" w:rsidRPr="00042514" w:rsidTr="00042514">
        <w:trPr>
          <w:trHeight w:val="1500"/>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Convocatorias publicadas para cesión parcial de derechos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convocatorias publicadas en el año / Número de convocatorias programadas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Publicaciones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No se tenian metas programadas para el trimestre que se informa</w:t>
            </w:r>
          </w:p>
        </w:tc>
      </w:tr>
      <w:tr w:rsidR="00042514" w:rsidRPr="00042514" w:rsidTr="00042514">
        <w:trPr>
          <w:trHeight w:val="1590"/>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Procesos de Licitación para arrendamiento</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procesos de licitación realizados en el año / Número de procesos de licitación prgramados para el año) *100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Concurso</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25</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desfase de otros conceptos programados. En especifico para esta meta, el proceso de licitación para un contrato de Cesión Parcial de Derechos se encuentra suspendido por cuestiones de organización en la planeación programada.</w:t>
            </w:r>
          </w:p>
        </w:tc>
      </w:tr>
      <w:tr w:rsidR="00042514" w:rsidRPr="00042514" w:rsidTr="00042514">
        <w:trPr>
          <w:trHeight w:val="1500"/>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lastRenderedPageBreak/>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Contratos firmados para arrendamiento</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contratos firmados registrados en el año t / Número de contratos firmados para el año t)*100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 xml:space="preserve">Contrato </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No se tenian metas programadas para el trimestre que se informa</w:t>
            </w:r>
          </w:p>
        </w:tc>
      </w:tr>
      <w:tr w:rsidR="00042514" w:rsidRPr="00042514" w:rsidTr="00042514">
        <w:trPr>
          <w:trHeight w:val="217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programas ambientales MIA-R</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programas ambientales MIA-R ejecutados en el año / Número de programas ambientales MIA-R programados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Programas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60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reorganización del presupuesto disponible y cierre de la administración 2016-2022.</w:t>
            </w:r>
          </w:p>
        </w:tc>
      </w:tr>
      <w:tr w:rsidR="00042514" w:rsidRPr="00042514" w:rsidTr="00042514">
        <w:trPr>
          <w:trHeight w:val="2160"/>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Procentaje de programas ambientales MIA-P</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programas ambientales MIA-P ejecutados en el año / Número de programas ambientales MIA-P programados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Programas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70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5.9</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reorganización del presupuesto disponible y cierre de la administración 2016-2022.</w:t>
            </w:r>
          </w:p>
        </w:tc>
      </w:tr>
      <w:tr w:rsidR="00042514" w:rsidRPr="00042514" w:rsidTr="00042514">
        <w:trPr>
          <w:trHeight w:val="211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programas o cumplimiento de permisos ambientales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programas ambientales ETJ y permisos ejecutados / Número de programas ambientales ETJ y permisos programados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Programas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50</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reorganización del presupuesto disponible y cierre de la administración 2016-2022.</w:t>
            </w:r>
          </w:p>
        </w:tc>
      </w:tr>
      <w:tr w:rsidR="00042514" w:rsidRPr="00042514" w:rsidTr="00042514">
        <w:trPr>
          <w:trHeight w:val="211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lastRenderedPageBreak/>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actividades administrativas para cumplimiento de obligaciones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actividades administrativas cumplidas en el año / Número de actividades administrativas programadas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Obligaciones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25</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100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se ha cumplido con las obligaciones administrativas en tiempo y forma.</w:t>
            </w:r>
          </w:p>
        </w:tc>
      </w:tr>
      <w:tr w:rsidR="00042514" w:rsidRPr="00042514" w:rsidTr="00042514">
        <w:trPr>
          <w:trHeight w:val="2130"/>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actividades técnico y operativas para cumplimiento de obligaciones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actividades técnico y operativas cumplidas en el año / Número de actividades técnico y operativas programadas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Obligaciones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25</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100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se ha cumplido con las obligaciones tecnico operativas en tiempo y forma.</w:t>
            </w:r>
          </w:p>
        </w:tc>
      </w:tr>
      <w:tr w:rsidR="00042514" w:rsidRPr="00042514" w:rsidTr="00042514">
        <w:trPr>
          <w:trHeight w:val="1800"/>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Servicios portuarios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actividades jurídicas para el cumplimiento de obligaciones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(Número de actividades jurídicas cumplidas en el año / Número de actividades jurídicas programadas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Obligaciones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25</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100</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se ha cumplido con las obligaciones juridicas en tiempo y forma.</w:t>
            </w:r>
          </w:p>
        </w:tc>
      </w:tr>
      <w:tr w:rsidR="00042514" w:rsidRPr="00042514" w:rsidTr="00042514">
        <w:trPr>
          <w:trHeight w:val="2715"/>
        </w:trPr>
        <w:tc>
          <w:tcPr>
            <w:tcW w:w="1738"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lastRenderedPageBreak/>
              <w:t>Proyectos de construcción y mantenimiento de puertos</w:t>
            </w:r>
          </w:p>
        </w:tc>
        <w:tc>
          <w:tcPr>
            <w:tcW w:w="1669"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Porcentaje de contratos de proyectos, construcción y mantenimiento de puertos</w:t>
            </w:r>
          </w:p>
        </w:tc>
        <w:tc>
          <w:tcPr>
            <w:tcW w:w="2230"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(Contratos de proyectos, construcción y mantenimiento de puertos ejecutados en el año/contratos de proyectos, construcción y mantenimiento de puertos programados en el año)*100</w:t>
            </w:r>
          </w:p>
        </w:tc>
        <w:tc>
          <w:tcPr>
            <w:tcW w:w="108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Contratos</w:t>
            </w:r>
          </w:p>
        </w:tc>
        <w:tc>
          <w:tcPr>
            <w:tcW w:w="817"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25</w:t>
            </w:r>
          </w:p>
        </w:tc>
        <w:tc>
          <w:tcPr>
            <w:tcW w:w="126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Trimestral</w:t>
            </w:r>
          </w:p>
        </w:tc>
        <w:tc>
          <w:tcPr>
            <w:tcW w:w="11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Oct-Dic</w:t>
            </w:r>
          </w:p>
        </w:tc>
        <w:tc>
          <w:tcPr>
            <w:tcW w:w="1045"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26.31</w:t>
            </w:r>
          </w:p>
        </w:tc>
        <w:tc>
          <w:tcPr>
            <w:tcW w:w="2442" w:type="dxa"/>
            <w:hideMark/>
          </w:tcPr>
          <w:p w:rsidR="00042514" w:rsidRPr="00042514" w:rsidRDefault="00042514" w:rsidP="00042514">
            <w:pPr>
              <w:tabs>
                <w:tab w:val="left" w:pos="11760"/>
              </w:tabs>
              <w:rPr>
                <w:rFonts w:cs="DIN Pro Regular"/>
                <w:sz w:val="20"/>
                <w:szCs w:val="20"/>
              </w:rPr>
            </w:pPr>
            <w:r w:rsidRPr="00042514">
              <w:rPr>
                <w:rFonts w:cs="DIN Pro Regular"/>
                <w:sz w:val="20"/>
                <w:szCs w:val="20"/>
              </w:rPr>
              <w:t>Durante el trimestre que se informa no se reportaron avances debido a reorientación del recurso disponible y ante el cierre de administración 2016-2022.</w:t>
            </w:r>
          </w:p>
        </w:tc>
      </w:tr>
    </w:tbl>
    <w:p w:rsidR="00A7165F" w:rsidRPr="00042514" w:rsidRDefault="004866B2" w:rsidP="004866B2">
      <w:pPr>
        <w:tabs>
          <w:tab w:val="left" w:pos="11760"/>
        </w:tabs>
        <w:rPr>
          <w:rFonts w:cs="DIN Pro Regular"/>
        </w:rPr>
      </w:pPr>
      <w:r w:rsidRPr="00042514">
        <w:rPr>
          <w:rFonts w:cs="DIN Pro Regular"/>
        </w:rPr>
        <w:tab/>
      </w:r>
    </w:p>
    <w:p w:rsidR="00BE4371" w:rsidRPr="00CA0775" w:rsidRDefault="00BE4371" w:rsidP="009E4C72">
      <w:pPr>
        <w:jc w:val="center"/>
        <w:rPr>
          <w:rFonts w:cs="DIN Pro Regular"/>
          <w:b/>
        </w:rPr>
      </w:pPr>
    </w:p>
    <w:p w:rsidR="00BE4371" w:rsidRPr="00CA0775" w:rsidRDefault="00BE4371" w:rsidP="009E4C72">
      <w:pPr>
        <w:jc w:val="center"/>
        <w:rPr>
          <w:rFonts w:cs="DIN Pro Regular"/>
          <w:b/>
        </w:rPr>
      </w:pPr>
    </w:p>
    <w:p w:rsidR="00BE4371" w:rsidRPr="00CA0775" w:rsidRDefault="00BE4371" w:rsidP="009E4C72">
      <w:pPr>
        <w:jc w:val="center"/>
        <w:rPr>
          <w:rFonts w:cs="DIN Pro Regular"/>
        </w:rPr>
      </w:pPr>
    </w:p>
    <w:p w:rsidR="00BE4371" w:rsidRPr="00CA0775" w:rsidRDefault="00BE4371" w:rsidP="009E4C72">
      <w:pPr>
        <w:jc w:val="center"/>
        <w:rPr>
          <w:rFonts w:cs="DIN Pro Regular"/>
        </w:rPr>
      </w:pPr>
    </w:p>
    <w:p w:rsidR="004C5C47" w:rsidRPr="00CA0775" w:rsidRDefault="004C5C47" w:rsidP="00D46585">
      <w:pPr>
        <w:jc w:val="both"/>
        <w:rPr>
          <w:rFonts w:cs="DIN Pro Regular"/>
        </w:rPr>
      </w:pPr>
    </w:p>
    <w:p w:rsidR="004C5C47" w:rsidRPr="00CA0775" w:rsidRDefault="004C5C47" w:rsidP="00D46585">
      <w:pPr>
        <w:jc w:val="both"/>
        <w:rPr>
          <w:rFonts w:cs="DIN Pro Regular"/>
        </w:rPr>
      </w:pPr>
      <w:bookmarkStart w:id="0" w:name="_GoBack"/>
      <w:bookmarkEnd w:id="0"/>
    </w:p>
    <w:p w:rsidR="004C5C47" w:rsidRPr="00CA0775" w:rsidRDefault="004C5C47" w:rsidP="00D46585">
      <w:pPr>
        <w:jc w:val="both"/>
        <w:rPr>
          <w:rFonts w:cs="DIN Pro Regular"/>
        </w:rPr>
      </w:pPr>
    </w:p>
    <w:p w:rsidR="004C5C47" w:rsidRPr="00CA0775" w:rsidRDefault="004C5C47" w:rsidP="00D46585">
      <w:pPr>
        <w:jc w:val="both"/>
        <w:rPr>
          <w:rFonts w:cs="DIN Pro Regular"/>
        </w:rPr>
      </w:pPr>
    </w:p>
    <w:sectPr w:rsidR="004C5C47" w:rsidRPr="00CA0775" w:rsidSect="00647C15">
      <w:headerReference w:type="even" r:id="rId8"/>
      <w:headerReference w:type="default" r:id="rId9"/>
      <w:footerReference w:type="even" r:id="rId10"/>
      <w:footerReference w:type="default" r:id="rId11"/>
      <w:pgSz w:w="15840" w:h="12240" w:orient="landscape"/>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68" w:rsidRDefault="00190668" w:rsidP="00EA5418">
      <w:pPr>
        <w:spacing w:after="0" w:line="240" w:lineRule="auto"/>
      </w:pPr>
      <w:r>
        <w:separator/>
      </w:r>
    </w:p>
  </w:endnote>
  <w:endnote w:type="continuationSeparator" w:id="0">
    <w:p w:rsidR="00190668" w:rsidRDefault="0019066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charset w:val="00"/>
    <w:family w:val="swiss"/>
    <w:pitch w:val="variable"/>
    <w:sig w:usb0="00000001"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4F57C5" w:rsidRDefault="00284A0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AF3B06"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005117F4" w:rsidRPr="004F57C5">
      <w:rPr>
        <w:rFonts w:ascii="Arial" w:hAnsi="Arial" w:cs="Arial"/>
      </w:rPr>
      <w:t>Programática</w:t>
    </w:r>
    <w:r w:rsidR="0013011C" w:rsidRPr="004F57C5">
      <w:rPr>
        <w:rFonts w:ascii="Arial" w:hAnsi="Arial" w:cs="Arial"/>
      </w:rPr>
      <w:t xml:space="preserve"> / </w:t>
    </w:r>
    <w:r w:rsidR="0013011C" w:rsidRPr="004F57C5">
      <w:rPr>
        <w:rFonts w:ascii="Arial" w:hAnsi="Arial" w:cs="Arial"/>
      </w:rPr>
      <w:fldChar w:fldCharType="begin"/>
    </w:r>
    <w:r w:rsidR="0013011C" w:rsidRPr="004F57C5">
      <w:rPr>
        <w:rFonts w:ascii="Arial" w:hAnsi="Arial" w:cs="Arial"/>
      </w:rPr>
      <w:instrText>PAGE   \* MERGEFORMAT</w:instrText>
    </w:r>
    <w:r w:rsidR="0013011C" w:rsidRPr="004F57C5">
      <w:rPr>
        <w:rFonts w:ascii="Arial" w:hAnsi="Arial" w:cs="Arial"/>
      </w:rPr>
      <w:fldChar w:fldCharType="separate"/>
    </w:r>
    <w:r w:rsidR="002943A3" w:rsidRPr="002943A3">
      <w:rPr>
        <w:rFonts w:ascii="Arial" w:hAnsi="Arial" w:cs="Arial"/>
        <w:noProof/>
        <w:lang w:val="es-ES"/>
      </w:rPr>
      <w:t>2</w:t>
    </w:r>
    <w:r w:rsidR="0013011C" w:rsidRPr="004F57C5">
      <w:rPr>
        <w:rFonts w:ascii="Arial" w:hAnsi="Arial" w:cs="Arial"/>
      </w:rPr>
      <w:fldChar w:fldCharType="end"/>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4F57C5" w:rsidRDefault="00284A01" w:rsidP="008E3652">
    <w:pPr>
      <w:pStyle w:val="Piedepgina"/>
      <w:jc w:val="center"/>
      <w:rPr>
        <w:rFonts w:ascii="Arial" w:hAnsi="Arial" w:cs="Arial"/>
      </w:rPr>
    </w:pPr>
    <w:r>
      <w:rPr>
        <w:noProof/>
        <w:lang w:eastAsia="es-MX"/>
      </w:rPr>
      <mc:AlternateContent>
        <mc:Choice Requires="wps">
          <w:drawing>
            <wp:anchor distT="0" distB="0" distL="114300" distR="114300" simplePos="0" relativeHeight="251653120" behindDoc="0" locked="0" layoutInCell="1" allowOverlap="1">
              <wp:simplePos x="0" y="0"/>
              <wp:positionH relativeFrom="column">
                <wp:posOffset>-714375</wp:posOffset>
              </wp:positionH>
              <wp:positionV relativeFrom="paragraph">
                <wp:posOffset>7620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D4D844" id="3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6pt" to="73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" strokecolor="#c00000" strokeweight="1.5pt">
              <v:stroke joinstyle="miter"/>
              <o:lock v:ext="edit" shapetype="f"/>
            </v:line>
          </w:pict>
        </mc:Fallback>
      </mc:AlternateContent>
    </w:r>
    <w:r w:rsidR="00486AE1" w:rsidRPr="004F57C5">
      <w:rPr>
        <w:rFonts w:ascii="Arial" w:hAnsi="Arial" w:cs="Arial"/>
      </w:rPr>
      <w:t>Pr</w:t>
    </w:r>
    <w:r w:rsidR="005117F4" w:rsidRPr="004F57C5">
      <w:rPr>
        <w:rFonts w:ascii="Arial" w:hAnsi="Arial" w:cs="Arial"/>
      </w:rPr>
      <w:t>ogramática</w:t>
    </w:r>
    <w:r w:rsidR="008E3652" w:rsidRPr="004F57C5">
      <w:rPr>
        <w:rFonts w:ascii="Arial" w:hAnsi="Arial" w:cs="Arial"/>
      </w:rPr>
      <w:t xml:space="preserve"> / </w:t>
    </w:r>
    <w:r w:rsidR="008E3652" w:rsidRPr="004F57C5">
      <w:rPr>
        <w:rFonts w:ascii="Arial" w:hAnsi="Arial" w:cs="Arial"/>
      </w:rPr>
      <w:fldChar w:fldCharType="begin"/>
    </w:r>
    <w:r w:rsidR="008E3652" w:rsidRPr="004F57C5">
      <w:rPr>
        <w:rFonts w:ascii="Arial" w:hAnsi="Arial" w:cs="Arial"/>
      </w:rPr>
      <w:instrText>PAGE   \* MERGEFORMAT</w:instrText>
    </w:r>
    <w:r w:rsidR="008E3652" w:rsidRPr="004F57C5">
      <w:rPr>
        <w:rFonts w:ascii="Arial" w:hAnsi="Arial" w:cs="Arial"/>
      </w:rPr>
      <w:fldChar w:fldCharType="separate"/>
    </w:r>
    <w:r w:rsidR="0003317A" w:rsidRPr="0003317A">
      <w:rPr>
        <w:rFonts w:ascii="Arial" w:hAnsi="Arial" w:cs="Arial"/>
        <w:noProof/>
        <w:lang w:val="es-ES"/>
      </w:rPr>
      <w:t>1</w:t>
    </w:r>
    <w:r w:rsidR="008E3652" w:rsidRPr="004F57C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68" w:rsidRDefault="00190668" w:rsidP="00EA5418">
      <w:pPr>
        <w:spacing w:after="0" w:line="240" w:lineRule="auto"/>
      </w:pPr>
      <w:r>
        <w:separator/>
      </w:r>
    </w:p>
  </w:footnote>
  <w:footnote w:type="continuationSeparator" w:id="0">
    <w:p w:rsidR="00190668" w:rsidRDefault="0019066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84A01">
    <w:pPr>
      <w:pStyle w:val="Encabezado"/>
    </w:pPr>
    <w:r>
      <w:rPr>
        <w:noProof/>
        <w:lang w:eastAsia="es-MX"/>
      </w:rPr>
      <mc:AlternateContent>
        <mc:Choice Requires="wpg">
          <w:drawing>
            <wp:anchor distT="0" distB="0" distL="114300" distR="114300" simplePos="0" relativeHeight="251656192" behindDoc="0" locked="0" layoutInCell="1" allowOverlap="1">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040466" w:rsidRPr="00D921B1" w:rsidRDefault="00540418" w:rsidP="004F57C5">
                            <w:pPr>
                              <w:spacing w:after="120"/>
                              <w:jc w:val="right"/>
                              <w:rPr>
                                <w:rFonts w:ascii="Arial" w:hAnsi="Arial" w:cs="Arial"/>
                                <w:color w:val="808080"/>
                                <w:sz w:val="20"/>
                                <w:szCs w:val="20"/>
                              </w:rPr>
                            </w:pPr>
                            <w:r w:rsidRPr="00D921B1">
                              <w:rPr>
                                <w:rFonts w:ascii="Arial" w:hAnsi="Arial" w:cs="Arial"/>
                                <w:color w:val="808080"/>
                                <w:sz w:val="20"/>
                                <w:szCs w:val="20"/>
                              </w:rPr>
                              <w:t xml:space="preserve">ENTIDAD  FEDERATIVA DE </w:t>
                            </w:r>
                            <w:r w:rsidR="004F57C5" w:rsidRPr="00D921B1">
                              <w:rPr>
                                <w:rFonts w:ascii="Arial" w:hAnsi="Arial" w:cs="Arial"/>
                                <w:color w:val="808080"/>
                                <w:sz w:val="20"/>
                                <w:szCs w:val="20"/>
                              </w:rPr>
                              <w:t>XXXX</w:t>
                            </w: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040466" w:rsidRPr="00D921B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31pt;margin-top:-21.9pt;width:249.8pt;height:39.25pt;z-index:25165619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rJcLbBAAAdR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6ayXC2wQAAHUQAAAOAAAAAAAAAAAAAAAAADwCAABkcnMvZTJvRG9jLnhtbFBLAQItABQABgAI&#10;AAAAIQBYYLMbugAAACIBAAAZAAAAAAAAAAAAAAAAAEMHAABkcnMvX3JlbHMvZTJvRG9jLnhtbC5y&#10;ZWxzUEsBAi0AFAAGAAgAAAAhAL26pLXiAAAACgEAAA8AAAAAAAAAAAAAAAAANA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040466" w:rsidRPr="00D921B1" w:rsidRDefault="00540418" w:rsidP="004F57C5">
                      <w:pPr>
                        <w:spacing w:after="120"/>
                        <w:jc w:val="right"/>
                        <w:rPr>
                          <w:rFonts w:ascii="Arial" w:hAnsi="Arial" w:cs="Arial"/>
                          <w:color w:val="808080"/>
                          <w:sz w:val="20"/>
                          <w:szCs w:val="20"/>
                        </w:rPr>
                      </w:pPr>
                      <w:r w:rsidRPr="00D921B1">
                        <w:rPr>
                          <w:rFonts w:ascii="Arial" w:hAnsi="Arial" w:cs="Arial"/>
                          <w:color w:val="808080"/>
                          <w:sz w:val="20"/>
                          <w:szCs w:val="20"/>
                        </w:rPr>
                        <w:t xml:space="preserve">ENTIDAD  FEDERATIVA DE </w:t>
                      </w:r>
                      <w:r w:rsidR="004F57C5" w:rsidRPr="00D921B1">
                        <w:rPr>
                          <w:rFonts w:ascii="Arial" w:hAnsi="Arial" w:cs="Arial"/>
                          <w:color w:val="808080"/>
                          <w:sz w:val="20"/>
                          <w:szCs w:val="20"/>
                        </w:rPr>
                        <w:t>XXXX</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rBfDAAAA2wAAAA8AAABkcnMvZG93bnJldi54bWxEj0FrwkAQhe+C/2EZwZtu0oPU1DUEISC0&#10;h1YFPQ7ZaTa4OxuzW03/fbdQ6G2G9+Z9bzbl6Ky40xA6zwryZQaCuPG641bB6VgvnkGEiKzReiYF&#10;3xSg3E4nGyy0f/AH3Q+xFSmEQ4EKTIx9IWVoDDkMS98TJ+3TDw5jWodW6gEfKdxZ+ZRlK+mw40Qw&#10;2NPOUHM9fLkEua3fQ9aeTW2l1q8mr+zbpVJqPhurFxCRxvhv/rve61Q/h99f0gB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asF8MAAADbAAAADwAAAAAAAAAAAAAAAACf&#10;AgAAZHJzL2Rvd25yZXYueG1sUEsFBgAAAAAEAAQA9wAAAI8DA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040466" w:rsidRPr="00D921B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391D8C"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19" w:rsidRDefault="00442023" w:rsidP="0013011C">
    <w:pPr>
      <w:pStyle w:val="Encabezado"/>
      <w:jc w:val="center"/>
      <w:rPr>
        <w:rFonts w:ascii="Arial" w:hAnsi="Arial" w:cs="Arial"/>
      </w:rPr>
    </w:pPr>
    <w:r>
      <w:rPr>
        <w:noProof/>
        <w:lang w:eastAsia="es-MX"/>
      </w:rPr>
      <w:drawing>
        <wp:anchor distT="0" distB="0" distL="114300" distR="114300" simplePos="0" relativeHeight="251662336" behindDoc="0" locked="0" layoutInCell="1" allowOverlap="1" wp14:anchorId="2E906BA0" wp14:editId="757DB1B0">
          <wp:simplePos x="0" y="0"/>
          <wp:positionH relativeFrom="margin">
            <wp:posOffset>0</wp:posOffset>
          </wp:positionH>
          <wp:positionV relativeFrom="margin">
            <wp:posOffset>-719455</wp:posOffset>
          </wp:positionV>
          <wp:extent cx="1800224" cy="720000"/>
          <wp:effectExtent l="0" t="0" r="0" b="444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800224" cy="720000"/>
                  </a:xfrm>
                  <a:prstGeom prst="rect">
                    <a:avLst/>
                  </a:prstGeom>
                </pic:spPr>
              </pic:pic>
            </a:graphicData>
          </a:graphic>
        </wp:anchor>
      </w:drawing>
    </w:r>
  </w:p>
  <w:p w:rsidR="00042514" w:rsidRDefault="00042514" w:rsidP="00442023">
    <w:pPr>
      <w:pStyle w:val="Encabezado"/>
      <w:jc w:val="center"/>
      <w:rPr>
        <w:rFonts w:ascii="Encode Sans" w:hAnsi="Encode Sans" w:cs="Arial"/>
      </w:rPr>
    </w:pPr>
    <w:r>
      <w:rPr>
        <w:rFonts w:ascii="Encode Sans" w:hAnsi="Encode Sans" w:cs="Arial"/>
        <w:noProof/>
        <w:lang w:eastAsia="es-MX"/>
      </w:rPr>
      <w:drawing>
        <wp:anchor distT="0" distB="0" distL="114300" distR="114300" simplePos="0" relativeHeight="251671552" behindDoc="1" locked="0" layoutInCell="1" allowOverlap="1" wp14:anchorId="32F93EED" wp14:editId="1EEFC7D7">
          <wp:simplePos x="0" y="0"/>
          <wp:positionH relativeFrom="column">
            <wp:posOffset>6749415</wp:posOffset>
          </wp:positionH>
          <wp:positionV relativeFrom="paragraph">
            <wp:posOffset>8255</wp:posOffset>
          </wp:positionV>
          <wp:extent cx="1819275" cy="4953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Matamoros (1).png"/>
                  <pic:cNvPicPr/>
                </pic:nvPicPr>
                <pic:blipFill>
                  <a:blip r:embed="rId2">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Arial"/>
      </w:rPr>
      <w:t>A</w:t>
    </w:r>
    <w:r w:rsidR="0021280C">
      <w:rPr>
        <w:rFonts w:ascii="Encode Sans" w:hAnsi="Encode Sans" w:cs="Arial"/>
      </w:rPr>
      <w:t>dministración Portuaria Integral de Tamaulipas</w:t>
    </w:r>
    <w:r>
      <w:rPr>
        <w:rFonts w:ascii="Encode Sans" w:hAnsi="Encode Sans" w:cs="Arial"/>
      </w:rPr>
      <w:t xml:space="preserve">,  </w:t>
    </w:r>
  </w:p>
  <w:p w:rsidR="00CF63D6" w:rsidRPr="00442023" w:rsidRDefault="00042514" w:rsidP="00442023">
    <w:pPr>
      <w:pStyle w:val="Encabezado"/>
      <w:jc w:val="center"/>
      <w:rPr>
        <w:rFonts w:ascii="Arial" w:hAnsi="Arial" w:cs="Arial"/>
      </w:rPr>
    </w:pPr>
    <w:r>
      <w:rPr>
        <w:rFonts w:ascii="Encode Sans" w:hAnsi="Encode Sans" w:cs="Arial"/>
      </w:rPr>
      <w:t xml:space="preserve">S.A. </w:t>
    </w:r>
    <w:r w:rsidR="0021280C">
      <w:rPr>
        <w:rFonts w:ascii="Encode Sans" w:hAnsi="Encode Sans" w:cs="Arial"/>
      </w:rPr>
      <w:t>de</w:t>
    </w:r>
    <w:r>
      <w:rPr>
        <w:rFonts w:ascii="Encode Sans" w:hAnsi="Encode Sans" w:cs="Arial"/>
      </w:rPr>
      <w:t xml:space="preserve"> C.V.</w:t>
    </w:r>
  </w:p>
  <w:p w:rsidR="00E75F9F" w:rsidRDefault="00E75F9F" w:rsidP="0013011C">
    <w:pPr>
      <w:pStyle w:val="Encabezado"/>
      <w:jc w:val="center"/>
      <w:rPr>
        <w:rFonts w:ascii="Arial" w:hAnsi="Arial" w:cs="Arial"/>
      </w:rPr>
    </w:pPr>
  </w:p>
  <w:p w:rsidR="00B064CB" w:rsidRPr="004C5C47" w:rsidRDefault="00B064CB" w:rsidP="0013011C">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317A"/>
    <w:rsid w:val="00036798"/>
    <w:rsid w:val="00040466"/>
    <w:rsid w:val="00042514"/>
    <w:rsid w:val="000766BB"/>
    <w:rsid w:val="000D401B"/>
    <w:rsid w:val="000E6DB0"/>
    <w:rsid w:val="0013011C"/>
    <w:rsid w:val="001764C2"/>
    <w:rsid w:val="00190668"/>
    <w:rsid w:val="001B1B72"/>
    <w:rsid w:val="001C4492"/>
    <w:rsid w:val="0021280C"/>
    <w:rsid w:val="00217114"/>
    <w:rsid w:val="00284A01"/>
    <w:rsid w:val="002943A3"/>
    <w:rsid w:val="002A70B3"/>
    <w:rsid w:val="00372F40"/>
    <w:rsid w:val="003B6D74"/>
    <w:rsid w:val="003C4912"/>
    <w:rsid w:val="003D5DBF"/>
    <w:rsid w:val="003E7FD0"/>
    <w:rsid w:val="00442023"/>
    <w:rsid w:val="0044253C"/>
    <w:rsid w:val="00453D74"/>
    <w:rsid w:val="004866B2"/>
    <w:rsid w:val="00486AE1"/>
    <w:rsid w:val="00486EF3"/>
    <w:rsid w:val="00487344"/>
    <w:rsid w:val="00490B59"/>
    <w:rsid w:val="00497D8B"/>
    <w:rsid w:val="004C5C47"/>
    <w:rsid w:val="004D41B8"/>
    <w:rsid w:val="004E171C"/>
    <w:rsid w:val="004F57C5"/>
    <w:rsid w:val="00502D8E"/>
    <w:rsid w:val="005117F4"/>
    <w:rsid w:val="00522632"/>
    <w:rsid w:val="00534982"/>
    <w:rsid w:val="00540418"/>
    <w:rsid w:val="00551DC5"/>
    <w:rsid w:val="005859FA"/>
    <w:rsid w:val="005D5C53"/>
    <w:rsid w:val="006048D2"/>
    <w:rsid w:val="00611E39"/>
    <w:rsid w:val="00617D50"/>
    <w:rsid w:val="00647C15"/>
    <w:rsid w:val="00671A69"/>
    <w:rsid w:val="00694C71"/>
    <w:rsid w:val="006E77DD"/>
    <w:rsid w:val="0079582C"/>
    <w:rsid w:val="007D2823"/>
    <w:rsid w:val="007D6E9A"/>
    <w:rsid w:val="00803A4D"/>
    <w:rsid w:val="00833307"/>
    <w:rsid w:val="008A5FBB"/>
    <w:rsid w:val="008A627E"/>
    <w:rsid w:val="008A6E4D"/>
    <w:rsid w:val="008B0017"/>
    <w:rsid w:val="008D4C31"/>
    <w:rsid w:val="008E3652"/>
    <w:rsid w:val="009673F5"/>
    <w:rsid w:val="00981226"/>
    <w:rsid w:val="00986B3A"/>
    <w:rsid w:val="009E4C72"/>
    <w:rsid w:val="00A036AB"/>
    <w:rsid w:val="00A57D13"/>
    <w:rsid w:val="00A7165F"/>
    <w:rsid w:val="00AB13B7"/>
    <w:rsid w:val="00AD3FED"/>
    <w:rsid w:val="00AF1DB5"/>
    <w:rsid w:val="00B035F9"/>
    <w:rsid w:val="00B064CB"/>
    <w:rsid w:val="00B314DA"/>
    <w:rsid w:val="00B849EE"/>
    <w:rsid w:val="00BE4371"/>
    <w:rsid w:val="00C43DDF"/>
    <w:rsid w:val="00C50332"/>
    <w:rsid w:val="00C51F71"/>
    <w:rsid w:val="00CA0775"/>
    <w:rsid w:val="00CB17A2"/>
    <w:rsid w:val="00CF2FEA"/>
    <w:rsid w:val="00CF63D6"/>
    <w:rsid w:val="00D055EC"/>
    <w:rsid w:val="00D46585"/>
    <w:rsid w:val="00D51261"/>
    <w:rsid w:val="00D921B1"/>
    <w:rsid w:val="00E20B95"/>
    <w:rsid w:val="00E32708"/>
    <w:rsid w:val="00E4049D"/>
    <w:rsid w:val="00E42A6C"/>
    <w:rsid w:val="00E75F9F"/>
    <w:rsid w:val="00E92F76"/>
    <w:rsid w:val="00EA5418"/>
    <w:rsid w:val="00EB3E19"/>
    <w:rsid w:val="00EC7521"/>
    <w:rsid w:val="00F3277E"/>
    <w:rsid w:val="00F34998"/>
    <w:rsid w:val="00F63B9C"/>
    <w:rsid w:val="00F96944"/>
    <w:rsid w:val="00FC0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A0C70-9381-442B-9913-F576ABF5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04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9140">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2F94-203A-4300-98BC-3D943C6F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Contabilidad</cp:lastModifiedBy>
  <cp:revision>22</cp:revision>
  <cp:lastPrinted>2022-12-20T20:35:00Z</cp:lastPrinted>
  <dcterms:created xsi:type="dcterms:W3CDTF">2021-01-09T00:44:00Z</dcterms:created>
  <dcterms:modified xsi:type="dcterms:W3CDTF">2023-02-27T18:17:00Z</dcterms:modified>
</cp:coreProperties>
</file>