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95" w:rsidRPr="00CF63D6" w:rsidRDefault="00CF63D6" w:rsidP="000A1FE8">
      <w:pPr>
        <w:spacing w:after="0"/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0A1FE8">
      <w:pPr>
        <w:spacing w:after="0"/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348"/>
        <w:gridCol w:w="1306"/>
        <w:gridCol w:w="1109"/>
        <w:gridCol w:w="1984"/>
        <w:gridCol w:w="992"/>
        <w:gridCol w:w="2127"/>
      </w:tblGrid>
      <w:tr w:rsidR="00A4537A" w:rsidRPr="00A4537A" w:rsidTr="000A1FE8">
        <w:trPr>
          <w:trHeight w:val="82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3300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A4537A" w:rsidRPr="00A4537A" w:rsidTr="000A1FE8">
        <w:trPr>
          <w:trHeight w:val="132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Gasto Programable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(TGP/TE)x100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del gasto programable con respecto al total de egresos</w:t>
            </w:r>
          </w:p>
        </w:tc>
      </w:tr>
      <w:tr w:rsidR="00A4537A" w:rsidRPr="00A4537A" w:rsidTr="000A1FE8">
        <w:trPr>
          <w:trHeight w:val="1254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Gasto de Operación (corriente)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(TGO/TE)x100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del gasto de operación con respecto al total de egresos</w:t>
            </w:r>
          </w:p>
        </w:tc>
      </w:tr>
      <w:tr w:rsidR="00A4537A" w:rsidRPr="00A4537A" w:rsidTr="000A1FE8">
        <w:trPr>
          <w:trHeight w:val="1272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Gasto de Inversión y/o Capital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(TGIC/TE)x100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del gasto de inversión y/o capital con respecto al total de egresos</w:t>
            </w:r>
          </w:p>
        </w:tc>
      </w:tr>
      <w:tr w:rsidR="00A4537A" w:rsidRPr="00A4537A" w:rsidTr="000A1FE8">
        <w:trPr>
          <w:trHeight w:val="127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Inversión Pública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(IP/TE)x100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del gasto de inversión pública con respecto al total de egresos</w:t>
            </w:r>
          </w:p>
        </w:tc>
      </w:tr>
      <w:tr w:rsidR="00A4537A" w:rsidRPr="00A4537A" w:rsidTr="000A1FE8">
        <w:trPr>
          <w:trHeight w:val="126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Personales en el Gasto de Operación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(SP/TGO)x100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 los servicios personales con respecto al total de gastos de operación</w:t>
            </w:r>
          </w:p>
        </w:tc>
      </w:tr>
      <w:tr w:rsidR="00A4537A" w:rsidRPr="00A4537A" w:rsidTr="000A1FE8">
        <w:trPr>
          <w:trHeight w:val="125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de los Servicios Personales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(SP/TE)x100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 los servicios personales con respecto al total de egresos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0A1FE8" w:rsidRPr="00CA0775" w:rsidRDefault="000A1FE8" w:rsidP="00D46585">
      <w:pPr>
        <w:jc w:val="both"/>
        <w:rPr>
          <w:rFonts w:cs="DIN Pro Regular"/>
        </w:rPr>
      </w:pPr>
    </w:p>
    <w:p w:rsidR="009143CC" w:rsidRDefault="009143CC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:rsidR="009143CC" w:rsidRDefault="009143CC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b/>
          <w:noProof/>
          <w:szCs w:val="18"/>
          <w:lang w:val="es-MX" w:eastAsia="es-MX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264795</wp:posOffset>
            </wp:positionV>
            <wp:extent cx="5943600" cy="71437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CC" w:rsidRDefault="009143CC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9143CC" w:rsidRDefault="009143CC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9143CC" w:rsidRDefault="009143CC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noProof/>
          <w:szCs w:val="18"/>
          <w:lang w:val="es-MX" w:eastAsia="es-MX"/>
        </w:rPr>
        <w:lastRenderedPageBreak/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179070</wp:posOffset>
            </wp:positionV>
            <wp:extent cx="5934075" cy="71818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noProof/>
          <w:szCs w:val="18"/>
          <w:lang w:val="es-MX" w:eastAsia="es-MX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5943600" cy="7191375"/>
            <wp:effectExtent l="0" t="0" r="0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noProof/>
          <w:szCs w:val="1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64069</wp:posOffset>
            </wp:positionH>
            <wp:positionV relativeFrom="paragraph">
              <wp:posOffset>205418</wp:posOffset>
            </wp:positionV>
            <wp:extent cx="5943600" cy="717232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noProof/>
          <w:szCs w:val="18"/>
          <w:lang w:val="es-MX"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44648</wp:posOffset>
            </wp:positionH>
            <wp:positionV relativeFrom="paragraph">
              <wp:posOffset>203192</wp:posOffset>
            </wp:positionV>
            <wp:extent cx="5943600" cy="720090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noProof/>
          <w:szCs w:val="18"/>
          <w:lang w:val="es-MX" w:eastAsia="es-MX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175260</wp:posOffset>
            </wp:positionV>
            <wp:extent cx="5934075" cy="7200900"/>
            <wp:effectExtent l="0" t="0" r="952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02025E" w:rsidSect="008C19E4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AC" w:rsidRDefault="003E50AC" w:rsidP="00EA5418">
      <w:pPr>
        <w:spacing w:after="0" w:line="240" w:lineRule="auto"/>
      </w:pPr>
      <w:r>
        <w:separator/>
      </w:r>
    </w:p>
  </w:endnote>
  <w:endnote w:type="continuationSeparator" w:id="0">
    <w:p w:rsidR="003E50AC" w:rsidRDefault="003E50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DDF8B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07D30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152534" w:rsidRPr="00152534">
      <w:rPr>
        <w:rFonts w:ascii="Arial" w:hAnsi="Arial" w:cs="Arial"/>
        <w:noProof/>
        <w:lang w:val="es-ES"/>
      </w:rPr>
      <w:t>6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AC" w:rsidRDefault="003E50AC" w:rsidP="00EA5418">
      <w:pPr>
        <w:spacing w:after="0" w:line="240" w:lineRule="auto"/>
      </w:pPr>
      <w:r>
        <w:separator/>
      </w:r>
    </w:p>
  </w:footnote>
  <w:footnote w:type="continuationSeparator" w:id="0">
    <w:p w:rsidR="003E50AC" w:rsidRDefault="003E50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926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D1616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8C19E4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3120" behindDoc="0" locked="0" layoutInCell="1" allowOverlap="1" wp14:anchorId="1D7CBB4A" wp14:editId="5529CC04">
          <wp:simplePos x="0" y="0"/>
          <wp:positionH relativeFrom="margin">
            <wp:posOffset>-528955</wp:posOffset>
          </wp:positionH>
          <wp:positionV relativeFrom="margin">
            <wp:posOffset>-649605</wp:posOffset>
          </wp:positionV>
          <wp:extent cx="1393825" cy="55753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938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11AAF4B" wp14:editId="67C3AA28">
          <wp:simplePos x="0" y="0"/>
          <wp:positionH relativeFrom="column">
            <wp:posOffset>5404485</wp:posOffset>
          </wp:positionH>
          <wp:positionV relativeFrom="paragraph">
            <wp:posOffset>-268605</wp:posOffset>
          </wp:positionV>
          <wp:extent cx="743585" cy="897255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972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8C19E4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 xml:space="preserve">       SUPREMO TRIBUNAL DE JUSTICIA DEL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025E"/>
    <w:rsid w:val="00036798"/>
    <w:rsid w:val="00040466"/>
    <w:rsid w:val="000766BB"/>
    <w:rsid w:val="000A1FE8"/>
    <w:rsid w:val="000D401B"/>
    <w:rsid w:val="0013011C"/>
    <w:rsid w:val="00152534"/>
    <w:rsid w:val="001764C2"/>
    <w:rsid w:val="001B1B72"/>
    <w:rsid w:val="001B3F0F"/>
    <w:rsid w:val="00204AE9"/>
    <w:rsid w:val="00217114"/>
    <w:rsid w:val="00273186"/>
    <w:rsid w:val="00284A01"/>
    <w:rsid w:val="002943A3"/>
    <w:rsid w:val="002A70B3"/>
    <w:rsid w:val="00372F40"/>
    <w:rsid w:val="003B6D74"/>
    <w:rsid w:val="003D5DBF"/>
    <w:rsid w:val="003E50AC"/>
    <w:rsid w:val="003E7FD0"/>
    <w:rsid w:val="0042426C"/>
    <w:rsid w:val="00442023"/>
    <w:rsid w:val="0044253C"/>
    <w:rsid w:val="00451F9D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63AE5"/>
    <w:rsid w:val="005859FA"/>
    <w:rsid w:val="006048D2"/>
    <w:rsid w:val="00611E39"/>
    <w:rsid w:val="00647C15"/>
    <w:rsid w:val="00671A69"/>
    <w:rsid w:val="006755EE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C19E4"/>
    <w:rsid w:val="008E3652"/>
    <w:rsid w:val="009143CC"/>
    <w:rsid w:val="009673F5"/>
    <w:rsid w:val="00981226"/>
    <w:rsid w:val="00986B3A"/>
    <w:rsid w:val="009E4C72"/>
    <w:rsid w:val="00A036AB"/>
    <w:rsid w:val="00A34320"/>
    <w:rsid w:val="00A4537A"/>
    <w:rsid w:val="00A57D13"/>
    <w:rsid w:val="00A7165F"/>
    <w:rsid w:val="00AB13B7"/>
    <w:rsid w:val="00AD3FED"/>
    <w:rsid w:val="00AF1DB5"/>
    <w:rsid w:val="00B035F9"/>
    <w:rsid w:val="00B064CB"/>
    <w:rsid w:val="00B314DA"/>
    <w:rsid w:val="00B723E2"/>
    <w:rsid w:val="00B849EE"/>
    <w:rsid w:val="00B91889"/>
    <w:rsid w:val="00BE4371"/>
    <w:rsid w:val="00C04023"/>
    <w:rsid w:val="00C43DDF"/>
    <w:rsid w:val="00C50332"/>
    <w:rsid w:val="00C51F71"/>
    <w:rsid w:val="00CA0775"/>
    <w:rsid w:val="00CA1EC5"/>
    <w:rsid w:val="00CB17A2"/>
    <w:rsid w:val="00CD2CBB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CAFF-1566-4AA5-BBBD-FAFBF4C7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3</cp:revision>
  <cp:lastPrinted>2023-01-31T00:14:00Z</cp:lastPrinted>
  <dcterms:created xsi:type="dcterms:W3CDTF">2023-02-23T20:01:00Z</dcterms:created>
  <dcterms:modified xsi:type="dcterms:W3CDTF">2023-02-23T20:01:00Z</dcterms:modified>
</cp:coreProperties>
</file>