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5" w:rsidRPr="00CF63D6" w:rsidRDefault="00CF63D6" w:rsidP="004A691E">
      <w:pPr>
        <w:spacing w:after="0"/>
        <w:jc w:val="center"/>
        <w:rPr>
          <w:rFonts w:ascii="Encode Sans" w:hAnsi="Encode Sans" w:cs="Arial"/>
          <w:b/>
        </w:rPr>
      </w:pPr>
      <w:bookmarkStart w:id="0" w:name="_GoBack"/>
      <w:bookmarkEnd w:id="0"/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Default="00CE477E" w:rsidP="004A691E">
      <w:pPr>
        <w:spacing w:after="0"/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INDICADORES DE RESULTADO</w:t>
      </w:r>
    </w:p>
    <w:p w:rsidR="004A691E" w:rsidRPr="007D2823" w:rsidRDefault="004A691E" w:rsidP="004A691E">
      <w:pPr>
        <w:spacing w:after="0"/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Del 1º. De Enero al 31 de Diciembre de 2022</w:t>
      </w:r>
    </w:p>
    <w:p w:rsidR="00A7165F" w:rsidRDefault="00A7165F" w:rsidP="004A691E">
      <w:pPr>
        <w:tabs>
          <w:tab w:val="left" w:pos="11760"/>
        </w:tabs>
        <w:ind w:hanging="993"/>
        <w:rPr>
          <w:noProof/>
          <w:lang w:eastAsia="es-MX"/>
        </w:rPr>
      </w:pPr>
    </w:p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0"/>
        <w:gridCol w:w="1360"/>
        <w:gridCol w:w="3220"/>
      </w:tblGrid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Resultado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Parámetro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01.- LIQUIDEZ  (Activo Circulante / Pasivo Circulante)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$13,735,330.35 / $7,281,520.37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1.89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a) Positivo = mayor de 1.1 veces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Se dispone de 1.89 de activo circulante para pagar cada $1.00 de obligaciones a corto plazo. Por lo que se cuenta con liquidez.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b) Aceptable = de 1.0 a 1.1 veces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c) No aceptable = menor a 1.0 veces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02.- MÁRGEN DE SEGURIDAD   ( (Activo Circulante - Pasivo Circulante) /  Pasivo Circulante)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($13,735,330.35 - $7,281,520.37 ) / $7,281,520.37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88.63%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a) Positivo = mayor a 35%</w:t>
            </w:r>
          </w:p>
        </w:tc>
      </w:tr>
      <w:tr w:rsidR="005F5BD8" w:rsidRPr="005F5BD8" w:rsidTr="00937688">
        <w:trPr>
          <w:trHeight w:val="42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Se cuenta con un nivel positivo de margen de seguridad para solventar contingencias.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b) Aceptable = de 0% a 35%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c) No aceptable = menor a 0%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03.-PROPORCIÓN DEL PASIVO A CORTO PLAZO SOBRE EL PASIVO TOTAL (Pasivo Circulante/Pasivo Total)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($7,281,520.37 / $10,154,735.13 )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71.70%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a) Positivo = mayor o igual a 50%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El resultado indica que el financiamiento a corto plazo predomina respecto al pasivo a largo plazo.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b) No Aceptable = menor a 50%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04.- SOLVENCIA  (Pasivo Total / Activo Total)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D8" w:rsidRPr="005F5BD8" w:rsidRDefault="005F5BD8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$10,154,735.13 / $187,687,574.92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5.41%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a) Positivo = mayor a 35%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Se cuenta con un nivel positivo de solvencia para cumplir con sus compromisos a largo plazo.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b) Aceptable = de 0% a 35%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c) No aceptable = menor a 0%</w:t>
            </w:r>
          </w:p>
        </w:tc>
      </w:tr>
    </w:tbl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p w:rsidR="005F5BD8" w:rsidRPr="00CF63D6" w:rsidRDefault="005F5BD8" w:rsidP="005F5BD8">
      <w:pPr>
        <w:spacing w:after="0"/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5F5BD8" w:rsidRDefault="005F5BD8" w:rsidP="005F5BD8">
      <w:pPr>
        <w:spacing w:after="0"/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INDICADORES DE RESULTADO</w:t>
      </w:r>
    </w:p>
    <w:p w:rsidR="005F5BD8" w:rsidRPr="007D2823" w:rsidRDefault="005F5BD8" w:rsidP="005F5BD8">
      <w:pPr>
        <w:spacing w:after="0"/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Del 1º. De Enero al 31 de Diciembre de 2022</w:t>
      </w:r>
    </w:p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0"/>
        <w:gridCol w:w="1360"/>
        <w:gridCol w:w="3220"/>
      </w:tblGrid>
      <w:tr w:rsidR="005F5BD8" w:rsidRPr="005F5BD8" w:rsidTr="00102DF4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102DF4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102DF4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Resultado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102DF4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Parámetro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05.- AUTONOMÍA FINANCIERA  (Ingresos Propios / Ingresos Totales)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$216,894,239.21 / $216,894,239.21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100.00%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a) Positivo = mayor o igual a 50%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 xml:space="preserve">El resultado refleja el </w:t>
            </w:r>
            <w:r w:rsidR="00937688"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porcentaje</w:t>
            </w: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 xml:space="preserve"> de los ingresos propios, por lo que se cuenta con </w:t>
            </w:r>
            <w:r w:rsidR="00937688"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autonomía</w:t>
            </w: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 xml:space="preserve"> financiera.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b) No aceptable = menor a 50%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06.- AUTONOMÍA FINANCIERA PARA CUBRIR EL GASTO CORRIENTE (Ingresos Propios / Gasto Corriente)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D8" w:rsidRPr="005F5BD8" w:rsidRDefault="005F5BD8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$216,894,239.21 / $215,557,277.22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100.62%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a) Positivo = mayor al 55%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El gasto corriente es cubierto en un  100.62% con recursos propios, por lo cual se cuenta con un nivel positivo de autonomía financiera, para cubrir su gasto corriente.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b) Aceptable = 45% al 55%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c) No aceptable = menor al 45%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07.- REALIZACIÓN DE INVERSIONES, SERVICIOS Y BENEFICIO SOCIAL (Gasto de capital / Otros Ingresos)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a) Positivo = mayor al 70%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b) Aceptable = 60% al 70%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c) No aceptable = menor al 60%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08.- RESULTADO FINANCIERO  ((Saldo Inicial + Ingresos Totales) / Gasto Total)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D8" w:rsidRPr="005F5BD8" w:rsidRDefault="001A1363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1A1363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$18,324,944.18 + $216,894,239.21 / $216,227,448.03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a) Positivo = Igual o mayor a 1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Se cuenta con un nivel Positivo de equilibrio financiero en la administración de los recursos.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b) No Aceptable = Menor a 1</w:t>
            </w:r>
          </w:p>
        </w:tc>
      </w:tr>
    </w:tbl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p w:rsidR="005F5BD8" w:rsidRPr="00CF63D6" w:rsidRDefault="005F5BD8" w:rsidP="005F5BD8">
      <w:pPr>
        <w:spacing w:after="0"/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lastRenderedPageBreak/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5F5BD8" w:rsidRDefault="005F5BD8" w:rsidP="005F5BD8">
      <w:pPr>
        <w:spacing w:after="0"/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INDICADORES DE RESULTADO</w:t>
      </w:r>
    </w:p>
    <w:p w:rsidR="005F5BD8" w:rsidRPr="007D2823" w:rsidRDefault="005F5BD8" w:rsidP="005F5BD8">
      <w:pPr>
        <w:spacing w:after="0"/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Del 1º. De Enero al 31 de Diciembre de 2022</w:t>
      </w:r>
    </w:p>
    <w:p w:rsidR="005F5BD8" w:rsidRDefault="005F5BD8" w:rsidP="005F5BD8">
      <w:pPr>
        <w:tabs>
          <w:tab w:val="left" w:pos="11760"/>
        </w:tabs>
        <w:ind w:hanging="993"/>
        <w:rPr>
          <w:noProof/>
          <w:lang w:eastAsia="es-MX"/>
        </w:rPr>
      </w:pPr>
    </w:p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0"/>
        <w:gridCol w:w="1360"/>
        <w:gridCol w:w="3220"/>
      </w:tblGrid>
      <w:tr w:rsidR="005F5BD8" w:rsidRPr="005F5BD8" w:rsidTr="00102DF4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102DF4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102DF4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Resultado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BD8" w:rsidRPr="005F5BD8" w:rsidRDefault="005F5BD8" w:rsidP="00102DF4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Parámetro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09.- PROPORCIÓN DEL GASTO CORRIENTE SOBRE EL GASTO TOTAL (Gasto corriente / Gasto Total)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D8" w:rsidRPr="005F5BD8" w:rsidRDefault="005F5BD8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$18,324,944.18 + $216,894,239.21 / $216,227,448.03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99.69%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El gasto corriente representan el 99.69% del gasto total.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F5BD8" w:rsidRPr="005F5BD8" w:rsidTr="005F5BD8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10.- PROPORCIÓN DE LOS SERVICIOS PERSONALES S/GASTO CORRIENTE (Servicios Personales/Gasto corriente)</w:t>
            </w:r>
          </w:p>
        </w:tc>
      </w:tr>
      <w:tr w:rsidR="005F5BD8" w:rsidRPr="005F5BD8" w:rsidTr="001A1363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D8" w:rsidRPr="005F5BD8" w:rsidRDefault="001A1363" w:rsidP="001A1363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1A1363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$168,376,711.91 / $215,557,277.22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78.11%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F5BD8" w:rsidRPr="005F5BD8" w:rsidTr="005F5BD8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Los servicios personales representan el 78.11% del gasto corriente.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D8" w:rsidRPr="005F5BD8" w:rsidRDefault="005F5BD8" w:rsidP="005F5BD8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D8" w:rsidRPr="005F5BD8" w:rsidRDefault="005F5BD8" w:rsidP="005F5BD8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p w:rsidR="00CE477E" w:rsidRDefault="00CE477E" w:rsidP="004A691E">
      <w:pPr>
        <w:tabs>
          <w:tab w:val="left" w:pos="11760"/>
        </w:tabs>
        <w:ind w:hanging="993"/>
        <w:rPr>
          <w:noProof/>
          <w:lang w:eastAsia="es-MX"/>
        </w:rPr>
      </w:pPr>
    </w:p>
    <w:p w:rsidR="00CE477E" w:rsidRPr="00CA0775" w:rsidRDefault="00CE477E" w:rsidP="004A691E">
      <w:pPr>
        <w:tabs>
          <w:tab w:val="left" w:pos="11760"/>
        </w:tabs>
        <w:ind w:hanging="993"/>
        <w:rPr>
          <w:rFonts w:cs="DIN Pro Regular"/>
          <w:b/>
        </w:rPr>
      </w:pPr>
    </w:p>
    <w:p w:rsidR="00BE4371" w:rsidRPr="00CA0775" w:rsidRDefault="00BE4371" w:rsidP="00142DE1">
      <w:pPr>
        <w:rPr>
          <w:rFonts w:cs="DIN Pro Regular"/>
          <w:b/>
        </w:rPr>
      </w:pPr>
    </w:p>
    <w:p w:rsidR="00BE4371" w:rsidRPr="00CA0775" w:rsidRDefault="00BE4371" w:rsidP="00142DE1">
      <w:pPr>
        <w:rPr>
          <w:rFonts w:cs="DIN Pro Regular"/>
          <w:b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EE007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32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3D" w:rsidRDefault="00230D3D" w:rsidP="00EA5418">
      <w:pPr>
        <w:spacing w:after="0" w:line="240" w:lineRule="auto"/>
      </w:pPr>
      <w:r>
        <w:separator/>
      </w:r>
    </w:p>
  </w:endnote>
  <w:endnote w:type="continuationSeparator" w:id="0">
    <w:p w:rsidR="00230D3D" w:rsidRDefault="00230D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84179" wp14:editId="65B468C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2F445B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240EAE" wp14:editId="6353FD2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2EDF44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4811F1" w:rsidRPr="004811F1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3D" w:rsidRDefault="00230D3D" w:rsidP="00EA5418">
      <w:pPr>
        <w:spacing w:after="0" w:line="240" w:lineRule="auto"/>
      </w:pPr>
      <w:r>
        <w:separator/>
      </w:r>
    </w:p>
  </w:footnote>
  <w:footnote w:type="continuationSeparator" w:id="0">
    <w:p w:rsidR="00230D3D" w:rsidRDefault="00230D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E963D2E" wp14:editId="54B5C9B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8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08D15D" wp14:editId="3654D31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1983C1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EE007E" w:rsidP="0033024F">
    <w:pPr>
      <w:pStyle w:val="Encabezado"/>
      <w:jc w:val="right"/>
      <w:rPr>
        <w:rFonts w:ascii="Arial" w:hAnsi="Arial" w:cs="Arial"/>
      </w:rPr>
    </w:pPr>
    <w:r w:rsidRPr="0033024F">
      <w:rPr>
        <w:rFonts w:ascii="Arial" w:hAnsi="Arial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778560" behindDoc="0" locked="0" layoutInCell="1" allowOverlap="1" wp14:anchorId="45424B4C" wp14:editId="1B4F8E6F">
              <wp:simplePos x="0" y="0"/>
              <wp:positionH relativeFrom="column">
                <wp:posOffset>7567930</wp:posOffset>
              </wp:positionH>
              <wp:positionV relativeFrom="paragraph">
                <wp:posOffset>-416560</wp:posOffset>
              </wp:positionV>
              <wp:extent cx="872490" cy="759460"/>
              <wp:effectExtent l="0" t="0" r="381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759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24F" w:rsidRDefault="0033024F">
                          <w:r>
                            <w:rPr>
                              <w:rFonts w:ascii="Helvetica" w:hAnsi="Helvetica" w:cs="Arial"/>
                              <w:noProof/>
                              <w:lang w:eastAsia="es-MX"/>
                            </w:rPr>
                            <w:drawing>
                              <wp:inline distT="0" distB="0" distL="0" distR="0" wp14:anchorId="41D0B661" wp14:editId="7EF19095">
                                <wp:extent cx="705063" cy="712519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812" cy="735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left:0;text-align:left;margin-left:595.9pt;margin-top:-32.8pt;width:68.7pt;height:59.8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" stroked="f">
              <v:textbox>
                <w:txbxContent>
                  <w:p w:rsidR="0033024F" w:rsidRDefault="0033024F">
                    <w:r>
                      <w:rPr>
                        <w:rFonts w:ascii="Helvetica" w:hAnsi="Helvetica" w:cs="Arial"/>
                        <w:noProof/>
                        <w:lang w:eastAsia="es-MX"/>
                      </w:rPr>
                      <w:drawing>
                        <wp:inline distT="0" distB="0" distL="0" distR="0" wp14:anchorId="41D0B661" wp14:editId="7EF19095">
                          <wp:extent cx="705063" cy="712519"/>
                          <wp:effectExtent l="0" t="0" r="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7812" cy="735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74464" behindDoc="0" locked="0" layoutInCell="1" allowOverlap="1" wp14:anchorId="2A9A4905" wp14:editId="7BF01AD5">
          <wp:simplePos x="0" y="0"/>
          <wp:positionH relativeFrom="margin">
            <wp:posOffset>-474980</wp:posOffset>
          </wp:positionH>
          <wp:positionV relativeFrom="margin">
            <wp:posOffset>-680720</wp:posOffset>
          </wp:positionV>
          <wp:extent cx="1311910" cy="524510"/>
          <wp:effectExtent l="0" t="0" r="2540" b="889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1191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33024F" w:rsidRDefault="0033024F" w:rsidP="00442023">
    <w:pPr>
      <w:pStyle w:val="Encabezado"/>
      <w:jc w:val="center"/>
      <w:rPr>
        <w:rFonts w:ascii="Arial" w:hAnsi="Arial" w:cs="Arial"/>
        <w:b/>
      </w:rPr>
    </w:pPr>
    <w:r w:rsidRPr="0033024F">
      <w:rPr>
        <w:rFonts w:ascii="Encode Sans" w:hAnsi="Encode Sans" w:cs="Arial"/>
        <w:b/>
      </w:rPr>
      <w:t>Congreso del Estado Libre y Soberano de Tamaulipas</w:t>
    </w:r>
  </w:p>
  <w:p w:rsidR="00B064CB" w:rsidRPr="00EE007E" w:rsidRDefault="00B064CB" w:rsidP="0013011C">
    <w:pPr>
      <w:pStyle w:val="Encabezado"/>
      <w:jc w:val="center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326E"/>
    <w:rsid w:val="000745BC"/>
    <w:rsid w:val="000766BB"/>
    <w:rsid w:val="000C5877"/>
    <w:rsid w:val="000D401B"/>
    <w:rsid w:val="0013011C"/>
    <w:rsid w:val="00142DE1"/>
    <w:rsid w:val="001764C2"/>
    <w:rsid w:val="001A0217"/>
    <w:rsid w:val="001A1363"/>
    <w:rsid w:val="001B1B72"/>
    <w:rsid w:val="00217114"/>
    <w:rsid w:val="00230D3D"/>
    <w:rsid w:val="00284A01"/>
    <w:rsid w:val="002943A3"/>
    <w:rsid w:val="002A70B3"/>
    <w:rsid w:val="0033024F"/>
    <w:rsid w:val="00372F40"/>
    <w:rsid w:val="003B6D74"/>
    <w:rsid w:val="003D5DBF"/>
    <w:rsid w:val="003E7FD0"/>
    <w:rsid w:val="00442023"/>
    <w:rsid w:val="0044253C"/>
    <w:rsid w:val="004811F1"/>
    <w:rsid w:val="004866B2"/>
    <w:rsid w:val="00486AE1"/>
    <w:rsid w:val="00486EF3"/>
    <w:rsid w:val="00487344"/>
    <w:rsid w:val="00490B59"/>
    <w:rsid w:val="00497D8B"/>
    <w:rsid w:val="004A691E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F5BD8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37688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C1544"/>
    <w:rsid w:val="00CE477E"/>
    <w:rsid w:val="00CF2FEA"/>
    <w:rsid w:val="00CF63D6"/>
    <w:rsid w:val="00D055EC"/>
    <w:rsid w:val="00D42624"/>
    <w:rsid w:val="00D46585"/>
    <w:rsid w:val="00D51261"/>
    <w:rsid w:val="00D921B1"/>
    <w:rsid w:val="00DE03B8"/>
    <w:rsid w:val="00E20B95"/>
    <w:rsid w:val="00E32708"/>
    <w:rsid w:val="00E42A6C"/>
    <w:rsid w:val="00E75F9F"/>
    <w:rsid w:val="00E92F76"/>
    <w:rsid w:val="00EA5418"/>
    <w:rsid w:val="00EB3E19"/>
    <w:rsid w:val="00EC7521"/>
    <w:rsid w:val="00EE007E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78E1-E91F-475B-91BE-6F3FC8ED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2</cp:revision>
  <cp:lastPrinted>2022-12-20T20:35:00Z</cp:lastPrinted>
  <dcterms:created xsi:type="dcterms:W3CDTF">2023-04-03T18:39:00Z</dcterms:created>
  <dcterms:modified xsi:type="dcterms:W3CDTF">2023-04-03T18:39:00Z</dcterms:modified>
</cp:coreProperties>
</file>