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157A5" w14:textId="77777777" w:rsidR="00FA799F" w:rsidRPr="005F45A3" w:rsidRDefault="00FA799F" w:rsidP="00576CE3">
      <w:pPr>
        <w:pStyle w:val="Texto"/>
        <w:spacing w:after="0" w:line="360" w:lineRule="auto"/>
        <w:jc w:val="center"/>
        <w:rPr>
          <w:rFonts w:asciiTheme="minorHAnsi" w:hAnsiTheme="minorHAnsi" w:cstheme="minorHAnsi"/>
          <w:b/>
          <w:sz w:val="22"/>
          <w:szCs w:val="18"/>
        </w:rPr>
      </w:pPr>
      <w:r w:rsidRPr="005F45A3">
        <w:rPr>
          <w:rFonts w:asciiTheme="minorHAnsi" w:hAnsiTheme="minorHAnsi" w:cstheme="minorHAnsi"/>
          <w:b/>
          <w:sz w:val="22"/>
          <w:szCs w:val="18"/>
        </w:rPr>
        <w:t>NOTAS A LOS ESTADOS FINANCIEROS</w:t>
      </w:r>
    </w:p>
    <w:p w14:paraId="761C15C0" w14:textId="2D376FEB" w:rsidR="00FA799F" w:rsidRPr="004D690F" w:rsidRDefault="00FA799F" w:rsidP="009F7973">
      <w:pPr>
        <w:pStyle w:val="Texto"/>
        <w:spacing w:after="0" w:line="360" w:lineRule="auto"/>
        <w:jc w:val="center"/>
        <w:rPr>
          <w:rFonts w:asciiTheme="minorHAnsi" w:hAnsiTheme="minorHAnsi" w:cstheme="minorHAnsi"/>
          <w:b/>
          <w:sz w:val="22"/>
          <w:szCs w:val="18"/>
        </w:rPr>
      </w:pPr>
      <w:r w:rsidRPr="004D690F">
        <w:rPr>
          <w:rFonts w:asciiTheme="minorHAnsi" w:hAnsiTheme="minorHAnsi" w:cstheme="minorHAnsi"/>
          <w:b/>
          <w:sz w:val="22"/>
          <w:szCs w:val="18"/>
        </w:rPr>
        <w:t>A</w:t>
      </w:r>
      <w:r w:rsidR="00AC078C" w:rsidRPr="004D690F">
        <w:rPr>
          <w:rFonts w:asciiTheme="minorHAnsi" w:hAnsiTheme="minorHAnsi" w:cstheme="minorHAnsi"/>
          <w:b/>
          <w:sz w:val="22"/>
          <w:szCs w:val="18"/>
        </w:rPr>
        <w:t>l</w:t>
      </w:r>
      <w:r w:rsidRPr="004D690F">
        <w:rPr>
          <w:rFonts w:asciiTheme="minorHAnsi" w:hAnsiTheme="minorHAnsi" w:cstheme="minorHAnsi"/>
          <w:b/>
          <w:sz w:val="22"/>
          <w:szCs w:val="18"/>
        </w:rPr>
        <w:t xml:space="preserve"> </w:t>
      </w:r>
      <w:r w:rsidR="0056493E" w:rsidRPr="004D690F">
        <w:rPr>
          <w:rFonts w:asciiTheme="minorHAnsi" w:hAnsiTheme="minorHAnsi" w:cstheme="minorHAnsi"/>
          <w:b/>
          <w:sz w:val="22"/>
          <w:szCs w:val="18"/>
        </w:rPr>
        <w:t>3</w:t>
      </w:r>
      <w:r w:rsidR="00A75D48">
        <w:rPr>
          <w:rFonts w:asciiTheme="minorHAnsi" w:hAnsiTheme="minorHAnsi" w:cstheme="minorHAnsi"/>
          <w:b/>
          <w:sz w:val="22"/>
          <w:szCs w:val="18"/>
        </w:rPr>
        <w:t>1</w:t>
      </w:r>
      <w:r w:rsidR="0056493E" w:rsidRPr="004D690F">
        <w:rPr>
          <w:rFonts w:asciiTheme="minorHAnsi" w:hAnsiTheme="minorHAnsi" w:cstheme="minorHAnsi"/>
          <w:b/>
          <w:sz w:val="22"/>
          <w:szCs w:val="18"/>
        </w:rPr>
        <w:t xml:space="preserve"> de </w:t>
      </w:r>
      <w:r w:rsidR="00A75D48">
        <w:rPr>
          <w:rFonts w:asciiTheme="minorHAnsi" w:hAnsiTheme="minorHAnsi" w:cstheme="minorHAnsi"/>
          <w:b/>
          <w:sz w:val="22"/>
          <w:szCs w:val="18"/>
        </w:rPr>
        <w:t>Dic</w:t>
      </w:r>
      <w:r w:rsidR="00957395" w:rsidRPr="004D690F">
        <w:rPr>
          <w:rFonts w:asciiTheme="minorHAnsi" w:hAnsiTheme="minorHAnsi" w:cstheme="minorHAnsi"/>
          <w:b/>
          <w:sz w:val="22"/>
          <w:szCs w:val="18"/>
        </w:rPr>
        <w:t>iembre</w:t>
      </w:r>
      <w:r w:rsidR="003A5C06" w:rsidRPr="004D690F">
        <w:rPr>
          <w:rFonts w:asciiTheme="minorHAnsi" w:hAnsiTheme="minorHAnsi" w:cstheme="minorHAnsi"/>
          <w:b/>
          <w:sz w:val="22"/>
          <w:szCs w:val="18"/>
        </w:rPr>
        <w:t xml:space="preserve"> </w:t>
      </w:r>
      <w:r w:rsidR="00FA7471" w:rsidRPr="004D690F">
        <w:rPr>
          <w:rFonts w:asciiTheme="minorHAnsi" w:hAnsiTheme="minorHAnsi" w:cstheme="minorHAnsi"/>
          <w:b/>
          <w:sz w:val="22"/>
          <w:szCs w:val="18"/>
        </w:rPr>
        <w:t>de</w:t>
      </w:r>
      <w:r w:rsidR="00C95D2C" w:rsidRPr="004D690F">
        <w:rPr>
          <w:rFonts w:asciiTheme="minorHAnsi" w:hAnsiTheme="minorHAnsi" w:cstheme="minorHAnsi"/>
          <w:b/>
          <w:sz w:val="22"/>
          <w:szCs w:val="18"/>
        </w:rPr>
        <w:t xml:space="preserve"> 202</w:t>
      </w:r>
      <w:r w:rsidR="00FA7471" w:rsidRPr="004D690F">
        <w:rPr>
          <w:rFonts w:asciiTheme="minorHAnsi" w:hAnsiTheme="minorHAnsi" w:cstheme="minorHAnsi"/>
          <w:b/>
          <w:sz w:val="22"/>
          <w:szCs w:val="18"/>
        </w:rPr>
        <w:t>2</w:t>
      </w:r>
    </w:p>
    <w:p w14:paraId="2E7B6B86" w14:textId="77777777" w:rsidR="00FA799F" w:rsidRPr="00823B51" w:rsidRDefault="00FA799F" w:rsidP="00B46FFA">
      <w:pPr>
        <w:pStyle w:val="Texto"/>
        <w:numPr>
          <w:ilvl w:val="0"/>
          <w:numId w:val="19"/>
        </w:numPr>
        <w:spacing w:after="0" w:line="360" w:lineRule="auto"/>
        <w:jc w:val="center"/>
        <w:rPr>
          <w:rFonts w:asciiTheme="minorHAnsi" w:hAnsiTheme="minorHAnsi" w:cstheme="minorHAnsi"/>
          <w:b/>
          <w:sz w:val="22"/>
          <w:szCs w:val="18"/>
        </w:rPr>
      </w:pPr>
      <w:r w:rsidRPr="00823B51">
        <w:rPr>
          <w:rFonts w:asciiTheme="minorHAnsi" w:hAnsiTheme="minorHAnsi" w:cstheme="minorHAnsi"/>
          <w:b/>
          <w:sz w:val="22"/>
          <w:szCs w:val="18"/>
        </w:rPr>
        <w:t>Notas de Desglose</w:t>
      </w:r>
    </w:p>
    <w:p w14:paraId="4FD8C86C" w14:textId="77777777" w:rsidR="00FA799F" w:rsidRPr="005F45A3" w:rsidRDefault="00FA799F" w:rsidP="006B60D8">
      <w:pPr>
        <w:pStyle w:val="Texto"/>
        <w:spacing w:after="0" w:line="240" w:lineRule="exact"/>
        <w:ind w:firstLine="0"/>
        <w:rPr>
          <w:rFonts w:asciiTheme="minorHAnsi" w:hAnsiTheme="minorHAnsi" w:cstheme="minorHAnsi"/>
          <w:sz w:val="22"/>
          <w:szCs w:val="18"/>
        </w:rPr>
      </w:pPr>
    </w:p>
    <w:p w14:paraId="4A8DC1C8" w14:textId="77777777" w:rsidR="00FA799F" w:rsidRPr="00686668" w:rsidRDefault="00FA799F" w:rsidP="00B46FFA">
      <w:pPr>
        <w:pStyle w:val="Texto"/>
        <w:numPr>
          <w:ilvl w:val="0"/>
          <w:numId w:val="29"/>
        </w:numPr>
        <w:spacing w:after="0" w:line="240" w:lineRule="exact"/>
        <w:ind w:left="284" w:hanging="284"/>
        <w:rPr>
          <w:rFonts w:asciiTheme="minorHAnsi" w:hAnsiTheme="minorHAnsi" w:cstheme="minorHAnsi"/>
          <w:b/>
          <w:sz w:val="20"/>
          <w:szCs w:val="18"/>
        </w:rPr>
      </w:pPr>
      <w:r w:rsidRPr="00686668">
        <w:rPr>
          <w:rFonts w:asciiTheme="minorHAnsi" w:hAnsiTheme="minorHAnsi" w:cstheme="minorHAnsi"/>
          <w:b/>
          <w:sz w:val="20"/>
          <w:szCs w:val="18"/>
        </w:rPr>
        <w:t>Notas al Estado de Situación Financiera</w:t>
      </w:r>
    </w:p>
    <w:p w14:paraId="3B4FFABC" w14:textId="77777777" w:rsidR="00FA799F" w:rsidRPr="005F45A3" w:rsidRDefault="00FA799F" w:rsidP="006B60D8">
      <w:pPr>
        <w:pStyle w:val="Texto"/>
        <w:spacing w:after="0" w:line="240" w:lineRule="exact"/>
        <w:ind w:left="288" w:firstLine="0"/>
        <w:rPr>
          <w:rFonts w:asciiTheme="minorHAnsi" w:hAnsiTheme="minorHAnsi" w:cstheme="minorHAnsi"/>
          <w:sz w:val="22"/>
          <w:szCs w:val="18"/>
        </w:rPr>
      </w:pPr>
    </w:p>
    <w:p w14:paraId="0652D96A" w14:textId="77777777" w:rsidR="00FA799F" w:rsidRPr="006B60D8" w:rsidRDefault="00FA799F" w:rsidP="006B60D8">
      <w:pPr>
        <w:pStyle w:val="Texto"/>
        <w:spacing w:after="0" w:line="240" w:lineRule="exact"/>
        <w:ind w:left="288" w:hanging="288"/>
        <w:rPr>
          <w:rFonts w:asciiTheme="minorHAnsi" w:hAnsiTheme="minorHAnsi" w:cstheme="minorHAnsi"/>
          <w:b/>
          <w:sz w:val="20"/>
          <w:szCs w:val="18"/>
        </w:rPr>
      </w:pPr>
      <w:r w:rsidRPr="006B60D8">
        <w:rPr>
          <w:rFonts w:asciiTheme="minorHAnsi" w:hAnsiTheme="minorHAnsi" w:cstheme="minorHAnsi"/>
          <w:b/>
          <w:sz w:val="20"/>
          <w:szCs w:val="18"/>
        </w:rPr>
        <w:t>Activo</w:t>
      </w:r>
    </w:p>
    <w:p w14:paraId="336B6630" w14:textId="77777777" w:rsidR="00FA799F" w:rsidRPr="005F45A3" w:rsidRDefault="00FA799F" w:rsidP="006B60D8">
      <w:pPr>
        <w:pStyle w:val="Texto"/>
        <w:spacing w:after="0" w:line="240" w:lineRule="exact"/>
        <w:ind w:left="288" w:firstLine="0"/>
        <w:rPr>
          <w:rFonts w:asciiTheme="minorHAnsi" w:hAnsiTheme="minorHAnsi" w:cstheme="minorHAnsi"/>
          <w:sz w:val="22"/>
          <w:szCs w:val="18"/>
        </w:rPr>
      </w:pPr>
    </w:p>
    <w:p w14:paraId="3A3C1F7F" w14:textId="77777777" w:rsidR="00FA799F" w:rsidRPr="006B60D8" w:rsidRDefault="00FA799F" w:rsidP="007A6147">
      <w:pPr>
        <w:pStyle w:val="Texto"/>
        <w:spacing w:after="0" w:line="240" w:lineRule="exact"/>
        <w:ind w:firstLine="0"/>
        <w:rPr>
          <w:rFonts w:asciiTheme="minorHAnsi" w:hAnsiTheme="minorHAnsi" w:cstheme="minorHAnsi"/>
          <w:b/>
          <w:i/>
          <w:sz w:val="20"/>
          <w:szCs w:val="18"/>
          <w:u w:val="single"/>
        </w:rPr>
      </w:pPr>
      <w:r w:rsidRPr="006B60D8">
        <w:rPr>
          <w:rFonts w:asciiTheme="minorHAnsi" w:hAnsiTheme="minorHAnsi" w:cstheme="minorHAnsi"/>
          <w:b/>
          <w:i/>
          <w:sz w:val="20"/>
          <w:szCs w:val="18"/>
          <w:u w:val="single"/>
        </w:rPr>
        <w:t>EFECTIVO Y EQUIVALENTE</w:t>
      </w:r>
    </w:p>
    <w:p w14:paraId="2F911FBB" w14:textId="77777777" w:rsidR="00296078" w:rsidRPr="005F45A3" w:rsidRDefault="00296078" w:rsidP="00296078">
      <w:pPr>
        <w:pStyle w:val="Texto"/>
        <w:spacing w:after="0" w:line="240" w:lineRule="exact"/>
        <w:ind w:firstLine="641"/>
        <w:rPr>
          <w:rFonts w:asciiTheme="minorHAnsi" w:hAnsiTheme="minorHAnsi" w:cstheme="minorHAnsi"/>
          <w:sz w:val="20"/>
          <w:szCs w:val="18"/>
        </w:rPr>
      </w:pPr>
    </w:p>
    <w:p w14:paraId="6D7B258B" w14:textId="491E6FE8" w:rsidR="00FA799F" w:rsidRDefault="00296078" w:rsidP="00B46FFA">
      <w:pPr>
        <w:pStyle w:val="Texto"/>
        <w:numPr>
          <w:ilvl w:val="0"/>
          <w:numId w:val="20"/>
        </w:numPr>
        <w:spacing w:after="0" w:line="276" w:lineRule="auto"/>
        <w:ind w:left="426" w:hanging="284"/>
        <w:rPr>
          <w:rFonts w:asciiTheme="minorHAnsi" w:hAnsiTheme="minorHAnsi" w:cstheme="minorHAnsi"/>
          <w:szCs w:val="18"/>
        </w:rPr>
      </w:pPr>
      <w:r w:rsidRPr="005F45A3">
        <w:rPr>
          <w:rFonts w:asciiTheme="minorHAnsi" w:hAnsiTheme="minorHAnsi" w:cstheme="minorHAnsi"/>
          <w:szCs w:val="18"/>
        </w:rPr>
        <w:t xml:space="preserve">Este rubro lo integran las partidas de corto plazo donde se incluye todas las cuentas de Bancos e inversiones registradas </w:t>
      </w:r>
      <w:r w:rsidR="00F94836" w:rsidRPr="005F45A3">
        <w:rPr>
          <w:rFonts w:asciiTheme="minorHAnsi" w:hAnsiTheme="minorHAnsi" w:cstheme="minorHAnsi"/>
          <w:szCs w:val="18"/>
        </w:rPr>
        <w:t>a</w:t>
      </w:r>
      <w:r w:rsidRPr="005F45A3">
        <w:rPr>
          <w:rFonts w:asciiTheme="minorHAnsi" w:hAnsiTheme="minorHAnsi" w:cstheme="minorHAnsi"/>
          <w:szCs w:val="18"/>
        </w:rPr>
        <w:t xml:space="preserve">l cierre del </w:t>
      </w:r>
      <w:r w:rsidR="0094427D">
        <w:rPr>
          <w:rFonts w:asciiTheme="minorHAnsi" w:hAnsiTheme="minorHAnsi" w:cstheme="minorHAnsi"/>
          <w:szCs w:val="18"/>
        </w:rPr>
        <w:t>ejercicio</w:t>
      </w:r>
      <w:r w:rsidRPr="005F45A3">
        <w:rPr>
          <w:rFonts w:asciiTheme="minorHAnsi" w:hAnsiTheme="minorHAnsi" w:cstheme="minorHAnsi"/>
          <w:szCs w:val="18"/>
        </w:rPr>
        <w:t xml:space="preserve"> y sus montos por cuenta están desglosadas como sigue: </w:t>
      </w:r>
    </w:p>
    <w:p w14:paraId="2FB80581" w14:textId="77777777" w:rsidR="0061352F" w:rsidRPr="005F45A3" w:rsidRDefault="0061352F" w:rsidP="0061352F">
      <w:pPr>
        <w:pStyle w:val="Texto"/>
        <w:spacing w:after="0" w:line="276" w:lineRule="auto"/>
        <w:ind w:left="426" w:firstLine="0"/>
        <w:rPr>
          <w:rFonts w:asciiTheme="minorHAnsi" w:hAnsiTheme="minorHAnsi" w:cstheme="minorHAnsi"/>
          <w:szCs w:val="18"/>
        </w:rPr>
      </w:pPr>
    </w:p>
    <w:tbl>
      <w:tblPr>
        <w:tblW w:w="7933" w:type="dxa"/>
        <w:tblCellMar>
          <w:left w:w="70" w:type="dxa"/>
          <w:right w:w="70" w:type="dxa"/>
        </w:tblCellMar>
        <w:tblLook w:val="04A0" w:firstRow="1" w:lastRow="0" w:firstColumn="1" w:lastColumn="0" w:noHBand="0" w:noVBand="1"/>
      </w:tblPr>
      <w:tblGrid>
        <w:gridCol w:w="3114"/>
        <w:gridCol w:w="1701"/>
        <w:gridCol w:w="1559"/>
        <w:gridCol w:w="1559"/>
      </w:tblGrid>
      <w:tr w:rsidR="0004279F" w:rsidRPr="0061352F" w14:paraId="2C199FA7" w14:textId="77777777" w:rsidTr="0061352F">
        <w:trPr>
          <w:trHeight w:val="290"/>
        </w:trPr>
        <w:tc>
          <w:tcPr>
            <w:tcW w:w="3114" w:type="dxa"/>
            <w:tcBorders>
              <w:top w:val="single" w:sz="4" w:space="0" w:color="auto"/>
              <w:left w:val="single" w:sz="4" w:space="0" w:color="auto"/>
              <w:bottom w:val="nil"/>
              <w:right w:val="single" w:sz="4" w:space="0" w:color="auto"/>
            </w:tcBorders>
            <w:shd w:val="clear" w:color="000000" w:fill="AB0033"/>
            <w:vAlign w:val="center"/>
            <w:hideMark/>
          </w:tcPr>
          <w:p w14:paraId="28A0F7C9" w14:textId="77777777" w:rsidR="0004279F" w:rsidRPr="0061352F" w:rsidRDefault="0004279F" w:rsidP="0004279F">
            <w:pPr>
              <w:spacing w:after="0" w:line="240" w:lineRule="auto"/>
              <w:jc w:val="center"/>
              <w:rPr>
                <w:rFonts w:eastAsia="Times New Roman" w:cs="Calibri"/>
                <w:b/>
                <w:bCs/>
                <w:color w:val="FFFFFF"/>
                <w:sz w:val="16"/>
                <w:szCs w:val="16"/>
                <w:lang w:eastAsia="es-MX"/>
              </w:rPr>
            </w:pPr>
            <w:r w:rsidRPr="0061352F">
              <w:rPr>
                <w:rFonts w:eastAsia="Times New Roman" w:cs="Calibri"/>
                <w:b/>
                <w:bCs/>
                <w:color w:val="FFFFFF"/>
                <w:sz w:val="16"/>
                <w:szCs w:val="16"/>
                <w:lang w:eastAsia="es-MX"/>
              </w:rPr>
              <w:t>Efectivo y Equivalente</w:t>
            </w:r>
          </w:p>
        </w:tc>
        <w:tc>
          <w:tcPr>
            <w:tcW w:w="1701" w:type="dxa"/>
            <w:tcBorders>
              <w:top w:val="single" w:sz="4" w:space="0" w:color="auto"/>
              <w:left w:val="nil"/>
              <w:bottom w:val="single" w:sz="4" w:space="0" w:color="auto"/>
              <w:right w:val="nil"/>
            </w:tcBorders>
            <w:shd w:val="clear" w:color="000000" w:fill="AB0033"/>
            <w:vAlign w:val="center"/>
            <w:hideMark/>
          </w:tcPr>
          <w:p w14:paraId="424EA267" w14:textId="77777777" w:rsidR="0004279F" w:rsidRPr="0061352F" w:rsidRDefault="0004279F" w:rsidP="0004279F">
            <w:pPr>
              <w:spacing w:after="0" w:line="240" w:lineRule="auto"/>
              <w:rPr>
                <w:rFonts w:eastAsia="Times New Roman" w:cs="Calibri"/>
                <w:b/>
                <w:bCs/>
                <w:color w:val="FFFFFF"/>
                <w:sz w:val="16"/>
                <w:szCs w:val="16"/>
                <w:lang w:eastAsia="es-MX"/>
              </w:rPr>
            </w:pPr>
            <w:r w:rsidRPr="0061352F">
              <w:rPr>
                <w:rFonts w:eastAsia="Times New Roman" w:cs="Calibri"/>
                <w:b/>
                <w:bCs/>
                <w:color w:val="FFFFFF"/>
                <w:sz w:val="16"/>
                <w:szCs w:val="16"/>
                <w:lang w:eastAsia="es-MX"/>
              </w:rPr>
              <w:t>Recurso Estatal</w:t>
            </w:r>
          </w:p>
        </w:tc>
        <w:tc>
          <w:tcPr>
            <w:tcW w:w="1559" w:type="dxa"/>
            <w:tcBorders>
              <w:top w:val="single" w:sz="4" w:space="0" w:color="auto"/>
              <w:left w:val="single" w:sz="4" w:space="0" w:color="auto"/>
              <w:bottom w:val="single" w:sz="4" w:space="0" w:color="auto"/>
              <w:right w:val="nil"/>
            </w:tcBorders>
            <w:shd w:val="clear" w:color="000000" w:fill="AB0033"/>
            <w:vAlign w:val="center"/>
            <w:hideMark/>
          </w:tcPr>
          <w:p w14:paraId="5DB90EBA" w14:textId="77777777" w:rsidR="0004279F" w:rsidRPr="0061352F" w:rsidRDefault="0004279F" w:rsidP="0004279F">
            <w:pPr>
              <w:spacing w:after="0" w:line="240" w:lineRule="auto"/>
              <w:rPr>
                <w:rFonts w:eastAsia="Times New Roman" w:cs="Calibri"/>
                <w:b/>
                <w:bCs/>
                <w:color w:val="FFFFFF"/>
                <w:sz w:val="16"/>
                <w:szCs w:val="16"/>
                <w:lang w:eastAsia="es-MX"/>
              </w:rPr>
            </w:pPr>
            <w:r w:rsidRPr="0061352F">
              <w:rPr>
                <w:rFonts w:eastAsia="Times New Roman" w:cs="Calibri"/>
                <w:b/>
                <w:bCs/>
                <w:color w:val="FFFFFF"/>
                <w:sz w:val="16"/>
                <w:szCs w:val="16"/>
                <w:lang w:eastAsia="es-MX"/>
              </w:rPr>
              <w:t>Recurso Federal</w:t>
            </w:r>
          </w:p>
        </w:tc>
        <w:tc>
          <w:tcPr>
            <w:tcW w:w="1559" w:type="dxa"/>
            <w:tcBorders>
              <w:top w:val="single" w:sz="4" w:space="0" w:color="auto"/>
              <w:left w:val="nil"/>
              <w:bottom w:val="single" w:sz="4" w:space="0" w:color="auto"/>
              <w:right w:val="single" w:sz="4" w:space="0" w:color="auto"/>
            </w:tcBorders>
            <w:shd w:val="clear" w:color="000000" w:fill="AB0033"/>
            <w:vAlign w:val="center"/>
            <w:hideMark/>
          </w:tcPr>
          <w:p w14:paraId="1F76D016" w14:textId="4F1F6BEE" w:rsidR="0004279F" w:rsidRPr="0061352F" w:rsidRDefault="0004279F" w:rsidP="0004279F">
            <w:pPr>
              <w:spacing w:after="0" w:line="240" w:lineRule="auto"/>
              <w:rPr>
                <w:rFonts w:eastAsia="Times New Roman" w:cs="Calibri"/>
                <w:b/>
                <w:bCs/>
                <w:color w:val="FFFFFF"/>
                <w:sz w:val="16"/>
                <w:szCs w:val="16"/>
                <w:lang w:eastAsia="es-MX"/>
              </w:rPr>
            </w:pPr>
            <w:r w:rsidRPr="0061352F">
              <w:rPr>
                <w:rFonts w:eastAsia="Times New Roman" w:cs="Calibri"/>
                <w:b/>
                <w:bCs/>
                <w:color w:val="FFFFFF"/>
                <w:sz w:val="16"/>
                <w:szCs w:val="16"/>
                <w:lang w:eastAsia="es-MX"/>
              </w:rPr>
              <w:t> </w:t>
            </w:r>
            <w:r w:rsidR="0045448A" w:rsidRPr="0061352F">
              <w:rPr>
                <w:rFonts w:eastAsia="Times New Roman" w:cs="Calibri"/>
                <w:b/>
                <w:bCs/>
                <w:color w:val="FFFFFF"/>
                <w:sz w:val="16"/>
                <w:szCs w:val="16"/>
                <w:lang w:eastAsia="es-MX"/>
              </w:rPr>
              <w:t>IMPORTE</w:t>
            </w:r>
          </w:p>
        </w:tc>
      </w:tr>
      <w:tr w:rsidR="0004279F" w:rsidRPr="0061352F" w14:paraId="7680C4C7" w14:textId="77777777" w:rsidTr="0061352F">
        <w:trPr>
          <w:trHeight w:val="29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EA454" w14:textId="77777777" w:rsidR="0004279F" w:rsidRPr="0061352F" w:rsidRDefault="0004279F" w:rsidP="0004279F">
            <w:pPr>
              <w:spacing w:after="0" w:line="240" w:lineRule="auto"/>
              <w:jc w:val="both"/>
              <w:rPr>
                <w:rFonts w:eastAsia="Times New Roman" w:cs="Calibri"/>
                <w:color w:val="000000"/>
                <w:sz w:val="16"/>
                <w:szCs w:val="16"/>
                <w:lang w:eastAsia="es-MX"/>
              </w:rPr>
            </w:pPr>
            <w:r w:rsidRPr="0061352F">
              <w:rPr>
                <w:rFonts w:eastAsia="Times New Roman" w:cs="Calibri"/>
                <w:color w:val="000000"/>
                <w:sz w:val="16"/>
                <w:szCs w:val="16"/>
                <w:lang w:eastAsia="es-MX"/>
              </w:rPr>
              <w:t>Bancos/Tesorería</w:t>
            </w:r>
          </w:p>
        </w:tc>
        <w:tc>
          <w:tcPr>
            <w:tcW w:w="1701" w:type="dxa"/>
            <w:tcBorders>
              <w:top w:val="nil"/>
              <w:left w:val="nil"/>
              <w:bottom w:val="single" w:sz="4" w:space="0" w:color="auto"/>
              <w:right w:val="single" w:sz="4" w:space="0" w:color="auto"/>
            </w:tcBorders>
            <w:shd w:val="clear" w:color="auto" w:fill="auto"/>
            <w:noWrap/>
            <w:vAlign w:val="bottom"/>
            <w:hideMark/>
          </w:tcPr>
          <w:p w14:paraId="42C3227A" w14:textId="77777777" w:rsidR="0004279F" w:rsidRPr="0061352F" w:rsidRDefault="0004279F" w:rsidP="0004279F">
            <w:pPr>
              <w:spacing w:after="0" w:line="240" w:lineRule="auto"/>
              <w:jc w:val="right"/>
              <w:rPr>
                <w:rFonts w:eastAsia="Times New Roman" w:cs="Calibri"/>
                <w:color w:val="000000"/>
                <w:sz w:val="16"/>
                <w:szCs w:val="16"/>
                <w:lang w:eastAsia="es-MX"/>
              </w:rPr>
            </w:pPr>
            <w:r w:rsidRPr="0061352F">
              <w:rPr>
                <w:rFonts w:eastAsia="Times New Roman" w:cs="Calibri"/>
                <w:color w:val="000000"/>
                <w:sz w:val="16"/>
                <w:szCs w:val="16"/>
                <w:lang w:eastAsia="es-MX"/>
              </w:rPr>
              <w:t>1,177,617,871</w:t>
            </w:r>
          </w:p>
        </w:tc>
        <w:tc>
          <w:tcPr>
            <w:tcW w:w="1559" w:type="dxa"/>
            <w:tcBorders>
              <w:top w:val="nil"/>
              <w:left w:val="nil"/>
              <w:bottom w:val="single" w:sz="4" w:space="0" w:color="auto"/>
              <w:right w:val="single" w:sz="4" w:space="0" w:color="auto"/>
            </w:tcBorders>
            <w:shd w:val="clear" w:color="auto" w:fill="auto"/>
            <w:noWrap/>
            <w:vAlign w:val="bottom"/>
            <w:hideMark/>
          </w:tcPr>
          <w:p w14:paraId="530E74D1" w14:textId="77777777" w:rsidR="0004279F" w:rsidRPr="0061352F" w:rsidRDefault="0004279F" w:rsidP="0004279F">
            <w:pPr>
              <w:spacing w:after="0" w:line="240" w:lineRule="auto"/>
              <w:jc w:val="right"/>
              <w:rPr>
                <w:rFonts w:eastAsia="Times New Roman" w:cs="Calibri"/>
                <w:color w:val="000000"/>
                <w:sz w:val="16"/>
                <w:szCs w:val="16"/>
                <w:lang w:eastAsia="es-MX"/>
              </w:rPr>
            </w:pPr>
            <w:r w:rsidRPr="0061352F">
              <w:rPr>
                <w:rFonts w:eastAsia="Times New Roman" w:cs="Calibri"/>
                <w:color w:val="000000"/>
                <w:sz w:val="16"/>
                <w:szCs w:val="16"/>
                <w:lang w:eastAsia="es-MX"/>
              </w:rPr>
              <w:t>375,631,534</w:t>
            </w:r>
          </w:p>
        </w:tc>
        <w:tc>
          <w:tcPr>
            <w:tcW w:w="1559" w:type="dxa"/>
            <w:tcBorders>
              <w:top w:val="nil"/>
              <w:left w:val="nil"/>
              <w:bottom w:val="single" w:sz="4" w:space="0" w:color="auto"/>
              <w:right w:val="single" w:sz="4" w:space="0" w:color="auto"/>
            </w:tcBorders>
            <w:shd w:val="clear" w:color="auto" w:fill="auto"/>
            <w:noWrap/>
            <w:vAlign w:val="bottom"/>
            <w:hideMark/>
          </w:tcPr>
          <w:p w14:paraId="6CA44F3D" w14:textId="77777777" w:rsidR="0004279F" w:rsidRPr="0061352F" w:rsidRDefault="0004279F" w:rsidP="0004279F">
            <w:pPr>
              <w:spacing w:after="0" w:line="240" w:lineRule="auto"/>
              <w:jc w:val="right"/>
              <w:rPr>
                <w:rFonts w:eastAsia="Times New Roman" w:cs="Calibri"/>
                <w:color w:val="000000"/>
                <w:sz w:val="16"/>
                <w:szCs w:val="16"/>
                <w:lang w:eastAsia="es-MX"/>
              </w:rPr>
            </w:pPr>
            <w:r w:rsidRPr="0061352F">
              <w:rPr>
                <w:rFonts w:eastAsia="Times New Roman" w:cs="Calibri"/>
                <w:color w:val="000000"/>
                <w:sz w:val="16"/>
                <w:szCs w:val="16"/>
                <w:lang w:eastAsia="es-MX"/>
              </w:rPr>
              <w:t>1,553,249,405</w:t>
            </w:r>
          </w:p>
        </w:tc>
      </w:tr>
      <w:tr w:rsidR="0004279F" w:rsidRPr="0061352F" w14:paraId="15DDF8E1" w14:textId="77777777" w:rsidTr="0061352F">
        <w:trPr>
          <w:trHeight w:val="29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509FC9B" w14:textId="77777777" w:rsidR="0004279F" w:rsidRPr="0061352F" w:rsidRDefault="0004279F" w:rsidP="0004279F">
            <w:pPr>
              <w:spacing w:after="0" w:line="240" w:lineRule="auto"/>
              <w:jc w:val="both"/>
              <w:rPr>
                <w:rFonts w:eastAsia="Times New Roman" w:cs="Calibri"/>
                <w:color w:val="000000"/>
                <w:sz w:val="16"/>
                <w:szCs w:val="16"/>
                <w:lang w:eastAsia="es-MX"/>
              </w:rPr>
            </w:pPr>
            <w:r w:rsidRPr="0061352F">
              <w:rPr>
                <w:rFonts w:eastAsia="Times New Roman" w:cs="Calibri"/>
                <w:color w:val="000000"/>
                <w:sz w:val="16"/>
                <w:szCs w:val="16"/>
                <w:lang w:eastAsia="es-MX"/>
              </w:rPr>
              <w:t>Inversiones Temporales</w:t>
            </w:r>
          </w:p>
        </w:tc>
        <w:tc>
          <w:tcPr>
            <w:tcW w:w="1701" w:type="dxa"/>
            <w:tcBorders>
              <w:top w:val="nil"/>
              <w:left w:val="nil"/>
              <w:bottom w:val="single" w:sz="4" w:space="0" w:color="auto"/>
              <w:right w:val="single" w:sz="4" w:space="0" w:color="auto"/>
            </w:tcBorders>
            <w:shd w:val="clear" w:color="auto" w:fill="auto"/>
            <w:noWrap/>
            <w:vAlign w:val="bottom"/>
            <w:hideMark/>
          </w:tcPr>
          <w:p w14:paraId="2B2C98F5" w14:textId="77777777" w:rsidR="0004279F" w:rsidRPr="0061352F" w:rsidRDefault="0004279F" w:rsidP="0004279F">
            <w:pPr>
              <w:spacing w:after="0" w:line="240" w:lineRule="auto"/>
              <w:jc w:val="right"/>
              <w:rPr>
                <w:rFonts w:eastAsia="Times New Roman" w:cs="Calibri"/>
                <w:color w:val="000000"/>
                <w:sz w:val="16"/>
                <w:szCs w:val="16"/>
                <w:lang w:eastAsia="es-MX"/>
              </w:rPr>
            </w:pPr>
            <w:r w:rsidRPr="0061352F">
              <w:rPr>
                <w:rFonts w:eastAsia="Times New Roman" w:cs="Calibri"/>
                <w:color w:val="000000"/>
                <w:sz w:val="16"/>
                <w:szCs w:val="16"/>
                <w:lang w:eastAsia="es-MX"/>
              </w:rPr>
              <w:t>401,298,103</w:t>
            </w:r>
          </w:p>
        </w:tc>
        <w:tc>
          <w:tcPr>
            <w:tcW w:w="1559" w:type="dxa"/>
            <w:tcBorders>
              <w:top w:val="nil"/>
              <w:left w:val="nil"/>
              <w:bottom w:val="single" w:sz="4" w:space="0" w:color="auto"/>
              <w:right w:val="single" w:sz="4" w:space="0" w:color="auto"/>
            </w:tcBorders>
            <w:shd w:val="clear" w:color="auto" w:fill="auto"/>
            <w:noWrap/>
            <w:vAlign w:val="bottom"/>
            <w:hideMark/>
          </w:tcPr>
          <w:p w14:paraId="68F4AFE4" w14:textId="77777777" w:rsidR="0004279F" w:rsidRPr="0061352F" w:rsidRDefault="0004279F" w:rsidP="0004279F">
            <w:pPr>
              <w:spacing w:after="0" w:line="240" w:lineRule="auto"/>
              <w:jc w:val="right"/>
              <w:rPr>
                <w:rFonts w:eastAsia="Times New Roman" w:cs="Calibri"/>
                <w:color w:val="000000"/>
                <w:sz w:val="16"/>
                <w:szCs w:val="16"/>
                <w:lang w:eastAsia="es-MX"/>
              </w:rPr>
            </w:pPr>
            <w:r w:rsidRPr="0061352F">
              <w:rPr>
                <w:rFonts w:eastAsia="Times New Roman" w:cs="Calibri"/>
                <w:color w:val="000000"/>
                <w:sz w:val="16"/>
                <w:szCs w:val="16"/>
                <w:lang w:eastAsia="es-MX"/>
              </w:rPr>
              <w:t>422,296,124</w:t>
            </w:r>
          </w:p>
        </w:tc>
        <w:tc>
          <w:tcPr>
            <w:tcW w:w="1559" w:type="dxa"/>
            <w:tcBorders>
              <w:top w:val="nil"/>
              <w:left w:val="nil"/>
              <w:bottom w:val="single" w:sz="4" w:space="0" w:color="auto"/>
              <w:right w:val="single" w:sz="4" w:space="0" w:color="auto"/>
            </w:tcBorders>
            <w:shd w:val="clear" w:color="auto" w:fill="auto"/>
            <w:noWrap/>
            <w:vAlign w:val="bottom"/>
            <w:hideMark/>
          </w:tcPr>
          <w:p w14:paraId="0E0CA336" w14:textId="77777777" w:rsidR="0004279F" w:rsidRPr="0061352F" w:rsidRDefault="0004279F" w:rsidP="0004279F">
            <w:pPr>
              <w:spacing w:after="0" w:line="240" w:lineRule="auto"/>
              <w:jc w:val="right"/>
              <w:rPr>
                <w:rFonts w:eastAsia="Times New Roman" w:cs="Calibri"/>
                <w:color w:val="000000"/>
                <w:sz w:val="16"/>
                <w:szCs w:val="16"/>
                <w:lang w:eastAsia="es-MX"/>
              </w:rPr>
            </w:pPr>
            <w:r w:rsidRPr="0061352F">
              <w:rPr>
                <w:rFonts w:eastAsia="Times New Roman" w:cs="Calibri"/>
                <w:color w:val="000000"/>
                <w:sz w:val="16"/>
                <w:szCs w:val="16"/>
                <w:lang w:eastAsia="es-MX"/>
              </w:rPr>
              <w:t>823,594,227</w:t>
            </w:r>
          </w:p>
        </w:tc>
      </w:tr>
      <w:tr w:rsidR="0004279F" w:rsidRPr="0061352F" w14:paraId="3D2B1375" w14:textId="77777777" w:rsidTr="0061352F">
        <w:trPr>
          <w:trHeight w:val="29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FA1944B" w14:textId="77777777" w:rsidR="0004279F" w:rsidRPr="0061352F" w:rsidRDefault="0004279F" w:rsidP="0004279F">
            <w:pPr>
              <w:spacing w:after="0" w:line="240" w:lineRule="auto"/>
              <w:jc w:val="both"/>
              <w:rPr>
                <w:rFonts w:eastAsia="Times New Roman" w:cs="Calibri"/>
                <w:color w:val="000000"/>
                <w:sz w:val="16"/>
                <w:szCs w:val="16"/>
                <w:lang w:eastAsia="es-MX"/>
              </w:rPr>
            </w:pPr>
            <w:r w:rsidRPr="0061352F">
              <w:rPr>
                <w:rFonts w:eastAsia="Times New Roman" w:cs="Calibri"/>
                <w:color w:val="000000"/>
                <w:sz w:val="16"/>
                <w:szCs w:val="16"/>
                <w:lang w:eastAsia="es-MX"/>
              </w:rPr>
              <w:t>Fondos de Afectación Específica</w:t>
            </w:r>
          </w:p>
        </w:tc>
        <w:tc>
          <w:tcPr>
            <w:tcW w:w="1701" w:type="dxa"/>
            <w:tcBorders>
              <w:top w:val="nil"/>
              <w:left w:val="nil"/>
              <w:bottom w:val="single" w:sz="4" w:space="0" w:color="auto"/>
              <w:right w:val="single" w:sz="4" w:space="0" w:color="auto"/>
            </w:tcBorders>
            <w:shd w:val="clear" w:color="auto" w:fill="auto"/>
            <w:noWrap/>
            <w:vAlign w:val="bottom"/>
            <w:hideMark/>
          </w:tcPr>
          <w:p w14:paraId="74C3092A" w14:textId="77777777" w:rsidR="0004279F" w:rsidRPr="0061352F" w:rsidRDefault="0004279F" w:rsidP="0004279F">
            <w:pPr>
              <w:spacing w:after="0" w:line="240" w:lineRule="auto"/>
              <w:jc w:val="right"/>
              <w:rPr>
                <w:rFonts w:eastAsia="Times New Roman" w:cs="Calibri"/>
                <w:color w:val="000000"/>
                <w:sz w:val="16"/>
                <w:szCs w:val="16"/>
                <w:lang w:eastAsia="es-MX"/>
              </w:rPr>
            </w:pPr>
            <w:r w:rsidRPr="0061352F">
              <w:rPr>
                <w:rFonts w:eastAsia="Times New Roman" w:cs="Calibri"/>
                <w:color w:val="000000"/>
                <w:sz w:val="16"/>
                <w:szCs w:val="16"/>
                <w:lang w:eastAsia="es-MX"/>
              </w:rPr>
              <w:t>6,794,030</w:t>
            </w:r>
          </w:p>
        </w:tc>
        <w:tc>
          <w:tcPr>
            <w:tcW w:w="1559" w:type="dxa"/>
            <w:tcBorders>
              <w:top w:val="nil"/>
              <w:left w:val="nil"/>
              <w:bottom w:val="single" w:sz="4" w:space="0" w:color="auto"/>
              <w:right w:val="single" w:sz="4" w:space="0" w:color="auto"/>
            </w:tcBorders>
            <w:shd w:val="clear" w:color="auto" w:fill="auto"/>
            <w:noWrap/>
            <w:vAlign w:val="bottom"/>
            <w:hideMark/>
          </w:tcPr>
          <w:p w14:paraId="79437D46" w14:textId="77777777" w:rsidR="0004279F" w:rsidRPr="0061352F" w:rsidRDefault="0004279F" w:rsidP="0004279F">
            <w:pPr>
              <w:spacing w:after="0" w:line="240" w:lineRule="auto"/>
              <w:rPr>
                <w:rFonts w:eastAsia="Times New Roman" w:cs="Calibri"/>
                <w:color w:val="000000"/>
                <w:sz w:val="16"/>
                <w:szCs w:val="16"/>
                <w:lang w:eastAsia="es-MX"/>
              </w:rPr>
            </w:pPr>
            <w:r w:rsidRPr="0061352F">
              <w:rPr>
                <w:rFonts w:eastAsia="Times New Roman" w:cs="Calibri"/>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14:paraId="2D29F1B9" w14:textId="77777777" w:rsidR="0004279F" w:rsidRPr="0061352F" w:rsidRDefault="0004279F" w:rsidP="0004279F">
            <w:pPr>
              <w:spacing w:after="0" w:line="240" w:lineRule="auto"/>
              <w:jc w:val="right"/>
              <w:rPr>
                <w:rFonts w:eastAsia="Times New Roman" w:cs="Calibri"/>
                <w:color w:val="000000"/>
                <w:sz w:val="16"/>
                <w:szCs w:val="16"/>
                <w:lang w:eastAsia="es-MX"/>
              </w:rPr>
            </w:pPr>
            <w:r w:rsidRPr="0061352F">
              <w:rPr>
                <w:rFonts w:eastAsia="Times New Roman" w:cs="Calibri"/>
                <w:color w:val="000000"/>
                <w:sz w:val="16"/>
                <w:szCs w:val="16"/>
                <w:lang w:eastAsia="es-MX"/>
              </w:rPr>
              <w:t>6,794,030</w:t>
            </w:r>
          </w:p>
        </w:tc>
      </w:tr>
      <w:tr w:rsidR="0004279F" w:rsidRPr="0061352F" w14:paraId="7ADD87D4" w14:textId="77777777" w:rsidTr="0061352F">
        <w:trPr>
          <w:trHeight w:val="290"/>
        </w:trPr>
        <w:tc>
          <w:tcPr>
            <w:tcW w:w="3114" w:type="dxa"/>
            <w:tcBorders>
              <w:top w:val="nil"/>
              <w:left w:val="single" w:sz="4" w:space="0" w:color="auto"/>
              <w:bottom w:val="single" w:sz="4" w:space="0" w:color="auto"/>
              <w:right w:val="single" w:sz="4" w:space="0" w:color="auto"/>
            </w:tcBorders>
            <w:shd w:val="clear" w:color="000000" w:fill="DDC9A3"/>
            <w:vAlign w:val="center"/>
            <w:hideMark/>
          </w:tcPr>
          <w:p w14:paraId="389653C2" w14:textId="77777777" w:rsidR="0004279F" w:rsidRPr="0061352F" w:rsidRDefault="0004279F" w:rsidP="0004279F">
            <w:pPr>
              <w:spacing w:after="0" w:line="240" w:lineRule="auto"/>
              <w:jc w:val="center"/>
              <w:rPr>
                <w:rFonts w:eastAsia="Times New Roman" w:cs="Calibri"/>
                <w:b/>
                <w:bCs/>
                <w:color w:val="000000"/>
                <w:sz w:val="16"/>
                <w:szCs w:val="16"/>
                <w:lang w:eastAsia="es-MX"/>
              </w:rPr>
            </w:pPr>
            <w:r w:rsidRPr="0061352F">
              <w:rPr>
                <w:rFonts w:eastAsia="Times New Roman" w:cs="Calibri"/>
                <w:b/>
                <w:bCs/>
                <w:color w:val="000000"/>
                <w:sz w:val="16"/>
                <w:szCs w:val="16"/>
                <w:lang w:eastAsia="es-MX"/>
              </w:rPr>
              <w:t>TOTAL</w:t>
            </w:r>
          </w:p>
        </w:tc>
        <w:tc>
          <w:tcPr>
            <w:tcW w:w="1701" w:type="dxa"/>
            <w:tcBorders>
              <w:top w:val="nil"/>
              <w:left w:val="nil"/>
              <w:bottom w:val="single" w:sz="4" w:space="0" w:color="auto"/>
              <w:right w:val="single" w:sz="4" w:space="0" w:color="auto"/>
            </w:tcBorders>
            <w:shd w:val="clear" w:color="000000" w:fill="DDC9A3"/>
            <w:vAlign w:val="center"/>
            <w:hideMark/>
          </w:tcPr>
          <w:p w14:paraId="7A1814A9" w14:textId="77777777" w:rsidR="0004279F" w:rsidRPr="0061352F" w:rsidRDefault="0004279F" w:rsidP="0004279F">
            <w:pPr>
              <w:spacing w:after="0" w:line="240" w:lineRule="auto"/>
              <w:jc w:val="right"/>
              <w:rPr>
                <w:rFonts w:eastAsia="Times New Roman" w:cs="Calibri"/>
                <w:b/>
                <w:bCs/>
                <w:color w:val="000000"/>
                <w:sz w:val="16"/>
                <w:szCs w:val="16"/>
                <w:lang w:eastAsia="es-MX"/>
              </w:rPr>
            </w:pPr>
            <w:r w:rsidRPr="0061352F">
              <w:rPr>
                <w:rFonts w:eastAsia="Times New Roman" w:cs="Calibri"/>
                <w:b/>
                <w:bCs/>
                <w:color w:val="000000"/>
                <w:sz w:val="16"/>
                <w:szCs w:val="16"/>
                <w:lang w:eastAsia="es-MX"/>
              </w:rPr>
              <w:t>1,585,710,004</w:t>
            </w:r>
          </w:p>
        </w:tc>
        <w:tc>
          <w:tcPr>
            <w:tcW w:w="1559" w:type="dxa"/>
            <w:tcBorders>
              <w:top w:val="nil"/>
              <w:left w:val="nil"/>
              <w:bottom w:val="single" w:sz="4" w:space="0" w:color="auto"/>
              <w:right w:val="single" w:sz="4" w:space="0" w:color="auto"/>
            </w:tcBorders>
            <w:shd w:val="clear" w:color="000000" w:fill="DDC9A3"/>
            <w:vAlign w:val="center"/>
            <w:hideMark/>
          </w:tcPr>
          <w:p w14:paraId="08DD99C6" w14:textId="77777777" w:rsidR="0004279F" w:rsidRPr="0061352F" w:rsidRDefault="0004279F" w:rsidP="0004279F">
            <w:pPr>
              <w:spacing w:after="0" w:line="240" w:lineRule="auto"/>
              <w:jc w:val="right"/>
              <w:rPr>
                <w:rFonts w:eastAsia="Times New Roman" w:cs="Calibri"/>
                <w:b/>
                <w:bCs/>
                <w:color w:val="000000"/>
                <w:sz w:val="16"/>
                <w:szCs w:val="16"/>
                <w:lang w:eastAsia="es-MX"/>
              </w:rPr>
            </w:pPr>
            <w:r w:rsidRPr="0061352F">
              <w:rPr>
                <w:rFonts w:eastAsia="Times New Roman" w:cs="Calibri"/>
                <w:b/>
                <w:bCs/>
                <w:color w:val="000000"/>
                <w:sz w:val="16"/>
                <w:szCs w:val="16"/>
                <w:lang w:eastAsia="es-MX"/>
              </w:rPr>
              <w:t>797,927,658</w:t>
            </w:r>
          </w:p>
        </w:tc>
        <w:tc>
          <w:tcPr>
            <w:tcW w:w="1559" w:type="dxa"/>
            <w:tcBorders>
              <w:top w:val="nil"/>
              <w:left w:val="nil"/>
              <w:bottom w:val="single" w:sz="4" w:space="0" w:color="auto"/>
              <w:right w:val="single" w:sz="4" w:space="0" w:color="auto"/>
            </w:tcBorders>
            <w:shd w:val="clear" w:color="000000" w:fill="DDC9A3"/>
            <w:vAlign w:val="center"/>
            <w:hideMark/>
          </w:tcPr>
          <w:p w14:paraId="3860F681" w14:textId="77777777" w:rsidR="0004279F" w:rsidRPr="0061352F" w:rsidRDefault="0004279F" w:rsidP="0004279F">
            <w:pPr>
              <w:spacing w:after="0" w:line="240" w:lineRule="auto"/>
              <w:jc w:val="right"/>
              <w:rPr>
                <w:rFonts w:eastAsia="Times New Roman" w:cs="Calibri"/>
                <w:b/>
                <w:bCs/>
                <w:color w:val="000000"/>
                <w:sz w:val="16"/>
                <w:szCs w:val="16"/>
                <w:lang w:eastAsia="es-MX"/>
              </w:rPr>
            </w:pPr>
            <w:r w:rsidRPr="0061352F">
              <w:rPr>
                <w:rFonts w:eastAsia="Times New Roman" w:cs="Calibri"/>
                <w:b/>
                <w:bCs/>
                <w:color w:val="000000"/>
                <w:sz w:val="16"/>
                <w:szCs w:val="16"/>
                <w:lang w:eastAsia="es-MX"/>
              </w:rPr>
              <w:t>2,383,637,662</w:t>
            </w:r>
          </w:p>
        </w:tc>
      </w:tr>
    </w:tbl>
    <w:p w14:paraId="285C32D1" w14:textId="77777777" w:rsidR="00642CB2" w:rsidRPr="005F45A3" w:rsidRDefault="00642CB2" w:rsidP="00642CB2">
      <w:pPr>
        <w:pStyle w:val="Texto"/>
        <w:spacing w:after="0" w:line="276" w:lineRule="auto"/>
        <w:ind w:left="1361" w:firstLine="0"/>
        <w:rPr>
          <w:rFonts w:asciiTheme="minorHAnsi" w:hAnsiTheme="minorHAnsi" w:cstheme="minorHAnsi"/>
          <w:szCs w:val="18"/>
        </w:rPr>
      </w:pPr>
    </w:p>
    <w:p w14:paraId="4D1914AB" w14:textId="6B821074" w:rsidR="0056467D" w:rsidRDefault="0056467D" w:rsidP="00846C3B">
      <w:pPr>
        <w:pStyle w:val="Texto"/>
        <w:spacing w:after="0" w:line="240" w:lineRule="exact"/>
        <w:ind w:firstLine="0"/>
        <w:rPr>
          <w:rFonts w:asciiTheme="minorHAnsi" w:hAnsiTheme="minorHAnsi" w:cstheme="minorHAnsi"/>
          <w:b/>
          <w:sz w:val="22"/>
          <w:szCs w:val="18"/>
        </w:rPr>
      </w:pPr>
    </w:p>
    <w:p w14:paraId="7D52781F" w14:textId="77777777" w:rsidR="00163D1A" w:rsidRPr="00163D1A" w:rsidRDefault="0045448A" w:rsidP="00163D1A">
      <w:pPr>
        <w:pStyle w:val="NormalWeb"/>
        <w:spacing w:before="0" w:beforeAutospacing="0" w:after="200" w:afterAutospacing="0"/>
        <w:jc w:val="both"/>
        <w:rPr>
          <w:rFonts w:asciiTheme="minorHAnsi" w:hAnsiTheme="minorHAnsi" w:cstheme="minorHAnsi"/>
          <w:sz w:val="18"/>
          <w:szCs w:val="18"/>
        </w:rPr>
      </w:pPr>
      <w:r w:rsidRPr="0061352F">
        <w:rPr>
          <w:rFonts w:asciiTheme="minorHAnsi" w:hAnsiTheme="minorHAnsi" w:cstheme="minorHAnsi"/>
          <w:sz w:val="18"/>
          <w:szCs w:val="18"/>
        </w:rPr>
        <w:t xml:space="preserve">Las operaciones por concepto de Inversiones se realizaron tanto de cuentas de recurso federal  como en las cuentas de recurso estatal, de acuerdo a el análisis de las finanzas públicas  y a las características del tipo de instrumento que ofrecen las diferentes Instituciones Bancarias;   por lo que derivado del eficiente manejo de los recursos del Estado, </w:t>
      </w:r>
      <w:r w:rsidR="00163D1A" w:rsidRPr="00163D1A">
        <w:rPr>
          <w:rFonts w:asciiTheme="minorHAnsi" w:hAnsiTheme="minorHAnsi" w:cstheme="minorHAnsi"/>
          <w:sz w:val="18"/>
          <w:szCs w:val="18"/>
        </w:rPr>
        <w:t>el gobierno del estado se vio favorecido en los rendimientos financieros, logrando maximizar los rendimientos por los recursos que se pudieron invertir cuidando siempre la  operatividad del Gobierno del Estado.</w:t>
      </w:r>
    </w:p>
    <w:p w14:paraId="6B3E8677" w14:textId="4876EC75" w:rsidR="0045448A" w:rsidRPr="0061352F" w:rsidRDefault="00163D1A" w:rsidP="0045448A">
      <w:pPr>
        <w:tabs>
          <w:tab w:val="left" w:pos="2410"/>
        </w:tabs>
        <w:jc w:val="both"/>
        <w:rPr>
          <w:rFonts w:asciiTheme="minorHAnsi" w:hAnsiTheme="minorHAnsi" w:cstheme="minorHAnsi"/>
          <w:sz w:val="18"/>
          <w:szCs w:val="18"/>
        </w:rPr>
      </w:pPr>
      <w:r w:rsidRPr="00163D1A">
        <w:rPr>
          <w:rFonts w:asciiTheme="minorHAnsi" w:eastAsia="Times New Roman" w:hAnsiTheme="minorHAnsi" w:cstheme="minorHAnsi"/>
          <w:sz w:val="18"/>
          <w:szCs w:val="18"/>
          <w:lang w:eastAsia="es-MX"/>
        </w:rPr>
        <w:t>Al inicio del ejercicio fiscal del 2022 la tasa promedio de interés que ofrecían las instituciones bancarias fue</w:t>
      </w:r>
      <w:r>
        <w:rPr>
          <w:rFonts w:cs="Calibri"/>
          <w:color w:val="000000"/>
          <w:sz w:val="18"/>
          <w:szCs w:val="18"/>
        </w:rPr>
        <w:t xml:space="preserve"> de un 5.15%, </w:t>
      </w:r>
      <w:r w:rsidR="0045448A" w:rsidRPr="0061352F">
        <w:rPr>
          <w:rFonts w:asciiTheme="minorHAnsi" w:hAnsiTheme="minorHAnsi" w:cstheme="minorHAnsi"/>
          <w:sz w:val="18"/>
          <w:szCs w:val="18"/>
        </w:rPr>
        <w:t xml:space="preserve"> cerrando con una tasa promedio de 9.30 %, obteniendo un incremento en el rendimiento promedio de un 4.15 %.</w:t>
      </w:r>
    </w:p>
    <w:p w14:paraId="40FB13A8" w14:textId="41544F8A" w:rsidR="0056467D" w:rsidRPr="0061352F" w:rsidRDefault="0045448A" w:rsidP="0045448A">
      <w:pPr>
        <w:tabs>
          <w:tab w:val="left" w:pos="2410"/>
        </w:tabs>
        <w:rPr>
          <w:rFonts w:asciiTheme="minorHAnsi" w:hAnsiTheme="minorHAnsi" w:cstheme="minorHAnsi"/>
          <w:sz w:val="18"/>
          <w:szCs w:val="18"/>
        </w:rPr>
      </w:pPr>
      <w:r w:rsidRPr="0061352F">
        <w:rPr>
          <w:rFonts w:asciiTheme="minorHAnsi" w:hAnsiTheme="minorHAnsi" w:cstheme="minorHAnsi"/>
          <w:sz w:val="18"/>
          <w:szCs w:val="18"/>
        </w:rPr>
        <w:t xml:space="preserve">Como resultado de lo anterior, el capital promedio mensual invertido fue </w:t>
      </w:r>
      <w:r w:rsidR="0061352F" w:rsidRPr="0061352F">
        <w:rPr>
          <w:rFonts w:asciiTheme="minorHAnsi" w:hAnsiTheme="minorHAnsi" w:cstheme="minorHAnsi"/>
          <w:sz w:val="18"/>
          <w:szCs w:val="18"/>
        </w:rPr>
        <w:t>de $</w:t>
      </w:r>
      <w:r w:rsidRPr="0061352F">
        <w:rPr>
          <w:rFonts w:asciiTheme="minorHAnsi" w:hAnsiTheme="minorHAnsi" w:cstheme="minorHAnsi"/>
          <w:sz w:val="18"/>
          <w:szCs w:val="18"/>
        </w:rPr>
        <w:t xml:space="preserve">1,091,618,844.94, obteniendo un rendimiento promedio mensual </w:t>
      </w:r>
      <w:r w:rsidR="0061352F" w:rsidRPr="0061352F">
        <w:rPr>
          <w:rFonts w:asciiTheme="minorHAnsi" w:hAnsiTheme="minorHAnsi" w:cstheme="minorHAnsi"/>
          <w:sz w:val="18"/>
          <w:szCs w:val="18"/>
        </w:rPr>
        <w:t>de $</w:t>
      </w:r>
      <w:r w:rsidRPr="0061352F">
        <w:rPr>
          <w:rFonts w:asciiTheme="minorHAnsi" w:hAnsiTheme="minorHAnsi" w:cstheme="minorHAnsi"/>
          <w:sz w:val="18"/>
          <w:szCs w:val="18"/>
        </w:rPr>
        <w:t>6,746,098.29.</w:t>
      </w:r>
    </w:p>
    <w:p w14:paraId="2CBE7EE6" w14:textId="77777777" w:rsidR="00FA799F" w:rsidRPr="005F45A3" w:rsidRDefault="00A3438F" w:rsidP="006B60D8">
      <w:pPr>
        <w:pStyle w:val="Texto"/>
        <w:spacing w:after="0" w:line="240" w:lineRule="exact"/>
        <w:ind w:firstLine="0"/>
        <w:rPr>
          <w:rFonts w:asciiTheme="minorHAnsi" w:hAnsiTheme="minorHAnsi" w:cstheme="minorHAnsi"/>
          <w:b/>
          <w:i/>
          <w:sz w:val="20"/>
          <w:szCs w:val="18"/>
          <w:u w:val="single"/>
        </w:rPr>
      </w:pPr>
      <w:r w:rsidRPr="005F45A3">
        <w:rPr>
          <w:rFonts w:asciiTheme="minorHAnsi" w:hAnsiTheme="minorHAnsi" w:cstheme="minorHAnsi"/>
          <w:b/>
          <w:i/>
          <w:sz w:val="20"/>
          <w:szCs w:val="18"/>
          <w:u w:val="single"/>
        </w:rPr>
        <w:t>DERECHOS A RECIBIR EFECTIVO O EQUIVALENTES</w:t>
      </w:r>
      <w:r w:rsidR="00296078" w:rsidRPr="005F45A3">
        <w:rPr>
          <w:rFonts w:asciiTheme="minorHAnsi" w:hAnsiTheme="minorHAnsi" w:cstheme="minorHAnsi"/>
          <w:b/>
          <w:i/>
          <w:sz w:val="20"/>
          <w:szCs w:val="18"/>
          <w:u w:val="single"/>
        </w:rPr>
        <w:t xml:space="preserve"> </w:t>
      </w:r>
    </w:p>
    <w:p w14:paraId="2316F959" w14:textId="77777777" w:rsidR="00296078" w:rsidRPr="005F45A3" w:rsidRDefault="00296078" w:rsidP="00296078">
      <w:pPr>
        <w:pStyle w:val="Texto"/>
        <w:spacing w:after="0" w:line="240" w:lineRule="exact"/>
        <w:ind w:firstLine="646"/>
        <w:rPr>
          <w:rFonts w:asciiTheme="minorHAnsi" w:hAnsiTheme="minorHAnsi" w:cstheme="minorHAnsi"/>
          <w:sz w:val="20"/>
          <w:szCs w:val="18"/>
        </w:rPr>
      </w:pPr>
    </w:p>
    <w:p w14:paraId="4368A339" w14:textId="608F46D4" w:rsidR="00296078" w:rsidRDefault="00296078" w:rsidP="00B46FFA">
      <w:pPr>
        <w:pStyle w:val="Texto"/>
        <w:numPr>
          <w:ilvl w:val="0"/>
          <w:numId w:val="20"/>
        </w:numPr>
        <w:spacing w:after="0" w:line="240" w:lineRule="exact"/>
        <w:ind w:left="426" w:hanging="284"/>
        <w:rPr>
          <w:rFonts w:asciiTheme="minorHAnsi" w:hAnsiTheme="minorHAnsi" w:cstheme="minorHAnsi"/>
          <w:sz w:val="20"/>
          <w:szCs w:val="18"/>
        </w:rPr>
      </w:pPr>
      <w:r w:rsidRPr="005F45A3">
        <w:rPr>
          <w:rFonts w:asciiTheme="minorHAnsi" w:hAnsiTheme="minorHAnsi" w:cstheme="minorHAnsi"/>
          <w:sz w:val="20"/>
          <w:szCs w:val="18"/>
        </w:rPr>
        <w:t>Derechos a recibir Efectivo o Equivalente</w:t>
      </w:r>
    </w:p>
    <w:p w14:paraId="739D0E93" w14:textId="77777777" w:rsidR="0061352F" w:rsidRDefault="0061352F" w:rsidP="0061352F">
      <w:pPr>
        <w:pStyle w:val="Texto"/>
        <w:spacing w:after="0" w:line="240" w:lineRule="exact"/>
        <w:ind w:left="426" w:firstLine="0"/>
        <w:rPr>
          <w:rFonts w:asciiTheme="minorHAnsi" w:hAnsiTheme="minorHAnsi" w:cstheme="minorHAnsi"/>
          <w:sz w:val="20"/>
          <w:szCs w:val="18"/>
        </w:rPr>
      </w:pPr>
    </w:p>
    <w:tbl>
      <w:tblPr>
        <w:tblW w:w="9634" w:type="dxa"/>
        <w:tblCellMar>
          <w:left w:w="70" w:type="dxa"/>
          <w:right w:w="70" w:type="dxa"/>
        </w:tblCellMar>
        <w:tblLook w:val="04A0" w:firstRow="1" w:lastRow="0" w:firstColumn="1" w:lastColumn="0" w:noHBand="0" w:noVBand="1"/>
      </w:tblPr>
      <w:tblGrid>
        <w:gridCol w:w="3660"/>
        <w:gridCol w:w="1297"/>
        <w:gridCol w:w="1275"/>
        <w:gridCol w:w="1134"/>
        <w:gridCol w:w="1134"/>
        <w:gridCol w:w="1134"/>
      </w:tblGrid>
      <w:tr w:rsidR="00E428AC" w:rsidRPr="00E428AC" w14:paraId="50F3C690" w14:textId="77777777" w:rsidTr="0061352F">
        <w:trPr>
          <w:trHeight w:val="500"/>
        </w:trPr>
        <w:tc>
          <w:tcPr>
            <w:tcW w:w="366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671F7735" w14:textId="77777777" w:rsidR="00E428AC" w:rsidRPr="00E428AC" w:rsidRDefault="00E428AC" w:rsidP="00E428AC">
            <w:pPr>
              <w:spacing w:after="0" w:line="240" w:lineRule="auto"/>
              <w:jc w:val="center"/>
              <w:rPr>
                <w:rFonts w:eastAsia="Times New Roman" w:cs="Calibri"/>
                <w:b/>
                <w:bCs/>
                <w:color w:val="FFFFFF"/>
                <w:sz w:val="16"/>
                <w:szCs w:val="16"/>
                <w:lang w:eastAsia="es-MX"/>
              </w:rPr>
            </w:pPr>
            <w:r w:rsidRPr="00E428AC">
              <w:rPr>
                <w:rFonts w:eastAsia="Times New Roman" w:cs="Calibri"/>
                <w:b/>
                <w:bCs/>
                <w:color w:val="FFFFFF"/>
                <w:sz w:val="16"/>
                <w:szCs w:val="16"/>
                <w:lang w:eastAsia="es-MX"/>
              </w:rPr>
              <w:t xml:space="preserve">Descripción de la Cuenta </w:t>
            </w:r>
          </w:p>
        </w:tc>
        <w:tc>
          <w:tcPr>
            <w:tcW w:w="1297" w:type="dxa"/>
            <w:tcBorders>
              <w:top w:val="single" w:sz="4" w:space="0" w:color="auto"/>
              <w:left w:val="nil"/>
              <w:bottom w:val="single" w:sz="4" w:space="0" w:color="auto"/>
              <w:right w:val="single" w:sz="4" w:space="0" w:color="auto"/>
            </w:tcBorders>
            <w:shd w:val="clear" w:color="000000" w:fill="AB0033"/>
            <w:vAlign w:val="center"/>
            <w:hideMark/>
          </w:tcPr>
          <w:p w14:paraId="3D2D2C62" w14:textId="77777777" w:rsidR="00E428AC" w:rsidRPr="00E428AC" w:rsidRDefault="00E428AC" w:rsidP="00E428AC">
            <w:pPr>
              <w:spacing w:after="0" w:line="240" w:lineRule="auto"/>
              <w:jc w:val="center"/>
              <w:rPr>
                <w:rFonts w:eastAsia="Times New Roman" w:cs="Calibri"/>
                <w:b/>
                <w:bCs/>
                <w:color w:val="FFFFFF"/>
                <w:sz w:val="16"/>
                <w:szCs w:val="16"/>
                <w:lang w:eastAsia="es-MX"/>
              </w:rPr>
            </w:pPr>
            <w:r w:rsidRPr="00E428AC">
              <w:rPr>
                <w:rFonts w:eastAsia="Times New Roman" w:cs="Calibri"/>
                <w:b/>
                <w:bCs/>
                <w:color w:val="FFFFFF"/>
                <w:sz w:val="16"/>
                <w:szCs w:val="16"/>
                <w:lang w:eastAsia="es-MX"/>
              </w:rPr>
              <w:t>90 Días</w:t>
            </w:r>
          </w:p>
        </w:tc>
        <w:tc>
          <w:tcPr>
            <w:tcW w:w="1275" w:type="dxa"/>
            <w:tcBorders>
              <w:top w:val="single" w:sz="4" w:space="0" w:color="auto"/>
              <w:left w:val="nil"/>
              <w:bottom w:val="single" w:sz="4" w:space="0" w:color="auto"/>
              <w:right w:val="single" w:sz="4" w:space="0" w:color="auto"/>
            </w:tcBorders>
            <w:shd w:val="clear" w:color="000000" w:fill="AB0033"/>
            <w:vAlign w:val="center"/>
            <w:hideMark/>
          </w:tcPr>
          <w:p w14:paraId="090C764F" w14:textId="77777777" w:rsidR="00E428AC" w:rsidRPr="00E428AC" w:rsidRDefault="00E428AC" w:rsidP="00E428AC">
            <w:pPr>
              <w:spacing w:after="0" w:line="240" w:lineRule="auto"/>
              <w:jc w:val="center"/>
              <w:rPr>
                <w:rFonts w:eastAsia="Times New Roman" w:cs="Calibri"/>
                <w:b/>
                <w:bCs/>
                <w:color w:val="FFFFFF"/>
                <w:sz w:val="16"/>
                <w:szCs w:val="16"/>
                <w:lang w:eastAsia="es-MX"/>
              </w:rPr>
            </w:pPr>
            <w:r w:rsidRPr="00E428AC">
              <w:rPr>
                <w:rFonts w:eastAsia="Times New Roman" w:cs="Calibri"/>
                <w:b/>
                <w:bCs/>
                <w:color w:val="FFFFFF"/>
                <w:sz w:val="16"/>
                <w:szCs w:val="16"/>
                <w:lang w:eastAsia="es-MX"/>
              </w:rPr>
              <w:t>180 Días</w:t>
            </w:r>
          </w:p>
        </w:tc>
        <w:tc>
          <w:tcPr>
            <w:tcW w:w="1134" w:type="dxa"/>
            <w:tcBorders>
              <w:top w:val="single" w:sz="4" w:space="0" w:color="auto"/>
              <w:left w:val="nil"/>
              <w:bottom w:val="single" w:sz="4" w:space="0" w:color="auto"/>
              <w:right w:val="single" w:sz="4" w:space="0" w:color="auto"/>
            </w:tcBorders>
            <w:shd w:val="clear" w:color="000000" w:fill="AB0033"/>
            <w:vAlign w:val="center"/>
            <w:hideMark/>
          </w:tcPr>
          <w:p w14:paraId="3E236BD9" w14:textId="77777777" w:rsidR="00E428AC" w:rsidRPr="00E428AC" w:rsidRDefault="00E428AC" w:rsidP="00E428AC">
            <w:pPr>
              <w:spacing w:after="0" w:line="240" w:lineRule="auto"/>
              <w:jc w:val="center"/>
              <w:rPr>
                <w:rFonts w:eastAsia="Times New Roman" w:cs="Calibri"/>
                <w:b/>
                <w:bCs/>
                <w:color w:val="FFFFFF"/>
                <w:sz w:val="16"/>
                <w:szCs w:val="16"/>
                <w:lang w:eastAsia="es-MX"/>
              </w:rPr>
            </w:pPr>
            <w:r w:rsidRPr="00E428AC">
              <w:rPr>
                <w:rFonts w:eastAsia="Times New Roman" w:cs="Calibri"/>
                <w:b/>
                <w:bCs/>
                <w:color w:val="FFFFFF"/>
                <w:sz w:val="16"/>
                <w:szCs w:val="16"/>
                <w:lang w:eastAsia="es-MX"/>
              </w:rPr>
              <w:t>Menor a 365 Días</w:t>
            </w:r>
          </w:p>
        </w:tc>
        <w:tc>
          <w:tcPr>
            <w:tcW w:w="1134" w:type="dxa"/>
            <w:tcBorders>
              <w:top w:val="single" w:sz="4" w:space="0" w:color="auto"/>
              <w:left w:val="nil"/>
              <w:bottom w:val="single" w:sz="4" w:space="0" w:color="auto"/>
              <w:right w:val="single" w:sz="4" w:space="0" w:color="auto"/>
            </w:tcBorders>
            <w:shd w:val="clear" w:color="000000" w:fill="AB0033"/>
            <w:vAlign w:val="center"/>
            <w:hideMark/>
          </w:tcPr>
          <w:p w14:paraId="6FED31AE" w14:textId="77777777" w:rsidR="00E428AC" w:rsidRPr="00E428AC" w:rsidRDefault="00E428AC" w:rsidP="00E428AC">
            <w:pPr>
              <w:spacing w:after="0" w:line="240" w:lineRule="auto"/>
              <w:jc w:val="center"/>
              <w:rPr>
                <w:rFonts w:eastAsia="Times New Roman" w:cs="Calibri"/>
                <w:b/>
                <w:bCs/>
                <w:color w:val="FFFFFF"/>
                <w:sz w:val="16"/>
                <w:szCs w:val="16"/>
                <w:lang w:eastAsia="es-MX"/>
              </w:rPr>
            </w:pPr>
            <w:r w:rsidRPr="00E428AC">
              <w:rPr>
                <w:rFonts w:eastAsia="Times New Roman" w:cs="Calibri"/>
                <w:b/>
                <w:bCs/>
                <w:color w:val="FFFFFF"/>
                <w:sz w:val="16"/>
                <w:szCs w:val="16"/>
                <w:lang w:eastAsia="es-MX"/>
              </w:rPr>
              <w:t>Mayor a 365 Días</w:t>
            </w:r>
          </w:p>
        </w:tc>
        <w:tc>
          <w:tcPr>
            <w:tcW w:w="1134" w:type="dxa"/>
            <w:tcBorders>
              <w:top w:val="single" w:sz="4" w:space="0" w:color="auto"/>
              <w:left w:val="nil"/>
              <w:bottom w:val="single" w:sz="4" w:space="0" w:color="auto"/>
              <w:right w:val="single" w:sz="4" w:space="0" w:color="auto"/>
            </w:tcBorders>
            <w:shd w:val="clear" w:color="000000" w:fill="AB0033"/>
            <w:vAlign w:val="center"/>
            <w:hideMark/>
          </w:tcPr>
          <w:p w14:paraId="7997D5D8" w14:textId="77777777" w:rsidR="00E428AC" w:rsidRPr="00E428AC" w:rsidRDefault="00E428AC" w:rsidP="00E428AC">
            <w:pPr>
              <w:spacing w:after="0" w:line="240" w:lineRule="auto"/>
              <w:jc w:val="center"/>
              <w:rPr>
                <w:rFonts w:eastAsia="Times New Roman" w:cs="Calibri"/>
                <w:b/>
                <w:bCs/>
                <w:color w:val="FFFFFF"/>
                <w:sz w:val="16"/>
                <w:szCs w:val="16"/>
                <w:lang w:eastAsia="es-MX"/>
              </w:rPr>
            </w:pPr>
            <w:r w:rsidRPr="00E428AC">
              <w:rPr>
                <w:rFonts w:eastAsia="Times New Roman" w:cs="Calibri"/>
                <w:b/>
                <w:bCs/>
                <w:color w:val="FFFFFF"/>
                <w:sz w:val="16"/>
                <w:szCs w:val="16"/>
                <w:lang w:eastAsia="es-MX"/>
              </w:rPr>
              <w:t>Importe</w:t>
            </w:r>
          </w:p>
        </w:tc>
      </w:tr>
      <w:tr w:rsidR="00E428AC" w:rsidRPr="00E428AC" w14:paraId="0E851BB6" w14:textId="77777777" w:rsidTr="0061352F">
        <w:trPr>
          <w:trHeight w:val="283"/>
        </w:trPr>
        <w:tc>
          <w:tcPr>
            <w:tcW w:w="3660" w:type="dxa"/>
            <w:tcBorders>
              <w:top w:val="nil"/>
              <w:left w:val="single" w:sz="4" w:space="0" w:color="auto"/>
              <w:bottom w:val="single" w:sz="4" w:space="0" w:color="auto"/>
              <w:right w:val="single" w:sz="4" w:space="0" w:color="auto"/>
            </w:tcBorders>
            <w:shd w:val="clear" w:color="auto" w:fill="auto"/>
            <w:vAlign w:val="center"/>
            <w:hideMark/>
          </w:tcPr>
          <w:p w14:paraId="33156F56" w14:textId="77777777" w:rsidR="00E428AC" w:rsidRPr="00E428AC" w:rsidRDefault="00E428AC" w:rsidP="00E428AC">
            <w:pPr>
              <w:spacing w:after="0" w:line="240" w:lineRule="auto"/>
              <w:jc w:val="both"/>
              <w:rPr>
                <w:rFonts w:eastAsia="Times New Roman" w:cs="Calibri"/>
                <w:color w:val="000000"/>
                <w:sz w:val="14"/>
                <w:szCs w:val="14"/>
                <w:lang w:eastAsia="es-MX"/>
              </w:rPr>
            </w:pPr>
            <w:r w:rsidRPr="00E428AC">
              <w:rPr>
                <w:rFonts w:eastAsia="Times New Roman" w:cs="Calibri"/>
                <w:color w:val="000000"/>
                <w:sz w:val="14"/>
                <w:szCs w:val="14"/>
                <w:lang w:eastAsia="es-MX"/>
              </w:rPr>
              <w:t>Cuentas por Cobrar a Corto Plazo</w:t>
            </w:r>
          </w:p>
        </w:tc>
        <w:tc>
          <w:tcPr>
            <w:tcW w:w="1297" w:type="dxa"/>
            <w:tcBorders>
              <w:top w:val="nil"/>
              <w:left w:val="nil"/>
              <w:bottom w:val="single" w:sz="4" w:space="0" w:color="auto"/>
              <w:right w:val="single" w:sz="4" w:space="0" w:color="auto"/>
            </w:tcBorders>
            <w:shd w:val="clear" w:color="auto" w:fill="auto"/>
            <w:vAlign w:val="center"/>
            <w:hideMark/>
          </w:tcPr>
          <w:p w14:paraId="585CF4BB"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975,820</w:t>
            </w:r>
          </w:p>
        </w:tc>
        <w:tc>
          <w:tcPr>
            <w:tcW w:w="1275" w:type="dxa"/>
            <w:tcBorders>
              <w:top w:val="nil"/>
              <w:left w:val="nil"/>
              <w:bottom w:val="single" w:sz="4" w:space="0" w:color="auto"/>
              <w:right w:val="single" w:sz="4" w:space="0" w:color="auto"/>
            </w:tcBorders>
            <w:shd w:val="clear" w:color="auto" w:fill="auto"/>
            <w:vAlign w:val="center"/>
            <w:hideMark/>
          </w:tcPr>
          <w:p w14:paraId="01259682"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3,037,608</w:t>
            </w:r>
          </w:p>
        </w:tc>
        <w:tc>
          <w:tcPr>
            <w:tcW w:w="1134" w:type="dxa"/>
            <w:tcBorders>
              <w:top w:val="nil"/>
              <w:left w:val="nil"/>
              <w:bottom w:val="single" w:sz="4" w:space="0" w:color="auto"/>
              <w:right w:val="single" w:sz="4" w:space="0" w:color="auto"/>
            </w:tcBorders>
            <w:shd w:val="clear" w:color="auto" w:fill="auto"/>
            <w:vAlign w:val="center"/>
            <w:hideMark/>
          </w:tcPr>
          <w:p w14:paraId="1A0BB446"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2,104,838</w:t>
            </w:r>
          </w:p>
        </w:tc>
        <w:tc>
          <w:tcPr>
            <w:tcW w:w="1134" w:type="dxa"/>
            <w:tcBorders>
              <w:top w:val="nil"/>
              <w:left w:val="nil"/>
              <w:bottom w:val="single" w:sz="4" w:space="0" w:color="auto"/>
              <w:right w:val="single" w:sz="4" w:space="0" w:color="auto"/>
            </w:tcBorders>
            <w:shd w:val="clear" w:color="auto" w:fill="auto"/>
            <w:vAlign w:val="center"/>
            <w:hideMark/>
          </w:tcPr>
          <w:p w14:paraId="4E0F9A00"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748,158,610</w:t>
            </w:r>
          </w:p>
        </w:tc>
        <w:tc>
          <w:tcPr>
            <w:tcW w:w="1134" w:type="dxa"/>
            <w:tcBorders>
              <w:top w:val="nil"/>
              <w:left w:val="nil"/>
              <w:bottom w:val="single" w:sz="4" w:space="0" w:color="auto"/>
              <w:right w:val="single" w:sz="4" w:space="0" w:color="auto"/>
            </w:tcBorders>
            <w:shd w:val="clear" w:color="auto" w:fill="auto"/>
            <w:vAlign w:val="center"/>
            <w:hideMark/>
          </w:tcPr>
          <w:p w14:paraId="4793DCA9"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754,276,876</w:t>
            </w:r>
          </w:p>
        </w:tc>
      </w:tr>
      <w:tr w:rsidR="00E428AC" w:rsidRPr="00E428AC" w14:paraId="04AA0DCB" w14:textId="77777777" w:rsidTr="0061352F">
        <w:trPr>
          <w:trHeight w:val="283"/>
        </w:trPr>
        <w:tc>
          <w:tcPr>
            <w:tcW w:w="3660" w:type="dxa"/>
            <w:tcBorders>
              <w:top w:val="nil"/>
              <w:left w:val="single" w:sz="4" w:space="0" w:color="auto"/>
              <w:bottom w:val="single" w:sz="4" w:space="0" w:color="auto"/>
              <w:right w:val="single" w:sz="4" w:space="0" w:color="auto"/>
            </w:tcBorders>
            <w:shd w:val="clear" w:color="auto" w:fill="auto"/>
            <w:vAlign w:val="center"/>
            <w:hideMark/>
          </w:tcPr>
          <w:p w14:paraId="2384C034" w14:textId="77777777" w:rsidR="00E428AC" w:rsidRPr="00E428AC" w:rsidRDefault="00E428AC" w:rsidP="00E428AC">
            <w:pPr>
              <w:spacing w:after="0" w:line="240" w:lineRule="auto"/>
              <w:jc w:val="both"/>
              <w:rPr>
                <w:rFonts w:eastAsia="Times New Roman" w:cs="Calibri"/>
                <w:color w:val="000000"/>
                <w:sz w:val="14"/>
                <w:szCs w:val="14"/>
                <w:lang w:eastAsia="es-MX"/>
              </w:rPr>
            </w:pPr>
            <w:r w:rsidRPr="00E428AC">
              <w:rPr>
                <w:rFonts w:eastAsia="Times New Roman" w:cs="Calibri"/>
                <w:color w:val="000000"/>
                <w:sz w:val="14"/>
                <w:szCs w:val="14"/>
                <w:lang w:eastAsia="es-MX"/>
              </w:rPr>
              <w:t>Deudores Diversos por Cobrar a Corto Plazo</w:t>
            </w:r>
          </w:p>
        </w:tc>
        <w:tc>
          <w:tcPr>
            <w:tcW w:w="1297" w:type="dxa"/>
            <w:tcBorders>
              <w:top w:val="nil"/>
              <w:left w:val="nil"/>
              <w:bottom w:val="single" w:sz="4" w:space="0" w:color="auto"/>
              <w:right w:val="single" w:sz="4" w:space="0" w:color="auto"/>
            </w:tcBorders>
            <w:shd w:val="clear" w:color="auto" w:fill="auto"/>
            <w:vAlign w:val="center"/>
            <w:hideMark/>
          </w:tcPr>
          <w:p w14:paraId="36CE4F60"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73,702,798</w:t>
            </w:r>
          </w:p>
        </w:tc>
        <w:tc>
          <w:tcPr>
            <w:tcW w:w="1275" w:type="dxa"/>
            <w:tcBorders>
              <w:top w:val="nil"/>
              <w:left w:val="nil"/>
              <w:bottom w:val="single" w:sz="4" w:space="0" w:color="auto"/>
              <w:right w:val="single" w:sz="4" w:space="0" w:color="auto"/>
            </w:tcBorders>
            <w:shd w:val="clear" w:color="auto" w:fill="auto"/>
            <w:vAlign w:val="center"/>
            <w:hideMark/>
          </w:tcPr>
          <w:p w14:paraId="23C7F077"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16,765,643</w:t>
            </w:r>
          </w:p>
        </w:tc>
        <w:tc>
          <w:tcPr>
            <w:tcW w:w="1134" w:type="dxa"/>
            <w:tcBorders>
              <w:top w:val="nil"/>
              <w:left w:val="nil"/>
              <w:bottom w:val="single" w:sz="4" w:space="0" w:color="auto"/>
              <w:right w:val="single" w:sz="4" w:space="0" w:color="auto"/>
            </w:tcBorders>
            <w:shd w:val="clear" w:color="auto" w:fill="auto"/>
            <w:vAlign w:val="center"/>
            <w:hideMark/>
          </w:tcPr>
          <w:p w14:paraId="4860CFDC"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415,837</w:t>
            </w:r>
          </w:p>
        </w:tc>
        <w:tc>
          <w:tcPr>
            <w:tcW w:w="1134" w:type="dxa"/>
            <w:tcBorders>
              <w:top w:val="nil"/>
              <w:left w:val="nil"/>
              <w:bottom w:val="single" w:sz="4" w:space="0" w:color="auto"/>
              <w:right w:val="single" w:sz="4" w:space="0" w:color="auto"/>
            </w:tcBorders>
            <w:shd w:val="clear" w:color="auto" w:fill="auto"/>
            <w:vAlign w:val="center"/>
            <w:hideMark/>
          </w:tcPr>
          <w:p w14:paraId="45130177"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21,011,669</w:t>
            </w:r>
          </w:p>
        </w:tc>
        <w:tc>
          <w:tcPr>
            <w:tcW w:w="1134" w:type="dxa"/>
            <w:tcBorders>
              <w:top w:val="nil"/>
              <w:left w:val="nil"/>
              <w:bottom w:val="single" w:sz="4" w:space="0" w:color="auto"/>
              <w:right w:val="single" w:sz="4" w:space="0" w:color="auto"/>
            </w:tcBorders>
            <w:shd w:val="clear" w:color="auto" w:fill="auto"/>
            <w:vAlign w:val="center"/>
            <w:hideMark/>
          </w:tcPr>
          <w:p w14:paraId="052C0435"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111,895,946</w:t>
            </w:r>
          </w:p>
        </w:tc>
      </w:tr>
      <w:tr w:rsidR="00E428AC" w:rsidRPr="00E428AC" w14:paraId="3B154AF9" w14:textId="77777777" w:rsidTr="0061352F">
        <w:trPr>
          <w:trHeight w:val="283"/>
        </w:trPr>
        <w:tc>
          <w:tcPr>
            <w:tcW w:w="3660" w:type="dxa"/>
            <w:tcBorders>
              <w:top w:val="nil"/>
              <w:left w:val="single" w:sz="4" w:space="0" w:color="auto"/>
              <w:bottom w:val="single" w:sz="4" w:space="0" w:color="auto"/>
              <w:right w:val="single" w:sz="4" w:space="0" w:color="auto"/>
            </w:tcBorders>
            <w:shd w:val="clear" w:color="auto" w:fill="auto"/>
            <w:vAlign w:val="center"/>
            <w:hideMark/>
          </w:tcPr>
          <w:p w14:paraId="0ADFE27E" w14:textId="77777777" w:rsidR="00E428AC" w:rsidRPr="00E428AC" w:rsidRDefault="00E428AC" w:rsidP="00E428AC">
            <w:pPr>
              <w:spacing w:after="0" w:line="240" w:lineRule="auto"/>
              <w:jc w:val="both"/>
              <w:rPr>
                <w:rFonts w:eastAsia="Times New Roman" w:cs="Calibri"/>
                <w:color w:val="000000"/>
                <w:sz w:val="14"/>
                <w:szCs w:val="14"/>
                <w:lang w:eastAsia="es-MX"/>
              </w:rPr>
            </w:pPr>
            <w:r w:rsidRPr="00E428AC">
              <w:rPr>
                <w:rFonts w:eastAsia="Times New Roman" w:cs="Calibri"/>
                <w:color w:val="000000"/>
                <w:sz w:val="14"/>
                <w:szCs w:val="14"/>
                <w:lang w:eastAsia="es-MX"/>
              </w:rPr>
              <w:t>Ingresos por Recuperar a Corto Plazo</w:t>
            </w:r>
          </w:p>
        </w:tc>
        <w:tc>
          <w:tcPr>
            <w:tcW w:w="1297" w:type="dxa"/>
            <w:tcBorders>
              <w:top w:val="nil"/>
              <w:left w:val="nil"/>
              <w:bottom w:val="single" w:sz="4" w:space="0" w:color="auto"/>
              <w:right w:val="single" w:sz="4" w:space="0" w:color="auto"/>
            </w:tcBorders>
            <w:shd w:val="clear" w:color="auto" w:fill="auto"/>
            <w:vAlign w:val="center"/>
            <w:hideMark/>
          </w:tcPr>
          <w:p w14:paraId="4A00A2A9"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7,885,360</w:t>
            </w:r>
          </w:p>
        </w:tc>
        <w:tc>
          <w:tcPr>
            <w:tcW w:w="1275" w:type="dxa"/>
            <w:tcBorders>
              <w:top w:val="nil"/>
              <w:left w:val="nil"/>
              <w:bottom w:val="single" w:sz="4" w:space="0" w:color="auto"/>
              <w:right w:val="single" w:sz="4" w:space="0" w:color="auto"/>
            </w:tcBorders>
            <w:shd w:val="clear" w:color="auto" w:fill="auto"/>
            <w:vAlign w:val="center"/>
            <w:hideMark/>
          </w:tcPr>
          <w:p w14:paraId="156D11A7"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0</w:t>
            </w:r>
          </w:p>
        </w:tc>
        <w:tc>
          <w:tcPr>
            <w:tcW w:w="1134" w:type="dxa"/>
            <w:tcBorders>
              <w:top w:val="nil"/>
              <w:left w:val="nil"/>
              <w:bottom w:val="single" w:sz="4" w:space="0" w:color="auto"/>
              <w:right w:val="single" w:sz="4" w:space="0" w:color="auto"/>
            </w:tcBorders>
            <w:shd w:val="clear" w:color="auto" w:fill="auto"/>
            <w:vAlign w:val="center"/>
            <w:hideMark/>
          </w:tcPr>
          <w:p w14:paraId="144AE87F"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0</w:t>
            </w:r>
          </w:p>
        </w:tc>
        <w:tc>
          <w:tcPr>
            <w:tcW w:w="1134" w:type="dxa"/>
            <w:tcBorders>
              <w:top w:val="nil"/>
              <w:left w:val="nil"/>
              <w:bottom w:val="single" w:sz="4" w:space="0" w:color="auto"/>
              <w:right w:val="single" w:sz="4" w:space="0" w:color="auto"/>
            </w:tcBorders>
            <w:shd w:val="clear" w:color="auto" w:fill="auto"/>
            <w:vAlign w:val="center"/>
            <w:hideMark/>
          </w:tcPr>
          <w:p w14:paraId="18C605CA"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0</w:t>
            </w:r>
          </w:p>
        </w:tc>
        <w:tc>
          <w:tcPr>
            <w:tcW w:w="1134" w:type="dxa"/>
            <w:tcBorders>
              <w:top w:val="nil"/>
              <w:left w:val="nil"/>
              <w:bottom w:val="single" w:sz="4" w:space="0" w:color="auto"/>
              <w:right w:val="single" w:sz="4" w:space="0" w:color="auto"/>
            </w:tcBorders>
            <w:shd w:val="clear" w:color="auto" w:fill="auto"/>
            <w:vAlign w:val="center"/>
            <w:hideMark/>
          </w:tcPr>
          <w:p w14:paraId="7FD8CBF4"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7,885,360</w:t>
            </w:r>
          </w:p>
        </w:tc>
      </w:tr>
      <w:tr w:rsidR="00E428AC" w:rsidRPr="00E428AC" w14:paraId="3184DA61" w14:textId="77777777" w:rsidTr="0061352F">
        <w:trPr>
          <w:trHeight w:val="283"/>
        </w:trPr>
        <w:tc>
          <w:tcPr>
            <w:tcW w:w="3660" w:type="dxa"/>
            <w:tcBorders>
              <w:top w:val="nil"/>
              <w:left w:val="single" w:sz="4" w:space="0" w:color="auto"/>
              <w:bottom w:val="single" w:sz="4" w:space="0" w:color="auto"/>
              <w:right w:val="single" w:sz="4" w:space="0" w:color="auto"/>
            </w:tcBorders>
            <w:shd w:val="clear" w:color="auto" w:fill="auto"/>
            <w:vAlign w:val="center"/>
            <w:hideMark/>
          </w:tcPr>
          <w:p w14:paraId="3AEA0BB2" w14:textId="77777777" w:rsidR="00E428AC" w:rsidRPr="00E428AC" w:rsidRDefault="00E428AC" w:rsidP="00E428AC">
            <w:pPr>
              <w:spacing w:after="0" w:line="240" w:lineRule="auto"/>
              <w:jc w:val="both"/>
              <w:rPr>
                <w:rFonts w:eastAsia="Times New Roman" w:cs="Calibri"/>
                <w:color w:val="000000"/>
                <w:sz w:val="14"/>
                <w:szCs w:val="14"/>
                <w:lang w:eastAsia="es-MX"/>
              </w:rPr>
            </w:pPr>
            <w:r w:rsidRPr="00E428AC">
              <w:rPr>
                <w:rFonts w:eastAsia="Times New Roman" w:cs="Calibri"/>
                <w:color w:val="000000"/>
                <w:sz w:val="14"/>
                <w:szCs w:val="14"/>
                <w:lang w:eastAsia="es-MX"/>
              </w:rPr>
              <w:t>Deudores por Anticipos Tesorería a Corto Plazo</w:t>
            </w:r>
          </w:p>
        </w:tc>
        <w:tc>
          <w:tcPr>
            <w:tcW w:w="1297" w:type="dxa"/>
            <w:tcBorders>
              <w:top w:val="nil"/>
              <w:left w:val="nil"/>
              <w:bottom w:val="single" w:sz="4" w:space="0" w:color="auto"/>
              <w:right w:val="single" w:sz="4" w:space="0" w:color="auto"/>
            </w:tcBorders>
            <w:shd w:val="clear" w:color="auto" w:fill="auto"/>
            <w:vAlign w:val="center"/>
            <w:hideMark/>
          </w:tcPr>
          <w:p w14:paraId="3FCF9251"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2,583,801</w:t>
            </w:r>
          </w:p>
        </w:tc>
        <w:tc>
          <w:tcPr>
            <w:tcW w:w="1275" w:type="dxa"/>
            <w:tcBorders>
              <w:top w:val="nil"/>
              <w:left w:val="nil"/>
              <w:bottom w:val="single" w:sz="4" w:space="0" w:color="auto"/>
              <w:right w:val="single" w:sz="4" w:space="0" w:color="auto"/>
            </w:tcBorders>
            <w:shd w:val="clear" w:color="auto" w:fill="auto"/>
            <w:vAlign w:val="center"/>
            <w:hideMark/>
          </w:tcPr>
          <w:p w14:paraId="192D016C"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0</w:t>
            </w:r>
          </w:p>
        </w:tc>
        <w:tc>
          <w:tcPr>
            <w:tcW w:w="1134" w:type="dxa"/>
            <w:tcBorders>
              <w:top w:val="nil"/>
              <w:left w:val="nil"/>
              <w:bottom w:val="single" w:sz="4" w:space="0" w:color="auto"/>
              <w:right w:val="single" w:sz="4" w:space="0" w:color="auto"/>
            </w:tcBorders>
            <w:shd w:val="clear" w:color="auto" w:fill="auto"/>
            <w:vAlign w:val="center"/>
            <w:hideMark/>
          </w:tcPr>
          <w:p w14:paraId="6E9C5776"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0</w:t>
            </w:r>
          </w:p>
        </w:tc>
        <w:tc>
          <w:tcPr>
            <w:tcW w:w="1134" w:type="dxa"/>
            <w:tcBorders>
              <w:top w:val="nil"/>
              <w:left w:val="nil"/>
              <w:bottom w:val="single" w:sz="4" w:space="0" w:color="auto"/>
              <w:right w:val="single" w:sz="4" w:space="0" w:color="auto"/>
            </w:tcBorders>
            <w:shd w:val="clear" w:color="auto" w:fill="auto"/>
            <w:vAlign w:val="center"/>
            <w:hideMark/>
          </w:tcPr>
          <w:p w14:paraId="7ED431CA"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3,518,056</w:t>
            </w:r>
          </w:p>
        </w:tc>
        <w:tc>
          <w:tcPr>
            <w:tcW w:w="1134" w:type="dxa"/>
            <w:tcBorders>
              <w:top w:val="nil"/>
              <w:left w:val="nil"/>
              <w:bottom w:val="single" w:sz="4" w:space="0" w:color="auto"/>
              <w:right w:val="single" w:sz="4" w:space="0" w:color="auto"/>
            </w:tcBorders>
            <w:shd w:val="clear" w:color="auto" w:fill="auto"/>
            <w:vAlign w:val="center"/>
            <w:hideMark/>
          </w:tcPr>
          <w:p w14:paraId="2D871030"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6,101,857</w:t>
            </w:r>
          </w:p>
        </w:tc>
      </w:tr>
      <w:tr w:rsidR="00E428AC" w:rsidRPr="00E428AC" w14:paraId="68FCC483" w14:textId="77777777" w:rsidTr="0061352F">
        <w:trPr>
          <w:trHeight w:val="283"/>
        </w:trPr>
        <w:tc>
          <w:tcPr>
            <w:tcW w:w="3660" w:type="dxa"/>
            <w:tcBorders>
              <w:top w:val="nil"/>
              <w:left w:val="single" w:sz="4" w:space="0" w:color="auto"/>
              <w:bottom w:val="single" w:sz="4" w:space="0" w:color="auto"/>
              <w:right w:val="single" w:sz="4" w:space="0" w:color="auto"/>
            </w:tcBorders>
            <w:shd w:val="clear" w:color="auto" w:fill="auto"/>
            <w:vAlign w:val="center"/>
            <w:hideMark/>
          </w:tcPr>
          <w:p w14:paraId="50BA8604" w14:textId="77777777" w:rsidR="00E428AC" w:rsidRPr="00E428AC" w:rsidRDefault="00E428AC" w:rsidP="00E428AC">
            <w:pPr>
              <w:spacing w:after="0" w:line="240" w:lineRule="auto"/>
              <w:jc w:val="both"/>
              <w:rPr>
                <w:rFonts w:eastAsia="Times New Roman" w:cs="Calibri"/>
                <w:color w:val="000000"/>
                <w:sz w:val="14"/>
                <w:szCs w:val="14"/>
                <w:lang w:eastAsia="es-MX"/>
              </w:rPr>
            </w:pPr>
            <w:r w:rsidRPr="00E428AC">
              <w:rPr>
                <w:rFonts w:eastAsia="Times New Roman" w:cs="Calibri"/>
                <w:color w:val="000000"/>
                <w:sz w:val="14"/>
                <w:szCs w:val="14"/>
                <w:lang w:eastAsia="es-MX"/>
              </w:rPr>
              <w:t>Préstamos Otorgados a Corto Plazo *</w:t>
            </w:r>
          </w:p>
        </w:tc>
        <w:tc>
          <w:tcPr>
            <w:tcW w:w="1297" w:type="dxa"/>
            <w:tcBorders>
              <w:top w:val="nil"/>
              <w:left w:val="nil"/>
              <w:bottom w:val="single" w:sz="4" w:space="0" w:color="auto"/>
              <w:right w:val="single" w:sz="4" w:space="0" w:color="auto"/>
            </w:tcBorders>
            <w:shd w:val="clear" w:color="auto" w:fill="auto"/>
            <w:vAlign w:val="center"/>
            <w:hideMark/>
          </w:tcPr>
          <w:p w14:paraId="1EB42BEF"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0</w:t>
            </w:r>
          </w:p>
        </w:tc>
        <w:tc>
          <w:tcPr>
            <w:tcW w:w="1275" w:type="dxa"/>
            <w:tcBorders>
              <w:top w:val="nil"/>
              <w:left w:val="nil"/>
              <w:bottom w:val="single" w:sz="4" w:space="0" w:color="auto"/>
              <w:right w:val="single" w:sz="4" w:space="0" w:color="auto"/>
            </w:tcBorders>
            <w:shd w:val="clear" w:color="auto" w:fill="auto"/>
            <w:vAlign w:val="center"/>
            <w:hideMark/>
          </w:tcPr>
          <w:p w14:paraId="0106398F"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0</w:t>
            </w:r>
          </w:p>
        </w:tc>
        <w:tc>
          <w:tcPr>
            <w:tcW w:w="1134" w:type="dxa"/>
            <w:tcBorders>
              <w:top w:val="nil"/>
              <w:left w:val="nil"/>
              <w:bottom w:val="single" w:sz="4" w:space="0" w:color="auto"/>
              <w:right w:val="single" w:sz="4" w:space="0" w:color="auto"/>
            </w:tcBorders>
            <w:shd w:val="clear" w:color="auto" w:fill="auto"/>
            <w:vAlign w:val="center"/>
            <w:hideMark/>
          </w:tcPr>
          <w:p w14:paraId="66DACC3C"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0</w:t>
            </w:r>
          </w:p>
        </w:tc>
        <w:tc>
          <w:tcPr>
            <w:tcW w:w="1134" w:type="dxa"/>
            <w:tcBorders>
              <w:top w:val="nil"/>
              <w:left w:val="nil"/>
              <w:bottom w:val="single" w:sz="4" w:space="0" w:color="auto"/>
              <w:right w:val="single" w:sz="4" w:space="0" w:color="auto"/>
            </w:tcBorders>
            <w:shd w:val="clear" w:color="auto" w:fill="auto"/>
            <w:vAlign w:val="center"/>
            <w:hideMark/>
          </w:tcPr>
          <w:p w14:paraId="72D9F6DB"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0</w:t>
            </w:r>
          </w:p>
        </w:tc>
        <w:tc>
          <w:tcPr>
            <w:tcW w:w="1134" w:type="dxa"/>
            <w:tcBorders>
              <w:top w:val="nil"/>
              <w:left w:val="nil"/>
              <w:bottom w:val="single" w:sz="4" w:space="0" w:color="auto"/>
              <w:right w:val="single" w:sz="4" w:space="0" w:color="auto"/>
            </w:tcBorders>
            <w:shd w:val="clear" w:color="auto" w:fill="auto"/>
            <w:vAlign w:val="center"/>
            <w:hideMark/>
          </w:tcPr>
          <w:p w14:paraId="2EE02BCB"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0</w:t>
            </w:r>
          </w:p>
        </w:tc>
      </w:tr>
      <w:tr w:rsidR="00E428AC" w:rsidRPr="00E428AC" w14:paraId="5409DC5D" w14:textId="77777777" w:rsidTr="0061352F">
        <w:trPr>
          <w:trHeight w:val="283"/>
        </w:trPr>
        <w:tc>
          <w:tcPr>
            <w:tcW w:w="3660" w:type="dxa"/>
            <w:tcBorders>
              <w:top w:val="nil"/>
              <w:left w:val="single" w:sz="4" w:space="0" w:color="auto"/>
              <w:bottom w:val="single" w:sz="4" w:space="0" w:color="auto"/>
              <w:right w:val="single" w:sz="4" w:space="0" w:color="auto"/>
            </w:tcBorders>
            <w:shd w:val="clear" w:color="auto" w:fill="auto"/>
            <w:vAlign w:val="center"/>
            <w:hideMark/>
          </w:tcPr>
          <w:p w14:paraId="440BD784" w14:textId="77777777" w:rsidR="00E428AC" w:rsidRPr="00E428AC" w:rsidRDefault="00E428AC" w:rsidP="00E428AC">
            <w:pPr>
              <w:spacing w:after="0" w:line="240" w:lineRule="auto"/>
              <w:jc w:val="both"/>
              <w:rPr>
                <w:rFonts w:eastAsia="Times New Roman" w:cs="Calibri"/>
                <w:color w:val="000000"/>
                <w:sz w:val="14"/>
                <w:szCs w:val="14"/>
                <w:lang w:eastAsia="es-MX"/>
              </w:rPr>
            </w:pPr>
            <w:r w:rsidRPr="00E428AC">
              <w:rPr>
                <w:rFonts w:eastAsia="Times New Roman" w:cs="Calibri"/>
                <w:color w:val="000000"/>
                <w:sz w:val="14"/>
                <w:szCs w:val="14"/>
                <w:lang w:eastAsia="es-MX"/>
              </w:rPr>
              <w:t>Otros Derechos a Recibir Efectivo o Equivalentes a Corto Plazo</w:t>
            </w:r>
          </w:p>
        </w:tc>
        <w:tc>
          <w:tcPr>
            <w:tcW w:w="1297" w:type="dxa"/>
            <w:tcBorders>
              <w:top w:val="nil"/>
              <w:left w:val="nil"/>
              <w:bottom w:val="single" w:sz="4" w:space="0" w:color="auto"/>
              <w:right w:val="single" w:sz="4" w:space="0" w:color="auto"/>
            </w:tcBorders>
            <w:shd w:val="clear" w:color="auto" w:fill="auto"/>
            <w:vAlign w:val="center"/>
            <w:hideMark/>
          </w:tcPr>
          <w:p w14:paraId="1557BB72"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17,343,029</w:t>
            </w:r>
          </w:p>
        </w:tc>
        <w:tc>
          <w:tcPr>
            <w:tcW w:w="1275" w:type="dxa"/>
            <w:tcBorders>
              <w:top w:val="nil"/>
              <w:left w:val="nil"/>
              <w:bottom w:val="single" w:sz="4" w:space="0" w:color="auto"/>
              <w:right w:val="single" w:sz="4" w:space="0" w:color="auto"/>
            </w:tcBorders>
            <w:shd w:val="clear" w:color="auto" w:fill="auto"/>
            <w:vAlign w:val="center"/>
            <w:hideMark/>
          </w:tcPr>
          <w:p w14:paraId="61BECBBE"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0</w:t>
            </w:r>
          </w:p>
        </w:tc>
        <w:tc>
          <w:tcPr>
            <w:tcW w:w="1134" w:type="dxa"/>
            <w:tcBorders>
              <w:top w:val="nil"/>
              <w:left w:val="nil"/>
              <w:bottom w:val="single" w:sz="4" w:space="0" w:color="auto"/>
              <w:right w:val="single" w:sz="4" w:space="0" w:color="auto"/>
            </w:tcBorders>
            <w:shd w:val="clear" w:color="auto" w:fill="auto"/>
            <w:vAlign w:val="center"/>
            <w:hideMark/>
          </w:tcPr>
          <w:p w14:paraId="6F9B353A"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0</w:t>
            </w:r>
          </w:p>
        </w:tc>
        <w:tc>
          <w:tcPr>
            <w:tcW w:w="1134" w:type="dxa"/>
            <w:tcBorders>
              <w:top w:val="nil"/>
              <w:left w:val="nil"/>
              <w:bottom w:val="single" w:sz="4" w:space="0" w:color="auto"/>
              <w:right w:val="single" w:sz="4" w:space="0" w:color="auto"/>
            </w:tcBorders>
            <w:shd w:val="clear" w:color="auto" w:fill="auto"/>
            <w:vAlign w:val="center"/>
            <w:hideMark/>
          </w:tcPr>
          <w:p w14:paraId="3055DFEB"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2,530,638</w:t>
            </w:r>
          </w:p>
        </w:tc>
        <w:tc>
          <w:tcPr>
            <w:tcW w:w="1134" w:type="dxa"/>
            <w:tcBorders>
              <w:top w:val="nil"/>
              <w:left w:val="nil"/>
              <w:bottom w:val="single" w:sz="4" w:space="0" w:color="auto"/>
              <w:right w:val="single" w:sz="4" w:space="0" w:color="auto"/>
            </w:tcBorders>
            <w:shd w:val="clear" w:color="auto" w:fill="auto"/>
            <w:vAlign w:val="center"/>
            <w:hideMark/>
          </w:tcPr>
          <w:p w14:paraId="697BF8EF"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19,873,668</w:t>
            </w:r>
          </w:p>
        </w:tc>
      </w:tr>
      <w:tr w:rsidR="00E428AC" w:rsidRPr="0061352F" w14:paraId="3F5D1FC2" w14:textId="77777777" w:rsidTr="0061352F">
        <w:trPr>
          <w:trHeight w:val="283"/>
        </w:trPr>
        <w:tc>
          <w:tcPr>
            <w:tcW w:w="3660" w:type="dxa"/>
            <w:tcBorders>
              <w:top w:val="nil"/>
              <w:left w:val="single" w:sz="4" w:space="0" w:color="auto"/>
              <w:bottom w:val="single" w:sz="4" w:space="0" w:color="auto"/>
              <w:right w:val="single" w:sz="4" w:space="0" w:color="auto"/>
            </w:tcBorders>
            <w:shd w:val="clear" w:color="000000" w:fill="DDC9A3"/>
            <w:vAlign w:val="center"/>
            <w:hideMark/>
          </w:tcPr>
          <w:p w14:paraId="1957B913" w14:textId="77777777" w:rsidR="00E428AC" w:rsidRPr="0061352F" w:rsidRDefault="00E428AC" w:rsidP="00E428AC">
            <w:pPr>
              <w:spacing w:after="0" w:line="240" w:lineRule="auto"/>
              <w:jc w:val="center"/>
              <w:rPr>
                <w:rFonts w:eastAsia="Times New Roman" w:cs="Calibri"/>
                <w:b/>
                <w:bCs/>
                <w:color w:val="000000"/>
                <w:sz w:val="16"/>
                <w:szCs w:val="14"/>
                <w:lang w:eastAsia="es-MX"/>
              </w:rPr>
            </w:pPr>
            <w:r w:rsidRPr="0061352F">
              <w:rPr>
                <w:rFonts w:eastAsia="Times New Roman" w:cs="Calibri"/>
                <w:b/>
                <w:bCs/>
                <w:color w:val="000000"/>
                <w:sz w:val="16"/>
                <w:szCs w:val="14"/>
                <w:lang w:eastAsia="es-MX"/>
              </w:rPr>
              <w:t>TOTAL</w:t>
            </w:r>
          </w:p>
        </w:tc>
        <w:tc>
          <w:tcPr>
            <w:tcW w:w="1297" w:type="dxa"/>
            <w:tcBorders>
              <w:top w:val="nil"/>
              <w:left w:val="nil"/>
              <w:bottom w:val="single" w:sz="4" w:space="0" w:color="auto"/>
              <w:right w:val="single" w:sz="4" w:space="0" w:color="auto"/>
            </w:tcBorders>
            <w:shd w:val="clear" w:color="000000" w:fill="DDC9A3"/>
            <w:vAlign w:val="center"/>
            <w:hideMark/>
          </w:tcPr>
          <w:p w14:paraId="5563C6D9" w14:textId="3B5986A1" w:rsidR="00E428AC" w:rsidRPr="0061352F" w:rsidRDefault="00E428AC" w:rsidP="008936BF">
            <w:pPr>
              <w:spacing w:after="0" w:line="240" w:lineRule="auto"/>
              <w:jc w:val="right"/>
              <w:rPr>
                <w:rFonts w:eastAsia="Times New Roman" w:cs="Calibri"/>
                <w:b/>
                <w:bCs/>
                <w:color w:val="000000"/>
                <w:sz w:val="16"/>
                <w:szCs w:val="14"/>
                <w:lang w:eastAsia="es-MX"/>
              </w:rPr>
            </w:pPr>
            <w:r w:rsidRPr="0061352F">
              <w:rPr>
                <w:rFonts w:eastAsia="Times New Roman" w:cs="Calibri"/>
                <w:b/>
                <w:bCs/>
                <w:color w:val="000000"/>
                <w:sz w:val="16"/>
                <w:szCs w:val="14"/>
                <w:lang w:eastAsia="es-MX"/>
              </w:rPr>
              <w:t>102,490,80</w:t>
            </w:r>
            <w:r w:rsidR="008936BF">
              <w:rPr>
                <w:rFonts w:eastAsia="Times New Roman" w:cs="Calibri"/>
                <w:b/>
                <w:bCs/>
                <w:color w:val="000000"/>
                <w:sz w:val="16"/>
                <w:szCs w:val="14"/>
                <w:lang w:eastAsia="es-MX"/>
              </w:rPr>
              <w:t>8</w:t>
            </w:r>
          </w:p>
        </w:tc>
        <w:tc>
          <w:tcPr>
            <w:tcW w:w="1275" w:type="dxa"/>
            <w:tcBorders>
              <w:top w:val="nil"/>
              <w:left w:val="nil"/>
              <w:bottom w:val="single" w:sz="4" w:space="0" w:color="auto"/>
              <w:right w:val="single" w:sz="4" w:space="0" w:color="auto"/>
            </w:tcBorders>
            <w:shd w:val="clear" w:color="000000" w:fill="DDC9A3"/>
            <w:vAlign w:val="center"/>
            <w:hideMark/>
          </w:tcPr>
          <w:p w14:paraId="6FD04E77" w14:textId="77777777" w:rsidR="00E428AC" w:rsidRPr="0061352F" w:rsidRDefault="00E428AC" w:rsidP="00E428AC">
            <w:pPr>
              <w:spacing w:after="0" w:line="240" w:lineRule="auto"/>
              <w:jc w:val="right"/>
              <w:rPr>
                <w:rFonts w:eastAsia="Times New Roman" w:cs="Calibri"/>
                <w:b/>
                <w:bCs/>
                <w:color w:val="000000"/>
                <w:sz w:val="16"/>
                <w:szCs w:val="14"/>
                <w:lang w:eastAsia="es-MX"/>
              </w:rPr>
            </w:pPr>
            <w:r w:rsidRPr="0061352F">
              <w:rPr>
                <w:rFonts w:eastAsia="Times New Roman" w:cs="Calibri"/>
                <w:b/>
                <w:bCs/>
                <w:color w:val="000000"/>
                <w:sz w:val="16"/>
                <w:szCs w:val="14"/>
                <w:lang w:eastAsia="es-MX"/>
              </w:rPr>
              <w:t>19,803,251</w:t>
            </w:r>
          </w:p>
        </w:tc>
        <w:tc>
          <w:tcPr>
            <w:tcW w:w="1134" w:type="dxa"/>
            <w:tcBorders>
              <w:top w:val="nil"/>
              <w:left w:val="nil"/>
              <w:bottom w:val="single" w:sz="4" w:space="0" w:color="auto"/>
              <w:right w:val="single" w:sz="4" w:space="0" w:color="auto"/>
            </w:tcBorders>
            <w:shd w:val="clear" w:color="000000" w:fill="DDC9A3"/>
            <w:vAlign w:val="center"/>
            <w:hideMark/>
          </w:tcPr>
          <w:p w14:paraId="255F310E" w14:textId="051AAC86" w:rsidR="00E428AC" w:rsidRPr="0061352F" w:rsidRDefault="00E428AC" w:rsidP="008936BF">
            <w:pPr>
              <w:spacing w:after="0" w:line="240" w:lineRule="auto"/>
              <w:jc w:val="right"/>
              <w:rPr>
                <w:rFonts w:eastAsia="Times New Roman" w:cs="Calibri"/>
                <w:b/>
                <w:bCs/>
                <w:color w:val="000000"/>
                <w:sz w:val="16"/>
                <w:szCs w:val="14"/>
                <w:lang w:eastAsia="es-MX"/>
              </w:rPr>
            </w:pPr>
            <w:r w:rsidRPr="0061352F">
              <w:rPr>
                <w:rFonts w:eastAsia="Times New Roman" w:cs="Calibri"/>
                <w:b/>
                <w:bCs/>
                <w:color w:val="000000"/>
                <w:sz w:val="16"/>
                <w:szCs w:val="14"/>
                <w:lang w:eastAsia="es-MX"/>
              </w:rPr>
              <w:t>2,520,67</w:t>
            </w:r>
            <w:r w:rsidR="008936BF">
              <w:rPr>
                <w:rFonts w:eastAsia="Times New Roman" w:cs="Calibri"/>
                <w:b/>
                <w:bCs/>
                <w:color w:val="000000"/>
                <w:sz w:val="16"/>
                <w:szCs w:val="14"/>
                <w:lang w:eastAsia="es-MX"/>
              </w:rPr>
              <w:t>5</w:t>
            </w:r>
          </w:p>
        </w:tc>
        <w:tc>
          <w:tcPr>
            <w:tcW w:w="1134" w:type="dxa"/>
            <w:tcBorders>
              <w:top w:val="nil"/>
              <w:left w:val="nil"/>
              <w:bottom w:val="single" w:sz="4" w:space="0" w:color="auto"/>
              <w:right w:val="single" w:sz="4" w:space="0" w:color="auto"/>
            </w:tcBorders>
            <w:shd w:val="clear" w:color="000000" w:fill="DDC9A3"/>
            <w:vAlign w:val="center"/>
            <w:hideMark/>
          </w:tcPr>
          <w:p w14:paraId="4FE9A972" w14:textId="77777777" w:rsidR="00E428AC" w:rsidRPr="0061352F" w:rsidRDefault="00E428AC" w:rsidP="00E428AC">
            <w:pPr>
              <w:spacing w:after="0" w:line="240" w:lineRule="auto"/>
              <w:jc w:val="right"/>
              <w:rPr>
                <w:rFonts w:eastAsia="Times New Roman" w:cs="Calibri"/>
                <w:b/>
                <w:bCs/>
                <w:color w:val="000000"/>
                <w:sz w:val="16"/>
                <w:szCs w:val="14"/>
                <w:lang w:eastAsia="es-MX"/>
              </w:rPr>
            </w:pPr>
            <w:r w:rsidRPr="0061352F">
              <w:rPr>
                <w:rFonts w:eastAsia="Times New Roman" w:cs="Calibri"/>
                <w:b/>
                <w:bCs/>
                <w:color w:val="000000"/>
                <w:sz w:val="16"/>
                <w:szCs w:val="14"/>
                <w:lang w:eastAsia="es-MX"/>
              </w:rPr>
              <w:t>775,218,973</w:t>
            </w:r>
          </w:p>
        </w:tc>
        <w:tc>
          <w:tcPr>
            <w:tcW w:w="1134" w:type="dxa"/>
            <w:tcBorders>
              <w:top w:val="nil"/>
              <w:left w:val="nil"/>
              <w:bottom w:val="single" w:sz="4" w:space="0" w:color="auto"/>
              <w:right w:val="single" w:sz="4" w:space="0" w:color="auto"/>
            </w:tcBorders>
            <w:shd w:val="clear" w:color="000000" w:fill="DDC9A3"/>
            <w:vAlign w:val="center"/>
            <w:hideMark/>
          </w:tcPr>
          <w:p w14:paraId="52165F91" w14:textId="77777777" w:rsidR="00E428AC" w:rsidRPr="0061352F" w:rsidRDefault="00E428AC" w:rsidP="00E428AC">
            <w:pPr>
              <w:spacing w:after="0" w:line="240" w:lineRule="auto"/>
              <w:jc w:val="right"/>
              <w:rPr>
                <w:rFonts w:eastAsia="Times New Roman" w:cs="Calibri"/>
                <w:b/>
                <w:bCs/>
                <w:color w:val="000000"/>
                <w:sz w:val="16"/>
                <w:szCs w:val="14"/>
                <w:lang w:eastAsia="es-MX"/>
              </w:rPr>
            </w:pPr>
            <w:r w:rsidRPr="0061352F">
              <w:rPr>
                <w:rFonts w:eastAsia="Times New Roman" w:cs="Calibri"/>
                <w:b/>
                <w:bCs/>
                <w:color w:val="000000"/>
                <w:sz w:val="16"/>
                <w:szCs w:val="14"/>
                <w:lang w:eastAsia="es-MX"/>
              </w:rPr>
              <w:t>900,033,707</w:t>
            </w:r>
          </w:p>
        </w:tc>
      </w:tr>
    </w:tbl>
    <w:p w14:paraId="37A961FF" w14:textId="52D331CF" w:rsidR="00B10C8F" w:rsidRDefault="00A0739A" w:rsidP="0061352F">
      <w:pPr>
        <w:spacing w:after="0" w:line="240" w:lineRule="auto"/>
        <w:jc w:val="both"/>
        <w:rPr>
          <w:rFonts w:asciiTheme="minorHAnsi" w:hAnsiTheme="minorHAnsi" w:cstheme="minorHAnsi"/>
          <w:sz w:val="18"/>
          <w:szCs w:val="18"/>
        </w:rPr>
      </w:pPr>
      <w:r w:rsidRPr="005F45A3">
        <w:rPr>
          <w:rFonts w:asciiTheme="minorHAnsi" w:eastAsia="Times New Roman" w:hAnsiTheme="minorHAnsi" w:cstheme="minorHAnsi"/>
          <w:sz w:val="18"/>
          <w:szCs w:val="18"/>
          <w:lang w:val="es-ES" w:eastAsia="es-ES"/>
        </w:rPr>
        <w:lastRenderedPageBreak/>
        <w:t xml:space="preserve">Como parte de la cuenta de Derechos a Recibir Efectivo o Equivalentes, </w:t>
      </w:r>
      <w:r w:rsidR="007466B5" w:rsidRPr="005F45A3">
        <w:rPr>
          <w:rFonts w:asciiTheme="minorHAnsi" w:eastAsia="Times New Roman" w:hAnsiTheme="minorHAnsi" w:cstheme="minorHAnsi"/>
          <w:sz w:val="18"/>
          <w:szCs w:val="18"/>
          <w:lang w:val="es-ES" w:eastAsia="es-ES"/>
        </w:rPr>
        <w:t>en cuentas por cobrar se tiene el registro más significativo</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 realizado </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por</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 el</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 Fideicomiso </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del </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Instituto </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Tamaulipeco</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 de </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Becas, </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Estímulos </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y </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Créditos</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 Educativos (F</w:t>
      </w:r>
      <w:r w:rsidR="005E017C">
        <w:rPr>
          <w:rFonts w:asciiTheme="minorHAnsi" w:eastAsia="Times New Roman" w:hAnsiTheme="minorHAnsi" w:cstheme="minorHAnsi"/>
          <w:sz w:val="18"/>
          <w:szCs w:val="18"/>
          <w:lang w:val="es-ES" w:eastAsia="es-ES"/>
        </w:rPr>
        <w:t>ITABEC</w:t>
      </w:r>
      <w:r w:rsidR="007466B5" w:rsidRPr="005F45A3">
        <w:rPr>
          <w:rFonts w:asciiTheme="minorHAnsi" w:eastAsia="Times New Roman" w:hAnsiTheme="minorHAnsi" w:cstheme="minorHAnsi"/>
          <w:sz w:val="18"/>
          <w:szCs w:val="18"/>
          <w:lang w:val="es-ES" w:eastAsia="es-ES"/>
        </w:rPr>
        <w:t xml:space="preserve">) </w:t>
      </w:r>
      <w:r w:rsidR="00570D09">
        <w:rPr>
          <w:rFonts w:asciiTheme="minorHAnsi" w:eastAsia="Times New Roman" w:hAnsiTheme="minorHAnsi" w:cstheme="minorHAnsi"/>
          <w:sz w:val="18"/>
          <w:szCs w:val="18"/>
          <w:lang w:val="es-ES" w:eastAsia="es-ES"/>
        </w:rPr>
        <w:t xml:space="preserve">por la cantidad de </w:t>
      </w:r>
      <w:r w:rsidR="0000377F" w:rsidRPr="005F45A3">
        <w:rPr>
          <w:rFonts w:asciiTheme="minorHAnsi" w:eastAsia="Times New Roman" w:hAnsiTheme="minorHAnsi" w:cstheme="minorHAnsi"/>
          <w:sz w:val="18"/>
          <w:szCs w:val="18"/>
          <w:lang w:val="es-ES" w:eastAsia="es-ES"/>
        </w:rPr>
        <w:t xml:space="preserve">  </w:t>
      </w:r>
      <w:r w:rsidR="00F07C70" w:rsidRPr="005F45A3">
        <w:rPr>
          <w:rFonts w:asciiTheme="minorHAnsi" w:eastAsia="Times New Roman" w:hAnsiTheme="minorHAnsi" w:cstheme="minorHAnsi"/>
          <w:sz w:val="18"/>
          <w:szCs w:val="18"/>
          <w:lang w:val="es-ES" w:eastAsia="es-ES"/>
        </w:rPr>
        <w:t>$</w:t>
      </w:r>
      <w:r w:rsidR="00A715D0">
        <w:rPr>
          <w:rFonts w:asciiTheme="minorHAnsi" w:eastAsia="Times New Roman" w:hAnsiTheme="minorHAnsi" w:cstheme="minorHAnsi"/>
          <w:sz w:val="18"/>
          <w:szCs w:val="18"/>
          <w:lang w:val="es-ES" w:eastAsia="es-ES"/>
        </w:rPr>
        <w:t xml:space="preserve">681,991,644., </w:t>
      </w:r>
      <w:r w:rsidR="00FA7471" w:rsidRPr="005F45A3">
        <w:rPr>
          <w:rFonts w:asciiTheme="minorHAnsi" w:eastAsia="Times New Roman" w:hAnsiTheme="minorHAnsi" w:cstheme="minorHAnsi"/>
          <w:sz w:val="18"/>
          <w:szCs w:val="18"/>
          <w:lang w:val="es-ES" w:eastAsia="es-ES"/>
        </w:rPr>
        <w:t xml:space="preserve"> </w:t>
      </w:r>
      <w:r w:rsidR="00513DC4">
        <w:rPr>
          <w:rFonts w:asciiTheme="minorHAnsi" w:eastAsia="Times New Roman" w:hAnsiTheme="minorHAnsi" w:cstheme="minorHAnsi"/>
          <w:sz w:val="18"/>
          <w:szCs w:val="18"/>
          <w:lang w:val="es-ES" w:eastAsia="es-ES"/>
        </w:rPr>
        <w:t>referente a</w:t>
      </w:r>
      <w:r w:rsidR="007466B5" w:rsidRPr="005F45A3">
        <w:rPr>
          <w:rFonts w:asciiTheme="minorHAnsi" w:eastAsia="Times New Roman" w:hAnsiTheme="minorHAnsi" w:cstheme="minorHAnsi"/>
          <w:sz w:val="18"/>
          <w:szCs w:val="18"/>
          <w:lang w:val="es-ES" w:eastAsia="es-ES"/>
        </w:rPr>
        <w:t xml:space="preserve"> préstamos educativos </w:t>
      </w:r>
      <w:r w:rsidR="002927F6" w:rsidRPr="005F45A3">
        <w:rPr>
          <w:rFonts w:asciiTheme="minorHAnsi" w:eastAsia="Times New Roman" w:hAnsiTheme="minorHAnsi" w:cstheme="minorHAnsi"/>
          <w:sz w:val="18"/>
          <w:szCs w:val="18"/>
          <w:lang w:val="es-ES" w:eastAsia="es-ES"/>
        </w:rPr>
        <w:t>a partir del nivel medio superior</w:t>
      </w:r>
      <w:r w:rsidR="00513DC4">
        <w:rPr>
          <w:rFonts w:asciiTheme="minorHAnsi" w:eastAsia="Times New Roman" w:hAnsiTheme="minorHAnsi" w:cstheme="minorHAnsi"/>
          <w:sz w:val="18"/>
          <w:szCs w:val="18"/>
          <w:lang w:val="es-ES" w:eastAsia="es-ES"/>
        </w:rPr>
        <w:t xml:space="preserve"> el cual considera el crédito educativo inicial a la comunidad estudiantil más interés normal y moratorio; </w:t>
      </w:r>
      <w:r w:rsidR="002927F6" w:rsidRPr="005F45A3">
        <w:rPr>
          <w:rFonts w:asciiTheme="minorHAnsi" w:eastAsia="Times New Roman" w:hAnsiTheme="minorHAnsi" w:cstheme="minorHAnsi"/>
          <w:sz w:val="18"/>
          <w:szCs w:val="18"/>
          <w:lang w:val="es-ES" w:eastAsia="es-ES"/>
        </w:rPr>
        <w:t xml:space="preserve"> </w:t>
      </w:r>
      <w:r w:rsidR="00824880" w:rsidRPr="005F45A3">
        <w:rPr>
          <w:rFonts w:asciiTheme="minorHAnsi" w:eastAsia="Times New Roman" w:hAnsiTheme="minorHAnsi" w:cstheme="minorHAnsi"/>
          <w:sz w:val="18"/>
          <w:szCs w:val="18"/>
          <w:lang w:val="es-ES" w:eastAsia="es-ES"/>
        </w:rPr>
        <w:t xml:space="preserve">así como </w:t>
      </w:r>
      <w:r w:rsidR="00BD5FF6" w:rsidRPr="005F45A3">
        <w:rPr>
          <w:rFonts w:asciiTheme="minorHAnsi" w:eastAsia="Times New Roman" w:hAnsiTheme="minorHAnsi" w:cstheme="minorHAnsi"/>
          <w:sz w:val="18"/>
          <w:szCs w:val="18"/>
          <w:lang w:val="es-ES" w:eastAsia="es-ES"/>
        </w:rPr>
        <w:t xml:space="preserve">el adeudo de </w:t>
      </w:r>
      <w:r w:rsidR="00000001" w:rsidRPr="005F45A3">
        <w:rPr>
          <w:rFonts w:asciiTheme="minorHAnsi" w:eastAsia="Times New Roman" w:hAnsiTheme="minorHAnsi" w:cstheme="minorHAnsi"/>
          <w:sz w:val="18"/>
          <w:szCs w:val="18"/>
          <w:lang w:val="es-ES" w:eastAsia="es-ES"/>
        </w:rPr>
        <w:t>COMAPA</w:t>
      </w:r>
      <w:r w:rsidR="00BD5FF6" w:rsidRPr="005F45A3">
        <w:rPr>
          <w:rFonts w:asciiTheme="minorHAnsi" w:eastAsia="Times New Roman" w:hAnsiTheme="minorHAnsi" w:cstheme="minorHAnsi"/>
          <w:sz w:val="18"/>
          <w:szCs w:val="18"/>
          <w:lang w:val="es-ES" w:eastAsia="es-ES"/>
        </w:rPr>
        <w:t xml:space="preserve"> </w:t>
      </w:r>
      <w:r w:rsidR="00FA7471" w:rsidRPr="005F45A3">
        <w:rPr>
          <w:rFonts w:asciiTheme="minorHAnsi" w:eastAsia="Times New Roman" w:hAnsiTheme="minorHAnsi" w:cstheme="minorHAnsi"/>
          <w:sz w:val="18"/>
          <w:szCs w:val="18"/>
          <w:lang w:val="es-ES" w:eastAsia="es-ES"/>
        </w:rPr>
        <w:t xml:space="preserve">Río Bravo </w:t>
      </w:r>
      <w:r w:rsidR="00BD5FF6" w:rsidRPr="005F45A3">
        <w:rPr>
          <w:rFonts w:asciiTheme="minorHAnsi" w:eastAsia="Times New Roman" w:hAnsiTheme="minorHAnsi" w:cstheme="minorHAnsi"/>
          <w:sz w:val="18"/>
          <w:szCs w:val="18"/>
          <w:lang w:val="es-ES" w:eastAsia="es-ES"/>
        </w:rPr>
        <w:t xml:space="preserve"> por la cantidad de $</w:t>
      </w:r>
      <w:r w:rsidR="00A715D0">
        <w:rPr>
          <w:rFonts w:asciiTheme="minorHAnsi" w:eastAsia="Times New Roman" w:hAnsiTheme="minorHAnsi" w:cstheme="minorHAnsi"/>
          <w:sz w:val="18"/>
          <w:szCs w:val="18"/>
          <w:lang w:val="es-ES" w:eastAsia="es-ES"/>
        </w:rPr>
        <w:t>5,</w:t>
      </w:r>
      <w:r w:rsidR="00491D83">
        <w:rPr>
          <w:rFonts w:asciiTheme="minorHAnsi" w:eastAsia="Times New Roman" w:hAnsiTheme="minorHAnsi" w:cstheme="minorHAnsi"/>
          <w:sz w:val="18"/>
          <w:szCs w:val="18"/>
          <w:lang w:val="es-ES" w:eastAsia="es-ES"/>
        </w:rPr>
        <w:t>716,221</w:t>
      </w:r>
      <w:r w:rsidR="00FA3619">
        <w:rPr>
          <w:rFonts w:asciiTheme="minorHAnsi" w:eastAsia="Times New Roman" w:hAnsiTheme="minorHAnsi" w:cstheme="minorHAnsi"/>
          <w:sz w:val="18"/>
          <w:szCs w:val="18"/>
          <w:lang w:val="es-ES" w:eastAsia="es-ES"/>
        </w:rPr>
        <w:t xml:space="preserve">, y la </w:t>
      </w:r>
      <w:r w:rsidR="00000001">
        <w:rPr>
          <w:rFonts w:asciiTheme="minorHAnsi" w:eastAsia="Times New Roman" w:hAnsiTheme="minorHAnsi" w:cstheme="minorHAnsi"/>
          <w:sz w:val="18"/>
          <w:szCs w:val="18"/>
          <w:lang w:val="es-ES" w:eastAsia="es-ES"/>
        </w:rPr>
        <w:t>COMAPA</w:t>
      </w:r>
      <w:r w:rsidR="00E00968">
        <w:rPr>
          <w:rFonts w:asciiTheme="minorHAnsi" w:eastAsia="Times New Roman" w:hAnsiTheme="minorHAnsi" w:cstheme="minorHAnsi"/>
          <w:sz w:val="18"/>
          <w:szCs w:val="18"/>
          <w:lang w:val="es-ES" w:eastAsia="es-ES"/>
        </w:rPr>
        <w:t xml:space="preserve"> Municipal de Reynosa  por $62,162,979</w:t>
      </w:r>
      <w:r w:rsidR="00824880" w:rsidRPr="005F45A3">
        <w:rPr>
          <w:rFonts w:asciiTheme="minorHAnsi" w:eastAsia="Times New Roman" w:hAnsiTheme="minorHAnsi" w:cstheme="minorHAnsi"/>
          <w:sz w:val="18"/>
          <w:szCs w:val="18"/>
          <w:lang w:val="es-ES" w:eastAsia="es-ES"/>
        </w:rPr>
        <w:t>, entre otras</w:t>
      </w:r>
      <w:r w:rsidR="006F7341" w:rsidRPr="005F45A3">
        <w:rPr>
          <w:rFonts w:asciiTheme="minorHAnsi" w:eastAsia="Times New Roman" w:hAnsiTheme="minorHAnsi" w:cstheme="minorHAnsi"/>
          <w:sz w:val="18"/>
          <w:szCs w:val="18"/>
          <w:lang w:val="es-ES" w:eastAsia="es-ES"/>
        </w:rPr>
        <w:t xml:space="preserve">, </w:t>
      </w:r>
      <w:r w:rsidR="002927F6" w:rsidRPr="005F45A3">
        <w:rPr>
          <w:rFonts w:asciiTheme="minorHAnsi" w:eastAsia="Times New Roman" w:hAnsiTheme="minorHAnsi" w:cstheme="minorHAnsi"/>
          <w:sz w:val="18"/>
          <w:szCs w:val="18"/>
          <w:lang w:val="es-ES" w:eastAsia="es-ES"/>
        </w:rPr>
        <w:t>t</w:t>
      </w:r>
      <w:r w:rsidR="007466B5" w:rsidRPr="005F45A3">
        <w:rPr>
          <w:rFonts w:asciiTheme="minorHAnsi" w:eastAsia="Times New Roman" w:hAnsiTheme="minorHAnsi" w:cstheme="minorHAnsi"/>
          <w:sz w:val="18"/>
          <w:szCs w:val="18"/>
          <w:lang w:val="es-ES" w:eastAsia="es-ES"/>
        </w:rPr>
        <w:t xml:space="preserve">ambién </w:t>
      </w:r>
      <w:r w:rsidRPr="005F45A3">
        <w:rPr>
          <w:rFonts w:asciiTheme="minorHAnsi" w:hAnsiTheme="minorHAnsi" w:cstheme="minorHAnsi"/>
          <w:sz w:val="18"/>
          <w:szCs w:val="18"/>
        </w:rPr>
        <w:t>se integra la partida de De</w:t>
      </w:r>
      <w:r w:rsidR="00B10C8F" w:rsidRPr="005F45A3">
        <w:rPr>
          <w:rFonts w:asciiTheme="minorHAnsi" w:hAnsiTheme="minorHAnsi" w:cstheme="minorHAnsi"/>
          <w:sz w:val="18"/>
          <w:szCs w:val="18"/>
        </w:rPr>
        <w:t xml:space="preserve">udores Diversos que incluyen la cuenta de Cheques Devueltos, por la cantidad de </w:t>
      </w:r>
      <w:r w:rsidR="00022DD2" w:rsidRPr="005F45A3">
        <w:rPr>
          <w:rFonts w:asciiTheme="minorHAnsi" w:hAnsiTheme="minorHAnsi" w:cstheme="minorHAnsi"/>
          <w:sz w:val="18"/>
          <w:szCs w:val="18"/>
        </w:rPr>
        <w:t xml:space="preserve"> </w:t>
      </w:r>
      <w:r w:rsidR="00F07C70" w:rsidRPr="005F45A3">
        <w:rPr>
          <w:rFonts w:asciiTheme="minorHAnsi" w:hAnsiTheme="minorHAnsi" w:cstheme="minorHAnsi"/>
          <w:sz w:val="18"/>
          <w:szCs w:val="18"/>
        </w:rPr>
        <w:t>$</w:t>
      </w:r>
      <w:r w:rsidR="00E00968">
        <w:rPr>
          <w:rFonts w:asciiTheme="minorHAnsi" w:hAnsiTheme="minorHAnsi" w:cstheme="minorHAnsi"/>
          <w:sz w:val="18"/>
          <w:szCs w:val="18"/>
        </w:rPr>
        <w:t>17,</w:t>
      </w:r>
      <w:r w:rsidR="00A715D0">
        <w:rPr>
          <w:rFonts w:asciiTheme="minorHAnsi" w:hAnsiTheme="minorHAnsi" w:cstheme="minorHAnsi"/>
          <w:sz w:val="18"/>
          <w:szCs w:val="18"/>
        </w:rPr>
        <w:t>268,456</w:t>
      </w:r>
      <w:r w:rsidR="00FE6A08" w:rsidRPr="005F45A3">
        <w:rPr>
          <w:rFonts w:asciiTheme="minorHAnsi" w:hAnsiTheme="minorHAnsi" w:cstheme="minorHAnsi"/>
          <w:sz w:val="18"/>
          <w:szCs w:val="18"/>
        </w:rPr>
        <w:t>,</w:t>
      </w:r>
      <w:r w:rsidR="00B10C8F" w:rsidRPr="005F45A3">
        <w:rPr>
          <w:rFonts w:asciiTheme="minorHAnsi" w:hAnsiTheme="minorHAnsi" w:cstheme="minorHAnsi"/>
          <w:sz w:val="18"/>
          <w:szCs w:val="18"/>
        </w:rPr>
        <w:t xml:space="preserve"> que corresponden a los cheques de los contribuyentes que les fueron devueltos, y que se encuentran a la fecha regis</w:t>
      </w:r>
      <w:r w:rsidR="00B64720" w:rsidRPr="005F45A3">
        <w:rPr>
          <w:rFonts w:asciiTheme="minorHAnsi" w:hAnsiTheme="minorHAnsi" w:cstheme="minorHAnsi"/>
          <w:sz w:val="18"/>
          <w:szCs w:val="18"/>
        </w:rPr>
        <w:t>trados como pendientes de cobro</w:t>
      </w:r>
      <w:r w:rsidR="00B10C8F" w:rsidRPr="005F45A3">
        <w:rPr>
          <w:rFonts w:asciiTheme="minorHAnsi" w:hAnsiTheme="minorHAnsi" w:cstheme="minorHAnsi"/>
          <w:sz w:val="18"/>
          <w:szCs w:val="18"/>
        </w:rPr>
        <w:t>.</w:t>
      </w:r>
    </w:p>
    <w:p w14:paraId="56FFD15A" w14:textId="77777777" w:rsidR="00A27A92" w:rsidRPr="005F45A3" w:rsidRDefault="00A27A92" w:rsidP="0061352F">
      <w:pPr>
        <w:spacing w:after="0" w:line="240" w:lineRule="auto"/>
        <w:jc w:val="both"/>
        <w:rPr>
          <w:rFonts w:asciiTheme="minorHAnsi" w:hAnsiTheme="minorHAnsi" w:cstheme="minorHAnsi"/>
          <w:sz w:val="18"/>
          <w:szCs w:val="18"/>
        </w:rPr>
      </w:pPr>
    </w:p>
    <w:p w14:paraId="5204D4D5" w14:textId="0321DBC8" w:rsidR="001F180F" w:rsidRPr="005F45A3" w:rsidRDefault="00513DC4" w:rsidP="0061352F">
      <w:pPr>
        <w:spacing w:after="0" w:line="240" w:lineRule="auto"/>
        <w:ind w:hanging="426"/>
        <w:jc w:val="both"/>
        <w:rPr>
          <w:rFonts w:asciiTheme="minorHAnsi" w:hAnsiTheme="minorHAnsi" w:cstheme="minorHAnsi"/>
          <w:sz w:val="18"/>
          <w:szCs w:val="18"/>
        </w:rPr>
      </w:pPr>
      <w:r>
        <w:rPr>
          <w:rFonts w:asciiTheme="minorHAnsi" w:hAnsiTheme="minorHAnsi" w:cstheme="minorHAnsi"/>
          <w:sz w:val="18"/>
          <w:szCs w:val="18"/>
        </w:rPr>
        <w:t xml:space="preserve">          Así mismo el Fideicomiso Puente Internacional </w:t>
      </w:r>
      <w:r w:rsidR="0061352F">
        <w:rPr>
          <w:rFonts w:asciiTheme="minorHAnsi" w:hAnsiTheme="minorHAnsi" w:cstheme="minorHAnsi"/>
          <w:sz w:val="18"/>
          <w:szCs w:val="18"/>
        </w:rPr>
        <w:t>Nuevo Laredo</w:t>
      </w:r>
      <w:r>
        <w:rPr>
          <w:rFonts w:asciiTheme="minorHAnsi" w:hAnsiTheme="minorHAnsi" w:cstheme="minorHAnsi"/>
          <w:sz w:val="18"/>
          <w:szCs w:val="18"/>
        </w:rPr>
        <w:t xml:space="preserve"> III mantiene en Deudores Diversos un importe de 1,747,495, por aforos pendiente de depositar, el mismo fideicomiso en otros derechos por recibir efectivo y equivalentes refleja un saldo de $2,530,638 correspondiente a un IVA por Acreditar. </w:t>
      </w:r>
    </w:p>
    <w:p w14:paraId="1E65CFD0" w14:textId="77777777" w:rsidR="001F180F" w:rsidRPr="005F45A3" w:rsidRDefault="001F180F" w:rsidP="007466B5">
      <w:pPr>
        <w:spacing w:after="0" w:line="240" w:lineRule="auto"/>
        <w:jc w:val="both"/>
        <w:rPr>
          <w:rFonts w:asciiTheme="minorHAnsi" w:hAnsiTheme="minorHAnsi" w:cstheme="minorHAnsi"/>
          <w:sz w:val="18"/>
          <w:szCs w:val="18"/>
        </w:rPr>
      </w:pPr>
    </w:p>
    <w:p w14:paraId="4FD97CE2" w14:textId="77777777" w:rsidR="0010398F" w:rsidRPr="005F45A3" w:rsidRDefault="0010398F" w:rsidP="007466B5">
      <w:pPr>
        <w:spacing w:after="0" w:line="240" w:lineRule="auto"/>
        <w:jc w:val="both"/>
        <w:rPr>
          <w:rFonts w:asciiTheme="minorHAnsi" w:hAnsiTheme="minorHAnsi" w:cstheme="minorHAnsi"/>
          <w:sz w:val="18"/>
          <w:szCs w:val="18"/>
        </w:rPr>
      </w:pPr>
    </w:p>
    <w:tbl>
      <w:tblPr>
        <w:tblW w:w="8784" w:type="dxa"/>
        <w:tblCellMar>
          <w:left w:w="70" w:type="dxa"/>
          <w:right w:w="70" w:type="dxa"/>
        </w:tblCellMar>
        <w:tblLook w:val="04A0" w:firstRow="1" w:lastRow="0" w:firstColumn="1" w:lastColumn="0" w:noHBand="0" w:noVBand="1"/>
      </w:tblPr>
      <w:tblGrid>
        <w:gridCol w:w="1271"/>
        <w:gridCol w:w="1134"/>
        <w:gridCol w:w="1276"/>
        <w:gridCol w:w="1276"/>
        <w:gridCol w:w="1417"/>
        <w:gridCol w:w="1134"/>
        <w:gridCol w:w="1276"/>
      </w:tblGrid>
      <w:tr w:rsidR="00846C3B" w:rsidRPr="00846C3B" w14:paraId="54F61ACA" w14:textId="77777777" w:rsidTr="005A43B6">
        <w:trPr>
          <w:trHeight w:val="322"/>
        </w:trPr>
        <w:tc>
          <w:tcPr>
            <w:tcW w:w="1271" w:type="dxa"/>
            <w:vMerge w:val="restart"/>
            <w:tcBorders>
              <w:top w:val="single" w:sz="4" w:space="0" w:color="auto"/>
              <w:left w:val="single" w:sz="4" w:space="0" w:color="auto"/>
              <w:bottom w:val="single" w:sz="4" w:space="0" w:color="000000"/>
              <w:right w:val="single" w:sz="4" w:space="0" w:color="auto"/>
            </w:tcBorders>
            <w:shd w:val="clear" w:color="000000" w:fill="AB0033"/>
            <w:vAlign w:val="center"/>
            <w:hideMark/>
          </w:tcPr>
          <w:p w14:paraId="79B441C2" w14:textId="77777777" w:rsidR="00846C3B" w:rsidRPr="00846C3B" w:rsidRDefault="00846C3B" w:rsidP="00846C3B">
            <w:pPr>
              <w:spacing w:after="0" w:line="240" w:lineRule="auto"/>
              <w:jc w:val="center"/>
              <w:rPr>
                <w:rFonts w:eastAsia="Times New Roman" w:cs="Calibri"/>
                <w:b/>
                <w:bCs/>
                <w:color w:val="FFFFFF"/>
                <w:sz w:val="16"/>
                <w:szCs w:val="16"/>
                <w:lang w:eastAsia="es-MX"/>
              </w:rPr>
            </w:pPr>
            <w:r w:rsidRPr="00846C3B">
              <w:rPr>
                <w:rFonts w:eastAsia="Times New Roman" w:cs="Calibri"/>
                <w:b/>
                <w:bCs/>
                <w:color w:val="FFFFFF"/>
                <w:sz w:val="16"/>
                <w:szCs w:val="16"/>
                <w:lang w:eastAsia="es-MX"/>
              </w:rPr>
              <w:t>Año</w:t>
            </w:r>
          </w:p>
        </w:tc>
        <w:tc>
          <w:tcPr>
            <w:tcW w:w="2410" w:type="dxa"/>
            <w:gridSpan w:val="2"/>
            <w:tcBorders>
              <w:top w:val="single" w:sz="4" w:space="0" w:color="auto"/>
              <w:left w:val="nil"/>
              <w:bottom w:val="single" w:sz="4" w:space="0" w:color="auto"/>
              <w:right w:val="single" w:sz="4" w:space="0" w:color="000000"/>
            </w:tcBorders>
            <w:shd w:val="clear" w:color="000000" w:fill="AB0033"/>
            <w:vAlign w:val="center"/>
            <w:hideMark/>
          </w:tcPr>
          <w:p w14:paraId="134BAA10" w14:textId="77777777" w:rsidR="00846C3B" w:rsidRPr="00846C3B" w:rsidRDefault="00846C3B" w:rsidP="00846C3B">
            <w:pPr>
              <w:spacing w:after="0" w:line="240" w:lineRule="auto"/>
              <w:jc w:val="center"/>
              <w:rPr>
                <w:rFonts w:eastAsia="Times New Roman" w:cs="Calibri"/>
                <w:b/>
                <w:bCs/>
                <w:color w:val="FFFFFF"/>
                <w:sz w:val="16"/>
                <w:szCs w:val="16"/>
                <w:lang w:eastAsia="es-MX"/>
              </w:rPr>
            </w:pPr>
            <w:r w:rsidRPr="00846C3B">
              <w:rPr>
                <w:rFonts w:eastAsia="Times New Roman" w:cs="Calibri"/>
                <w:b/>
                <w:bCs/>
                <w:color w:val="FFFFFF"/>
                <w:sz w:val="16"/>
                <w:szCs w:val="16"/>
                <w:lang w:eastAsia="es-MX"/>
              </w:rPr>
              <w:t>2022</w:t>
            </w:r>
          </w:p>
        </w:tc>
        <w:tc>
          <w:tcPr>
            <w:tcW w:w="2693" w:type="dxa"/>
            <w:gridSpan w:val="2"/>
            <w:tcBorders>
              <w:top w:val="single" w:sz="4" w:space="0" w:color="auto"/>
              <w:left w:val="nil"/>
              <w:bottom w:val="single" w:sz="4" w:space="0" w:color="auto"/>
              <w:right w:val="single" w:sz="4" w:space="0" w:color="000000"/>
            </w:tcBorders>
            <w:shd w:val="clear" w:color="000000" w:fill="AB0033"/>
            <w:vAlign w:val="center"/>
            <w:hideMark/>
          </w:tcPr>
          <w:p w14:paraId="58C7E195" w14:textId="77777777" w:rsidR="00846C3B" w:rsidRPr="00846C3B" w:rsidRDefault="00846C3B" w:rsidP="00846C3B">
            <w:pPr>
              <w:spacing w:after="0" w:line="240" w:lineRule="auto"/>
              <w:jc w:val="center"/>
              <w:rPr>
                <w:rFonts w:eastAsia="Times New Roman" w:cs="Calibri"/>
                <w:b/>
                <w:bCs/>
                <w:color w:val="FFFFFF"/>
                <w:sz w:val="16"/>
                <w:szCs w:val="16"/>
                <w:lang w:eastAsia="es-MX"/>
              </w:rPr>
            </w:pPr>
            <w:r w:rsidRPr="00846C3B">
              <w:rPr>
                <w:rFonts w:eastAsia="Times New Roman" w:cs="Calibri"/>
                <w:b/>
                <w:bCs/>
                <w:color w:val="FFFFFF"/>
                <w:sz w:val="16"/>
                <w:szCs w:val="16"/>
                <w:lang w:eastAsia="es-MX"/>
              </w:rPr>
              <w:t>2021</w:t>
            </w:r>
          </w:p>
        </w:tc>
        <w:tc>
          <w:tcPr>
            <w:tcW w:w="2410" w:type="dxa"/>
            <w:gridSpan w:val="2"/>
            <w:tcBorders>
              <w:top w:val="single" w:sz="4" w:space="0" w:color="auto"/>
              <w:left w:val="nil"/>
              <w:bottom w:val="single" w:sz="4" w:space="0" w:color="auto"/>
              <w:right w:val="single" w:sz="4" w:space="0" w:color="000000"/>
            </w:tcBorders>
            <w:shd w:val="clear" w:color="000000" w:fill="AB0033"/>
            <w:vAlign w:val="center"/>
            <w:hideMark/>
          </w:tcPr>
          <w:p w14:paraId="0725ECB2" w14:textId="77777777" w:rsidR="00846C3B" w:rsidRPr="00846C3B" w:rsidRDefault="00846C3B" w:rsidP="00846C3B">
            <w:pPr>
              <w:spacing w:after="0" w:line="240" w:lineRule="auto"/>
              <w:jc w:val="center"/>
              <w:rPr>
                <w:rFonts w:eastAsia="Times New Roman" w:cs="Calibri"/>
                <w:b/>
                <w:bCs/>
                <w:color w:val="FFFFFF"/>
                <w:sz w:val="16"/>
                <w:szCs w:val="16"/>
                <w:lang w:eastAsia="es-MX"/>
              </w:rPr>
            </w:pPr>
            <w:r w:rsidRPr="00846C3B">
              <w:rPr>
                <w:rFonts w:eastAsia="Times New Roman" w:cs="Calibri"/>
                <w:b/>
                <w:bCs/>
                <w:color w:val="FFFFFF"/>
                <w:sz w:val="16"/>
                <w:szCs w:val="16"/>
                <w:lang w:eastAsia="es-MX"/>
              </w:rPr>
              <w:t>Variación</w:t>
            </w:r>
          </w:p>
        </w:tc>
      </w:tr>
      <w:tr w:rsidR="00846C3B" w:rsidRPr="00846C3B" w14:paraId="3465A251" w14:textId="77777777" w:rsidTr="005A43B6">
        <w:trPr>
          <w:trHeight w:val="495"/>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006EA515" w14:textId="77777777" w:rsidR="00846C3B" w:rsidRPr="00846C3B" w:rsidRDefault="00846C3B" w:rsidP="00846C3B">
            <w:pPr>
              <w:spacing w:after="0" w:line="240" w:lineRule="auto"/>
              <w:rPr>
                <w:rFonts w:eastAsia="Times New Roman" w:cs="Calibri"/>
                <w:b/>
                <w:bCs/>
                <w:color w:val="FFFFFF"/>
                <w:sz w:val="16"/>
                <w:szCs w:val="16"/>
                <w:lang w:eastAsia="es-MX"/>
              </w:rPr>
            </w:pPr>
          </w:p>
        </w:tc>
        <w:tc>
          <w:tcPr>
            <w:tcW w:w="1134" w:type="dxa"/>
            <w:tcBorders>
              <w:top w:val="nil"/>
              <w:left w:val="nil"/>
              <w:bottom w:val="single" w:sz="4" w:space="0" w:color="auto"/>
              <w:right w:val="single" w:sz="4" w:space="0" w:color="auto"/>
            </w:tcBorders>
            <w:shd w:val="clear" w:color="000000" w:fill="AB0033"/>
            <w:vAlign w:val="center"/>
            <w:hideMark/>
          </w:tcPr>
          <w:p w14:paraId="2FBFC71C" w14:textId="77777777" w:rsidR="00846C3B" w:rsidRPr="00846C3B" w:rsidRDefault="00846C3B" w:rsidP="00846C3B">
            <w:pPr>
              <w:spacing w:after="0" w:line="240" w:lineRule="auto"/>
              <w:jc w:val="center"/>
              <w:rPr>
                <w:rFonts w:eastAsia="Times New Roman" w:cs="Calibri"/>
                <w:b/>
                <w:bCs/>
                <w:color w:val="FFFFFF"/>
                <w:sz w:val="16"/>
                <w:szCs w:val="16"/>
                <w:lang w:eastAsia="es-MX"/>
              </w:rPr>
            </w:pPr>
            <w:r w:rsidRPr="00846C3B">
              <w:rPr>
                <w:rFonts w:eastAsia="Times New Roman" w:cs="Calibri"/>
                <w:b/>
                <w:bCs/>
                <w:color w:val="FFFFFF"/>
                <w:sz w:val="16"/>
                <w:szCs w:val="16"/>
                <w:lang w:eastAsia="es-MX"/>
              </w:rPr>
              <w:t>No. De Cheques</w:t>
            </w:r>
          </w:p>
        </w:tc>
        <w:tc>
          <w:tcPr>
            <w:tcW w:w="1276" w:type="dxa"/>
            <w:tcBorders>
              <w:top w:val="nil"/>
              <w:left w:val="nil"/>
              <w:bottom w:val="single" w:sz="4" w:space="0" w:color="auto"/>
              <w:right w:val="single" w:sz="4" w:space="0" w:color="auto"/>
            </w:tcBorders>
            <w:shd w:val="clear" w:color="000000" w:fill="AB0033"/>
            <w:vAlign w:val="center"/>
            <w:hideMark/>
          </w:tcPr>
          <w:p w14:paraId="6B4644A7" w14:textId="77777777" w:rsidR="00846C3B" w:rsidRPr="00846C3B" w:rsidRDefault="00846C3B" w:rsidP="00846C3B">
            <w:pPr>
              <w:spacing w:after="0" w:line="240" w:lineRule="auto"/>
              <w:jc w:val="center"/>
              <w:rPr>
                <w:rFonts w:eastAsia="Times New Roman" w:cs="Calibri"/>
                <w:b/>
                <w:bCs/>
                <w:color w:val="FFFFFF"/>
                <w:sz w:val="16"/>
                <w:szCs w:val="16"/>
                <w:lang w:eastAsia="es-MX"/>
              </w:rPr>
            </w:pPr>
            <w:r w:rsidRPr="00846C3B">
              <w:rPr>
                <w:rFonts w:eastAsia="Times New Roman" w:cs="Calibri"/>
                <w:b/>
                <w:bCs/>
                <w:color w:val="FFFFFF"/>
                <w:sz w:val="16"/>
                <w:szCs w:val="16"/>
                <w:lang w:eastAsia="es-MX"/>
              </w:rPr>
              <w:t>Importe</w:t>
            </w:r>
          </w:p>
        </w:tc>
        <w:tc>
          <w:tcPr>
            <w:tcW w:w="1276" w:type="dxa"/>
            <w:tcBorders>
              <w:top w:val="nil"/>
              <w:left w:val="nil"/>
              <w:bottom w:val="single" w:sz="4" w:space="0" w:color="auto"/>
              <w:right w:val="single" w:sz="4" w:space="0" w:color="auto"/>
            </w:tcBorders>
            <w:shd w:val="clear" w:color="000000" w:fill="AB0033"/>
            <w:vAlign w:val="center"/>
            <w:hideMark/>
          </w:tcPr>
          <w:p w14:paraId="01C4AAF4" w14:textId="77777777" w:rsidR="00846C3B" w:rsidRPr="00846C3B" w:rsidRDefault="00846C3B" w:rsidP="00846C3B">
            <w:pPr>
              <w:spacing w:after="0" w:line="240" w:lineRule="auto"/>
              <w:jc w:val="center"/>
              <w:rPr>
                <w:rFonts w:eastAsia="Times New Roman" w:cs="Calibri"/>
                <w:b/>
                <w:bCs/>
                <w:color w:val="FFFFFF"/>
                <w:sz w:val="16"/>
                <w:szCs w:val="16"/>
                <w:lang w:eastAsia="es-MX"/>
              </w:rPr>
            </w:pPr>
            <w:r w:rsidRPr="00846C3B">
              <w:rPr>
                <w:rFonts w:eastAsia="Times New Roman" w:cs="Calibri"/>
                <w:b/>
                <w:bCs/>
                <w:color w:val="FFFFFF"/>
                <w:sz w:val="16"/>
                <w:szCs w:val="16"/>
                <w:lang w:eastAsia="es-MX"/>
              </w:rPr>
              <w:t>No. De Cheques</w:t>
            </w:r>
          </w:p>
        </w:tc>
        <w:tc>
          <w:tcPr>
            <w:tcW w:w="1417" w:type="dxa"/>
            <w:tcBorders>
              <w:top w:val="nil"/>
              <w:left w:val="nil"/>
              <w:bottom w:val="single" w:sz="4" w:space="0" w:color="auto"/>
              <w:right w:val="single" w:sz="4" w:space="0" w:color="auto"/>
            </w:tcBorders>
            <w:shd w:val="clear" w:color="000000" w:fill="AB0033"/>
            <w:vAlign w:val="center"/>
            <w:hideMark/>
          </w:tcPr>
          <w:p w14:paraId="70DEFA46" w14:textId="77777777" w:rsidR="00846C3B" w:rsidRPr="00846C3B" w:rsidRDefault="00846C3B" w:rsidP="00846C3B">
            <w:pPr>
              <w:spacing w:after="0" w:line="240" w:lineRule="auto"/>
              <w:jc w:val="center"/>
              <w:rPr>
                <w:rFonts w:eastAsia="Times New Roman" w:cs="Calibri"/>
                <w:b/>
                <w:bCs/>
                <w:color w:val="FFFFFF"/>
                <w:sz w:val="16"/>
                <w:szCs w:val="16"/>
                <w:lang w:eastAsia="es-MX"/>
              </w:rPr>
            </w:pPr>
            <w:r w:rsidRPr="00846C3B">
              <w:rPr>
                <w:rFonts w:eastAsia="Times New Roman" w:cs="Calibri"/>
                <w:b/>
                <w:bCs/>
                <w:color w:val="FFFFFF"/>
                <w:sz w:val="16"/>
                <w:szCs w:val="16"/>
                <w:lang w:eastAsia="es-MX"/>
              </w:rPr>
              <w:t>Importe</w:t>
            </w:r>
          </w:p>
        </w:tc>
        <w:tc>
          <w:tcPr>
            <w:tcW w:w="1134" w:type="dxa"/>
            <w:tcBorders>
              <w:top w:val="nil"/>
              <w:left w:val="nil"/>
              <w:bottom w:val="single" w:sz="4" w:space="0" w:color="auto"/>
              <w:right w:val="single" w:sz="4" w:space="0" w:color="auto"/>
            </w:tcBorders>
            <w:shd w:val="clear" w:color="000000" w:fill="AB0033"/>
            <w:vAlign w:val="center"/>
            <w:hideMark/>
          </w:tcPr>
          <w:p w14:paraId="35345302" w14:textId="77777777" w:rsidR="00846C3B" w:rsidRPr="00846C3B" w:rsidRDefault="00846C3B" w:rsidP="00846C3B">
            <w:pPr>
              <w:spacing w:after="0" w:line="240" w:lineRule="auto"/>
              <w:jc w:val="center"/>
              <w:rPr>
                <w:rFonts w:eastAsia="Times New Roman" w:cs="Calibri"/>
                <w:b/>
                <w:bCs/>
                <w:color w:val="FFFFFF"/>
                <w:sz w:val="16"/>
                <w:szCs w:val="16"/>
                <w:lang w:eastAsia="es-MX"/>
              </w:rPr>
            </w:pPr>
            <w:r w:rsidRPr="00846C3B">
              <w:rPr>
                <w:rFonts w:eastAsia="Times New Roman" w:cs="Calibri"/>
                <w:b/>
                <w:bCs/>
                <w:color w:val="FFFFFF"/>
                <w:sz w:val="16"/>
                <w:szCs w:val="16"/>
                <w:lang w:eastAsia="es-MX"/>
              </w:rPr>
              <w:t>En Cheques</w:t>
            </w:r>
          </w:p>
        </w:tc>
        <w:tc>
          <w:tcPr>
            <w:tcW w:w="1276" w:type="dxa"/>
            <w:tcBorders>
              <w:top w:val="nil"/>
              <w:left w:val="nil"/>
              <w:bottom w:val="single" w:sz="4" w:space="0" w:color="auto"/>
              <w:right w:val="single" w:sz="4" w:space="0" w:color="auto"/>
            </w:tcBorders>
            <w:shd w:val="clear" w:color="000000" w:fill="AB0033"/>
            <w:vAlign w:val="center"/>
            <w:hideMark/>
          </w:tcPr>
          <w:p w14:paraId="33613CC8" w14:textId="77777777" w:rsidR="00846C3B" w:rsidRPr="00846C3B" w:rsidRDefault="00846C3B" w:rsidP="00846C3B">
            <w:pPr>
              <w:spacing w:after="0" w:line="240" w:lineRule="auto"/>
              <w:jc w:val="center"/>
              <w:rPr>
                <w:rFonts w:eastAsia="Times New Roman" w:cs="Calibri"/>
                <w:b/>
                <w:bCs/>
                <w:color w:val="FFFFFF"/>
                <w:sz w:val="16"/>
                <w:szCs w:val="16"/>
                <w:lang w:eastAsia="es-MX"/>
              </w:rPr>
            </w:pPr>
            <w:r w:rsidRPr="00846C3B">
              <w:rPr>
                <w:rFonts w:eastAsia="Times New Roman" w:cs="Calibri"/>
                <w:b/>
                <w:bCs/>
                <w:color w:val="FFFFFF"/>
                <w:sz w:val="16"/>
                <w:szCs w:val="16"/>
                <w:lang w:eastAsia="es-MX"/>
              </w:rPr>
              <w:t>Importe</w:t>
            </w:r>
          </w:p>
        </w:tc>
      </w:tr>
      <w:tr w:rsidR="00846C3B" w:rsidRPr="00846C3B" w14:paraId="7BF00276" w14:textId="77777777" w:rsidTr="005A43B6">
        <w:trPr>
          <w:trHeight w:val="34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A10D937"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2012</w:t>
            </w:r>
          </w:p>
        </w:tc>
        <w:tc>
          <w:tcPr>
            <w:tcW w:w="1134" w:type="dxa"/>
            <w:tcBorders>
              <w:top w:val="nil"/>
              <w:left w:val="nil"/>
              <w:bottom w:val="single" w:sz="4" w:space="0" w:color="auto"/>
              <w:right w:val="single" w:sz="4" w:space="0" w:color="auto"/>
            </w:tcBorders>
            <w:shd w:val="clear" w:color="auto" w:fill="auto"/>
            <w:noWrap/>
            <w:vAlign w:val="center"/>
            <w:hideMark/>
          </w:tcPr>
          <w:p w14:paraId="3369DA03"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589</w:t>
            </w:r>
          </w:p>
        </w:tc>
        <w:tc>
          <w:tcPr>
            <w:tcW w:w="1276" w:type="dxa"/>
            <w:tcBorders>
              <w:top w:val="nil"/>
              <w:left w:val="nil"/>
              <w:bottom w:val="single" w:sz="4" w:space="0" w:color="auto"/>
              <w:right w:val="single" w:sz="4" w:space="0" w:color="auto"/>
            </w:tcBorders>
            <w:shd w:val="clear" w:color="auto" w:fill="auto"/>
            <w:noWrap/>
            <w:vAlign w:val="center"/>
            <w:hideMark/>
          </w:tcPr>
          <w:p w14:paraId="7EDD866B" w14:textId="49A502DC" w:rsidR="00846C3B" w:rsidRPr="00846C3B" w:rsidRDefault="00846C3B" w:rsidP="008936BF">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11,520,78</w:t>
            </w:r>
            <w:r w:rsidR="008936BF">
              <w:rPr>
                <w:rFonts w:eastAsia="Times New Roman" w:cs="Calibri"/>
                <w:color w:val="000000"/>
                <w:sz w:val="14"/>
                <w:szCs w:val="14"/>
                <w:lang w:eastAsia="es-MX"/>
              </w:rPr>
              <w:t>3</w:t>
            </w:r>
          </w:p>
        </w:tc>
        <w:tc>
          <w:tcPr>
            <w:tcW w:w="1276" w:type="dxa"/>
            <w:tcBorders>
              <w:top w:val="nil"/>
              <w:left w:val="nil"/>
              <w:bottom w:val="single" w:sz="4" w:space="0" w:color="auto"/>
              <w:right w:val="single" w:sz="4" w:space="0" w:color="auto"/>
            </w:tcBorders>
            <w:shd w:val="clear" w:color="auto" w:fill="auto"/>
            <w:noWrap/>
            <w:vAlign w:val="center"/>
            <w:hideMark/>
          </w:tcPr>
          <w:p w14:paraId="137AB534"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592</w:t>
            </w:r>
          </w:p>
        </w:tc>
        <w:tc>
          <w:tcPr>
            <w:tcW w:w="1417" w:type="dxa"/>
            <w:tcBorders>
              <w:top w:val="nil"/>
              <w:left w:val="nil"/>
              <w:bottom w:val="single" w:sz="4" w:space="0" w:color="auto"/>
              <w:right w:val="single" w:sz="4" w:space="0" w:color="auto"/>
            </w:tcBorders>
            <w:shd w:val="clear" w:color="auto" w:fill="auto"/>
            <w:noWrap/>
            <w:vAlign w:val="center"/>
            <w:hideMark/>
          </w:tcPr>
          <w:p w14:paraId="658648F5"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11,640,891</w:t>
            </w:r>
          </w:p>
        </w:tc>
        <w:tc>
          <w:tcPr>
            <w:tcW w:w="1134" w:type="dxa"/>
            <w:tcBorders>
              <w:top w:val="nil"/>
              <w:left w:val="nil"/>
              <w:bottom w:val="single" w:sz="4" w:space="0" w:color="auto"/>
              <w:right w:val="single" w:sz="4" w:space="0" w:color="auto"/>
            </w:tcBorders>
            <w:shd w:val="clear" w:color="auto" w:fill="auto"/>
            <w:noWrap/>
            <w:vAlign w:val="center"/>
            <w:hideMark/>
          </w:tcPr>
          <w:p w14:paraId="6BA9BA44"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3</w:t>
            </w:r>
          </w:p>
        </w:tc>
        <w:tc>
          <w:tcPr>
            <w:tcW w:w="1276" w:type="dxa"/>
            <w:tcBorders>
              <w:top w:val="nil"/>
              <w:left w:val="nil"/>
              <w:bottom w:val="single" w:sz="4" w:space="0" w:color="auto"/>
              <w:right w:val="single" w:sz="4" w:space="0" w:color="auto"/>
            </w:tcBorders>
            <w:shd w:val="clear" w:color="auto" w:fill="auto"/>
            <w:noWrap/>
            <w:vAlign w:val="center"/>
            <w:hideMark/>
          </w:tcPr>
          <w:p w14:paraId="695BA5AE" w14:textId="764997E4" w:rsidR="00846C3B" w:rsidRPr="00846C3B" w:rsidRDefault="00846C3B" w:rsidP="008936BF">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-120,10</w:t>
            </w:r>
            <w:r w:rsidR="008936BF">
              <w:rPr>
                <w:rFonts w:eastAsia="Times New Roman" w:cs="Calibri"/>
                <w:color w:val="000000"/>
                <w:sz w:val="14"/>
                <w:szCs w:val="14"/>
                <w:lang w:eastAsia="es-MX"/>
              </w:rPr>
              <w:t>8</w:t>
            </w:r>
          </w:p>
        </w:tc>
      </w:tr>
      <w:tr w:rsidR="00846C3B" w:rsidRPr="00846C3B" w14:paraId="43E7A09A" w14:textId="77777777" w:rsidTr="005A43B6">
        <w:trPr>
          <w:trHeight w:val="34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19B6B8B"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2013</w:t>
            </w:r>
          </w:p>
        </w:tc>
        <w:tc>
          <w:tcPr>
            <w:tcW w:w="1134" w:type="dxa"/>
            <w:tcBorders>
              <w:top w:val="nil"/>
              <w:left w:val="nil"/>
              <w:bottom w:val="single" w:sz="4" w:space="0" w:color="auto"/>
              <w:right w:val="single" w:sz="4" w:space="0" w:color="auto"/>
            </w:tcBorders>
            <w:shd w:val="clear" w:color="auto" w:fill="auto"/>
            <w:noWrap/>
            <w:vAlign w:val="center"/>
            <w:hideMark/>
          </w:tcPr>
          <w:p w14:paraId="027984F2"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47</w:t>
            </w:r>
          </w:p>
        </w:tc>
        <w:tc>
          <w:tcPr>
            <w:tcW w:w="1276" w:type="dxa"/>
            <w:tcBorders>
              <w:top w:val="nil"/>
              <w:left w:val="nil"/>
              <w:bottom w:val="single" w:sz="4" w:space="0" w:color="auto"/>
              <w:right w:val="single" w:sz="4" w:space="0" w:color="auto"/>
            </w:tcBorders>
            <w:shd w:val="clear" w:color="auto" w:fill="auto"/>
            <w:noWrap/>
            <w:vAlign w:val="center"/>
            <w:hideMark/>
          </w:tcPr>
          <w:p w14:paraId="0AEDFC67"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795,022</w:t>
            </w:r>
          </w:p>
        </w:tc>
        <w:tc>
          <w:tcPr>
            <w:tcW w:w="1276" w:type="dxa"/>
            <w:tcBorders>
              <w:top w:val="nil"/>
              <w:left w:val="nil"/>
              <w:bottom w:val="single" w:sz="4" w:space="0" w:color="auto"/>
              <w:right w:val="single" w:sz="4" w:space="0" w:color="auto"/>
            </w:tcBorders>
            <w:shd w:val="clear" w:color="auto" w:fill="auto"/>
            <w:noWrap/>
            <w:vAlign w:val="center"/>
            <w:hideMark/>
          </w:tcPr>
          <w:p w14:paraId="66F8AFA5"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47</w:t>
            </w:r>
          </w:p>
        </w:tc>
        <w:tc>
          <w:tcPr>
            <w:tcW w:w="1417" w:type="dxa"/>
            <w:tcBorders>
              <w:top w:val="nil"/>
              <w:left w:val="nil"/>
              <w:bottom w:val="single" w:sz="4" w:space="0" w:color="auto"/>
              <w:right w:val="single" w:sz="4" w:space="0" w:color="auto"/>
            </w:tcBorders>
            <w:shd w:val="clear" w:color="auto" w:fill="auto"/>
            <w:noWrap/>
            <w:vAlign w:val="center"/>
            <w:hideMark/>
          </w:tcPr>
          <w:p w14:paraId="6D772E90"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795,022</w:t>
            </w:r>
          </w:p>
        </w:tc>
        <w:tc>
          <w:tcPr>
            <w:tcW w:w="1134" w:type="dxa"/>
            <w:tcBorders>
              <w:top w:val="nil"/>
              <w:left w:val="nil"/>
              <w:bottom w:val="single" w:sz="4" w:space="0" w:color="auto"/>
              <w:right w:val="single" w:sz="4" w:space="0" w:color="auto"/>
            </w:tcBorders>
            <w:shd w:val="clear" w:color="auto" w:fill="auto"/>
            <w:noWrap/>
            <w:vAlign w:val="center"/>
            <w:hideMark/>
          </w:tcPr>
          <w:p w14:paraId="10422EDF"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0</w:t>
            </w:r>
          </w:p>
        </w:tc>
        <w:tc>
          <w:tcPr>
            <w:tcW w:w="1276" w:type="dxa"/>
            <w:tcBorders>
              <w:top w:val="nil"/>
              <w:left w:val="nil"/>
              <w:bottom w:val="single" w:sz="4" w:space="0" w:color="auto"/>
              <w:right w:val="single" w:sz="4" w:space="0" w:color="auto"/>
            </w:tcBorders>
            <w:shd w:val="clear" w:color="auto" w:fill="auto"/>
            <w:noWrap/>
            <w:vAlign w:val="center"/>
            <w:hideMark/>
          </w:tcPr>
          <w:p w14:paraId="560CCB7F"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0</w:t>
            </w:r>
          </w:p>
        </w:tc>
      </w:tr>
      <w:tr w:rsidR="00846C3B" w:rsidRPr="00846C3B" w14:paraId="5F909C3B" w14:textId="77777777" w:rsidTr="005A43B6">
        <w:trPr>
          <w:trHeight w:val="34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8090924"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2014</w:t>
            </w:r>
          </w:p>
        </w:tc>
        <w:tc>
          <w:tcPr>
            <w:tcW w:w="1134" w:type="dxa"/>
            <w:tcBorders>
              <w:top w:val="nil"/>
              <w:left w:val="nil"/>
              <w:bottom w:val="single" w:sz="4" w:space="0" w:color="auto"/>
              <w:right w:val="single" w:sz="4" w:space="0" w:color="auto"/>
            </w:tcBorders>
            <w:shd w:val="clear" w:color="auto" w:fill="auto"/>
            <w:noWrap/>
            <w:vAlign w:val="center"/>
            <w:hideMark/>
          </w:tcPr>
          <w:p w14:paraId="7DB071B5"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30</w:t>
            </w:r>
          </w:p>
        </w:tc>
        <w:tc>
          <w:tcPr>
            <w:tcW w:w="1276" w:type="dxa"/>
            <w:tcBorders>
              <w:top w:val="nil"/>
              <w:left w:val="nil"/>
              <w:bottom w:val="single" w:sz="4" w:space="0" w:color="auto"/>
              <w:right w:val="single" w:sz="4" w:space="0" w:color="auto"/>
            </w:tcBorders>
            <w:shd w:val="clear" w:color="auto" w:fill="auto"/>
            <w:noWrap/>
            <w:vAlign w:val="center"/>
            <w:hideMark/>
          </w:tcPr>
          <w:p w14:paraId="75071F77"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882,764</w:t>
            </w:r>
          </w:p>
        </w:tc>
        <w:tc>
          <w:tcPr>
            <w:tcW w:w="1276" w:type="dxa"/>
            <w:tcBorders>
              <w:top w:val="nil"/>
              <w:left w:val="nil"/>
              <w:bottom w:val="single" w:sz="4" w:space="0" w:color="auto"/>
              <w:right w:val="single" w:sz="4" w:space="0" w:color="auto"/>
            </w:tcBorders>
            <w:shd w:val="clear" w:color="auto" w:fill="auto"/>
            <w:noWrap/>
            <w:vAlign w:val="center"/>
            <w:hideMark/>
          </w:tcPr>
          <w:p w14:paraId="2D4F1C08"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30</w:t>
            </w:r>
          </w:p>
        </w:tc>
        <w:tc>
          <w:tcPr>
            <w:tcW w:w="1417" w:type="dxa"/>
            <w:tcBorders>
              <w:top w:val="nil"/>
              <w:left w:val="nil"/>
              <w:bottom w:val="single" w:sz="4" w:space="0" w:color="auto"/>
              <w:right w:val="single" w:sz="4" w:space="0" w:color="auto"/>
            </w:tcBorders>
            <w:shd w:val="clear" w:color="auto" w:fill="auto"/>
            <w:noWrap/>
            <w:vAlign w:val="center"/>
            <w:hideMark/>
          </w:tcPr>
          <w:p w14:paraId="4EF325DD"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882,764</w:t>
            </w:r>
          </w:p>
        </w:tc>
        <w:tc>
          <w:tcPr>
            <w:tcW w:w="1134" w:type="dxa"/>
            <w:tcBorders>
              <w:top w:val="nil"/>
              <w:left w:val="nil"/>
              <w:bottom w:val="single" w:sz="4" w:space="0" w:color="auto"/>
              <w:right w:val="single" w:sz="4" w:space="0" w:color="auto"/>
            </w:tcBorders>
            <w:shd w:val="clear" w:color="auto" w:fill="auto"/>
            <w:noWrap/>
            <w:vAlign w:val="center"/>
            <w:hideMark/>
          </w:tcPr>
          <w:p w14:paraId="610069A6"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0</w:t>
            </w:r>
          </w:p>
        </w:tc>
        <w:tc>
          <w:tcPr>
            <w:tcW w:w="1276" w:type="dxa"/>
            <w:tcBorders>
              <w:top w:val="nil"/>
              <w:left w:val="nil"/>
              <w:bottom w:val="single" w:sz="4" w:space="0" w:color="auto"/>
              <w:right w:val="single" w:sz="4" w:space="0" w:color="auto"/>
            </w:tcBorders>
            <w:shd w:val="clear" w:color="auto" w:fill="auto"/>
            <w:noWrap/>
            <w:vAlign w:val="center"/>
            <w:hideMark/>
          </w:tcPr>
          <w:p w14:paraId="67E1E164" w14:textId="5BB8CD19" w:rsidR="00846C3B" w:rsidRPr="00846C3B" w:rsidRDefault="008936BF" w:rsidP="008936BF">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0</w:t>
            </w:r>
          </w:p>
        </w:tc>
      </w:tr>
      <w:tr w:rsidR="00846C3B" w:rsidRPr="00846C3B" w14:paraId="5545A1E5" w14:textId="77777777" w:rsidTr="005A43B6">
        <w:trPr>
          <w:trHeight w:val="34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9C67AA5"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2015</w:t>
            </w:r>
          </w:p>
        </w:tc>
        <w:tc>
          <w:tcPr>
            <w:tcW w:w="1134" w:type="dxa"/>
            <w:tcBorders>
              <w:top w:val="nil"/>
              <w:left w:val="nil"/>
              <w:bottom w:val="single" w:sz="4" w:space="0" w:color="auto"/>
              <w:right w:val="single" w:sz="4" w:space="0" w:color="auto"/>
            </w:tcBorders>
            <w:shd w:val="clear" w:color="auto" w:fill="auto"/>
            <w:noWrap/>
            <w:vAlign w:val="center"/>
            <w:hideMark/>
          </w:tcPr>
          <w:p w14:paraId="5E5BE567"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17</w:t>
            </w:r>
          </w:p>
        </w:tc>
        <w:tc>
          <w:tcPr>
            <w:tcW w:w="1276" w:type="dxa"/>
            <w:tcBorders>
              <w:top w:val="nil"/>
              <w:left w:val="nil"/>
              <w:bottom w:val="single" w:sz="4" w:space="0" w:color="auto"/>
              <w:right w:val="single" w:sz="4" w:space="0" w:color="auto"/>
            </w:tcBorders>
            <w:shd w:val="clear" w:color="auto" w:fill="auto"/>
            <w:noWrap/>
            <w:vAlign w:val="center"/>
            <w:hideMark/>
          </w:tcPr>
          <w:p w14:paraId="067C9BFB"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290,551</w:t>
            </w:r>
          </w:p>
        </w:tc>
        <w:tc>
          <w:tcPr>
            <w:tcW w:w="1276" w:type="dxa"/>
            <w:tcBorders>
              <w:top w:val="nil"/>
              <w:left w:val="nil"/>
              <w:bottom w:val="single" w:sz="4" w:space="0" w:color="auto"/>
              <w:right w:val="single" w:sz="4" w:space="0" w:color="auto"/>
            </w:tcBorders>
            <w:shd w:val="clear" w:color="auto" w:fill="auto"/>
            <w:noWrap/>
            <w:vAlign w:val="center"/>
            <w:hideMark/>
          </w:tcPr>
          <w:p w14:paraId="75788D73"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18</w:t>
            </w:r>
          </w:p>
        </w:tc>
        <w:tc>
          <w:tcPr>
            <w:tcW w:w="1417" w:type="dxa"/>
            <w:tcBorders>
              <w:top w:val="nil"/>
              <w:left w:val="nil"/>
              <w:bottom w:val="single" w:sz="4" w:space="0" w:color="auto"/>
              <w:right w:val="single" w:sz="4" w:space="0" w:color="auto"/>
            </w:tcBorders>
            <w:shd w:val="clear" w:color="auto" w:fill="auto"/>
            <w:noWrap/>
            <w:vAlign w:val="center"/>
            <w:hideMark/>
          </w:tcPr>
          <w:p w14:paraId="2CD7677E"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301,122</w:t>
            </w:r>
          </w:p>
        </w:tc>
        <w:tc>
          <w:tcPr>
            <w:tcW w:w="1134" w:type="dxa"/>
            <w:tcBorders>
              <w:top w:val="nil"/>
              <w:left w:val="nil"/>
              <w:bottom w:val="single" w:sz="4" w:space="0" w:color="auto"/>
              <w:right w:val="single" w:sz="4" w:space="0" w:color="auto"/>
            </w:tcBorders>
            <w:shd w:val="clear" w:color="auto" w:fill="auto"/>
            <w:noWrap/>
            <w:vAlign w:val="center"/>
            <w:hideMark/>
          </w:tcPr>
          <w:p w14:paraId="5EAA2A35"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1</w:t>
            </w:r>
          </w:p>
        </w:tc>
        <w:tc>
          <w:tcPr>
            <w:tcW w:w="1276" w:type="dxa"/>
            <w:tcBorders>
              <w:top w:val="nil"/>
              <w:left w:val="nil"/>
              <w:bottom w:val="single" w:sz="4" w:space="0" w:color="auto"/>
              <w:right w:val="single" w:sz="4" w:space="0" w:color="auto"/>
            </w:tcBorders>
            <w:shd w:val="clear" w:color="auto" w:fill="auto"/>
            <w:noWrap/>
            <w:vAlign w:val="center"/>
            <w:hideMark/>
          </w:tcPr>
          <w:p w14:paraId="41222080"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-10,571</w:t>
            </w:r>
          </w:p>
        </w:tc>
      </w:tr>
      <w:tr w:rsidR="00846C3B" w:rsidRPr="00846C3B" w14:paraId="03F3F2CE" w14:textId="77777777" w:rsidTr="005A43B6">
        <w:trPr>
          <w:trHeight w:val="34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B60AE66"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2016</w:t>
            </w:r>
          </w:p>
        </w:tc>
        <w:tc>
          <w:tcPr>
            <w:tcW w:w="1134" w:type="dxa"/>
            <w:tcBorders>
              <w:top w:val="nil"/>
              <w:left w:val="nil"/>
              <w:bottom w:val="single" w:sz="4" w:space="0" w:color="auto"/>
              <w:right w:val="single" w:sz="4" w:space="0" w:color="auto"/>
            </w:tcBorders>
            <w:shd w:val="clear" w:color="auto" w:fill="auto"/>
            <w:noWrap/>
            <w:vAlign w:val="center"/>
            <w:hideMark/>
          </w:tcPr>
          <w:p w14:paraId="770F6195"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33</w:t>
            </w:r>
          </w:p>
        </w:tc>
        <w:tc>
          <w:tcPr>
            <w:tcW w:w="1276" w:type="dxa"/>
            <w:tcBorders>
              <w:top w:val="nil"/>
              <w:left w:val="nil"/>
              <w:bottom w:val="single" w:sz="4" w:space="0" w:color="auto"/>
              <w:right w:val="single" w:sz="4" w:space="0" w:color="auto"/>
            </w:tcBorders>
            <w:shd w:val="clear" w:color="auto" w:fill="auto"/>
            <w:noWrap/>
            <w:vAlign w:val="center"/>
            <w:hideMark/>
          </w:tcPr>
          <w:p w14:paraId="241F8BF0"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693,734</w:t>
            </w:r>
          </w:p>
        </w:tc>
        <w:tc>
          <w:tcPr>
            <w:tcW w:w="1276" w:type="dxa"/>
            <w:tcBorders>
              <w:top w:val="nil"/>
              <w:left w:val="nil"/>
              <w:bottom w:val="single" w:sz="4" w:space="0" w:color="auto"/>
              <w:right w:val="single" w:sz="4" w:space="0" w:color="auto"/>
            </w:tcBorders>
            <w:shd w:val="clear" w:color="auto" w:fill="auto"/>
            <w:noWrap/>
            <w:vAlign w:val="center"/>
            <w:hideMark/>
          </w:tcPr>
          <w:p w14:paraId="694844EF"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35</w:t>
            </w:r>
          </w:p>
        </w:tc>
        <w:tc>
          <w:tcPr>
            <w:tcW w:w="1417" w:type="dxa"/>
            <w:tcBorders>
              <w:top w:val="nil"/>
              <w:left w:val="nil"/>
              <w:bottom w:val="single" w:sz="4" w:space="0" w:color="auto"/>
              <w:right w:val="single" w:sz="4" w:space="0" w:color="auto"/>
            </w:tcBorders>
            <w:shd w:val="clear" w:color="auto" w:fill="auto"/>
            <w:noWrap/>
            <w:vAlign w:val="center"/>
            <w:hideMark/>
          </w:tcPr>
          <w:p w14:paraId="1489815C"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735,064</w:t>
            </w:r>
          </w:p>
        </w:tc>
        <w:tc>
          <w:tcPr>
            <w:tcW w:w="1134" w:type="dxa"/>
            <w:tcBorders>
              <w:top w:val="nil"/>
              <w:left w:val="nil"/>
              <w:bottom w:val="single" w:sz="4" w:space="0" w:color="auto"/>
              <w:right w:val="single" w:sz="4" w:space="0" w:color="auto"/>
            </w:tcBorders>
            <w:shd w:val="clear" w:color="auto" w:fill="auto"/>
            <w:noWrap/>
            <w:vAlign w:val="center"/>
            <w:hideMark/>
          </w:tcPr>
          <w:p w14:paraId="7A34558C"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2</w:t>
            </w:r>
          </w:p>
        </w:tc>
        <w:tc>
          <w:tcPr>
            <w:tcW w:w="1276" w:type="dxa"/>
            <w:tcBorders>
              <w:top w:val="nil"/>
              <w:left w:val="nil"/>
              <w:bottom w:val="single" w:sz="4" w:space="0" w:color="auto"/>
              <w:right w:val="single" w:sz="4" w:space="0" w:color="auto"/>
            </w:tcBorders>
            <w:shd w:val="clear" w:color="auto" w:fill="auto"/>
            <w:noWrap/>
            <w:vAlign w:val="center"/>
            <w:hideMark/>
          </w:tcPr>
          <w:p w14:paraId="44C2E5BA"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-41,330</w:t>
            </w:r>
          </w:p>
        </w:tc>
      </w:tr>
      <w:tr w:rsidR="00846C3B" w:rsidRPr="00846C3B" w14:paraId="165F51D2" w14:textId="77777777" w:rsidTr="005A43B6">
        <w:trPr>
          <w:trHeight w:val="34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0B68155"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2017</w:t>
            </w:r>
          </w:p>
        </w:tc>
        <w:tc>
          <w:tcPr>
            <w:tcW w:w="1134" w:type="dxa"/>
            <w:tcBorders>
              <w:top w:val="nil"/>
              <w:left w:val="nil"/>
              <w:bottom w:val="single" w:sz="4" w:space="0" w:color="auto"/>
              <w:right w:val="single" w:sz="4" w:space="0" w:color="auto"/>
            </w:tcBorders>
            <w:shd w:val="clear" w:color="auto" w:fill="auto"/>
            <w:noWrap/>
            <w:vAlign w:val="center"/>
            <w:hideMark/>
          </w:tcPr>
          <w:p w14:paraId="348C7212"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25</w:t>
            </w:r>
          </w:p>
        </w:tc>
        <w:tc>
          <w:tcPr>
            <w:tcW w:w="1276" w:type="dxa"/>
            <w:tcBorders>
              <w:top w:val="nil"/>
              <w:left w:val="nil"/>
              <w:bottom w:val="single" w:sz="4" w:space="0" w:color="auto"/>
              <w:right w:val="single" w:sz="4" w:space="0" w:color="auto"/>
            </w:tcBorders>
            <w:shd w:val="clear" w:color="auto" w:fill="auto"/>
            <w:noWrap/>
            <w:vAlign w:val="center"/>
            <w:hideMark/>
          </w:tcPr>
          <w:p w14:paraId="0B00EE5D"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563,151</w:t>
            </w:r>
          </w:p>
        </w:tc>
        <w:tc>
          <w:tcPr>
            <w:tcW w:w="1276" w:type="dxa"/>
            <w:tcBorders>
              <w:top w:val="nil"/>
              <w:left w:val="nil"/>
              <w:bottom w:val="single" w:sz="4" w:space="0" w:color="auto"/>
              <w:right w:val="single" w:sz="4" w:space="0" w:color="auto"/>
            </w:tcBorders>
            <w:shd w:val="clear" w:color="auto" w:fill="auto"/>
            <w:noWrap/>
            <w:vAlign w:val="center"/>
            <w:hideMark/>
          </w:tcPr>
          <w:p w14:paraId="3DC526C0"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31</w:t>
            </w:r>
          </w:p>
        </w:tc>
        <w:tc>
          <w:tcPr>
            <w:tcW w:w="1417" w:type="dxa"/>
            <w:tcBorders>
              <w:top w:val="nil"/>
              <w:left w:val="nil"/>
              <w:bottom w:val="single" w:sz="4" w:space="0" w:color="auto"/>
              <w:right w:val="single" w:sz="4" w:space="0" w:color="auto"/>
            </w:tcBorders>
            <w:shd w:val="clear" w:color="auto" w:fill="auto"/>
            <w:noWrap/>
            <w:vAlign w:val="center"/>
            <w:hideMark/>
          </w:tcPr>
          <w:p w14:paraId="4F6C59BB"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663,104</w:t>
            </w:r>
          </w:p>
        </w:tc>
        <w:tc>
          <w:tcPr>
            <w:tcW w:w="1134" w:type="dxa"/>
            <w:tcBorders>
              <w:top w:val="nil"/>
              <w:left w:val="nil"/>
              <w:bottom w:val="single" w:sz="4" w:space="0" w:color="auto"/>
              <w:right w:val="single" w:sz="4" w:space="0" w:color="auto"/>
            </w:tcBorders>
            <w:shd w:val="clear" w:color="auto" w:fill="auto"/>
            <w:noWrap/>
            <w:vAlign w:val="center"/>
            <w:hideMark/>
          </w:tcPr>
          <w:p w14:paraId="0ABB4DCD"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6</w:t>
            </w:r>
          </w:p>
        </w:tc>
        <w:tc>
          <w:tcPr>
            <w:tcW w:w="1276" w:type="dxa"/>
            <w:tcBorders>
              <w:top w:val="nil"/>
              <w:left w:val="nil"/>
              <w:bottom w:val="single" w:sz="4" w:space="0" w:color="auto"/>
              <w:right w:val="single" w:sz="4" w:space="0" w:color="auto"/>
            </w:tcBorders>
            <w:shd w:val="clear" w:color="auto" w:fill="auto"/>
            <w:noWrap/>
            <w:vAlign w:val="center"/>
            <w:hideMark/>
          </w:tcPr>
          <w:p w14:paraId="4EA47668"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-99,953</w:t>
            </w:r>
          </w:p>
        </w:tc>
      </w:tr>
      <w:tr w:rsidR="00846C3B" w:rsidRPr="00846C3B" w14:paraId="7B120218" w14:textId="77777777" w:rsidTr="005A43B6">
        <w:trPr>
          <w:trHeight w:val="34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1D29731"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2018</w:t>
            </w:r>
          </w:p>
        </w:tc>
        <w:tc>
          <w:tcPr>
            <w:tcW w:w="1134" w:type="dxa"/>
            <w:tcBorders>
              <w:top w:val="nil"/>
              <w:left w:val="nil"/>
              <w:bottom w:val="single" w:sz="4" w:space="0" w:color="auto"/>
              <w:right w:val="single" w:sz="4" w:space="0" w:color="auto"/>
            </w:tcBorders>
            <w:shd w:val="clear" w:color="auto" w:fill="auto"/>
            <w:noWrap/>
            <w:vAlign w:val="center"/>
            <w:hideMark/>
          </w:tcPr>
          <w:p w14:paraId="66FF0B97"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38</w:t>
            </w:r>
          </w:p>
        </w:tc>
        <w:tc>
          <w:tcPr>
            <w:tcW w:w="1276" w:type="dxa"/>
            <w:tcBorders>
              <w:top w:val="nil"/>
              <w:left w:val="nil"/>
              <w:bottom w:val="single" w:sz="4" w:space="0" w:color="auto"/>
              <w:right w:val="single" w:sz="4" w:space="0" w:color="auto"/>
            </w:tcBorders>
            <w:shd w:val="clear" w:color="auto" w:fill="auto"/>
            <w:noWrap/>
            <w:vAlign w:val="center"/>
            <w:hideMark/>
          </w:tcPr>
          <w:p w14:paraId="616C830F"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1,048,665</w:t>
            </w:r>
          </w:p>
        </w:tc>
        <w:tc>
          <w:tcPr>
            <w:tcW w:w="1276" w:type="dxa"/>
            <w:tcBorders>
              <w:top w:val="nil"/>
              <w:left w:val="nil"/>
              <w:bottom w:val="single" w:sz="4" w:space="0" w:color="auto"/>
              <w:right w:val="single" w:sz="4" w:space="0" w:color="auto"/>
            </w:tcBorders>
            <w:shd w:val="clear" w:color="auto" w:fill="auto"/>
            <w:noWrap/>
            <w:vAlign w:val="center"/>
            <w:hideMark/>
          </w:tcPr>
          <w:p w14:paraId="1AECC32C"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46</w:t>
            </w:r>
          </w:p>
        </w:tc>
        <w:tc>
          <w:tcPr>
            <w:tcW w:w="1417" w:type="dxa"/>
            <w:tcBorders>
              <w:top w:val="nil"/>
              <w:left w:val="nil"/>
              <w:bottom w:val="single" w:sz="4" w:space="0" w:color="auto"/>
              <w:right w:val="single" w:sz="4" w:space="0" w:color="auto"/>
            </w:tcBorders>
            <w:shd w:val="clear" w:color="auto" w:fill="auto"/>
            <w:noWrap/>
            <w:vAlign w:val="center"/>
            <w:hideMark/>
          </w:tcPr>
          <w:p w14:paraId="080837F8"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1,673,566</w:t>
            </w:r>
          </w:p>
        </w:tc>
        <w:tc>
          <w:tcPr>
            <w:tcW w:w="1134" w:type="dxa"/>
            <w:tcBorders>
              <w:top w:val="nil"/>
              <w:left w:val="nil"/>
              <w:bottom w:val="single" w:sz="4" w:space="0" w:color="auto"/>
              <w:right w:val="single" w:sz="4" w:space="0" w:color="auto"/>
            </w:tcBorders>
            <w:shd w:val="clear" w:color="auto" w:fill="auto"/>
            <w:noWrap/>
            <w:vAlign w:val="center"/>
            <w:hideMark/>
          </w:tcPr>
          <w:p w14:paraId="3E57D56C"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8</w:t>
            </w:r>
          </w:p>
        </w:tc>
        <w:tc>
          <w:tcPr>
            <w:tcW w:w="1276" w:type="dxa"/>
            <w:tcBorders>
              <w:top w:val="nil"/>
              <w:left w:val="nil"/>
              <w:bottom w:val="single" w:sz="4" w:space="0" w:color="auto"/>
              <w:right w:val="single" w:sz="4" w:space="0" w:color="auto"/>
            </w:tcBorders>
            <w:shd w:val="clear" w:color="auto" w:fill="auto"/>
            <w:noWrap/>
            <w:vAlign w:val="center"/>
            <w:hideMark/>
          </w:tcPr>
          <w:p w14:paraId="4AA37024"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-624,901</w:t>
            </w:r>
          </w:p>
        </w:tc>
      </w:tr>
      <w:tr w:rsidR="00846C3B" w:rsidRPr="00846C3B" w14:paraId="1CA97E16" w14:textId="77777777" w:rsidTr="005A43B6">
        <w:trPr>
          <w:trHeight w:val="34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CE75DEF"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2019</w:t>
            </w:r>
          </w:p>
        </w:tc>
        <w:tc>
          <w:tcPr>
            <w:tcW w:w="1134" w:type="dxa"/>
            <w:tcBorders>
              <w:top w:val="nil"/>
              <w:left w:val="nil"/>
              <w:bottom w:val="single" w:sz="4" w:space="0" w:color="auto"/>
              <w:right w:val="single" w:sz="4" w:space="0" w:color="auto"/>
            </w:tcBorders>
            <w:shd w:val="clear" w:color="auto" w:fill="auto"/>
            <w:noWrap/>
            <w:vAlign w:val="center"/>
            <w:hideMark/>
          </w:tcPr>
          <w:p w14:paraId="530B868B"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57</w:t>
            </w:r>
          </w:p>
        </w:tc>
        <w:tc>
          <w:tcPr>
            <w:tcW w:w="1276" w:type="dxa"/>
            <w:tcBorders>
              <w:top w:val="nil"/>
              <w:left w:val="nil"/>
              <w:bottom w:val="single" w:sz="4" w:space="0" w:color="auto"/>
              <w:right w:val="single" w:sz="4" w:space="0" w:color="auto"/>
            </w:tcBorders>
            <w:shd w:val="clear" w:color="auto" w:fill="auto"/>
            <w:noWrap/>
            <w:vAlign w:val="center"/>
            <w:hideMark/>
          </w:tcPr>
          <w:p w14:paraId="7C3571E9"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1,001,719</w:t>
            </w:r>
          </w:p>
        </w:tc>
        <w:tc>
          <w:tcPr>
            <w:tcW w:w="1276" w:type="dxa"/>
            <w:tcBorders>
              <w:top w:val="nil"/>
              <w:left w:val="nil"/>
              <w:bottom w:val="single" w:sz="4" w:space="0" w:color="auto"/>
              <w:right w:val="single" w:sz="4" w:space="0" w:color="auto"/>
            </w:tcBorders>
            <w:shd w:val="clear" w:color="auto" w:fill="auto"/>
            <w:noWrap/>
            <w:vAlign w:val="center"/>
            <w:hideMark/>
          </w:tcPr>
          <w:p w14:paraId="295FFBAB"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59</w:t>
            </w:r>
          </w:p>
        </w:tc>
        <w:tc>
          <w:tcPr>
            <w:tcW w:w="1417" w:type="dxa"/>
            <w:tcBorders>
              <w:top w:val="nil"/>
              <w:left w:val="nil"/>
              <w:bottom w:val="single" w:sz="4" w:space="0" w:color="auto"/>
              <w:right w:val="single" w:sz="4" w:space="0" w:color="auto"/>
            </w:tcBorders>
            <w:shd w:val="clear" w:color="auto" w:fill="auto"/>
            <w:noWrap/>
            <w:vAlign w:val="center"/>
            <w:hideMark/>
          </w:tcPr>
          <w:p w14:paraId="6246AB0E"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1,056,550</w:t>
            </w:r>
          </w:p>
        </w:tc>
        <w:tc>
          <w:tcPr>
            <w:tcW w:w="1134" w:type="dxa"/>
            <w:tcBorders>
              <w:top w:val="nil"/>
              <w:left w:val="nil"/>
              <w:bottom w:val="single" w:sz="4" w:space="0" w:color="auto"/>
              <w:right w:val="single" w:sz="4" w:space="0" w:color="auto"/>
            </w:tcBorders>
            <w:shd w:val="clear" w:color="auto" w:fill="auto"/>
            <w:noWrap/>
            <w:vAlign w:val="center"/>
            <w:hideMark/>
          </w:tcPr>
          <w:p w14:paraId="4C1D336B"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2</w:t>
            </w:r>
          </w:p>
        </w:tc>
        <w:tc>
          <w:tcPr>
            <w:tcW w:w="1276" w:type="dxa"/>
            <w:tcBorders>
              <w:top w:val="nil"/>
              <w:left w:val="nil"/>
              <w:bottom w:val="single" w:sz="4" w:space="0" w:color="auto"/>
              <w:right w:val="single" w:sz="4" w:space="0" w:color="auto"/>
            </w:tcBorders>
            <w:shd w:val="clear" w:color="auto" w:fill="auto"/>
            <w:noWrap/>
            <w:vAlign w:val="center"/>
            <w:hideMark/>
          </w:tcPr>
          <w:p w14:paraId="174A68F7"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-54,831</w:t>
            </w:r>
          </w:p>
        </w:tc>
      </w:tr>
      <w:tr w:rsidR="00846C3B" w:rsidRPr="00846C3B" w14:paraId="38E12D5D" w14:textId="77777777" w:rsidTr="005A43B6">
        <w:trPr>
          <w:trHeight w:val="34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D56C7DE"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2020</w:t>
            </w:r>
          </w:p>
        </w:tc>
        <w:tc>
          <w:tcPr>
            <w:tcW w:w="1134" w:type="dxa"/>
            <w:tcBorders>
              <w:top w:val="nil"/>
              <w:left w:val="nil"/>
              <w:bottom w:val="single" w:sz="4" w:space="0" w:color="auto"/>
              <w:right w:val="single" w:sz="4" w:space="0" w:color="auto"/>
            </w:tcBorders>
            <w:shd w:val="clear" w:color="auto" w:fill="auto"/>
            <w:noWrap/>
            <w:vAlign w:val="center"/>
            <w:hideMark/>
          </w:tcPr>
          <w:p w14:paraId="753E5A20"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4</w:t>
            </w:r>
          </w:p>
        </w:tc>
        <w:tc>
          <w:tcPr>
            <w:tcW w:w="1276" w:type="dxa"/>
            <w:tcBorders>
              <w:top w:val="nil"/>
              <w:left w:val="nil"/>
              <w:bottom w:val="single" w:sz="4" w:space="0" w:color="auto"/>
              <w:right w:val="single" w:sz="4" w:space="0" w:color="auto"/>
            </w:tcBorders>
            <w:shd w:val="clear" w:color="auto" w:fill="auto"/>
            <w:noWrap/>
            <w:vAlign w:val="center"/>
            <w:hideMark/>
          </w:tcPr>
          <w:p w14:paraId="74146C97"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16,408</w:t>
            </w:r>
          </w:p>
        </w:tc>
        <w:tc>
          <w:tcPr>
            <w:tcW w:w="1276" w:type="dxa"/>
            <w:tcBorders>
              <w:top w:val="nil"/>
              <w:left w:val="nil"/>
              <w:bottom w:val="single" w:sz="4" w:space="0" w:color="auto"/>
              <w:right w:val="single" w:sz="4" w:space="0" w:color="auto"/>
            </w:tcBorders>
            <w:shd w:val="clear" w:color="auto" w:fill="auto"/>
            <w:noWrap/>
            <w:vAlign w:val="center"/>
            <w:hideMark/>
          </w:tcPr>
          <w:p w14:paraId="4E96DD82"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6</w:t>
            </w:r>
          </w:p>
        </w:tc>
        <w:tc>
          <w:tcPr>
            <w:tcW w:w="1417" w:type="dxa"/>
            <w:tcBorders>
              <w:top w:val="nil"/>
              <w:left w:val="nil"/>
              <w:bottom w:val="single" w:sz="4" w:space="0" w:color="auto"/>
              <w:right w:val="single" w:sz="4" w:space="0" w:color="auto"/>
            </w:tcBorders>
            <w:shd w:val="clear" w:color="auto" w:fill="auto"/>
            <w:noWrap/>
            <w:vAlign w:val="center"/>
            <w:hideMark/>
          </w:tcPr>
          <w:p w14:paraId="0CBC996C"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44,400</w:t>
            </w:r>
          </w:p>
        </w:tc>
        <w:tc>
          <w:tcPr>
            <w:tcW w:w="1134" w:type="dxa"/>
            <w:tcBorders>
              <w:top w:val="nil"/>
              <w:left w:val="nil"/>
              <w:bottom w:val="single" w:sz="4" w:space="0" w:color="auto"/>
              <w:right w:val="single" w:sz="4" w:space="0" w:color="auto"/>
            </w:tcBorders>
            <w:shd w:val="clear" w:color="auto" w:fill="auto"/>
            <w:noWrap/>
            <w:vAlign w:val="center"/>
            <w:hideMark/>
          </w:tcPr>
          <w:p w14:paraId="3A568BDE"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2</w:t>
            </w:r>
          </w:p>
        </w:tc>
        <w:tc>
          <w:tcPr>
            <w:tcW w:w="1276" w:type="dxa"/>
            <w:tcBorders>
              <w:top w:val="nil"/>
              <w:left w:val="nil"/>
              <w:bottom w:val="single" w:sz="4" w:space="0" w:color="auto"/>
              <w:right w:val="single" w:sz="4" w:space="0" w:color="auto"/>
            </w:tcBorders>
            <w:shd w:val="clear" w:color="auto" w:fill="auto"/>
            <w:noWrap/>
            <w:vAlign w:val="center"/>
            <w:hideMark/>
          </w:tcPr>
          <w:p w14:paraId="25409001"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-27,992</w:t>
            </w:r>
          </w:p>
        </w:tc>
      </w:tr>
      <w:tr w:rsidR="00846C3B" w:rsidRPr="00846C3B" w14:paraId="3CC0AD23" w14:textId="77777777" w:rsidTr="005A43B6">
        <w:trPr>
          <w:trHeight w:val="34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19608B3"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2021</w:t>
            </w:r>
          </w:p>
        </w:tc>
        <w:tc>
          <w:tcPr>
            <w:tcW w:w="1134" w:type="dxa"/>
            <w:tcBorders>
              <w:top w:val="nil"/>
              <w:left w:val="nil"/>
              <w:bottom w:val="single" w:sz="4" w:space="0" w:color="auto"/>
              <w:right w:val="single" w:sz="4" w:space="0" w:color="auto"/>
            </w:tcBorders>
            <w:shd w:val="clear" w:color="auto" w:fill="auto"/>
            <w:noWrap/>
            <w:vAlign w:val="center"/>
            <w:hideMark/>
          </w:tcPr>
          <w:p w14:paraId="63D8928B"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8</w:t>
            </w:r>
          </w:p>
        </w:tc>
        <w:tc>
          <w:tcPr>
            <w:tcW w:w="1276" w:type="dxa"/>
            <w:tcBorders>
              <w:top w:val="nil"/>
              <w:left w:val="nil"/>
              <w:bottom w:val="single" w:sz="4" w:space="0" w:color="auto"/>
              <w:right w:val="single" w:sz="4" w:space="0" w:color="auto"/>
            </w:tcBorders>
            <w:shd w:val="clear" w:color="auto" w:fill="auto"/>
            <w:noWrap/>
            <w:vAlign w:val="center"/>
            <w:hideMark/>
          </w:tcPr>
          <w:p w14:paraId="067ABE55"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135,030</w:t>
            </w:r>
          </w:p>
        </w:tc>
        <w:tc>
          <w:tcPr>
            <w:tcW w:w="1276" w:type="dxa"/>
            <w:tcBorders>
              <w:top w:val="nil"/>
              <w:left w:val="nil"/>
              <w:bottom w:val="single" w:sz="4" w:space="0" w:color="auto"/>
              <w:right w:val="single" w:sz="4" w:space="0" w:color="auto"/>
            </w:tcBorders>
            <w:shd w:val="clear" w:color="auto" w:fill="auto"/>
            <w:noWrap/>
            <w:vAlign w:val="center"/>
            <w:hideMark/>
          </w:tcPr>
          <w:p w14:paraId="2DE48292"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16</w:t>
            </w:r>
          </w:p>
        </w:tc>
        <w:tc>
          <w:tcPr>
            <w:tcW w:w="1417" w:type="dxa"/>
            <w:tcBorders>
              <w:top w:val="nil"/>
              <w:left w:val="nil"/>
              <w:bottom w:val="single" w:sz="4" w:space="0" w:color="auto"/>
              <w:right w:val="single" w:sz="4" w:space="0" w:color="auto"/>
            </w:tcBorders>
            <w:shd w:val="clear" w:color="auto" w:fill="auto"/>
            <w:noWrap/>
            <w:vAlign w:val="center"/>
            <w:hideMark/>
          </w:tcPr>
          <w:p w14:paraId="3271DDA7"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377,485</w:t>
            </w:r>
          </w:p>
        </w:tc>
        <w:tc>
          <w:tcPr>
            <w:tcW w:w="1134" w:type="dxa"/>
            <w:tcBorders>
              <w:top w:val="nil"/>
              <w:left w:val="nil"/>
              <w:bottom w:val="single" w:sz="4" w:space="0" w:color="auto"/>
              <w:right w:val="single" w:sz="4" w:space="0" w:color="auto"/>
            </w:tcBorders>
            <w:shd w:val="clear" w:color="auto" w:fill="auto"/>
            <w:noWrap/>
            <w:vAlign w:val="center"/>
            <w:hideMark/>
          </w:tcPr>
          <w:p w14:paraId="55511580"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8</w:t>
            </w:r>
          </w:p>
        </w:tc>
        <w:tc>
          <w:tcPr>
            <w:tcW w:w="1276" w:type="dxa"/>
            <w:tcBorders>
              <w:top w:val="nil"/>
              <w:left w:val="nil"/>
              <w:bottom w:val="single" w:sz="4" w:space="0" w:color="auto"/>
              <w:right w:val="single" w:sz="4" w:space="0" w:color="auto"/>
            </w:tcBorders>
            <w:shd w:val="clear" w:color="auto" w:fill="auto"/>
            <w:noWrap/>
            <w:vAlign w:val="center"/>
            <w:hideMark/>
          </w:tcPr>
          <w:p w14:paraId="22B2B46E"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-242,455</w:t>
            </w:r>
          </w:p>
        </w:tc>
      </w:tr>
      <w:tr w:rsidR="00846C3B" w:rsidRPr="00846C3B" w14:paraId="15F5E285" w14:textId="77777777" w:rsidTr="005A43B6">
        <w:trPr>
          <w:trHeight w:val="34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6BEF500"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2022</w:t>
            </w:r>
          </w:p>
        </w:tc>
        <w:tc>
          <w:tcPr>
            <w:tcW w:w="1134" w:type="dxa"/>
            <w:tcBorders>
              <w:top w:val="nil"/>
              <w:left w:val="nil"/>
              <w:bottom w:val="single" w:sz="4" w:space="0" w:color="auto"/>
              <w:right w:val="single" w:sz="4" w:space="0" w:color="auto"/>
            </w:tcBorders>
            <w:shd w:val="clear" w:color="auto" w:fill="auto"/>
            <w:noWrap/>
            <w:vAlign w:val="center"/>
            <w:hideMark/>
          </w:tcPr>
          <w:p w14:paraId="26C9E050"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23</w:t>
            </w:r>
          </w:p>
        </w:tc>
        <w:tc>
          <w:tcPr>
            <w:tcW w:w="1276" w:type="dxa"/>
            <w:tcBorders>
              <w:top w:val="nil"/>
              <w:left w:val="nil"/>
              <w:bottom w:val="single" w:sz="4" w:space="0" w:color="auto"/>
              <w:right w:val="single" w:sz="4" w:space="0" w:color="auto"/>
            </w:tcBorders>
            <w:shd w:val="clear" w:color="auto" w:fill="auto"/>
            <w:noWrap/>
            <w:vAlign w:val="center"/>
            <w:hideMark/>
          </w:tcPr>
          <w:p w14:paraId="29AF1257" w14:textId="77777777" w:rsidR="00846C3B" w:rsidRPr="00846C3B" w:rsidRDefault="00846C3B" w:rsidP="00846C3B">
            <w:pPr>
              <w:spacing w:after="0" w:line="240" w:lineRule="auto"/>
              <w:jc w:val="right"/>
              <w:rPr>
                <w:rFonts w:eastAsia="Times New Roman" w:cs="Calibri"/>
                <w:color w:val="000000"/>
                <w:sz w:val="14"/>
                <w:szCs w:val="14"/>
                <w:lang w:eastAsia="es-MX"/>
              </w:rPr>
            </w:pPr>
            <w:r w:rsidRPr="00846C3B">
              <w:rPr>
                <w:rFonts w:eastAsia="Times New Roman" w:cs="Calibri"/>
                <w:color w:val="000000"/>
                <w:sz w:val="14"/>
                <w:szCs w:val="14"/>
                <w:lang w:eastAsia="es-MX"/>
              </w:rPr>
              <w:t>320,628</w:t>
            </w:r>
          </w:p>
        </w:tc>
        <w:tc>
          <w:tcPr>
            <w:tcW w:w="1276" w:type="dxa"/>
            <w:tcBorders>
              <w:top w:val="nil"/>
              <w:left w:val="nil"/>
              <w:bottom w:val="single" w:sz="4" w:space="0" w:color="auto"/>
              <w:right w:val="single" w:sz="4" w:space="0" w:color="auto"/>
            </w:tcBorders>
            <w:shd w:val="clear" w:color="auto" w:fill="auto"/>
            <w:noWrap/>
            <w:vAlign w:val="center"/>
            <w:hideMark/>
          </w:tcPr>
          <w:p w14:paraId="3C5F4CB4"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14:paraId="2F0E589A" w14:textId="518EAD1A" w:rsidR="00846C3B" w:rsidRPr="00846C3B" w:rsidRDefault="008936BF" w:rsidP="00846C3B">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0</w:t>
            </w:r>
            <w:r w:rsidR="00846C3B" w:rsidRPr="00846C3B">
              <w:rPr>
                <w:rFonts w:eastAsia="Times New Roman" w:cs="Calibri"/>
                <w:color w:val="000000"/>
                <w:sz w:val="14"/>
                <w:szCs w:val="14"/>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69E329" w14:textId="77777777" w:rsidR="00846C3B" w:rsidRPr="00846C3B" w:rsidRDefault="00846C3B" w:rsidP="00846C3B">
            <w:pPr>
              <w:spacing w:after="0" w:line="240" w:lineRule="auto"/>
              <w:jc w:val="center"/>
              <w:rPr>
                <w:rFonts w:eastAsia="Times New Roman" w:cs="Calibri"/>
                <w:color w:val="000000"/>
                <w:sz w:val="14"/>
                <w:szCs w:val="14"/>
                <w:lang w:eastAsia="es-MX"/>
              </w:rPr>
            </w:pPr>
            <w:r w:rsidRPr="00846C3B">
              <w:rPr>
                <w:rFonts w:eastAsia="Times New Roman" w:cs="Calibri"/>
                <w:color w:val="000000"/>
                <w:sz w:val="14"/>
                <w:szCs w:val="14"/>
                <w:lang w:eastAsia="es-MX"/>
              </w:rPr>
              <w:t>23</w:t>
            </w:r>
          </w:p>
        </w:tc>
        <w:tc>
          <w:tcPr>
            <w:tcW w:w="1276" w:type="dxa"/>
            <w:tcBorders>
              <w:top w:val="nil"/>
              <w:left w:val="nil"/>
              <w:bottom w:val="single" w:sz="4" w:space="0" w:color="auto"/>
              <w:right w:val="single" w:sz="4" w:space="0" w:color="auto"/>
            </w:tcBorders>
            <w:shd w:val="clear" w:color="auto" w:fill="auto"/>
            <w:noWrap/>
            <w:vAlign w:val="center"/>
            <w:hideMark/>
          </w:tcPr>
          <w:p w14:paraId="7D3C8637" w14:textId="0676A59F" w:rsidR="00846C3B" w:rsidRPr="00846C3B" w:rsidRDefault="008936BF" w:rsidP="00846C3B">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320,628</w:t>
            </w:r>
          </w:p>
        </w:tc>
      </w:tr>
      <w:tr w:rsidR="00846C3B" w:rsidRPr="0061352F" w14:paraId="59A283E8" w14:textId="77777777" w:rsidTr="005A43B6">
        <w:trPr>
          <w:trHeight w:val="340"/>
        </w:trPr>
        <w:tc>
          <w:tcPr>
            <w:tcW w:w="1271" w:type="dxa"/>
            <w:tcBorders>
              <w:top w:val="nil"/>
              <w:left w:val="single" w:sz="4" w:space="0" w:color="auto"/>
              <w:bottom w:val="single" w:sz="4" w:space="0" w:color="auto"/>
              <w:right w:val="single" w:sz="4" w:space="0" w:color="auto"/>
            </w:tcBorders>
            <w:shd w:val="clear" w:color="000000" w:fill="DDC9A3"/>
            <w:vAlign w:val="center"/>
            <w:hideMark/>
          </w:tcPr>
          <w:p w14:paraId="14FFC995" w14:textId="77777777" w:rsidR="00846C3B" w:rsidRPr="0061352F" w:rsidRDefault="00846C3B" w:rsidP="00846C3B">
            <w:pPr>
              <w:spacing w:after="0" w:line="240" w:lineRule="auto"/>
              <w:jc w:val="center"/>
              <w:rPr>
                <w:rFonts w:eastAsia="Times New Roman" w:cs="Calibri"/>
                <w:b/>
                <w:bCs/>
                <w:color w:val="000000"/>
                <w:sz w:val="16"/>
                <w:szCs w:val="14"/>
                <w:lang w:eastAsia="es-MX"/>
              </w:rPr>
            </w:pPr>
            <w:r w:rsidRPr="0061352F">
              <w:rPr>
                <w:rFonts w:eastAsia="Times New Roman" w:cs="Calibri"/>
                <w:b/>
                <w:bCs/>
                <w:color w:val="000000"/>
                <w:sz w:val="16"/>
                <w:szCs w:val="14"/>
                <w:lang w:eastAsia="es-MX"/>
              </w:rPr>
              <w:t xml:space="preserve">Total </w:t>
            </w:r>
          </w:p>
        </w:tc>
        <w:tc>
          <w:tcPr>
            <w:tcW w:w="1134" w:type="dxa"/>
            <w:tcBorders>
              <w:top w:val="nil"/>
              <w:left w:val="nil"/>
              <w:bottom w:val="single" w:sz="4" w:space="0" w:color="auto"/>
              <w:right w:val="single" w:sz="4" w:space="0" w:color="auto"/>
            </w:tcBorders>
            <w:shd w:val="clear" w:color="000000" w:fill="DDC9A3"/>
            <w:vAlign w:val="center"/>
            <w:hideMark/>
          </w:tcPr>
          <w:p w14:paraId="33E5149F" w14:textId="77777777" w:rsidR="00846C3B" w:rsidRPr="0061352F" w:rsidRDefault="00846C3B" w:rsidP="00846C3B">
            <w:pPr>
              <w:spacing w:after="0" w:line="240" w:lineRule="auto"/>
              <w:jc w:val="center"/>
              <w:rPr>
                <w:rFonts w:eastAsia="Times New Roman" w:cs="Calibri"/>
                <w:b/>
                <w:bCs/>
                <w:color w:val="000000"/>
                <w:sz w:val="16"/>
                <w:szCs w:val="14"/>
                <w:lang w:eastAsia="es-MX"/>
              </w:rPr>
            </w:pPr>
            <w:r w:rsidRPr="0061352F">
              <w:rPr>
                <w:rFonts w:eastAsia="Times New Roman" w:cs="Calibri"/>
                <w:b/>
                <w:bCs/>
                <w:color w:val="000000"/>
                <w:sz w:val="16"/>
                <w:szCs w:val="14"/>
                <w:lang w:eastAsia="es-MX"/>
              </w:rPr>
              <w:t>871</w:t>
            </w:r>
          </w:p>
        </w:tc>
        <w:tc>
          <w:tcPr>
            <w:tcW w:w="1276" w:type="dxa"/>
            <w:tcBorders>
              <w:top w:val="nil"/>
              <w:left w:val="nil"/>
              <w:bottom w:val="single" w:sz="4" w:space="0" w:color="auto"/>
              <w:right w:val="single" w:sz="4" w:space="0" w:color="auto"/>
            </w:tcBorders>
            <w:shd w:val="clear" w:color="000000" w:fill="DDC9A3"/>
            <w:vAlign w:val="center"/>
            <w:hideMark/>
          </w:tcPr>
          <w:p w14:paraId="7654FA24" w14:textId="65768D3E" w:rsidR="00846C3B" w:rsidRPr="0061352F" w:rsidRDefault="00846C3B" w:rsidP="008936BF">
            <w:pPr>
              <w:spacing w:after="0" w:line="240" w:lineRule="auto"/>
              <w:jc w:val="right"/>
              <w:rPr>
                <w:rFonts w:eastAsia="Times New Roman" w:cs="Calibri"/>
                <w:b/>
                <w:bCs/>
                <w:color w:val="000000"/>
                <w:sz w:val="16"/>
                <w:szCs w:val="14"/>
                <w:lang w:eastAsia="es-MX"/>
              </w:rPr>
            </w:pPr>
            <w:r w:rsidRPr="0061352F">
              <w:rPr>
                <w:rFonts w:eastAsia="Times New Roman" w:cs="Calibri"/>
                <w:b/>
                <w:bCs/>
                <w:color w:val="000000"/>
                <w:sz w:val="16"/>
                <w:szCs w:val="14"/>
                <w:lang w:eastAsia="es-MX"/>
              </w:rPr>
              <w:t>17,268,45</w:t>
            </w:r>
            <w:r w:rsidR="008936BF">
              <w:rPr>
                <w:rFonts w:eastAsia="Times New Roman" w:cs="Calibri"/>
                <w:b/>
                <w:bCs/>
                <w:color w:val="000000"/>
                <w:sz w:val="16"/>
                <w:szCs w:val="14"/>
                <w:lang w:eastAsia="es-MX"/>
              </w:rPr>
              <w:t>6</w:t>
            </w:r>
          </w:p>
        </w:tc>
        <w:tc>
          <w:tcPr>
            <w:tcW w:w="1276" w:type="dxa"/>
            <w:tcBorders>
              <w:top w:val="nil"/>
              <w:left w:val="nil"/>
              <w:bottom w:val="single" w:sz="4" w:space="0" w:color="auto"/>
              <w:right w:val="single" w:sz="4" w:space="0" w:color="auto"/>
            </w:tcBorders>
            <w:shd w:val="clear" w:color="000000" w:fill="DDC9A3"/>
            <w:vAlign w:val="center"/>
            <w:hideMark/>
          </w:tcPr>
          <w:p w14:paraId="350D23E0" w14:textId="77777777" w:rsidR="00846C3B" w:rsidRPr="0061352F" w:rsidRDefault="00846C3B" w:rsidP="00846C3B">
            <w:pPr>
              <w:spacing w:after="0" w:line="240" w:lineRule="auto"/>
              <w:jc w:val="center"/>
              <w:rPr>
                <w:rFonts w:eastAsia="Times New Roman" w:cs="Calibri"/>
                <w:b/>
                <w:bCs/>
                <w:color w:val="000000"/>
                <w:sz w:val="16"/>
                <w:szCs w:val="14"/>
                <w:lang w:eastAsia="es-MX"/>
              </w:rPr>
            </w:pPr>
            <w:r w:rsidRPr="0061352F">
              <w:rPr>
                <w:rFonts w:eastAsia="Times New Roman" w:cs="Calibri"/>
                <w:b/>
                <w:bCs/>
                <w:color w:val="000000"/>
                <w:sz w:val="16"/>
                <w:szCs w:val="14"/>
                <w:lang w:eastAsia="es-MX"/>
              </w:rPr>
              <w:t>880</w:t>
            </w:r>
          </w:p>
        </w:tc>
        <w:tc>
          <w:tcPr>
            <w:tcW w:w="1417" w:type="dxa"/>
            <w:tcBorders>
              <w:top w:val="nil"/>
              <w:left w:val="nil"/>
              <w:bottom w:val="single" w:sz="4" w:space="0" w:color="auto"/>
              <w:right w:val="single" w:sz="4" w:space="0" w:color="auto"/>
            </w:tcBorders>
            <w:shd w:val="clear" w:color="000000" w:fill="DDC9A3"/>
            <w:vAlign w:val="center"/>
            <w:hideMark/>
          </w:tcPr>
          <w:p w14:paraId="54261853" w14:textId="77777777" w:rsidR="00846C3B" w:rsidRPr="0061352F" w:rsidRDefault="00846C3B" w:rsidP="00846C3B">
            <w:pPr>
              <w:spacing w:after="0" w:line="240" w:lineRule="auto"/>
              <w:jc w:val="right"/>
              <w:rPr>
                <w:rFonts w:eastAsia="Times New Roman" w:cs="Calibri"/>
                <w:b/>
                <w:bCs/>
                <w:color w:val="000000"/>
                <w:sz w:val="16"/>
                <w:szCs w:val="14"/>
                <w:lang w:eastAsia="es-MX"/>
              </w:rPr>
            </w:pPr>
            <w:r w:rsidRPr="0061352F">
              <w:rPr>
                <w:rFonts w:eastAsia="Times New Roman" w:cs="Calibri"/>
                <w:b/>
                <w:bCs/>
                <w:color w:val="000000"/>
                <w:sz w:val="16"/>
                <w:szCs w:val="14"/>
                <w:lang w:eastAsia="es-MX"/>
              </w:rPr>
              <w:t>18,169,968</w:t>
            </w:r>
          </w:p>
        </w:tc>
        <w:tc>
          <w:tcPr>
            <w:tcW w:w="1134" w:type="dxa"/>
            <w:tcBorders>
              <w:top w:val="nil"/>
              <w:left w:val="nil"/>
              <w:bottom w:val="single" w:sz="4" w:space="0" w:color="auto"/>
              <w:right w:val="single" w:sz="4" w:space="0" w:color="auto"/>
            </w:tcBorders>
            <w:shd w:val="clear" w:color="000000" w:fill="DDC9A3"/>
            <w:vAlign w:val="center"/>
            <w:hideMark/>
          </w:tcPr>
          <w:p w14:paraId="547FFAB9" w14:textId="77777777" w:rsidR="00846C3B" w:rsidRPr="0061352F" w:rsidRDefault="00846C3B" w:rsidP="00846C3B">
            <w:pPr>
              <w:spacing w:after="0" w:line="240" w:lineRule="auto"/>
              <w:jc w:val="center"/>
              <w:rPr>
                <w:rFonts w:eastAsia="Times New Roman" w:cs="Calibri"/>
                <w:b/>
                <w:bCs/>
                <w:color w:val="000000"/>
                <w:sz w:val="16"/>
                <w:szCs w:val="14"/>
                <w:lang w:eastAsia="es-MX"/>
              </w:rPr>
            </w:pPr>
            <w:r w:rsidRPr="0061352F">
              <w:rPr>
                <w:rFonts w:eastAsia="Times New Roman" w:cs="Calibri"/>
                <w:b/>
                <w:bCs/>
                <w:color w:val="000000"/>
                <w:sz w:val="16"/>
                <w:szCs w:val="14"/>
                <w:lang w:eastAsia="es-MX"/>
              </w:rPr>
              <w:t> </w:t>
            </w:r>
          </w:p>
        </w:tc>
        <w:tc>
          <w:tcPr>
            <w:tcW w:w="1276" w:type="dxa"/>
            <w:tcBorders>
              <w:top w:val="nil"/>
              <w:left w:val="nil"/>
              <w:bottom w:val="single" w:sz="4" w:space="0" w:color="auto"/>
              <w:right w:val="single" w:sz="4" w:space="0" w:color="auto"/>
            </w:tcBorders>
            <w:shd w:val="clear" w:color="000000" w:fill="DDC9A3"/>
            <w:vAlign w:val="center"/>
            <w:hideMark/>
          </w:tcPr>
          <w:p w14:paraId="4CC26B7D" w14:textId="370253EC" w:rsidR="00846C3B" w:rsidRPr="0061352F" w:rsidRDefault="00846C3B" w:rsidP="008936BF">
            <w:pPr>
              <w:spacing w:after="0" w:line="240" w:lineRule="auto"/>
              <w:jc w:val="right"/>
              <w:rPr>
                <w:rFonts w:eastAsia="Times New Roman" w:cs="Calibri"/>
                <w:b/>
                <w:bCs/>
                <w:color w:val="000000"/>
                <w:sz w:val="16"/>
                <w:szCs w:val="14"/>
                <w:lang w:eastAsia="es-MX"/>
              </w:rPr>
            </w:pPr>
            <w:r w:rsidRPr="0061352F">
              <w:rPr>
                <w:rFonts w:eastAsia="Times New Roman" w:cs="Calibri"/>
                <w:b/>
                <w:bCs/>
                <w:color w:val="000000"/>
                <w:sz w:val="16"/>
                <w:szCs w:val="14"/>
                <w:lang w:eastAsia="es-MX"/>
              </w:rPr>
              <w:t>-9</w:t>
            </w:r>
            <w:r w:rsidR="008936BF">
              <w:rPr>
                <w:rFonts w:eastAsia="Times New Roman" w:cs="Calibri"/>
                <w:b/>
                <w:bCs/>
                <w:color w:val="000000"/>
                <w:sz w:val="16"/>
                <w:szCs w:val="14"/>
                <w:lang w:eastAsia="es-MX"/>
              </w:rPr>
              <w:t>01,512</w:t>
            </w:r>
          </w:p>
        </w:tc>
      </w:tr>
    </w:tbl>
    <w:p w14:paraId="6598D2C6" w14:textId="06BDFF09" w:rsidR="0010398F" w:rsidRPr="005F45A3" w:rsidRDefault="0010398F" w:rsidP="007466B5">
      <w:pPr>
        <w:spacing w:after="0" w:line="240" w:lineRule="auto"/>
        <w:jc w:val="both"/>
        <w:rPr>
          <w:rFonts w:asciiTheme="minorHAnsi" w:hAnsiTheme="minorHAnsi" w:cstheme="minorHAnsi"/>
          <w:sz w:val="18"/>
          <w:szCs w:val="18"/>
        </w:rPr>
      </w:pPr>
    </w:p>
    <w:p w14:paraId="3CC0464C" w14:textId="774B1371" w:rsidR="00684777" w:rsidRDefault="00684777" w:rsidP="00684777">
      <w:pPr>
        <w:spacing w:after="0" w:line="240" w:lineRule="auto"/>
        <w:jc w:val="both"/>
        <w:rPr>
          <w:rFonts w:asciiTheme="minorHAnsi" w:hAnsiTheme="minorHAnsi" w:cstheme="minorHAnsi"/>
          <w:szCs w:val="18"/>
        </w:rPr>
      </w:pPr>
    </w:p>
    <w:p w14:paraId="7AFE07A1" w14:textId="5E68B910" w:rsidR="00B10C8F" w:rsidRPr="00644149" w:rsidRDefault="0032703A" w:rsidP="0061352F">
      <w:pPr>
        <w:spacing w:after="0" w:line="240" w:lineRule="auto"/>
        <w:jc w:val="both"/>
        <w:rPr>
          <w:rFonts w:asciiTheme="minorHAnsi" w:hAnsiTheme="minorHAnsi" w:cstheme="minorHAnsi"/>
          <w:sz w:val="18"/>
          <w:szCs w:val="18"/>
        </w:rPr>
      </w:pPr>
      <w:r w:rsidRPr="00644149">
        <w:rPr>
          <w:rFonts w:asciiTheme="minorHAnsi" w:hAnsiTheme="minorHAnsi" w:cstheme="minorHAnsi"/>
          <w:sz w:val="18"/>
          <w:szCs w:val="18"/>
        </w:rPr>
        <w:t xml:space="preserve">El renglón de Otros Derechos a Recibir Efectivo o Equivalentes se constituye </w:t>
      </w:r>
      <w:r w:rsidR="008A5AD9" w:rsidRPr="00644149">
        <w:rPr>
          <w:rFonts w:asciiTheme="minorHAnsi" w:hAnsiTheme="minorHAnsi" w:cstheme="minorHAnsi"/>
          <w:sz w:val="18"/>
          <w:szCs w:val="18"/>
        </w:rPr>
        <w:t>por</w:t>
      </w:r>
      <w:r w:rsidRPr="00644149">
        <w:rPr>
          <w:rFonts w:asciiTheme="minorHAnsi" w:hAnsiTheme="minorHAnsi" w:cstheme="minorHAnsi"/>
          <w:sz w:val="18"/>
          <w:szCs w:val="18"/>
        </w:rPr>
        <w:t xml:space="preserve"> $</w:t>
      </w:r>
      <w:r w:rsidR="00A715D0">
        <w:rPr>
          <w:rFonts w:asciiTheme="minorHAnsi" w:hAnsiTheme="minorHAnsi" w:cstheme="minorHAnsi"/>
          <w:sz w:val="18"/>
          <w:szCs w:val="18"/>
        </w:rPr>
        <w:t>17,</w:t>
      </w:r>
      <w:r w:rsidR="005E017C">
        <w:rPr>
          <w:rFonts w:asciiTheme="minorHAnsi" w:hAnsiTheme="minorHAnsi" w:cstheme="minorHAnsi"/>
          <w:sz w:val="18"/>
          <w:szCs w:val="18"/>
        </w:rPr>
        <w:t>343,029</w:t>
      </w:r>
      <w:r w:rsidR="00E00968" w:rsidRPr="00644149">
        <w:rPr>
          <w:rFonts w:asciiTheme="minorHAnsi" w:hAnsiTheme="minorHAnsi" w:cstheme="minorHAnsi"/>
          <w:sz w:val="18"/>
          <w:szCs w:val="18"/>
        </w:rPr>
        <w:t>, que corre</w:t>
      </w:r>
      <w:r w:rsidRPr="00644149">
        <w:rPr>
          <w:rFonts w:asciiTheme="minorHAnsi" w:hAnsiTheme="minorHAnsi" w:cstheme="minorHAnsi"/>
          <w:sz w:val="18"/>
          <w:szCs w:val="18"/>
        </w:rPr>
        <w:t>sponde</w:t>
      </w:r>
      <w:r w:rsidR="00B4473A" w:rsidRPr="00644149">
        <w:rPr>
          <w:rFonts w:asciiTheme="minorHAnsi" w:hAnsiTheme="minorHAnsi" w:cstheme="minorHAnsi"/>
          <w:sz w:val="18"/>
          <w:szCs w:val="18"/>
        </w:rPr>
        <w:t xml:space="preserve">n al ingreso del último día hábil de la recaudación en las Oficinas Fiscales del Estado y </w:t>
      </w:r>
      <w:r w:rsidR="008A5AD9" w:rsidRPr="00644149">
        <w:rPr>
          <w:rFonts w:asciiTheme="minorHAnsi" w:hAnsiTheme="minorHAnsi" w:cstheme="minorHAnsi"/>
          <w:sz w:val="18"/>
          <w:szCs w:val="18"/>
        </w:rPr>
        <w:t xml:space="preserve">por </w:t>
      </w:r>
      <w:r w:rsidR="00B4473A" w:rsidRPr="00644149">
        <w:rPr>
          <w:rFonts w:asciiTheme="minorHAnsi" w:hAnsiTheme="minorHAnsi" w:cstheme="minorHAnsi"/>
          <w:sz w:val="18"/>
          <w:szCs w:val="18"/>
        </w:rPr>
        <w:t xml:space="preserve">la cantidad de </w:t>
      </w:r>
      <w:r w:rsidRPr="00644149">
        <w:rPr>
          <w:rFonts w:asciiTheme="minorHAnsi" w:hAnsiTheme="minorHAnsi" w:cstheme="minorHAnsi"/>
          <w:sz w:val="18"/>
          <w:szCs w:val="18"/>
        </w:rPr>
        <w:t>$</w:t>
      </w:r>
      <w:r w:rsidR="00A715D0">
        <w:rPr>
          <w:rFonts w:asciiTheme="minorHAnsi" w:hAnsiTheme="minorHAnsi" w:cstheme="minorHAnsi"/>
          <w:sz w:val="18"/>
          <w:szCs w:val="18"/>
        </w:rPr>
        <w:t>2,530,638</w:t>
      </w:r>
      <w:r w:rsidRPr="00644149">
        <w:rPr>
          <w:rFonts w:asciiTheme="minorHAnsi" w:hAnsiTheme="minorHAnsi" w:cstheme="minorHAnsi"/>
          <w:sz w:val="18"/>
          <w:szCs w:val="18"/>
        </w:rPr>
        <w:t xml:space="preserve">, </w:t>
      </w:r>
      <w:r w:rsidR="00BD5FF6" w:rsidRPr="00644149">
        <w:rPr>
          <w:rFonts w:asciiTheme="minorHAnsi" w:hAnsiTheme="minorHAnsi" w:cstheme="minorHAnsi"/>
          <w:sz w:val="18"/>
          <w:szCs w:val="18"/>
        </w:rPr>
        <w:t xml:space="preserve">correspondiente </w:t>
      </w:r>
      <w:r w:rsidR="0061352F" w:rsidRPr="00644149">
        <w:rPr>
          <w:rFonts w:asciiTheme="minorHAnsi" w:hAnsiTheme="minorHAnsi" w:cstheme="minorHAnsi"/>
          <w:sz w:val="18"/>
          <w:szCs w:val="18"/>
        </w:rPr>
        <w:t>al Fideicomiso</w:t>
      </w:r>
      <w:r w:rsidRPr="00644149">
        <w:rPr>
          <w:rFonts w:asciiTheme="minorHAnsi" w:hAnsiTheme="minorHAnsi" w:cstheme="minorHAnsi"/>
          <w:sz w:val="18"/>
          <w:szCs w:val="18"/>
        </w:rPr>
        <w:t xml:space="preserve"> del Puente</w:t>
      </w:r>
      <w:r w:rsidR="00BD5FF6" w:rsidRPr="00644149">
        <w:rPr>
          <w:rFonts w:asciiTheme="minorHAnsi" w:hAnsiTheme="minorHAnsi" w:cstheme="minorHAnsi"/>
          <w:sz w:val="18"/>
          <w:szCs w:val="18"/>
        </w:rPr>
        <w:t xml:space="preserve"> Internacional Nuevo Laredo III.</w:t>
      </w:r>
    </w:p>
    <w:p w14:paraId="7E77A219" w14:textId="77777777" w:rsidR="00642CB2" w:rsidRPr="005F45A3" w:rsidRDefault="00642CB2" w:rsidP="00A0739A">
      <w:pPr>
        <w:pStyle w:val="Texto"/>
        <w:spacing w:after="0" w:line="240" w:lineRule="exact"/>
        <w:ind w:firstLine="0"/>
        <w:rPr>
          <w:rFonts w:asciiTheme="minorHAnsi" w:hAnsiTheme="minorHAnsi" w:cstheme="minorHAnsi"/>
          <w:szCs w:val="18"/>
        </w:rPr>
      </w:pPr>
    </w:p>
    <w:p w14:paraId="6ACD8166" w14:textId="7290885B" w:rsidR="00684777" w:rsidRDefault="00684777" w:rsidP="00CE51A6">
      <w:pPr>
        <w:pStyle w:val="Texto"/>
        <w:spacing w:after="0" w:line="240" w:lineRule="exact"/>
        <w:ind w:firstLine="646"/>
        <w:rPr>
          <w:rFonts w:asciiTheme="minorHAnsi" w:hAnsiTheme="minorHAnsi" w:cstheme="minorHAnsi"/>
          <w:b/>
          <w:i/>
          <w:sz w:val="20"/>
          <w:szCs w:val="18"/>
        </w:rPr>
      </w:pPr>
    </w:p>
    <w:p w14:paraId="2DCBFA54" w14:textId="054F3851" w:rsidR="0061352F" w:rsidRPr="005A43B6" w:rsidRDefault="0061352F" w:rsidP="00CE51A6">
      <w:pPr>
        <w:pStyle w:val="Texto"/>
        <w:spacing w:after="0" w:line="240" w:lineRule="exact"/>
        <w:ind w:firstLine="646"/>
        <w:rPr>
          <w:rFonts w:asciiTheme="minorHAnsi" w:hAnsiTheme="minorHAnsi" w:cstheme="minorHAnsi"/>
          <w:b/>
          <w:sz w:val="20"/>
          <w:szCs w:val="18"/>
        </w:rPr>
      </w:pPr>
    </w:p>
    <w:p w14:paraId="4B30400F" w14:textId="151667FA" w:rsidR="0061352F" w:rsidRDefault="0061352F" w:rsidP="00CE51A6">
      <w:pPr>
        <w:pStyle w:val="Texto"/>
        <w:spacing w:after="0" w:line="240" w:lineRule="exact"/>
        <w:ind w:firstLine="646"/>
        <w:rPr>
          <w:rFonts w:asciiTheme="minorHAnsi" w:hAnsiTheme="minorHAnsi" w:cstheme="minorHAnsi"/>
          <w:b/>
          <w:i/>
          <w:sz w:val="20"/>
          <w:szCs w:val="18"/>
        </w:rPr>
      </w:pPr>
    </w:p>
    <w:p w14:paraId="179FA436" w14:textId="626B5C8B" w:rsidR="0061352F" w:rsidRDefault="0061352F" w:rsidP="00CE51A6">
      <w:pPr>
        <w:pStyle w:val="Texto"/>
        <w:spacing w:after="0" w:line="240" w:lineRule="exact"/>
        <w:ind w:firstLine="646"/>
        <w:rPr>
          <w:rFonts w:asciiTheme="minorHAnsi" w:hAnsiTheme="minorHAnsi" w:cstheme="minorHAnsi"/>
          <w:b/>
          <w:i/>
          <w:sz w:val="20"/>
          <w:szCs w:val="18"/>
        </w:rPr>
      </w:pPr>
    </w:p>
    <w:p w14:paraId="4BCA31CA" w14:textId="26E4DE70" w:rsidR="0061352F" w:rsidRDefault="0061352F" w:rsidP="00CE51A6">
      <w:pPr>
        <w:pStyle w:val="Texto"/>
        <w:spacing w:after="0" w:line="240" w:lineRule="exact"/>
        <w:ind w:firstLine="646"/>
        <w:rPr>
          <w:rFonts w:asciiTheme="minorHAnsi" w:hAnsiTheme="minorHAnsi" w:cstheme="minorHAnsi"/>
          <w:b/>
          <w:i/>
          <w:sz w:val="20"/>
          <w:szCs w:val="18"/>
        </w:rPr>
      </w:pPr>
    </w:p>
    <w:p w14:paraId="3536302D" w14:textId="7AE2FEBE" w:rsidR="0061352F" w:rsidRDefault="0061352F" w:rsidP="00CE51A6">
      <w:pPr>
        <w:pStyle w:val="Texto"/>
        <w:spacing w:after="0" w:line="240" w:lineRule="exact"/>
        <w:ind w:firstLine="646"/>
        <w:rPr>
          <w:rFonts w:asciiTheme="minorHAnsi" w:hAnsiTheme="minorHAnsi" w:cstheme="minorHAnsi"/>
          <w:b/>
          <w:i/>
          <w:sz w:val="20"/>
          <w:szCs w:val="18"/>
        </w:rPr>
      </w:pPr>
    </w:p>
    <w:p w14:paraId="7153BB67" w14:textId="34494C57" w:rsidR="0061352F" w:rsidRDefault="0061352F" w:rsidP="00CE51A6">
      <w:pPr>
        <w:pStyle w:val="Texto"/>
        <w:spacing w:after="0" w:line="240" w:lineRule="exact"/>
        <w:ind w:firstLine="646"/>
        <w:rPr>
          <w:rFonts w:asciiTheme="minorHAnsi" w:hAnsiTheme="minorHAnsi" w:cstheme="minorHAnsi"/>
          <w:b/>
          <w:i/>
          <w:sz w:val="20"/>
          <w:szCs w:val="18"/>
        </w:rPr>
      </w:pPr>
    </w:p>
    <w:p w14:paraId="7B026B10" w14:textId="26D22D44" w:rsidR="0061352F" w:rsidRDefault="0061352F" w:rsidP="00CE51A6">
      <w:pPr>
        <w:pStyle w:val="Texto"/>
        <w:spacing w:after="0" w:line="240" w:lineRule="exact"/>
        <w:ind w:firstLine="646"/>
        <w:rPr>
          <w:rFonts w:asciiTheme="minorHAnsi" w:hAnsiTheme="minorHAnsi" w:cstheme="minorHAnsi"/>
          <w:b/>
          <w:i/>
          <w:sz w:val="20"/>
          <w:szCs w:val="18"/>
        </w:rPr>
      </w:pPr>
    </w:p>
    <w:p w14:paraId="681F4545" w14:textId="12B1516B" w:rsidR="0061352F" w:rsidRDefault="0061352F" w:rsidP="00CE51A6">
      <w:pPr>
        <w:pStyle w:val="Texto"/>
        <w:spacing w:after="0" w:line="240" w:lineRule="exact"/>
        <w:ind w:firstLine="646"/>
        <w:rPr>
          <w:rFonts w:asciiTheme="minorHAnsi" w:hAnsiTheme="minorHAnsi" w:cstheme="minorHAnsi"/>
          <w:b/>
          <w:i/>
          <w:sz w:val="20"/>
          <w:szCs w:val="18"/>
        </w:rPr>
      </w:pPr>
    </w:p>
    <w:p w14:paraId="378D382F" w14:textId="3FB13366" w:rsidR="0061352F" w:rsidRDefault="0061352F" w:rsidP="00CE51A6">
      <w:pPr>
        <w:pStyle w:val="Texto"/>
        <w:spacing w:after="0" w:line="240" w:lineRule="exact"/>
        <w:ind w:firstLine="646"/>
        <w:rPr>
          <w:rFonts w:asciiTheme="minorHAnsi" w:hAnsiTheme="minorHAnsi" w:cstheme="minorHAnsi"/>
          <w:b/>
          <w:i/>
          <w:sz w:val="20"/>
          <w:szCs w:val="18"/>
        </w:rPr>
      </w:pPr>
    </w:p>
    <w:p w14:paraId="0C0D9F1C" w14:textId="019D9A7E" w:rsidR="0061352F" w:rsidRDefault="0061352F" w:rsidP="00CE51A6">
      <w:pPr>
        <w:pStyle w:val="Texto"/>
        <w:spacing w:after="0" w:line="240" w:lineRule="exact"/>
        <w:ind w:firstLine="646"/>
        <w:rPr>
          <w:rFonts w:asciiTheme="minorHAnsi" w:hAnsiTheme="minorHAnsi" w:cstheme="minorHAnsi"/>
          <w:b/>
          <w:i/>
          <w:sz w:val="20"/>
          <w:szCs w:val="18"/>
        </w:rPr>
      </w:pPr>
    </w:p>
    <w:p w14:paraId="163C726C" w14:textId="27FE57E1" w:rsidR="0061352F" w:rsidRDefault="0061352F" w:rsidP="00CE51A6">
      <w:pPr>
        <w:pStyle w:val="Texto"/>
        <w:spacing w:after="0" w:line="240" w:lineRule="exact"/>
        <w:ind w:firstLine="646"/>
        <w:rPr>
          <w:rFonts w:asciiTheme="minorHAnsi" w:hAnsiTheme="minorHAnsi" w:cstheme="minorHAnsi"/>
          <w:b/>
          <w:i/>
          <w:sz w:val="20"/>
          <w:szCs w:val="18"/>
        </w:rPr>
      </w:pPr>
    </w:p>
    <w:p w14:paraId="4E92879A" w14:textId="37559F50" w:rsidR="00CE51A6" w:rsidRPr="00686668" w:rsidRDefault="00CE51A6" w:rsidP="00596F28">
      <w:pPr>
        <w:pStyle w:val="Texto"/>
        <w:spacing w:after="0" w:line="240" w:lineRule="exact"/>
        <w:ind w:firstLine="0"/>
        <w:rPr>
          <w:rFonts w:asciiTheme="minorHAnsi" w:hAnsiTheme="minorHAnsi" w:cstheme="minorHAnsi"/>
          <w:b/>
          <w:i/>
          <w:sz w:val="20"/>
          <w:szCs w:val="18"/>
          <w:u w:val="single"/>
        </w:rPr>
      </w:pPr>
      <w:r w:rsidRPr="00686668">
        <w:rPr>
          <w:rFonts w:asciiTheme="minorHAnsi" w:hAnsiTheme="minorHAnsi" w:cstheme="minorHAnsi"/>
          <w:b/>
          <w:i/>
          <w:sz w:val="20"/>
          <w:szCs w:val="18"/>
          <w:u w:val="single"/>
        </w:rPr>
        <w:t xml:space="preserve">DERECHOS A RECIBIR BIENES O SERVICIOS  </w:t>
      </w:r>
    </w:p>
    <w:p w14:paraId="6668F5C9" w14:textId="77777777" w:rsidR="00CE51A6" w:rsidRPr="005F45A3" w:rsidRDefault="00CE51A6" w:rsidP="00A0739A">
      <w:pPr>
        <w:pStyle w:val="Texto"/>
        <w:spacing w:after="0" w:line="240" w:lineRule="exact"/>
        <w:ind w:firstLine="0"/>
        <w:rPr>
          <w:rFonts w:asciiTheme="minorHAnsi" w:hAnsiTheme="minorHAnsi" w:cstheme="minorHAnsi"/>
          <w:szCs w:val="18"/>
        </w:rPr>
      </w:pPr>
    </w:p>
    <w:p w14:paraId="63AA0DDD" w14:textId="77777777" w:rsidR="005F788C" w:rsidRPr="005F45A3" w:rsidRDefault="005F788C" w:rsidP="00B46FFA">
      <w:pPr>
        <w:pStyle w:val="Texto"/>
        <w:numPr>
          <w:ilvl w:val="0"/>
          <w:numId w:val="20"/>
        </w:numPr>
        <w:spacing w:after="0" w:line="240" w:lineRule="exact"/>
        <w:ind w:left="567" w:hanging="283"/>
        <w:rPr>
          <w:rFonts w:asciiTheme="minorHAnsi" w:hAnsiTheme="minorHAnsi" w:cstheme="minorHAnsi"/>
          <w:sz w:val="20"/>
          <w:szCs w:val="18"/>
        </w:rPr>
      </w:pPr>
      <w:r w:rsidRPr="005F45A3">
        <w:rPr>
          <w:rFonts w:asciiTheme="minorHAnsi" w:hAnsiTheme="minorHAnsi" w:cstheme="minorHAnsi"/>
          <w:sz w:val="20"/>
          <w:szCs w:val="18"/>
        </w:rPr>
        <w:t xml:space="preserve">Derechos a Recibir Bienes o Servicios </w:t>
      </w:r>
    </w:p>
    <w:p w14:paraId="0DE2BC11" w14:textId="77777777" w:rsidR="00017B64" w:rsidRPr="005F45A3" w:rsidRDefault="00017B64" w:rsidP="00A0739A">
      <w:pPr>
        <w:pStyle w:val="Texto"/>
        <w:spacing w:after="0" w:line="240" w:lineRule="exact"/>
        <w:ind w:firstLine="0"/>
        <w:rPr>
          <w:rFonts w:asciiTheme="minorHAnsi" w:hAnsiTheme="minorHAnsi" w:cstheme="minorHAnsi"/>
          <w:szCs w:val="18"/>
        </w:rPr>
      </w:pPr>
      <w:r w:rsidRPr="005F45A3">
        <w:rPr>
          <w:rFonts w:asciiTheme="minorHAnsi" w:hAnsiTheme="minorHAnsi" w:cstheme="minorHAnsi"/>
          <w:szCs w:val="18"/>
        </w:rPr>
        <w:t xml:space="preserve">                </w:t>
      </w:r>
    </w:p>
    <w:tbl>
      <w:tblPr>
        <w:tblW w:w="9439" w:type="dxa"/>
        <w:tblCellMar>
          <w:left w:w="70" w:type="dxa"/>
          <w:right w:w="70" w:type="dxa"/>
        </w:tblCellMar>
        <w:tblLook w:val="04A0" w:firstRow="1" w:lastRow="0" w:firstColumn="1" w:lastColumn="0" w:noHBand="0" w:noVBand="1"/>
      </w:tblPr>
      <w:tblGrid>
        <w:gridCol w:w="3889"/>
        <w:gridCol w:w="1197"/>
        <w:gridCol w:w="1039"/>
        <w:gridCol w:w="1100"/>
        <w:gridCol w:w="1134"/>
        <w:gridCol w:w="1080"/>
      </w:tblGrid>
      <w:tr w:rsidR="00E428AC" w:rsidRPr="00E428AC" w14:paraId="19A59FE1" w14:textId="77777777" w:rsidTr="0061352F">
        <w:trPr>
          <w:trHeight w:val="500"/>
        </w:trPr>
        <w:tc>
          <w:tcPr>
            <w:tcW w:w="3889"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7BC6872E" w14:textId="77777777" w:rsidR="00E428AC" w:rsidRPr="00E428AC" w:rsidRDefault="00E428AC" w:rsidP="00E428AC">
            <w:pPr>
              <w:spacing w:after="0" w:line="240" w:lineRule="auto"/>
              <w:jc w:val="center"/>
              <w:rPr>
                <w:rFonts w:eastAsia="Times New Roman" w:cs="Calibri"/>
                <w:b/>
                <w:bCs/>
                <w:color w:val="FFFFFF"/>
                <w:sz w:val="16"/>
                <w:szCs w:val="16"/>
                <w:lang w:eastAsia="es-MX"/>
              </w:rPr>
            </w:pPr>
            <w:r w:rsidRPr="00E428AC">
              <w:rPr>
                <w:rFonts w:eastAsia="Times New Roman" w:cs="Calibri"/>
                <w:b/>
                <w:bCs/>
                <w:color w:val="FFFFFF"/>
                <w:sz w:val="16"/>
                <w:szCs w:val="16"/>
                <w:lang w:eastAsia="es-MX"/>
              </w:rPr>
              <w:t xml:space="preserve">Descripción de la Cuenta </w:t>
            </w:r>
          </w:p>
        </w:tc>
        <w:tc>
          <w:tcPr>
            <w:tcW w:w="1197" w:type="dxa"/>
            <w:tcBorders>
              <w:top w:val="single" w:sz="4" w:space="0" w:color="auto"/>
              <w:left w:val="nil"/>
              <w:bottom w:val="single" w:sz="4" w:space="0" w:color="auto"/>
              <w:right w:val="single" w:sz="4" w:space="0" w:color="auto"/>
            </w:tcBorders>
            <w:shd w:val="clear" w:color="000000" w:fill="AB0033"/>
            <w:vAlign w:val="center"/>
            <w:hideMark/>
          </w:tcPr>
          <w:p w14:paraId="0A3CEFEB" w14:textId="77777777" w:rsidR="00E428AC" w:rsidRPr="00E428AC" w:rsidRDefault="00E428AC" w:rsidP="00E428AC">
            <w:pPr>
              <w:spacing w:after="0" w:line="240" w:lineRule="auto"/>
              <w:jc w:val="center"/>
              <w:rPr>
                <w:rFonts w:eastAsia="Times New Roman" w:cs="Calibri"/>
                <w:b/>
                <w:bCs/>
                <w:color w:val="FFFFFF"/>
                <w:sz w:val="16"/>
                <w:szCs w:val="16"/>
                <w:lang w:eastAsia="es-MX"/>
              </w:rPr>
            </w:pPr>
            <w:r w:rsidRPr="00E428AC">
              <w:rPr>
                <w:rFonts w:eastAsia="Times New Roman" w:cs="Calibri"/>
                <w:b/>
                <w:bCs/>
                <w:color w:val="FFFFFF"/>
                <w:sz w:val="16"/>
                <w:szCs w:val="16"/>
                <w:lang w:eastAsia="es-MX"/>
              </w:rPr>
              <w:t>90 Días</w:t>
            </w:r>
          </w:p>
        </w:tc>
        <w:tc>
          <w:tcPr>
            <w:tcW w:w="1039" w:type="dxa"/>
            <w:tcBorders>
              <w:top w:val="single" w:sz="4" w:space="0" w:color="auto"/>
              <w:left w:val="nil"/>
              <w:bottom w:val="single" w:sz="4" w:space="0" w:color="auto"/>
              <w:right w:val="single" w:sz="4" w:space="0" w:color="auto"/>
            </w:tcBorders>
            <w:shd w:val="clear" w:color="000000" w:fill="AB0033"/>
            <w:vAlign w:val="center"/>
            <w:hideMark/>
          </w:tcPr>
          <w:p w14:paraId="5ECCB5C1" w14:textId="77777777" w:rsidR="00E428AC" w:rsidRPr="00E428AC" w:rsidRDefault="00E428AC" w:rsidP="00E428AC">
            <w:pPr>
              <w:spacing w:after="0" w:line="240" w:lineRule="auto"/>
              <w:jc w:val="center"/>
              <w:rPr>
                <w:rFonts w:eastAsia="Times New Roman" w:cs="Calibri"/>
                <w:b/>
                <w:bCs/>
                <w:color w:val="FFFFFF"/>
                <w:sz w:val="16"/>
                <w:szCs w:val="16"/>
                <w:lang w:eastAsia="es-MX"/>
              </w:rPr>
            </w:pPr>
            <w:r w:rsidRPr="00E428AC">
              <w:rPr>
                <w:rFonts w:eastAsia="Times New Roman" w:cs="Calibri"/>
                <w:b/>
                <w:bCs/>
                <w:color w:val="FFFFFF"/>
                <w:sz w:val="16"/>
                <w:szCs w:val="16"/>
                <w:lang w:eastAsia="es-MX"/>
              </w:rPr>
              <w:t>180 Días</w:t>
            </w:r>
          </w:p>
        </w:tc>
        <w:tc>
          <w:tcPr>
            <w:tcW w:w="1100" w:type="dxa"/>
            <w:tcBorders>
              <w:top w:val="single" w:sz="4" w:space="0" w:color="auto"/>
              <w:left w:val="nil"/>
              <w:bottom w:val="single" w:sz="4" w:space="0" w:color="auto"/>
              <w:right w:val="single" w:sz="4" w:space="0" w:color="auto"/>
            </w:tcBorders>
            <w:shd w:val="clear" w:color="000000" w:fill="AB0033"/>
            <w:vAlign w:val="center"/>
            <w:hideMark/>
          </w:tcPr>
          <w:p w14:paraId="6E658D78" w14:textId="77777777" w:rsidR="00E428AC" w:rsidRPr="00E428AC" w:rsidRDefault="00E428AC" w:rsidP="00E428AC">
            <w:pPr>
              <w:spacing w:after="0" w:line="240" w:lineRule="auto"/>
              <w:jc w:val="center"/>
              <w:rPr>
                <w:rFonts w:eastAsia="Times New Roman" w:cs="Calibri"/>
                <w:b/>
                <w:bCs/>
                <w:color w:val="FFFFFF"/>
                <w:sz w:val="16"/>
                <w:szCs w:val="16"/>
                <w:lang w:eastAsia="es-MX"/>
              </w:rPr>
            </w:pPr>
            <w:r w:rsidRPr="00E428AC">
              <w:rPr>
                <w:rFonts w:eastAsia="Times New Roman" w:cs="Calibri"/>
                <w:b/>
                <w:bCs/>
                <w:color w:val="FFFFFF"/>
                <w:sz w:val="16"/>
                <w:szCs w:val="16"/>
                <w:lang w:eastAsia="es-MX"/>
              </w:rPr>
              <w:t>Menor a 365 Días</w:t>
            </w:r>
          </w:p>
        </w:tc>
        <w:tc>
          <w:tcPr>
            <w:tcW w:w="1134" w:type="dxa"/>
            <w:tcBorders>
              <w:top w:val="single" w:sz="4" w:space="0" w:color="auto"/>
              <w:left w:val="nil"/>
              <w:bottom w:val="single" w:sz="4" w:space="0" w:color="auto"/>
              <w:right w:val="single" w:sz="4" w:space="0" w:color="auto"/>
            </w:tcBorders>
            <w:shd w:val="clear" w:color="000000" w:fill="AB0033"/>
            <w:vAlign w:val="center"/>
            <w:hideMark/>
          </w:tcPr>
          <w:p w14:paraId="48F12510" w14:textId="77777777" w:rsidR="00E428AC" w:rsidRPr="00E428AC" w:rsidRDefault="00E428AC" w:rsidP="00E428AC">
            <w:pPr>
              <w:spacing w:after="0" w:line="240" w:lineRule="auto"/>
              <w:jc w:val="center"/>
              <w:rPr>
                <w:rFonts w:eastAsia="Times New Roman" w:cs="Calibri"/>
                <w:b/>
                <w:bCs/>
                <w:color w:val="FFFFFF"/>
                <w:sz w:val="16"/>
                <w:szCs w:val="16"/>
                <w:lang w:eastAsia="es-MX"/>
              </w:rPr>
            </w:pPr>
            <w:r w:rsidRPr="00E428AC">
              <w:rPr>
                <w:rFonts w:eastAsia="Times New Roman" w:cs="Calibri"/>
                <w:b/>
                <w:bCs/>
                <w:color w:val="FFFFFF"/>
                <w:sz w:val="16"/>
                <w:szCs w:val="16"/>
                <w:lang w:eastAsia="es-MX"/>
              </w:rPr>
              <w:t>Mayor a 365 Días</w:t>
            </w:r>
          </w:p>
        </w:tc>
        <w:tc>
          <w:tcPr>
            <w:tcW w:w="1080" w:type="dxa"/>
            <w:tcBorders>
              <w:top w:val="single" w:sz="4" w:space="0" w:color="auto"/>
              <w:left w:val="nil"/>
              <w:bottom w:val="single" w:sz="4" w:space="0" w:color="auto"/>
              <w:right w:val="single" w:sz="4" w:space="0" w:color="auto"/>
            </w:tcBorders>
            <w:shd w:val="clear" w:color="000000" w:fill="AB0033"/>
            <w:vAlign w:val="center"/>
            <w:hideMark/>
          </w:tcPr>
          <w:p w14:paraId="6627A303" w14:textId="77777777" w:rsidR="00E428AC" w:rsidRPr="00E428AC" w:rsidRDefault="00E428AC" w:rsidP="00E428AC">
            <w:pPr>
              <w:spacing w:after="0" w:line="240" w:lineRule="auto"/>
              <w:jc w:val="center"/>
              <w:rPr>
                <w:rFonts w:eastAsia="Times New Roman" w:cs="Calibri"/>
                <w:b/>
                <w:bCs/>
                <w:color w:val="FFFFFF"/>
                <w:sz w:val="16"/>
                <w:szCs w:val="16"/>
                <w:lang w:eastAsia="es-MX"/>
              </w:rPr>
            </w:pPr>
            <w:r w:rsidRPr="00E428AC">
              <w:rPr>
                <w:rFonts w:eastAsia="Times New Roman" w:cs="Calibri"/>
                <w:b/>
                <w:bCs/>
                <w:color w:val="FFFFFF"/>
                <w:sz w:val="16"/>
                <w:szCs w:val="16"/>
                <w:lang w:eastAsia="es-MX"/>
              </w:rPr>
              <w:t>Importe</w:t>
            </w:r>
          </w:p>
        </w:tc>
      </w:tr>
      <w:tr w:rsidR="00E428AC" w:rsidRPr="00E428AC" w14:paraId="6F95947E" w14:textId="77777777" w:rsidTr="005A43B6">
        <w:trPr>
          <w:trHeight w:val="454"/>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01F342E6" w14:textId="77777777" w:rsidR="00E428AC" w:rsidRPr="00E428AC" w:rsidRDefault="00E428AC" w:rsidP="00E428AC">
            <w:pPr>
              <w:spacing w:after="0" w:line="240" w:lineRule="auto"/>
              <w:jc w:val="both"/>
              <w:rPr>
                <w:rFonts w:eastAsia="Times New Roman" w:cs="Calibri"/>
                <w:color w:val="000000"/>
                <w:sz w:val="14"/>
                <w:szCs w:val="14"/>
                <w:lang w:eastAsia="es-MX"/>
              </w:rPr>
            </w:pPr>
            <w:r w:rsidRPr="00E428AC">
              <w:rPr>
                <w:rFonts w:eastAsia="Times New Roman" w:cs="Calibri"/>
                <w:color w:val="000000"/>
                <w:sz w:val="14"/>
                <w:szCs w:val="14"/>
                <w:lang w:eastAsia="es-MX"/>
              </w:rPr>
              <w:t>Anticipos a Proveedores por Adquisición de Bienes y Prestación de Servicios  a Corto Plazo</w:t>
            </w:r>
          </w:p>
        </w:tc>
        <w:tc>
          <w:tcPr>
            <w:tcW w:w="1197" w:type="dxa"/>
            <w:tcBorders>
              <w:top w:val="nil"/>
              <w:left w:val="nil"/>
              <w:bottom w:val="single" w:sz="4" w:space="0" w:color="auto"/>
              <w:right w:val="single" w:sz="4" w:space="0" w:color="auto"/>
            </w:tcBorders>
            <w:shd w:val="clear" w:color="auto" w:fill="auto"/>
            <w:vAlign w:val="center"/>
            <w:hideMark/>
          </w:tcPr>
          <w:p w14:paraId="6C5A21F5"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775,797</w:t>
            </w:r>
          </w:p>
        </w:tc>
        <w:tc>
          <w:tcPr>
            <w:tcW w:w="1039" w:type="dxa"/>
            <w:tcBorders>
              <w:top w:val="nil"/>
              <w:left w:val="nil"/>
              <w:bottom w:val="single" w:sz="4" w:space="0" w:color="auto"/>
              <w:right w:val="single" w:sz="4" w:space="0" w:color="auto"/>
            </w:tcBorders>
            <w:shd w:val="clear" w:color="auto" w:fill="auto"/>
            <w:vAlign w:val="center"/>
            <w:hideMark/>
          </w:tcPr>
          <w:p w14:paraId="58D59AE2"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10,801,707</w:t>
            </w:r>
          </w:p>
        </w:tc>
        <w:tc>
          <w:tcPr>
            <w:tcW w:w="1100" w:type="dxa"/>
            <w:tcBorders>
              <w:top w:val="nil"/>
              <w:left w:val="nil"/>
              <w:bottom w:val="single" w:sz="4" w:space="0" w:color="auto"/>
              <w:right w:val="single" w:sz="4" w:space="0" w:color="auto"/>
            </w:tcBorders>
            <w:shd w:val="clear" w:color="auto" w:fill="auto"/>
            <w:vAlign w:val="center"/>
            <w:hideMark/>
          </w:tcPr>
          <w:p w14:paraId="15A3A9A5"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2,480,750</w:t>
            </w:r>
          </w:p>
        </w:tc>
        <w:tc>
          <w:tcPr>
            <w:tcW w:w="1134" w:type="dxa"/>
            <w:tcBorders>
              <w:top w:val="nil"/>
              <w:left w:val="nil"/>
              <w:bottom w:val="single" w:sz="4" w:space="0" w:color="auto"/>
              <w:right w:val="single" w:sz="4" w:space="0" w:color="auto"/>
            </w:tcBorders>
            <w:shd w:val="clear" w:color="auto" w:fill="auto"/>
            <w:vAlign w:val="center"/>
            <w:hideMark/>
          </w:tcPr>
          <w:p w14:paraId="42AFD4BD"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28,261,545</w:t>
            </w:r>
          </w:p>
        </w:tc>
        <w:tc>
          <w:tcPr>
            <w:tcW w:w="1080" w:type="dxa"/>
            <w:tcBorders>
              <w:top w:val="nil"/>
              <w:left w:val="nil"/>
              <w:bottom w:val="single" w:sz="4" w:space="0" w:color="auto"/>
              <w:right w:val="single" w:sz="4" w:space="0" w:color="auto"/>
            </w:tcBorders>
            <w:shd w:val="clear" w:color="auto" w:fill="auto"/>
            <w:vAlign w:val="center"/>
            <w:hideMark/>
          </w:tcPr>
          <w:p w14:paraId="6E814088" w14:textId="3A4E8A78" w:rsidR="00E428AC" w:rsidRPr="00E428AC" w:rsidRDefault="00E428AC" w:rsidP="00C34A0D">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42,319,</w:t>
            </w:r>
            <w:r w:rsidR="00C34A0D">
              <w:rPr>
                <w:rFonts w:eastAsia="Times New Roman" w:cs="Calibri"/>
                <w:sz w:val="14"/>
                <w:szCs w:val="14"/>
                <w:lang w:eastAsia="es-MX"/>
              </w:rPr>
              <w:t>799</w:t>
            </w:r>
          </w:p>
        </w:tc>
      </w:tr>
      <w:tr w:rsidR="00E428AC" w:rsidRPr="00E428AC" w14:paraId="70C4A090" w14:textId="77777777" w:rsidTr="005A43B6">
        <w:trPr>
          <w:trHeight w:val="454"/>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586EA5F9" w14:textId="77777777" w:rsidR="00E428AC" w:rsidRPr="00E428AC" w:rsidRDefault="00E428AC" w:rsidP="00E428AC">
            <w:pPr>
              <w:spacing w:after="0" w:line="240" w:lineRule="auto"/>
              <w:jc w:val="both"/>
              <w:rPr>
                <w:rFonts w:eastAsia="Times New Roman" w:cs="Calibri"/>
                <w:color w:val="000000"/>
                <w:sz w:val="14"/>
                <w:szCs w:val="14"/>
                <w:lang w:eastAsia="es-MX"/>
              </w:rPr>
            </w:pPr>
            <w:r w:rsidRPr="00E428AC">
              <w:rPr>
                <w:rFonts w:eastAsia="Times New Roman" w:cs="Calibri"/>
                <w:color w:val="000000"/>
                <w:sz w:val="14"/>
                <w:szCs w:val="14"/>
                <w:lang w:eastAsia="es-MX"/>
              </w:rPr>
              <w:t>Anticipos a Proveedores por Adquisición de Bienes Muebles e Inmuebles a Corto Plazo</w:t>
            </w:r>
          </w:p>
        </w:tc>
        <w:tc>
          <w:tcPr>
            <w:tcW w:w="1197" w:type="dxa"/>
            <w:tcBorders>
              <w:top w:val="nil"/>
              <w:left w:val="nil"/>
              <w:bottom w:val="single" w:sz="4" w:space="0" w:color="auto"/>
              <w:right w:val="single" w:sz="4" w:space="0" w:color="auto"/>
            </w:tcBorders>
            <w:shd w:val="clear" w:color="auto" w:fill="auto"/>
            <w:vAlign w:val="center"/>
            <w:hideMark/>
          </w:tcPr>
          <w:p w14:paraId="27E23992"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0</w:t>
            </w:r>
          </w:p>
        </w:tc>
        <w:tc>
          <w:tcPr>
            <w:tcW w:w="1039" w:type="dxa"/>
            <w:tcBorders>
              <w:top w:val="nil"/>
              <w:left w:val="nil"/>
              <w:bottom w:val="single" w:sz="4" w:space="0" w:color="auto"/>
              <w:right w:val="single" w:sz="4" w:space="0" w:color="auto"/>
            </w:tcBorders>
            <w:shd w:val="clear" w:color="auto" w:fill="auto"/>
            <w:vAlign w:val="center"/>
            <w:hideMark/>
          </w:tcPr>
          <w:p w14:paraId="2CC75009"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0</w:t>
            </w:r>
          </w:p>
        </w:tc>
        <w:tc>
          <w:tcPr>
            <w:tcW w:w="1100" w:type="dxa"/>
            <w:tcBorders>
              <w:top w:val="nil"/>
              <w:left w:val="nil"/>
              <w:bottom w:val="single" w:sz="4" w:space="0" w:color="auto"/>
              <w:right w:val="single" w:sz="4" w:space="0" w:color="auto"/>
            </w:tcBorders>
            <w:shd w:val="clear" w:color="auto" w:fill="auto"/>
            <w:vAlign w:val="center"/>
            <w:hideMark/>
          </w:tcPr>
          <w:p w14:paraId="7556335F"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0</w:t>
            </w:r>
          </w:p>
        </w:tc>
        <w:tc>
          <w:tcPr>
            <w:tcW w:w="1134" w:type="dxa"/>
            <w:tcBorders>
              <w:top w:val="nil"/>
              <w:left w:val="nil"/>
              <w:bottom w:val="single" w:sz="4" w:space="0" w:color="auto"/>
              <w:right w:val="single" w:sz="4" w:space="0" w:color="auto"/>
            </w:tcBorders>
            <w:shd w:val="clear" w:color="auto" w:fill="auto"/>
            <w:vAlign w:val="center"/>
            <w:hideMark/>
          </w:tcPr>
          <w:p w14:paraId="06FDB602"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0</w:t>
            </w:r>
          </w:p>
        </w:tc>
        <w:tc>
          <w:tcPr>
            <w:tcW w:w="1080" w:type="dxa"/>
            <w:tcBorders>
              <w:top w:val="nil"/>
              <w:left w:val="nil"/>
              <w:bottom w:val="single" w:sz="4" w:space="0" w:color="auto"/>
              <w:right w:val="single" w:sz="4" w:space="0" w:color="auto"/>
            </w:tcBorders>
            <w:shd w:val="clear" w:color="auto" w:fill="auto"/>
            <w:vAlign w:val="center"/>
            <w:hideMark/>
          </w:tcPr>
          <w:p w14:paraId="4E3C0CD2"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0</w:t>
            </w:r>
          </w:p>
        </w:tc>
      </w:tr>
      <w:tr w:rsidR="00E428AC" w:rsidRPr="00E428AC" w14:paraId="49E8EEB3" w14:textId="77777777" w:rsidTr="005A43B6">
        <w:trPr>
          <w:trHeight w:val="454"/>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4250B111" w14:textId="77777777" w:rsidR="00E428AC" w:rsidRPr="00E428AC" w:rsidRDefault="00E428AC" w:rsidP="00E428AC">
            <w:pPr>
              <w:spacing w:after="0" w:line="240" w:lineRule="auto"/>
              <w:jc w:val="both"/>
              <w:rPr>
                <w:rFonts w:eastAsia="Times New Roman" w:cs="Calibri"/>
                <w:color w:val="000000"/>
                <w:sz w:val="14"/>
                <w:szCs w:val="14"/>
                <w:lang w:eastAsia="es-MX"/>
              </w:rPr>
            </w:pPr>
            <w:r w:rsidRPr="00E428AC">
              <w:rPr>
                <w:rFonts w:eastAsia="Times New Roman" w:cs="Calibri"/>
                <w:color w:val="000000"/>
                <w:sz w:val="14"/>
                <w:szCs w:val="14"/>
                <w:lang w:eastAsia="es-MX"/>
              </w:rPr>
              <w:t>Anticipo a Proveedores por Adquisición de Bienes Intangibles a Corto Plazo</w:t>
            </w:r>
          </w:p>
        </w:tc>
        <w:tc>
          <w:tcPr>
            <w:tcW w:w="1197" w:type="dxa"/>
            <w:tcBorders>
              <w:top w:val="nil"/>
              <w:left w:val="nil"/>
              <w:bottom w:val="single" w:sz="4" w:space="0" w:color="auto"/>
              <w:right w:val="single" w:sz="4" w:space="0" w:color="auto"/>
            </w:tcBorders>
            <w:shd w:val="clear" w:color="auto" w:fill="auto"/>
            <w:vAlign w:val="center"/>
            <w:hideMark/>
          </w:tcPr>
          <w:p w14:paraId="2CA5C3A6"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0</w:t>
            </w:r>
          </w:p>
        </w:tc>
        <w:tc>
          <w:tcPr>
            <w:tcW w:w="1039" w:type="dxa"/>
            <w:tcBorders>
              <w:top w:val="nil"/>
              <w:left w:val="nil"/>
              <w:bottom w:val="single" w:sz="4" w:space="0" w:color="auto"/>
              <w:right w:val="single" w:sz="4" w:space="0" w:color="auto"/>
            </w:tcBorders>
            <w:shd w:val="clear" w:color="auto" w:fill="auto"/>
            <w:vAlign w:val="center"/>
            <w:hideMark/>
          </w:tcPr>
          <w:p w14:paraId="6E4F956A"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0</w:t>
            </w:r>
          </w:p>
        </w:tc>
        <w:tc>
          <w:tcPr>
            <w:tcW w:w="1100" w:type="dxa"/>
            <w:tcBorders>
              <w:top w:val="nil"/>
              <w:left w:val="nil"/>
              <w:bottom w:val="single" w:sz="4" w:space="0" w:color="auto"/>
              <w:right w:val="single" w:sz="4" w:space="0" w:color="auto"/>
            </w:tcBorders>
            <w:shd w:val="clear" w:color="auto" w:fill="auto"/>
            <w:vAlign w:val="center"/>
            <w:hideMark/>
          </w:tcPr>
          <w:p w14:paraId="7E23E2BD"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0</w:t>
            </w:r>
          </w:p>
        </w:tc>
        <w:tc>
          <w:tcPr>
            <w:tcW w:w="1134" w:type="dxa"/>
            <w:tcBorders>
              <w:top w:val="nil"/>
              <w:left w:val="nil"/>
              <w:bottom w:val="single" w:sz="4" w:space="0" w:color="auto"/>
              <w:right w:val="single" w:sz="4" w:space="0" w:color="auto"/>
            </w:tcBorders>
            <w:shd w:val="clear" w:color="auto" w:fill="auto"/>
            <w:vAlign w:val="center"/>
            <w:hideMark/>
          </w:tcPr>
          <w:p w14:paraId="41BE67C4"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0</w:t>
            </w:r>
          </w:p>
        </w:tc>
        <w:tc>
          <w:tcPr>
            <w:tcW w:w="1080" w:type="dxa"/>
            <w:tcBorders>
              <w:top w:val="nil"/>
              <w:left w:val="nil"/>
              <w:bottom w:val="single" w:sz="4" w:space="0" w:color="auto"/>
              <w:right w:val="single" w:sz="4" w:space="0" w:color="auto"/>
            </w:tcBorders>
            <w:shd w:val="clear" w:color="auto" w:fill="auto"/>
            <w:vAlign w:val="center"/>
            <w:hideMark/>
          </w:tcPr>
          <w:p w14:paraId="409FB4D4"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0</w:t>
            </w:r>
          </w:p>
        </w:tc>
      </w:tr>
      <w:tr w:rsidR="00E428AC" w:rsidRPr="00E428AC" w14:paraId="64890426" w14:textId="77777777" w:rsidTr="005A43B6">
        <w:trPr>
          <w:trHeight w:val="454"/>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081A2006" w14:textId="77777777" w:rsidR="00E428AC" w:rsidRPr="00E428AC" w:rsidRDefault="00E428AC" w:rsidP="00E428AC">
            <w:pPr>
              <w:spacing w:after="0" w:line="240" w:lineRule="auto"/>
              <w:jc w:val="both"/>
              <w:rPr>
                <w:rFonts w:eastAsia="Times New Roman" w:cs="Calibri"/>
                <w:color w:val="000000"/>
                <w:sz w:val="14"/>
                <w:szCs w:val="14"/>
                <w:lang w:eastAsia="es-MX"/>
              </w:rPr>
            </w:pPr>
            <w:r w:rsidRPr="00E428AC">
              <w:rPr>
                <w:rFonts w:eastAsia="Times New Roman" w:cs="Calibri"/>
                <w:color w:val="000000"/>
                <w:sz w:val="14"/>
                <w:szCs w:val="14"/>
                <w:lang w:eastAsia="es-MX"/>
              </w:rPr>
              <w:t>Anticipo a Contratistas por Obras Publicas a Corto Plazo</w:t>
            </w:r>
          </w:p>
        </w:tc>
        <w:tc>
          <w:tcPr>
            <w:tcW w:w="1197" w:type="dxa"/>
            <w:tcBorders>
              <w:top w:val="nil"/>
              <w:left w:val="nil"/>
              <w:bottom w:val="single" w:sz="4" w:space="0" w:color="auto"/>
              <w:right w:val="single" w:sz="4" w:space="0" w:color="auto"/>
            </w:tcBorders>
            <w:shd w:val="clear" w:color="auto" w:fill="auto"/>
            <w:vAlign w:val="center"/>
            <w:hideMark/>
          </w:tcPr>
          <w:p w14:paraId="6D4B353B"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73,801,320</w:t>
            </w:r>
          </w:p>
        </w:tc>
        <w:tc>
          <w:tcPr>
            <w:tcW w:w="1039" w:type="dxa"/>
            <w:tcBorders>
              <w:top w:val="nil"/>
              <w:left w:val="nil"/>
              <w:bottom w:val="single" w:sz="4" w:space="0" w:color="auto"/>
              <w:right w:val="single" w:sz="4" w:space="0" w:color="auto"/>
            </w:tcBorders>
            <w:shd w:val="clear" w:color="auto" w:fill="auto"/>
            <w:vAlign w:val="center"/>
            <w:hideMark/>
          </w:tcPr>
          <w:p w14:paraId="79461B55"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16,943,759</w:t>
            </w:r>
          </w:p>
        </w:tc>
        <w:tc>
          <w:tcPr>
            <w:tcW w:w="1100" w:type="dxa"/>
            <w:tcBorders>
              <w:top w:val="nil"/>
              <w:left w:val="nil"/>
              <w:bottom w:val="single" w:sz="4" w:space="0" w:color="auto"/>
              <w:right w:val="single" w:sz="4" w:space="0" w:color="auto"/>
            </w:tcBorders>
            <w:shd w:val="clear" w:color="auto" w:fill="auto"/>
            <w:vAlign w:val="center"/>
            <w:hideMark/>
          </w:tcPr>
          <w:p w14:paraId="1193724F"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10,072,524</w:t>
            </w:r>
          </w:p>
        </w:tc>
        <w:tc>
          <w:tcPr>
            <w:tcW w:w="1134" w:type="dxa"/>
            <w:tcBorders>
              <w:top w:val="nil"/>
              <w:left w:val="nil"/>
              <w:bottom w:val="single" w:sz="4" w:space="0" w:color="auto"/>
              <w:right w:val="single" w:sz="4" w:space="0" w:color="auto"/>
            </w:tcBorders>
            <w:shd w:val="clear" w:color="auto" w:fill="auto"/>
            <w:vAlign w:val="center"/>
            <w:hideMark/>
          </w:tcPr>
          <w:p w14:paraId="6094FFDD" w14:textId="4CBEC8BC" w:rsidR="00E428AC" w:rsidRPr="00E428AC" w:rsidRDefault="00E428AC" w:rsidP="00C34A0D">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115,369,41</w:t>
            </w:r>
            <w:r w:rsidR="00C34A0D">
              <w:rPr>
                <w:rFonts w:eastAsia="Times New Roman" w:cs="Calibri"/>
                <w:sz w:val="14"/>
                <w:szCs w:val="14"/>
                <w:lang w:eastAsia="es-MX"/>
              </w:rPr>
              <w:t>9</w:t>
            </w:r>
          </w:p>
        </w:tc>
        <w:tc>
          <w:tcPr>
            <w:tcW w:w="1080" w:type="dxa"/>
            <w:tcBorders>
              <w:top w:val="nil"/>
              <w:left w:val="nil"/>
              <w:bottom w:val="single" w:sz="4" w:space="0" w:color="auto"/>
              <w:right w:val="single" w:sz="4" w:space="0" w:color="auto"/>
            </w:tcBorders>
            <w:shd w:val="clear" w:color="auto" w:fill="auto"/>
            <w:vAlign w:val="center"/>
            <w:hideMark/>
          </w:tcPr>
          <w:p w14:paraId="4F289FD8"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216,187,022</w:t>
            </w:r>
          </w:p>
        </w:tc>
      </w:tr>
      <w:tr w:rsidR="00E428AC" w:rsidRPr="00E428AC" w14:paraId="4D14B82E" w14:textId="77777777" w:rsidTr="005A43B6">
        <w:trPr>
          <w:trHeight w:val="454"/>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7771081C" w14:textId="77777777" w:rsidR="00E428AC" w:rsidRPr="00E428AC" w:rsidRDefault="00E428AC" w:rsidP="00E428AC">
            <w:pPr>
              <w:spacing w:after="0" w:line="240" w:lineRule="auto"/>
              <w:jc w:val="both"/>
              <w:rPr>
                <w:rFonts w:eastAsia="Times New Roman" w:cs="Calibri"/>
                <w:color w:val="000000"/>
                <w:sz w:val="14"/>
                <w:szCs w:val="14"/>
                <w:lang w:eastAsia="es-MX"/>
              </w:rPr>
            </w:pPr>
            <w:r w:rsidRPr="00E428AC">
              <w:rPr>
                <w:rFonts w:eastAsia="Times New Roman" w:cs="Calibri"/>
                <w:color w:val="000000"/>
                <w:sz w:val="14"/>
                <w:szCs w:val="14"/>
                <w:lang w:eastAsia="es-MX"/>
              </w:rPr>
              <w:t>Otros Derechos a recibir Bienes o Servicios a Corto Plazo</w:t>
            </w:r>
          </w:p>
        </w:tc>
        <w:tc>
          <w:tcPr>
            <w:tcW w:w="1197" w:type="dxa"/>
            <w:tcBorders>
              <w:top w:val="nil"/>
              <w:left w:val="nil"/>
              <w:bottom w:val="single" w:sz="4" w:space="0" w:color="auto"/>
              <w:right w:val="single" w:sz="4" w:space="0" w:color="auto"/>
            </w:tcBorders>
            <w:shd w:val="clear" w:color="auto" w:fill="auto"/>
            <w:vAlign w:val="center"/>
            <w:hideMark/>
          </w:tcPr>
          <w:p w14:paraId="46510000"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0</w:t>
            </w:r>
          </w:p>
        </w:tc>
        <w:tc>
          <w:tcPr>
            <w:tcW w:w="1039" w:type="dxa"/>
            <w:tcBorders>
              <w:top w:val="nil"/>
              <w:left w:val="nil"/>
              <w:bottom w:val="single" w:sz="4" w:space="0" w:color="auto"/>
              <w:right w:val="single" w:sz="4" w:space="0" w:color="auto"/>
            </w:tcBorders>
            <w:shd w:val="clear" w:color="auto" w:fill="auto"/>
            <w:vAlign w:val="center"/>
            <w:hideMark/>
          </w:tcPr>
          <w:p w14:paraId="2C79D425"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0</w:t>
            </w:r>
          </w:p>
        </w:tc>
        <w:tc>
          <w:tcPr>
            <w:tcW w:w="1100" w:type="dxa"/>
            <w:tcBorders>
              <w:top w:val="nil"/>
              <w:left w:val="nil"/>
              <w:bottom w:val="single" w:sz="4" w:space="0" w:color="auto"/>
              <w:right w:val="single" w:sz="4" w:space="0" w:color="auto"/>
            </w:tcBorders>
            <w:shd w:val="clear" w:color="auto" w:fill="auto"/>
            <w:vAlign w:val="center"/>
            <w:hideMark/>
          </w:tcPr>
          <w:p w14:paraId="58CC689B"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0</w:t>
            </w:r>
          </w:p>
        </w:tc>
        <w:tc>
          <w:tcPr>
            <w:tcW w:w="1134" w:type="dxa"/>
            <w:tcBorders>
              <w:top w:val="nil"/>
              <w:left w:val="nil"/>
              <w:bottom w:val="single" w:sz="4" w:space="0" w:color="auto"/>
              <w:right w:val="single" w:sz="4" w:space="0" w:color="auto"/>
            </w:tcBorders>
            <w:shd w:val="clear" w:color="auto" w:fill="auto"/>
            <w:vAlign w:val="center"/>
            <w:hideMark/>
          </w:tcPr>
          <w:p w14:paraId="34D5E1FE"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422,310,213</w:t>
            </w:r>
          </w:p>
        </w:tc>
        <w:tc>
          <w:tcPr>
            <w:tcW w:w="1080" w:type="dxa"/>
            <w:tcBorders>
              <w:top w:val="nil"/>
              <w:left w:val="nil"/>
              <w:bottom w:val="single" w:sz="4" w:space="0" w:color="auto"/>
              <w:right w:val="single" w:sz="4" w:space="0" w:color="auto"/>
            </w:tcBorders>
            <w:shd w:val="clear" w:color="auto" w:fill="auto"/>
            <w:vAlign w:val="center"/>
            <w:hideMark/>
          </w:tcPr>
          <w:p w14:paraId="0C4BA565" w14:textId="77777777" w:rsidR="00E428AC" w:rsidRPr="00E428AC" w:rsidRDefault="00E428AC" w:rsidP="00E428AC">
            <w:pPr>
              <w:spacing w:after="0" w:line="240" w:lineRule="auto"/>
              <w:jc w:val="right"/>
              <w:rPr>
                <w:rFonts w:eastAsia="Times New Roman" w:cs="Calibri"/>
                <w:sz w:val="14"/>
                <w:szCs w:val="14"/>
                <w:lang w:eastAsia="es-MX"/>
              </w:rPr>
            </w:pPr>
            <w:r w:rsidRPr="00E428AC">
              <w:rPr>
                <w:rFonts w:eastAsia="Times New Roman" w:cs="Calibri"/>
                <w:sz w:val="14"/>
                <w:szCs w:val="14"/>
                <w:lang w:eastAsia="es-MX"/>
              </w:rPr>
              <w:t>422,310,213</w:t>
            </w:r>
          </w:p>
        </w:tc>
      </w:tr>
      <w:tr w:rsidR="00E428AC" w:rsidRPr="0061352F" w14:paraId="6A5BB04F" w14:textId="77777777" w:rsidTr="0061352F">
        <w:trPr>
          <w:trHeight w:val="397"/>
        </w:trPr>
        <w:tc>
          <w:tcPr>
            <w:tcW w:w="3889" w:type="dxa"/>
            <w:tcBorders>
              <w:top w:val="nil"/>
              <w:left w:val="single" w:sz="4" w:space="0" w:color="auto"/>
              <w:bottom w:val="single" w:sz="4" w:space="0" w:color="auto"/>
              <w:right w:val="single" w:sz="4" w:space="0" w:color="auto"/>
            </w:tcBorders>
            <w:shd w:val="clear" w:color="000000" w:fill="DDC9A3"/>
            <w:vAlign w:val="center"/>
            <w:hideMark/>
          </w:tcPr>
          <w:p w14:paraId="2EEAA829" w14:textId="77777777" w:rsidR="00E428AC" w:rsidRPr="0061352F" w:rsidRDefault="00E428AC" w:rsidP="00E428AC">
            <w:pPr>
              <w:spacing w:after="0" w:line="240" w:lineRule="auto"/>
              <w:jc w:val="center"/>
              <w:rPr>
                <w:rFonts w:eastAsia="Times New Roman" w:cs="Calibri"/>
                <w:b/>
                <w:bCs/>
                <w:color w:val="000000"/>
                <w:sz w:val="16"/>
                <w:szCs w:val="14"/>
                <w:lang w:eastAsia="es-MX"/>
              </w:rPr>
            </w:pPr>
            <w:r w:rsidRPr="0061352F">
              <w:rPr>
                <w:rFonts w:eastAsia="Times New Roman" w:cs="Calibri"/>
                <w:b/>
                <w:bCs/>
                <w:color w:val="000000"/>
                <w:sz w:val="16"/>
                <w:szCs w:val="14"/>
                <w:lang w:eastAsia="es-MX"/>
              </w:rPr>
              <w:t>TOTAL</w:t>
            </w:r>
          </w:p>
        </w:tc>
        <w:tc>
          <w:tcPr>
            <w:tcW w:w="1197" w:type="dxa"/>
            <w:tcBorders>
              <w:top w:val="nil"/>
              <w:left w:val="nil"/>
              <w:bottom w:val="single" w:sz="4" w:space="0" w:color="auto"/>
              <w:right w:val="single" w:sz="4" w:space="0" w:color="auto"/>
            </w:tcBorders>
            <w:shd w:val="clear" w:color="000000" w:fill="DDC9A3"/>
            <w:vAlign w:val="center"/>
            <w:hideMark/>
          </w:tcPr>
          <w:p w14:paraId="7B41F280" w14:textId="77777777" w:rsidR="00E428AC" w:rsidRPr="0061352F" w:rsidRDefault="00E428AC" w:rsidP="00E428AC">
            <w:pPr>
              <w:spacing w:after="0" w:line="240" w:lineRule="auto"/>
              <w:jc w:val="right"/>
              <w:rPr>
                <w:rFonts w:eastAsia="Times New Roman" w:cs="Calibri"/>
                <w:b/>
                <w:bCs/>
                <w:color w:val="000000"/>
                <w:sz w:val="16"/>
                <w:szCs w:val="14"/>
                <w:lang w:eastAsia="es-MX"/>
              </w:rPr>
            </w:pPr>
            <w:r w:rsidRPr="0061352F">
              <w:rPr>
                <w:rFonts w:eastAsia="Times New Roman" w:cs="Calibri"/>
                <w:b/>
                <w:bCs/>
                <w:color w:val="000000"/>
                <w:sz w:val="16"/>
                <w:szCs w:val="14"/>
                <w:lang w:eastAsia="es-MX"/>
              </w:rPr>
              <w:t>74,577,117</w:t>
            </w:r>
          </w:p>
        </w:tc>
        <w:tc>
          <w:tcPr>
            <w:tcW w:w="1039" w:type="dxa"/>
            <w:tcBorders>
              <w:top w:val="nil"/>
              <w:left w:val="nil"/>
              <w:bottom w:val="single" w:sz="4" w:space="0" w:color="auto"/>
              <w:right w:val="single" w:sz="4" w:space="0" w:color="auto"/>
            </w:tcBorders>
            <w:shd w:val="clear" w:color="000000" w:fill="DDC9A3"/>
            <w:vAlign w:val="center"/>
            <w:hideMark/>
          </w:tcPr>
          <w:p w14:paraId="2C010EE3" w14:textId="77777777" w:rsidR="00E428AC" w:rsidRPr="0061352F" w:rsidRDefault="00E428AC" w:rsidP="00E428AC">
            <w:pPr>
              <w:spacing w:after="0" w:line="240" w:lineRule="auto"/>
              <w:jc w:val="right"/>
              <w:rPr>
                <w:rFonts w:eastAsia="Times New Roman" w:cs="Calibri"/>
                <w:b/>
                <w:bCs/>
                <w:color w:val="000000"/>
                <w:sz w:val="16"/>
                <w:szCs w:val="14"/>
                <w:lang w:eastAsia="es-MX"/>
              </w:rPr>
            </w:pPr>
            <w:r w:rsidRPr="0061352F">
              <w:rPr>
                <w:rFonts w:eastAsia="Times New Roman" w:cs="Calibri"/>
                <w:b/>
                <w:bCs/>
                <w:color w:val="000000"/>
                <w:sz w:val="16"/>
                <w:szCs w:val="14"/>
                <w:lang w:eastAsia="es-MX"/>
              </w:rPr>
              <w:t>27,745,466</w:t>
            </w:r>
          </w:p>
        </w:tc>
        <w:tc>
          <w:tcPr>
            <w:tcW w:w="1100" w:type="dxa"/>
            <w:tcBorders>
              <w:top w:val="nil"/>
              <w:left w:val="nil"/>
              <w:bottom w:val="single" w:sz="4" w:space="0" w:color="auto"/>
              <w:right w:val="single" w:sz="4" w:space="0" w:color="auto"/>
            </w:tcBorders>
            <w:shd w:val="clear" w:color="000000" w:fill="DDC9A3"/>
            <w:vAlign w:val="center"/>
            <w:hideMark/>
          </w:tcPr>
          <w:p w14:paraId="3FA4F401" w14:textId="77777777" w:rsidR="00E428AC" w:rsidRPr="0061352F" w:rsidRDefault="00E428AC" w:rsidP="00E428AC">
            <w:pPr>
              <w:spacing w:after="0" w:line="240" w:lineRule="auto"/>
              <w:jc w:val="right"/>
              <w:rPr>
                <w:rFonts w:eastAsia="Times New Roman" w:cs="Calibri"/>
                <w:b/>
                <w:bCs/>
                <w:color w:val="000000"/>
                <w:sz w:val="16"/>
                <w:szCs w:val="14"/>
                <w:lang w:eastAsia="es-MX"/>
              </w:rPr>
            </w:pPr>
            <w:r w:rsidRPr="0061352F">
              <w:rPr>
                <w:rFonts w:eastAsia="Times New Roman" w:cs="Calibri"/>
                <w:b/>
                <w:bCs/>
                <w:color w:val="000000"/>
                <w:sz w:val="16"/>
                <w:szCs w:val="14"/>
                <w:lang w:eastAsia="es-MX"/>
              </w:rPr>
              <w:t>12,553,274</w:t>
            </w:r>
          </w:p>
        </w:tc>
        <w:tc>
          <w:tcPr>
            <w:tcW w:w="1134" w:type="dxa"/>
            <w:tcBorders>
              <w:top w:val="nil"/>
              <w:left w:val="nil"/>
              <w:bottom w:val="single" w:sz="4" w:space="0" w:color="auto"/>
              <w:right w:val="single" w:sz="4" w:space="0" w:color="auto"/>
            </w:tcBorders>
            <w:shd w:val="clear" w:color="000000" w:fill="DDC9A3"/>
            <w:vAlign w:val="center"/>
            <w:hideMark/>
          </w:tcPr>
          <w:p w14:paraId="3631A687" w14:textId="77777777" w:rsidR="00E428AC" w:rsidRPr="0061352F" w:rsidRDefault="00E428AC" w:rsidP="00E428AC">
            <w:pPr>
              <w:spacing w:after="0" w:line="240" w:lineRule="auto"/>
              <w:jc w:val="right"/>
              <w:rPr>
                <w:rFonts w:eastAsia="Times New Roman" w:cs="Calibri"/>
                <w:b/>
                <w:bCs/>
                <w:color w:val="000000"/>
                <w:sz w:val="16"/>
                <w:szCs w:val="14"/>
                <w:lang w:eastAsia="es-MX"/>
              </w:rPr>
            </w:pPr>
            <w:r w:rsidRPr="0061352F">
              <w:rPr>
                <w:rFonts w:eastAsia="Times New Roman" w:cs="Calibri"/>
                <w:b/>
                <w:bCs/>
                <w:color w:val="000000"/>
                <w:sz w:val="16"/>
                <w:szCs w:val="14"/>
                <w:lang w:eastAsia="es-MX"/>
              </w:rPr>
              <w:t>565,941,176</w:t>
            </w:r>
          </w:p>
        </w:tc>
        <w:tc>
          <w:tcPr>
            <w:tcW w:w="1080" w:type="dxa"/>
            <w:tcBorders>
              <w:top w:val="nil"/>
              <w:left w:val="nil"/>
              <w:bottom w:val="single" w:sz="4" w:space="0" w:color="auto"/>
              <w:right w:val="single" w:sz="4" w:space="0" w:color="auto"/>
            </w:tcBorders>
            <w:shd w:val="clear" w:color="000000" w:fill="DDC9A3"/>
            <w:vAlign w:val="center"/>
            <w:hideMark/>
          </w:tcPr>
          <w:p w14:paraId="29CE4C8E" w14:textId="77777777" w:rsidR="00E428AC" w:rsidRPr="0061352F" w:rsidRDefault="00E428AC" w:rsidP="00E428AC">
            <w:pPr>
              <w:spacing w:after="0" w:line="240" w:lineRule="auto"/>
              <w:jc w:val="right"/>
              <w:rPr>
                <w:rFonts w:eastAsia="Times New Roman" w:cs="Calibri"/>
                <w:b/>
                <w:bCs/>
                <w:color w:val="000000"/>
                <w:sz w:val="16"/>
                <w:szCs w:val="14"/>
                <w:lang w:eastAsia="es-MX"/>
              </w:rPr>
            </w:pPr>
            <w:r w:rsidRPr="0061352F">
              <w:rPr>
                <w:rFonts w:eastAsia="Times New Roman" w:cs="Calibri"/>
                <w:b/>
                <w:bCs/>
                <w:color w:val="000000"/>
                <w:sz w:val="16"/>
                <w:szCs w:val="14"/>
                <w:lang w:eastAsia="es-MX"/>
              </w:rPr>
              <w:t>680,817,034</w:t>
            </w:r>
          </w:p>
        </w:tc>
      </w:tr>
    </w:tbl>
    <w:p w14:paraId="7DF853D8" w14:textId="77777777" w:rsidR="00942D6E" w:rsidRPr="005F45A3" w:rsidRDefault="00942D6E" w:rsidP="00A0739A">
      <w:pPr>
        <w:pStyle w:val="Texto"/>
        <w:spacing w:after="0" w:line="240" w:lineRule="exact"/>
        <w:ind w:firstLine="0"/>
        <w:rPr>
          <w:rFonts w:asciiTheme="minorHAnsi" w:eastAsia="Calibri" w:hAnsiTheme="minorHAnsi" w:cstheme="minorHAnsi"/>
          <w:sz w:val="20"/>
          <w:lang w:val="es-MX" w:eastAsia="en-US"/>
        </w:rPr>
      </w:pPr>
    </w:p>
    <w:p w14:paraId="6B13AB18" w14:textId="237F4900" w:rsidR="00570D09" w:rsidRDefault="00570D09" w:rsidP="00570D09">
      <w:pPr>
        <w:pStyle w:val="Texto"/>
        <w:spacing w:after="0" w:line="240" w:lineRule="exact"/>
        <w:ind w:left="426" w:firstLine="0"/>
        <w:rPr>
          <w:rFonts w:asciiTheme="minorHAnsi" w:eastAsia="Calibri" w:hAnsiTheme="minorHAnsi" w:cstheme="minorHAnsi"/>
          <w:szCs w:val="18"/>
          <w:lang w:val="es-MX" w:eastAsia="en-US"/>
        </w:rPr>
      </w:pPr>
      <w:r w:rsidRPr="005F45A3">
        <w:rPr>
          <w:rFonts w:asciiTheme="minorHAnsi" w:eastAsia="Calibri" w:hAnsiTheme="minorHAnsi" w:cstheme="minorHAnsi"/>
          <w:szCs w:val="18"/>
          <w:lang w:val="es-MX" w:eastAsia="en-US"/>
        </w:rPr>
        <w:t xml:space="preserve">El saldo más importante corresponde al Fideicomiso </w:t>
      </w:r>
      <w:r>
        <w:rPr>
          <w:rFonts w:asciiTheme="minorHAnsi" w:eastAsia="Calibri" w:hAnsiTheme="minorHAnsi" w:cstheme="minorHAnsi"/>
          <w:szCs w:val="18"/>
          <w:lang w:val="es-MX" w:eastAsia="en-US"/>
        </w:rPr>
        <w:t>del Puente Internacional Río Bravo-</w:t>
      </w:r>
      <w:r w:rsidRPr="005F45A3">
        <w:rPr>
          <w:rFonts w:asciiTheme="minorHAnsi" w:eastAsia="Calibri" w:hAnsiTheme="minorHAnsi" w:cstheme="minorHAnsi"/>
          <w:szCs w:val="18"/>
          <w:lang w:val="es-MX" w:eastAsia="en-US"/>
        </w:rPr>
        <w:t>Donna por el importe de $422,310,213</w:t>
      </w:r>
      <w:r w:rsidRPr="00570D09">
        <w:rPr>
          <w:rFonts w:asciiTheme="minorHAnsi" w:eastAsia="Calibri" w:hAnsiTheme="minorHAnsi" w:cstheme="minorHAnsi"/>
          <w:szCs w:val="18"/>
          <w:lang w:val="es-MX" w:eastAsia="en-US"/>
        </w:rPr>
        <w:t>, integrado por las acciones fideicomitadas representativas del capital social de COPA, S.A. que fueron incorporadas al patrimonio del Fideicomiso y como lo establece el contrato de fideicomiso los recursos propios fueron reconocidos como aportación de COPA, S.A, así mismo el saldo actual corresponde a productos de la actualización del capital de riesgo.</w:t>
      </w:r>
    </w:p>
    <w:p w14:paraId="620986DB" w14:textId="77777777" w:rsidR="008C216A" w:rsidRPr="005F45A3" w:rsidRDefault="008C216A" w:rsidP="00A0739A">
      <w:pPr>
        <w:pStyle w:val="Texto"/>
        <w:spacing w:after="0" w:line="240" w:lineRule="exact"/>
        <w:ind w:firstLine="0"/>
        <w:rPr>
          <w:rFonts w:asciiTheme="minorHAnsi" w:eastAsia="Calibri" w:hAnsiTheme="minorHAnsi" w:cstheme="minorHAnsi"/>
          <w:szCs w:val="18"/>
          <w:lang w:val="es-MX" w:eastAsia="en-US"/>
        </w:rPr>
      </w:pPr>
    </w:p>
    <w:p w14:paraId="22876B4F" w14:textId="77777777" w:rsidR="00F52172" w:rsidRPr="00686668" w:rsidRDefault="00F52172" w:rsidP="00C250D2">
      <w:pPr>
        <w:pStyle w:val="Texto"/>
        <w:spacing w:after="0" w:line="240" w:lineRule="exact"/>
        <w:ind w:firstLine="0"/>
        <w:rPr>
          <w:rFonts w:asciiTheme="minorHAnsi" w:hAnsiTheme="minorHAnsi" w:cstheme="minorHAnsi"/>
          <w:b/>
          <w:i/>
          <w:sz w:val="20"/>
          <w:szCs w:val="18"/>
          <w:u w:val="single"/>
        </w:rPr>
      </w:pPr>
      <w:r w:rsidRPr="00686668">
        <w:rPr>
          <w:rFonts w:asciiTheme="minorHAnsi" w:hAnsiTheme="minorHAnsi" w:cstheme="minorHAnsi"/>
          <w:b/>
          <w:i/>
          <w:sz w:val="20"/>
          <w:szCs w:val="18"/>
          <w:u w:val="single"/>
        </w:rPr>
        <w:t xml:space="preserve">BIENES DISPONIBLES PARA SU </w:t>
      </w:r>
      <w:r w:rsidR="007D099F" w:rsidRPr="00686668">
        <w:rPr>
          <w:rFonts w:asciiTheme="minorHAnsi" w:hAnsiTheme="minorHAnsi" w:cstheme="minorHAnsi"/>
          <w:b/>
          <w:i/>
          <w:sz w:val="20"/>
          <w:szCs w:val="18"/>
          <w:u w:val="single"/>
        </w:rPr>
        <w:t>TRANSFORMACIÓN</w:t>
      </w:r>
      <w:r w:rsidRPr="00686668">
        <w:rPr>
          <w:rFonts w:asciiTheme="minorHAnsi" w:hAnsiTheme="minorHAnsi" w:cstheme="minorHAnsi"/>
          <w:b/>
          <w:i/>
          <w:sz w:val="20"/>
          <w:szCs w:val="18"/>
          <w:u w:val="single"/>
        </w:rPr>
        <w:t xml:space="preserve"> O CONSUMO (Inventarios)   </w:t>
      </w:r>
    </w:p>
    <w:p w14:paraId="402C70D1" w14:textId="77777777" w:rsidR="005F788C" w:rsidRPr="005F45A3" w:rsidRDefault="005F788C" w:rsidP="00A0739A">
      <w:pPr>
        <w:pStyle w:val="Texto"/>
        <w:spacing w:after="0" w:line="240" w:lineRule="exact"/>
        <w:ind w:firstLine="0"/>
        <w:rPr>
          <w:rFonts w:asciiTheme="minorHAnsi" w:hAnsiTheme="minorHAnsi" w:cstheme="minorHAnsi"/>
          <w:szCs w:val="18"/>
        </w:rPr>
      </w:pPr>
    </w:p>
    <w:p w14:paraId="03F0E7D5" w14:textId="77777777" w:rsidR="005F788C" w:rsidRPr="005F45A3" w:rsidRDefault="00866442" w:rsidP="00B46FFA">
      <w:pPr>
        <w:pStyle w:val="Texto"/>
        <w:numPr>
          <w:ilvl w:val="0"/>
          <w:numId w:val="20"/>
        </w:numPr>
        <w:spacing w:after="0" w:line="240" w:lineRule="exact"/>
        <w:ind w:left="567" w:hanging="283"/>
        <w:rPr>
          <w:rFonts w:asciiTheme="minorHAnsi" w:hAnsiTheme="minorHAnsi" w:cstheme="minorHAnsi"/>
          <w:sz w:val="20"/>
          <w:szCs w:val="18"/>
        </w:rPr>
      </w:pPr>
      <w:r w:rsidRPr="005F45A3">
        <w:rPr>
          <w:rFonts w:asciiTheme="minorHAnsi" w:hAnsiTheme="minorHAnsi" w:cstheme="minorHAnsi"/>
          <w:sz w:val="20"/>
          <w:szCs w:val="18"/>
        </w:rPr>
        <w:t>Inventarios:  No Aplica</w:t>
      </w:r>
    </w:p>
    <w:p w14:paraId="4BFA8B0E" w14:textId="77777777" w:rsidR="005F788C" w:rsidRPr="005F45A3" w:rsidRDefault="005F788C" w:rsidP="00DB3A9A">
      <w:pPr>
        <w:pStyle w:val="Texto"/>
        <w:spacing w:after="0" w:line="240" w:lineRule="exact"/>
        <w:ind w:firstLine="0"/>
        <w:rPr>
          <w:rFonts w:asciiTheme="minorHAnsi" w:hAnsiTheme="minorHAnsi" w:cstheme="minorHAnsi"/>
          <w:szCs w:val="18"/>
        </w:rPr>
      </w:pPr>
    </w:p>
    <w:p w14:paraId="65B56629" w14:textId="77777777" w:rsidR="001B5AEB" w:rsidRPr="005F45A3" w:rsidRDefault="001B5AEB" w:rsidP="00B46FFA">
      <w:pPr>
        <w:pStyle w:val="Texto"/>
        <w:numPr>
          <w:ilvl w:val="0"/>
          <w:numId w:val="20"/>
        </w:numPr>
        <w:spacing w:after="0" w:line="240" w:lineRule="exact"/>
        <w:ind w:left="567" w:hanging="283"/>
        <w:rPr>
          <w:rFonts w:asciiTheme="minorHAnsi" w:hAnsiTheme="minorHAnsi" w:cstheme="minorHAnsi"/>
          <w:sz w:val="20"/>
          <w:szCs w:val="18"/>
        </w:rPr>
      </w:pPr>
      <w:r w:rsidRPr="005F45A3">
        <w:rPr>
          <w:rFonts w:asciiTheme="minorHAnsi" w:hAnsiTheme="minorHAnsi" w:cstheme="minorHAnsi"/>
          <w:sz w:val="20"/>
          <w:szCs w:val="18"/>
        </w:rPr>
        <w:t>Almacén:  No Aplica</w:t>
      </w:r>
    </w:p>
    <w:p w14:paraId="7B1D1712" w14:textId="77777777" w:rsidR="005F788C" w:rsidRPr="00367F16" w:rsidRDefault="005F788C" w:rsidP="00A0739A">
      <w:pPr>
        <w:pStyle w:val="Texto"/>
        <w:spacing w:after="0" w:line="240" w:lineRule="exact"/>
        <w:ind w:firstLine="0"/>
        <w:rPr>
          <w:rFonts w:asciiTheme="minorHAnsi" w:hAnsiTheme="minorHAnsi" w:cstheme="minorHAnsi"/>
          <w:sz w:val="14"/>
          <w:szCs w:val="18"/>
        </w:rPr>
      </w:pPr>
    </w:p>
    <w:p w14:paraId="10436D66" w14:textId="77777777" w:rsidR="0050250A" w:rsidRPr="00367F16" w:rsidRDefault="0050250A" w:rsidP="00A0739A">
      <w:pPr>
        <w:pStyle w:val="Texto"/>
        <w:spacing w:after="0" w:line="240" w:lineRule="exact"/>
        <w:ind w:firstLine="0"/>
        <w:rPr>
          <w:rFonts w:asciiTheme="minorHAnsi" w:hAnsiTheme="minorHAnsi" w:cstheme="minorHAnsi"/>
          <w:sz w:val="14"/>
          <w:szCs w:val="18"/>
        </w:rPr>
      </w:pPr>
    </w:p>
    <w:p w14:paraId="05C89742" w14:textId="77777777" w:rsidR="0011306D" w:rsidRPr="00686668" w:rsidRDefault="0011306D" w:rsidP="003D7ABC">
      <w:pPr>
        <w:pStyle w:val="Texto"/>
        <w:spacing w:after="0" w:line="240" w:lineRule="exact"/>
        <w:ind w:firstLine="0"/>
        <w:rPr>
          <w:rFonts w:asciiTheme="minorHAnsi" w:hAnsiTheme="minorHAnsi" w:cstheme="minorHAnsi"/>
          <w:b/>
          <w:i/>
          <w:sz w:val="20"/>
          <w:szCs w:val="18"/>
          <w:u w:val="single"/>
        </w:rPr>
      </w:pPr>
      <w:r w:rsidRPr="00686668">
        <w:rPr>
          <w:rFonts w:asciiTheme="minorHAnsi" w:hAnsiTheme="minorHAnsi" w:cstheme="minorHAnsi"/>
          <w:b/>
          <w:i/>
          <w:sz w:val="20"/>
          <w:szCs w:val="18"/>
          <w:u w:val="single"/>
        </w:rPr>
        <w:t xml:space="preserve">INVERSIONES FINANCIERAS A LARGO PLAZO </w:t>
      </w:r>
    </w:p>
    <w:p w14:paraId="7B5F711A" w14:textId="77777777" w:rsidR="00CE51A6" w:rsidRPr="005F45A3" w:rsidRDefault="00CE51A6" w:rsidP="00A0739A">
      <w:pPr>
        <w:pStyle w:val="Texto"/>
        <w:spacing w:after="0" w:line="240" w:lineRule="exact"/>
        <w:ind w:firstLine="0"/>
        <w:rPr>
          <w:rFonts w:asciiTheme="minorHAnsi" w:hAnsiTheme="minorHAnsi" w:cstheme="minorHAnsi"/>
          <w:szCs w:val="18"/>
        </w:rPr>
      </w:pPr>
    </w:p>
    <w:p w14:paraId="1A569FFE" w14:textId="4732128F" w:rsidR="006D62A5" w:rsidRDefault="00AF13BC" w:rsidP="00B46FFA">
      <w:pPr>
        <w:pStyle w:val="Texto"/>
        <w:numPr>
          <w:ilvl w:val="0"/>
          <w:numId w:val="22"/>
        </w:numPr>
        <w:spacing w:after="0" w:line="276" w:lineRule="auto"/>
        <w:ind w:left="567" w:hanging="283"/>
        <w:rPr>
          <w:rFonts w:asciiTheme="minorHAnsi" w:hAnsiTheme="minorHAnsi" w:cstheme="minorHAnsi"/>
          <w:szCs w:val="18"/>
          <w:lang w:val="es-MX"/>
        </w:rPr>
      </w:pPr>
      <w:r w:rsidRPr="005F45A3">
        <w:rPr>
          <w:rFonts w:asciiTheme="minorHAnsi" w:hAnsiTheme="minorHAnsi" w:cstheme="minorHAnsi"/>
          <w:szCs w:val="18"/>
        </w:rPr>
        <w:t xml:space="preserve">La cuenta Inversiones Financieras </w:t>
      </w:r>
      <w:r w:rsidRPr="005F45A3">
        <w:rPr>
          <w:rFonts w:asciiTheme="minorHAnsi" w:hAnsiTheme="minorHAnsi" w:cstheme="minorHAnsi"/>
          <w:szCs w:val="18"/>
          <w:lang w:val="es-MX"/>
        </w:rPr>
        <w:t xml:space="preserve">está integrada en el rubro de Títulos y Valores a Largo Plazo </w:t>
      </w:r>
      <w:r w:rsidR="0000377F" w:rsidRPr="005F45A3">
        <w:rPr>
          <w:rFonts w:asciiTheme="minorHAnsi" w:hAnsiTheme="minorHAnsi" w:cstheme="minorHAnsi"/>
          <w:szCs w:val="18"/>
          <w:lang w:val="es-MX"/>
        </w:rPr>
        <w:t>por la cantidad de $72,829,</w:t>
      </w:r>
      <w:r w:rsidR="0056467D">
        <w:rPr>
          <w:rFonts w:asciiTheme="minorHAnsi" w:hAnsiTheme="minorHAnsi" w:cstheme="minorHAnsi"/>
          <w:szCs w:val="18"/>
          <w:lang w:val="es-MX"/>
        </w:rPr>
        <w:t xml:space="preserve">060, los Fideicomisos de Deuda $474,208,344 </w:t>
      </w:r>
      <w:r w:rsidR="0000377F" w:rsidRPr="005F45A3">
        <w:rPr>
          <w:rFonts w:asciiTheme="minorHAnsi" w:hAnsiTheme="minorHAnsi" w:cstheme="minorHAnsi"/>
          <w:szCs w:val="18"/>
          <w:lang w:val="es-MX"/>
        </w:rPr>
        <w:t xml:space="preserve"> </w:t>
      </w:r>
      <w:r w:rsidRPr="005F45A3">
        <w:rPr>
          <w:rFonts w:asciiTheme="minorHAnsi" w:hAnsiTheme="minorHAnsi" w:cstheme="minorHAnsi"/>
          <w:szCs w:val="18"/>
          <w:lang w:val="es-MX"/>
        </w:rPr>
        <w:t>y</w:t>
      </w:r>
      <w:r w:rsidR="0000377F" w:rsidRPr="005F45A3">
        <w:rPr>
          <w:rFonts w:asciiTheme="minorHAnsi" w:hAnsiTheme="minorHAnsi" w:cstheme="minorHAnsi"/>
          <w:szCs w:val="18"/>
          <w:lang w:val="es-MX"/>
        </w:rPr>
        <w:t xml:space="preserve"> los fideicomisos</w:t>
      </w:r>
      <w:r w:rsidRPr="005F45A3">
        <w:rPr>
          <w:rFonts w:asciiTheme="minorHAnsi" w:hAnsiTheme="minorHAnsi" w:cstheme="minorHAnsi"/>
          <w:szCs w:val="18"/>
          <w:lang w:val="es-MX"/>
        </w:rPr>
        <w:t xml:space="preserve"> sin estructura</w:t>
      </w:r>
      <w:r w:rsidR="0000377F" w:rsidRPr="005F45A3">
        <w:rPr>
          <w:rFonts w:asciiTheme="minorHAnsi" w:hAnsiTheme="minorHAnsi" w:cstheme="minorHAnsi"/>
          <w:szCs w:val="18"/>
          <w:lang w:val="es-MX"/>
        </w:rPr>
        <w:t xml:space="preserve"> $</w:t>
      </w:r>
      <w:r w:rsidR="0056467D">
        <w:rPr>
          <w:rFonts w:asciiTheme="minorHAnsi" w:hAnsiTheme="minorHAnsi" w:cstheme="minorHAnsi"/>
          <w:szCs w:val="18"/>
          <w:lang w:val="es-MX"/>
        </w:rPr>
        <w:t>1,</w:t>
      </w:r>
      <w:r w:rsidR="00F35FD0">
        <w:rPr>
          <w:rFonts w:asciiTheme="minorHAnsi" w:hAnsiTheme="minorHAnsi" w:cstheme="minorHAnsi"/>
          <w:szCs w:val="18"/>
          <w:lang w:val="es-MX"/>
        </w:rPr>
        <w:t>004,122,72</w:t>
      </w:r>
      <w:r w:rsidR="00C34A0D">
        <w:rPr>
          <w:rFonts w:asciiTheme="minorHAnsi" w:hAnsiTheme="minorHAnsi" w:cstheme="minorHAnsi"/>
          <w:szCs w:val="18"/>
          <w:lang w:val="es-MX"/>
        </w:rPr>
        <w:t>5</w:t>
      </w:r>
      <w:r w:rsidR="00E00968">
        <w:rPr>
          <w:rFonts w:asciiTheme="minorHAnsi" w:hAnsiTheme="minorHAnsi" w:cstheme="minorHAnsi"/>
          <w:szCs w:val="18"/>
          <w:lang w:val="es-MX"/>
        </w:rPr>
        <w:t>,</w:t>
      </w:r>
      <w:r w:rsidR="00684777">
        <w:rPr>
          <w:rFonts w:asciiTheme="minorHAnsi" w:hAnsiTheme="minorHAnsi" w:cstheme="minorHAnsi"/>
          <w:szCs w:val="18"/>
          <w:lang w:val="es-MX"/>
        </w:rPr>
        <w:t xml:space="preserve"> </w:t>
      </w:r>
      <w:r w:rsidRPr="005F45A3">
        <w:rPr>
          <w:rFonts w:asciiTheme="minorHAnsi" w:hAnsiTheme="minorHAnsi" w:cstheme="minorHAnsi"/>
          <w:szCs w:val="18"/>
          <w:lang w:val="es-MX"/>
        </w:rPr>
        <w:t xml:space="preserve">que </w:t>
      </w:r>
      <w:r w:rsidR="00824880" w:rsidRPr="005F45A3">
        <w:rPr>
          <w:rFonts w:asciiTheme="minorHAnsi" w:hAnsiTheme="minorHAnsi" w:cstheme="minorHAnsi"/>
          <w:szCs w:val="18"/>
          <w:lang w:val="es-MX"/>
        </w:rPr>
        <w:t xml:space="preserve">en total </w:t>
      </w:r>
      <w:r w:rsidRPr="005F45A3">
        <w:rPr>
          <w:rFonts w:asciiTheme="minorHAnsi" w:hAnsiTheme="minorHAnsi" w:cstheme="minorHAnsi"/>
          <w:szCs w:val="18"/>
          <w:lang w:val="es-MX"/>
        </w:rPr>
        <w:t>ascienden a $1</w:t>
      </w:r>
      <w:r w:rsidR="00661547" w:rsidRPr="005F45A3">
        <w:rPr>
          <w:rFonts w:asciiTheme="minorHAnsi" w:hAnsiTheme="minorHAnsi" w:cstheme="minorHAnsi"/>
          <w:szCs w:val="18"/>
          <w:lang w:val="es-MX"/>
        </w:rPr>
        <w:t>,</w:t>
      </w:r>
      <w:r w:rsidR="0056467D">
        <w:rPr>
          <w:rFonts w:asciiTheme="minorHAnsi" w:hAnsiTheme="minorHAnsi" w:cstheme="minorHAnsi"/>
          <w:szCs w:val="18"/>
          <w:lang w:val="es-MX"/>
        </w:rPr>
        <w:t>478,</w:t>
      </w:r>
      <w:r w:rsidR="00F35FD0">
        <w:rPr>
          <w:rFonts w:asciiTheme="minorHAnsi" w:hAnsiTheme="minorHAnsi" w:cstheme="minorHAnsi"/>
          <w:szCs w:val="18"/>
          <w:lang w:val="es-MX"/>
        </w:rPr>
        <w:t>331,069</w:t>
      </w:r>
      <w:r w:rsidR="00E00968">
        <w:rPr>
          <w:rFonts w:asciiTheme="minorHAnsi" w:hAnsiTheme="minorHAnsi" w:cstheme="minorHAnsi"/>
          <w:szCs w:val="18"/>
          <w:lang w:val="es-MX"/>
        </w:rPr>
        <w:t>,</w:t>
      </w:r>
      <w:r w:rsidRPr="005F45A3">
        <w:rPr>
          <w:rFonts w:asciiTheme="minorHAnsi" w:hAnsiTheme="minorHAnsi" w:cstheme="minorHAnsi"/>
          <w:szCs w:val="18"/>
          <w:lang w:val="es-MX"/>
        </w:rPr>
        <w:t xml:space="preserve"> y que a continuación se detallan:</w:t>
      </w:r>
      <w:r w:rsidR="0072609E" w:rsidRPr="005F45A3">
        <w:rPr>
          <w:rFonts w:asciiTheme="minorHAnsi" w:hAnsiTheme="minorHAnsi" w:cstheme="minorHAnsi"/>
          <w:szCs w:val="18"/>
          <w:lang w:val="es-MX"/>
        </w:rPr>
        <w:t xml:space="preserve">  </w:t>
      </w:r>
    </w:p>
    <w:p w14:paraId="1782E025" w14:textId="0844A3E6" w:rsidR="0072609E" w:rsidRDefault="0072609E" w:rsidP="006D62A5">
      <w:pPr>
        <w:pStyle w:val="Texto"/>
        <w:spacing w:after="0" w:line="276" w:lineRule="auto"/>
        <w:ind w:left="567" w:firstLine="0"/>
        <w:rPr>
          <w:rFonts w:asciiTheme="minorHAnsi" w:hAnsiTheme="minorHAnsi" w:cstheme="minorHAnsi"/>
          <w:szCs w:val="18"/>
          <w:lang w:val="es-MX"/>
        </w:rPr>
      </w:pPr>
      <w:r w:rsidRPr="005F45A3">
        <w:rPr>
          <w:rFonts w:asciiTheme="minorHAnsi" w:hAnsiTheme="minorHAnsi" w:cstheme="minorHAnsi"/>
          <w:szCs w:val="18"/>
          <w:lang w:val="es-MX"/>
        </w:rPr>
        <w:t xml:space="preserve">  </w:t>
      </w:r>
    </w:p>
    <w:tbl>
      <w:tblPr>
        <w:tblW w:w="7194" w:type="dxa"/>
        <w:tblInd w:w="597" w:type="dxa"/>
        <w:tblCellMar>
          <w:left w:w="70" w:type="dxa"/>
          <w:right w:w="70" w:type="dxa"/>
        </w:tblCellMar>
        <w:tblLook w:val="04A0" w:firstRow="1" w:lastRow="0" w:firstColumn="1" w:lastColumn="0" w:noHBand="0" w:noVBand="1"/>
      </w:tblPr>
      <w:tblGrid>
        <w:gridCol w:w="5068"/>
        <w:gridCol w:w="2126"/>
      </w:tblGrid>
      <w:tr w:rsidR="00C56022" w:rsidRPr="00C56022" w14:paraId="3207503B" w14:textId="77777777" w:rsidTr="0061352F">
        <w:trPr>
          <w:trHeight w:val="340"/>
        </w:trPr>
        <w:tc>
          <w:tcPr>
            <w:tcW w:w="5068"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4F546312" w14:textId="77777777" w:rsidR="00C56022" w:rsidRPr="00C56022" w:rsidRDefault="00C56022" w:rsidP="00C56022">
            <w:pPr>
              <w:spacing w:after="0" w:line="240" w:lineRule="auto"/>
              <w:jc w:val="center"/>
              <w:rPr>
                <w:rFonts w:eastAsia="Times New Roman" w:cs="Calibri"/>
                <w:b/>
                <w:bCs/>
                <w:color w:val="FFFFFF"/>
                <w:sz w:val="16"/>
                <w:szCs w:val="16"/>
                <w:lang w:eastAsia="es-MX"/>
              </w:rPr>
            </w:pPr>
            <w:r w:rsidRPr="00C56022">
              <w:rPr>
                <w:rFonts w:eastAsia="Times New Roman" w:cs="Calibri"/>
                <w:b/>
                <w:bCs/>
                <w:color w:val="FFFFFF"/>
                <w:sz w:val="16"/>
                <w:szCs w:val="16"/>
                <w:lang w:eastAsia="es-MX"/>
              </w:rPr>
              <w:t>Títulos y Valores a Largo Plazo</w:t>
            </w:r>
          </w:p>
        </w:tc>
        <w:tc>
          <w:tcPr>
            <w:tcW w:w="2126" w:type="dxa"/>
            <w:tcBorders>
              <w:top w:val="single" w:sz="4" w:space="0" w:color="auto"/>
              <w:left w:val="nil"/>
              <w:bottom w:val="single" w:sz="4" w:space="0" w:color="auto"/>
              <w:right w:val="single" w:sz="4" w:space="0" w:color="auto"/>
            </w:tcBorders>
            <w:shd w:val="clear" w:color="000000" w:fill="AB0033"/>
            <w:vAlign w:val="center"/>
            <w:hideMark/>
          </w:tcPr>
          <w:p w14:paraId="73698459" w14:textId="77777777" w:rsidR="00C56022" w:rsidRPr="00C56022" w:rsidRDefault="00C56022" w:rsidP="00C56022">
            <w:pPr>
              <w:spacing w:after="0" w:line="240" w:lineRule="auto"/>
              <w:jc w:val="center"/>
              <w:rPr>
                <w:rFonts w:eastAsia="Times New Roman" w:cs="Calibri"/>
                <w:b/>
                <w:bCs/>
                <w:color w:val="FFFFFF"/>
                <w:sz w:val="16"/>
                <w:szCs w:val="16"/>
                <w:lang w:eastAsia="es-MX"/>
              </w:rPr>
            </w:pPr>
            <w:r w:rsidRPr="00C56022">
              <w:rPr>
                <w:rFonts w:eastAsia="Times New Roman" w:cs="Calibri"/>
                <w:b/>
                <w:bCs/>
                <w:color w:val="FFFFFF"/>
                <w:sz w:val="16"/>
                <w:szCs w:val="16"/>
                <w:lang w:eastAsia="es-MX"/>
              </w:rPr>
              <w:t>Importe</w:t>
            </w:r>
          </w:p>
        </w:tc>
      </w:tr>
      <w:tr w:rsidR="00C56022" w:rsidRPr="00C56022" w14:paraId="4665F194" w14:textId="77777777" w:rsidTr="00367F16">
        <w:trPr>
          <w:trHeight w:val="312"/>
        </w:trPr>
        <w:tc>
          <w:tcPr>
            <w:tcW w:w="5068" w:type="dxa"/>
            <w:tcBorders>
              <w:top w:val="nil"/>
              <w:left w:val="single" w:sz="4" w:space="0" w:color="auto"/>
              <w:bottom w:val="single" w:sz="4" w:space="0" w:color="auto"/>
              <w:right w:val="single" w:sz="4" w:space="0" w:color="auto"/>
            </w:tcBorders>
            <w:shd w:val="clear" w:color="auto" w:fill="auto"/>
            <w:vAlign w:val="center"/>
            <w:hideMark/>
          </w:tcPr>
          <w:p w14:paraId="5D9DB1B0" w14:textId="77777777" w:rsidR="00C56022" w:rsidRPr="00C56022" w:rsidRDefault="00C56022" w:rsidP="00C56022">
            <w:pPr>
              <w:spacing w:after="0" w:line="240" w:lineRule="auto"/>
              <w:jc w:val="both"/>
              <w:rPr>
                <w:rFonts w:eastAsia="Times New Roman" w:cs="Calibri"/>
                <w:color w:val="000000"/>
                <w:sz w:val="14"/>
                <w:szCs w:val="14"/>
                <w:lang w:eastAsia="es-MX"/>
              </w:rPr>
            </w:pPr>
            <w:r w:rsidRPr="00C56022">
              <w:rPr>
                <w:rFonts w:eastAsia="Times New Roman" w:cs="Calibri"/>
                <w:color w:val="000000"/>
                <w:sz w:val="14"/>
                <w:szCs w:val="14"/>
                <w:lang w:eastAsia="es-MX"/>
              </w:rPr>
              <w:t>Canal Intracostero Tamaulipeco S.A de C.V.</w:t>
            </w:r>
          </w:p>
        </w:tc>
        <w:tc>
          <w:tcPr>
            <w:tcW w:w="2126" w:type="dxa"/>
            <w:tcBorders>
              <w:top w:val="nil"/>
              <w:left w:val="nil"/>
              <w:bottom w:val="single" w:sz="4" w:space="0" w:color="auto"/>
              <w:right w:val="single" w:sz="4" w:space="0" w:color="auto"/>
            </w:tcBorders>
            <w:shd w:val="clear" w:color="auto" w:fill="auto"/>
            <w:vAlign w:val="center"/>
            <w:hideMark/>
          </w:tcPr>
          <w:p w14:paraId="05B68701"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8,415,000</w:t>
            </w:r>
          </w:p>
        </w:tc>
      </w:tr>
      <w:tr w:rsidR="00C56022" w:rsidRPr="00C56022" w14:paraId="32D4EE45" w14:textId="77777777" w:rsidTr="00367F16">
        <w:trPr>
          <w:trHeight w:val="312"/>
        </w:trPr>
        <w:tc>
          <w:tcPr>
            <w:tcW w:w="5068" w:type="dxa"/>
            <w:tcBorders>
              <w:top w:val="nil"/>
              <w:left w:val="single" w:sz="4" w:space="0" w:color="auto"/>
              <w:bottom w:val="single" w:sz="4" w:space="0" w:color="auto"/>
              <w:right w:val="single" w:sz="4" w:space="0" w:color="auto"/>
            </w:tcBorders>
            <w:shd w:val="clear" w:color="auto" w:fill="auto"/>
            <w:vAlign w:val="center"/>
            <w:hideMark/>
          </w:tcPr>
          <w:p w14:paraId="4FF187CB" w14:textId="77777777" w:rsidR="00C56022" w:rsidRPr="00C56022" w:rsidRDefault="00C56022" w:rsidP="00C56022">
            <w:pPr>
              <w:spacing w:after="0" w:line="240" w:lineRule="auto"/>
              <w:jc w:val="both"/>
              <w:rPr>
                <w:rFonts w:eastAsia="Times New Roman" w:cs="Calibri"/>
                <w:color w:val="000000"/>
                <w:sz w:val="14"/>
                <w:szCs w:val="14"/>
                <w:lang w:eastAsia="es-MX"/>
              </w:rPr>
            </w:pPr>
            <w:r w:rsidRPr="00C56022">
              <w:rPr>
                <w:rFonts w:eastAsia="Times New Roman" w:cs="Calibri"/>
                <w:color w:val="000000"/>
                <w:sz w:val="14"/>
                <w:szCs w:val="14"/>
                <w:lang w:eastAsia="es-MX"/>
              </w:rPr>
              <w:t>Desarrollo Turístico de la Playa Miramar S.A. de C.V.</w:t>
            </w:r>
          </w:p>
        </w:tc>
        <w:tc>
          <w:tcPr>
            <w:tcW w:w="2126" w:type="dxa"/>
            <w:tcBorders>
              <w:top w:val="nil"/>
              <w:left w:val="nil"/>
              <w:bottom w:val="single" w:sz="4" w:space="0" w:color="auto"/>
              <w:right w:val="single" w:sz="4" w:space="0" w:color="auto"/>
            </w:tcBorders>
            <w:shd w:val="clear" w:color="auto" w:fill="auto"/>
            <w:vAlign w:val="center"/>
            <w:hideMark/>
          </w:tcPr>
          <w:p w14:paraId="7FF34617"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3,824,260</w:t>
            </w:r>
          </w:p>
        </w:tc>
      </w:tr>
      <w:tr w:rsidR="00C56022" w:rsidRPr="00C56022" w14:paraId="25BC7F48" w14:textId="77777777" w:rsidTr="00367F16">
        <w:trPr>
          <w:trHeight w:val="312"/>
        </w:trPr>
        <w:tc>
          <w:tcPr>
            <w:tcW w:w="5068" w:type="dxa"/>
            <w:tcBorders>
              <w:top w:val="nil"/>
              <w:left w:val="single" w:sz="4" w:space="0" w:color="auto"/>
              <w:bottom w:val="single" w:sz="4" w:space="0" w:color="auto"/>
              <w:right w:val="single" w:sz="4" w:space="0" w:color="auto"/>
            </w:tcBorders>
            <w:shd w:val="clear" w:color="auto" w:fill="auto"/>
            <w:vAlign w:val="center"/>
            <w:hideMark/>
          </w:tcPr>
          <w:p w14:paraId="2DC5A81B" w14:textId="77777777" w:rsidR="00C56022" w:rsidRPr="00C56022" w:rsidRDefault="00C56022" w:rsidP="00C56022">
            <w:pPr>
              <w:spacing w:after="0" w:line="240" w:lineRule="auto"/>
              <w:jc w:val="both"/>
              <w:rPr>
                <w:rFonts w:eastAsia="Times New Roman" w:cs="Calibri"/>
                <w:color w:val="000000"/>
                <w:sz w:val="14"/>
                <w:szCs w:val="14"/>
                <w:lang w:eastAsia="es-MX"/>
              </w:rPr>
            </w:pPr>
            <w:r w:rsidRPr="00C56022">
              <w:rPr>
                <w:rFonts w:eastAsia="Times New Roman" w:cs="Calibri"/>
                <w:color w:val="000000"/>
                <w:sz w:val="14"/>
                <w:szCs w:val="14"/>
                <w:lang w:eastAsia="es-MX"/>
              </w:rPr>
              <w:t>Club de Foot Ball Correcaminos UAT S.A. de C.V.</w:t>
            </w:r>
          </w:p>
        </w:tc>
        <w:tc>
          <w:tcPr>
            <w:tcW w:w="2126" w:type="dxa"/>
            <w:tcBorders>
              <w:top w:val="nil"/>
              <w:left w:val="nil"/>
              <w:bottom w:val="single" w:sz="4" w:space="0" w:color="auto"/>
              <w:right w:val="single" w:sz="4" w:space="0" w:color="auto"/>
            </w:tcBorders>
            <w:shd w:val="clear" w:color="auto" w:fill="auto"/>
            <w:vAlign w:val="center"/>
            <w:hideMark/>
          </w:tcPr>
          <w:p w14:paraId="12CEE1E3"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3,616,750</w:t>
            </w:r>
          </w:p>
        </w:tc>
      </w:tr>
      <w:tr w:rsidR="00C56022" w:rsidRPr="00C56022" w14:paraId="43FE084A" w14:textId="77777777" w:rsidTr="00367F16">
        <w:trPr>
          <w:trHeight w:val="312"/>
        </w:trPr>
        <w:tc>
          <w:tcPr>
            <w:tcW w:w="5068" w:type="dxa"/>
            <w:tcBorders>
              <w:top w:val="nil"/>
              <w:left w:val="single" w:sz="4" w:space="0" w:color="auto"/>
              <w:bottom w:val="single" w:sz="4" w:space="0" w:color="auto"/>
              <w:right w:val="single" w:sz="4" w:space="0" w:color="auto"/>
            </w:tcBorders>
            <w:shd w:val="clear" w:color="auto" w:fill="auto"/>
            <w:vAlign w:val="center"/>
            <w:hideMark/>
          </w:tcPr>
          <w:p w14:paraId="4B6BC160" w14:textId="77777777" w:rsidR="00C56022" w:rsidRPr="00C56022" w:rsidRDefault="00C56022" w:rsidP="00C56022">
            <w:pPr>
              <w:spacing w:after="0" w:line="240" w:lineRule="auto"/>
              <w:jc w:val="both"/>
              <w:rPr>
                <w:rFonts w:eastAsia="Times New Roman" w:cs="Calibri"/>
                <w:color w:val="000000"/>
                <w:sz w:val="14"/>
                <w:szCs w:val="14"/>
                <w:lang w:eastAsia="es-MX"/>
              </w:rPr>
            </w:pPr>
            <w:r w:rsidRPr="00C56022">
              <w:rPr>
                <w:rFonts w:eastAsia="Times New Roman" w:cs="Calibri"/>
                <w:color w:val="000000"/>
                <w:sz w:val="14"/>
                <w:szCs w:val="14"/>
                <w:lang w:eastAsia="es-MX"/>
              </w:rPr>
              <w:t>Administración Portuaria Integral de Tamaulipas  S,A, de C.V.</w:t>
            </w:r>
          </w:p>
        </w:tc>
        <w:tc>
          <w:tcPr>
            <w:tcW w:w="2126" w:type="dxa"/>
            <w:tcBorders>
              <w:top w:val="nil"/>
              <w:left w:val="nil"/>
              <w:bottom w:val="single" w:sz="4" w:space="0" w:color="auto"/>
              <w:right w:val="single" w:sz="4" w:space="0" w:color="auto"/>
            </w:tcBorders>
            <w:shd w:val="clear" w:color="auto" w:fill="auto"/>
            <w:vAlign w:val="center"/>
            <w:hideMark/>
          </w:tcPr>
          <w:p w14:paraId="7FE66001"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3,647,500</w:t>
            </w:r>
          </w:p>
        </w:tc>
      </w:tr>
      <w:tr w:rsidR="00C56022" w:rsidRPr="00C56022" w14:paraId="7D2FACE0" w14:textId="77777777" w:rsidTr="00367F16">
        <w:trPr>
          <w:trHeight w:val="312"/>
        </w:trPr>
        <w:tc>
          <w:tcPr>
            <w:tcW w:w="5068" w:type="dxa"/>
            <w:tcBorders>
              <w:top w:val="nil"/>
              <w:left w:val="single" w:sz="4" w:space="0" w:color="auto"/>
              <w:bottom w:val="single" w:sz="4" w:space="0" w:color="auto"/>
              <w:right w:val="single" w:sz="4" w:space="0" w:color="auto"/>
            </w:tcBorders>
            <w:shd w:val="clear" w:color="auto" w:fill="auto"/>
            <w:vAlign w:val="center"/>
            <w:hideMark/>
          </w:tcPr>
          <w:p w14:paraId="0390D787" w14:textId="77777777" w:rsidR="00C56022" w:rsidRPr="00C56022" w:rsidRDefault="00C56022" w:rsidP="00C56022">
            <w:pPr>
              <w:spacing w:after="0" w:line="240" w:lineRule="auto"/>
              <w:rPr>
                <w:rFonts w:eastAsia="Times New Roman" w:cs="Calibri"/>
                <w:color w:val="000000"/>
                <w:sz w:val="14"/>
                <w:szCs w:val="14"/>
                <w:lang w:eastAsia="es-MX"/>
              </w:rPr>
            </w:pPr>
            <w:r w:rsidRPr="00C56022">
              <w:rPr>
                <w:rFonts w:eastAsia="Times New Roman" w:cs="Calibri"/>
                <w:color w:val="000000"/>
                <w:sz w:val="14"/>
                <w:szCs w:val="14"/>
                <w:lang w:eastAsia="es-MX"/>
              </w:rPr>
              <w:t>Desarrollo Urbano del Puerto Industrial de Altamira S.A. de C.V.</w:t>
            </w:r>
          </w:p>
        </w:tc>
        <w:tc>
          <w:tcPr>
            <w:tcW w:w="2126" w:type="dxa"/>
            <w:tcBorders>
              <w:top w:val="nil"/>
              <w:left w:val="nil"/>
              <w:bottom w:val="single" w:sz="4" w:space="0" w:color="auto"/>
              <w:right w:val="single" w:sz="4" w:space="0" w:color="auto"/>
            </w:tcBorders>
            <w:shd w:val="clear" w:color="auto" w:fill="auto"/>
            <w:vAlign w:val="center"/>
            <w:hideMark/>
          </w:tcPr>
          <w:p w14:paraId="66A904F2"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187,412</w:t>
            </w:r>
          </w:p>
        </w:tc>
      </w:tr>
      <w:tr w:rsidR="00C56022" w:rsidRPr="00C56022" w14:paraId="49F645C5" w14:textId="77777777" w:rsidTr="00367F16">
        <w:trPr>
          <w:trHeight w:val="312"/>
        </w:trPr>
        <w:tc>
          <w:tcPr>
            <w:tcW w:w="5068" w:type="dxa"/>
            <w:tcBorders>
              <w:top w:val="nil"/>
              <w:left w:val="single" w:sz="4" w:space="0" w:color="auto"/>
              <w:bottom w:val="single" w:sz="4" w:space="0" w:color="auto"/>
              <w:right w:val="single" w:sz="4" w:space="0" w:color="auto"/>
            </w:tcBorders>
            <w:shd w:val="clear" w:color="auto" w:fill="auto"/>
            <w:vAlign w:val="center"/>
            <w:hideMark/>
          </w:tcPr>
          <w:p w14:paraId="2907FBF9" w14:textId="77777777" w:rsidR="00C56022" w:rsidRPr="00C56022" w:rsidRDefault="00C56022" w:rsidP="00C56022">
            <w:pPr>
              <w:spacing w:after="0" w:line="240" w:lineRule="auto"/>
              <w:rPr>
                <w:rFonts w:eastAsia="Times New Roman" w:cs="Calibri"/>
                <w:color w:val="000000"/>
                <w:sz w:val="14"/>
                <w:szCs w:val="14"/>
                <w:lang w:eastAsia="es-MX"/>
              </w:rPr>
            </w:pPr>
            <w:r w:rsidRPr="00C56022">
              <w:rPr>
                <w:rFonts w:eastAsia="Times New Roman" w:cs="Calibri"/>
                <w:color w:val="000000"/>
                <w:sz w:val="14"/>
                <w:szCs w:val="14"/>
                <w:lang w:eastAsia="es-MX"/>
              </w:rPr>
              <w:t>Servicios Aeroportuarios de Tamaulipas, S.A. de C.V.</w:t>
            </w:r>
          </w:p>
        </w:tc>
        <w:tc>
          <w:tcPr>
            <w:tcW w:w="2126" w:type="dxa"/>
            <w:tcBorders>
              <w:top w:val="nil"/>
              <w:left w:val="nil"/>
              <w:bottom w:val="single" w:sz="4" w:space="0" w:color="auto"/>
              <w:right w:val="single" w:sz="4" w:space="0" w:color="auto"/>
            </w:tcBorders>
            <w:shd w:val="clear" w:color="auto" w:fill="auto"/>
            <w:vAlign w:val="center"/>
            <w:hideMark/>
          </w:tcPr>
          <w:p w14:paraId="325A36D5"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49,500</w:t>
            </w:r>
          </w:p>
        </w:tc>
      </w:tr>
      <w:tr w:rsidR="00C56022" w:rsidRPr="00C56022" w14:paraId="1C81CC02" w14:textId="77777777" w:rsidTr="00367F16">
        <w:trPr>
          <w:trHeight w:val="312"/>
        </w:trPr>
        <w:tc>
          <w:tcPr>
            <w:tcW w:w="5068" w:type="dxa"/>
            <w:tcBorders>
              <w:top w:val="nil"/>
              <w:left w:val="single" w:sz="4" w:space="0" w:color="auto"/>
              <w:bottom w:val="single" w:sz="4" w:space="0" w:color="auto"/>
              <w:right w:val="single" w:sz="4" w:space="0" w:color="auto"/>
            </w:tcBorders>
            <w:shd w:val="clear" w:color="auto" w:fill="auto"/>
            <w:vAlign w:val="center"/>
            <w:hideMark/>
          </w:tcPr>
          <w:p w14:paraId="07DF7FD8" w14:textId="77777777" w:rsidR="00C56022" w:rsidRPr="00C56022" w:rsidRDefault="00C56022" w:rsidP="00C56022">
            <w:pPr>
              <w:spacing w:after="0" w:line="240" w:lineRule="auto"/>
              <w:jc w:val="both"/>
              <w:rPr>
                <w:rFonts w:eastAsia="Times New Roman" w:cs="Calibri"/>
                <w:color w:val="000000"/>
                <w:sz w:val="14"/>
                <w:szCs w:val="14"/>
                <w:lang w:eastAsia="es-MX"/>
              </w:rPr>
            </w:pPr>
            <w:r w:rsidRPr="00C56022">
              <w:rPr>
                <w:rFonts w:eastAsia="Times New Roman" w:cs="Calibri"/>
                <w:color w:val="000000"/>
                <w:sz w:val="14"/>
                <w:szCs w:val="14"/>
                <w:lang w:eastAsia="es-MX"/>
              </w:rPr>
              <w:t>Textil Altamira</w:t>
            </w:r>
          </w:p>
        </w:tc>
        <w:tc>
          <w:tcPr>
            <w:tcW w:w="2126" w:type="dxa"/>
            <w:tcBorders>
              <w:top w:val="nil"/>
              <w:left w:val="nil"/>
              <w:bottom w:val="single" w:sz="4" w:space="0" w:color="auto"/>
              <w:right w:val="single" w:sz="4" w:space="0" w:color="auto"/>
            </w:tcBorders>
            <w:shd w:val="clear" w:color="auto" w:fill="auto"/>
            <w:vAlign w:val="center"/>
            <w:hideMark/>
          </w:tcPr>
          <w:p w14:paraId="24383CD0"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53,088,638</w:t>
            </w:r>
          </w:p>
        </w:tc>
      </w:tr>
      <w:tr w:rsidR="00C56022" w:rsidRPr="0061352F" w14:paraId="4EBD3C03" w14:textId="77777777" w:rsidTr="0061352F">
        <w:trPr>
          <w:trHeight w:val="340"/>
        </w:trPr>
        <w:tc>
          <w:tcPr>
            <w:tcW w:w="5068" w:type="dxa"/>
            <w:tcBorders>
              <w:top w:val="nil"/>
              <w:left w:val="single" w:sz="4" w:space="0" w:color="auto"/>
              <w:bottom w:val="single" w:sz="4" w:space="0" w:color="auto"/>
              <w:right w:val="single" w:sz="4" w:space="0" w:color="auto"/>
            </w:tcBorders>
            <w:shd w:val="clear" w:color="000000" w:fill="DDC9A3"/>
            <w:vAlign w:val="center"/>
            <w:hideMark/>
          </w:tcPr>
          <w:p w14:paraId="3A7C3767" w14:textId="77777777" w:rsidR="00C56022" w:rsidRPr="0061352F" w:rsidRDefault="00C56022" w:rsidP="00C56022">
            <w:pPr>
              <w:spacing w:after="0" w:line="240" w:lineRule="auto"/>
              <w:jc w:val="center"/>
              <w:rPr>
                <w:rFonts w:eastAsia="Times New Roman" w:cs="Calibri"/>
                <w:b/>
                <w:bCs/>
                <w:color w:val="000000"/>
                <w:sz w:val="16"/>
                <w:szCs w:val="14"/>
                <w:lang w:eastAsia="es-MX"/>
              </w:rPr>
            </w:pPr>
            <w:r w:rsidRPr="0061352F">
              <w:rPr>
                <w:rFonts w:eastAsia="Times New Roman" w:cs="Calibri"/>
                <w:b/>
                <w:bCs/>
                <w:color w:val="000000"/>
                <w:sz w:val="16"/>
                <w:szCs w:val="14"/>
                <w:lang w:eastAsia="es-MX"/>
              </w:rPr>
              <w:t>TOTAL</w:t>
            </w:r>
          </w:p>
        </w:tc>
        <w:tc>
          <w:tcPr>
            <w:tcW w:w="2126" w:type="dxa"/>
            <w:tcBorders>
              <w:top w:val="nil"/>
              <w:left w:val="nil"/>
              <w:bottom w:val="single" w:sz="4" w:space="0" w:color="auto"/>
              <w:right w:val="single" w:sz="4" w:space="0" w:color="auto"/>
            </w:tcBorders>
            <w:shd w:val="clear" w:color="000000" w:fill="DDC9A3"/>
            <w:vAlign w:val="center"/>
            <w:hideMark/>
          </w:tcPr>
          <w:p w14:paraId="4A66399E" w14:textId="77777777" w:rsidR="00C56022" w:rsidRPr="0061352F" w:rsidRDefault="00C56022" w:rsidP="00C56022">
            <w:pPr>
              <w:spacing w:after="0" w:line="240" w:lineRule="auto"/>
              <w:jc w:val="right"/>
              <w:rPr>
                <w:rFonts w:eastAsia="Times New Roman" w:cs="Calibri"/>
                <w:b/>
                <w:bCs/>
                <w:color w:val="000000"/>
                <w:sz w:val="16"/>
                <w:szCs w:val="14"/>
                <w:lang w:eastAsia="es-MX"/>
              </w:rPr>
            </w:pPr>
            <w:r w:rsidRPr="0061352F">
              <w:rPr>
                <w:rFonts w:eastAsia="Times New Roman" w:cs="Calibri"/>
                <w:b/>
                <w:bCs/>
                <w:color w:val="000000"/>
                <w:sz w:val="16"/>
                <w:szCs w:val="14"/>
                <w:lang w:eastAsia="es-MX"/>
              </w:rPr>
              <w:t>72,829,060</w:t>
            </w:r>
          </w:p>
        </w:tc>
      </w:tr>
      <w:tr w:rsidR="00C56022" w:rsidRPr="00C56022" w14:paraId="2F51202F" w14:textId="77777777" w:rsidTr="0061352F">
        <w:trPr>
          <w:trHeight w:val="242"/>
        </w:trPr>
        <w:tc>
          <w:tcPr>
            <w:tcW w:w="5068" w:type="dxa"/>
            <w:tcBorders>
              <w:top w:val="nil"/>
              <w:left w:val="nil"/>
              <w:bottom w:val="nil"/>
              <w:right w:val="nil"/>
            </w:tcBorders>
            <w:shd w:val="clear" w:color="auto" w:fill="auto"/>
            <w:noWrap/>
            <w:vAlign w:val="bottom"/>
            <w:hideMark/>
          </w:tcPr>
          <w:p w14:paraId="4CB42238" w14:textId="77777777" w:rsidR="00C56022" w:rsidRPr="00C56022" w:rsidRDefault="00C56022" w:rsidP="00C56022">
            <w:pPr>
              <w:spacing w:after="0" w:line="240" w:lineRule="auto"/>
              <w:jc w:val="right"/>
              <w:rPr>
                <w:rFonts w:eastAsia="Times New Roman" w:cs="Calibri"/>
                <w:b/>
                <w:bCs/>
                <w:color w:val="000000"/>
                <w:sz w:val="14"/>
                <w:szCs w:val="14"/>
                <w:lang w:eastAsia="es-MX"/>
              </w:rPr>
            </w:pPr>
          </w:p>
        </w:tc>
        <w:tc>
          <w:tcPr>
            <w:tcW w:w="2126" w:type="dxa"/>
            <w:tcBorders>
              <w:top w:val="nil"/>
              <w:left w:val="nil"/>
              <w:bottom w:val="nil"/>
              <w:right w:val="nil"/>
            </w:tcBorders>
            <w:shd w:val="clear" w:color="auto" w:fill="auto"/>
            <w:noWrap/>
            <w:vAlign w:val="bottom"/>
            <w:hideMark/>
          </w:tcPr>
          <w:p w14:paraId="3591A419" w14:textId="77777777" w:rsidR="00C56022" w:rsidRPr="00C56022" w:rsidRDefault="00C56022" w:rsidP="00C56022">
            <w:pPr>
              <w:spacing w:after="0" w:line="240" w:lineRule="auto"/>
              <w:rPr>
                <w:rFonts w:ascii="Times New Roman" w:eastAsia="Times New Roman" w:hAnsi="Times New Roman"/>
                <w:sz w:val="20"/>
                <w:szCs w:val="20"/>
                <w:lang w:eastAsia="es-MX"/>
              </w:rPr>
            </w:pPr>
          </w:p>
        </w:tc>
      </w:tr>
      <w:tr w:rsidR="00C56022" w:rsidRPr="00C56022" w14:paraId="13B239BE" w14:textId="77777777" w:rsidTr="0061352F">
        <w:trPr>
          <w:trHeight w:val="316"/>
        </w:trPr>
        <w:tc>
          <w:tcPr>
            <w:tcW w:w="5068"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564C8164" w14:textId="77777777" w:rsidR="00C56022" w:rsidRPr="00C56022" w:rsidRDefault="00C56022" w:rsidP="00C56022">
            <w:pPr>
              <w:spacing w:after="0" w:line="240" w:lineRule="auto"/>
              <w:jc w:val="center"/>
              <w:rPr>
                <w:rFonts w:eastAsia="Times New Roman" w:cs="Calibri"/>
                <w:b/>
                <w:bCs/>
                <w:color w:val="FFFFFF"/>
                <w:sz w:val="16"/>
                <w:szCs w:val="16"/>
                <w:lang w:eastAsia="es-MX"/>
              </w:rPr>
            </w:pPr>
            <w:r w:rsidRPr="00C56022">
              <w:rPr>
                <w:rFonts w:eastAsia="Times New Roman" w:cs="Calibri"/>
                <w:b/>
                <w:bCs/>
                <w:color w:val="FFFFFF"/>
                <w:sz w:val="16"/>
                <w:szCs w:val="16"/>
                <w:lang w:eastAsia="es-MX"/>
              </w:rPr>
              <w:t>Fideicomisos</w:t>
            </w:r>
          </w:p>
        </w:tc>
        <w:tc>
          <w:tcPr>
            <w:tcW w:w="2126" w:type="dxa"/>
            <w:tcBorders>
              <w:top w:val="single" w:sz="4" w:space="0" w:color="auto"/>
              <w:left w:val="nil"/>
              <w:bottom w:val="single" w:sz="4" w:space="0" w:color="auto"/>
              <w:right w:val="single" w:sz="4" w:space="0" w:color="auto"/>
            </w:tcBorders>
            <w:shd w:val="clear" w:color="000000" w:fill="AB0033"/>
            <w:vAlign w:val="center"/>
            <w:hideMark/>
          </w:tcPr>
          <w:p w14:paraId="500CBCC2" w14:textId="77777777" w:rsidR="00C56022" w:rsidRPr="00C56022" w:rsidRDefault="00C56022" w:rsidP="00C56022">
            <w:pPr>
              <w:spacing w:after="0" w:line="240" w:lineRule="auto"/>
              <w:jc w:val="center"/>
              <w:rPr>
                <w:rFonts w:eastAsia="Times New Roman" w:cs="Calibri"/>
                <w:b/>
                <w:bCs/>
                <w:color w:val="FFFFFF"/>
                <w:sz w:val="16"/>
                <w:szCs w:val="16"/>
                <w:lang w:eastAsia="es-MX"/>
              </w:rPr>
            </w:pPr>
            <w:r w:rsidRPr="00C56022">
              <w:rPr>
                <w:rFonts w:eastAsia="Times New Roman" w:cs="Calibri"/>
                <w:b/>
                <w:bCs/>
                <w:color w:val="FFFFFF"/>
                <w:sz w:val="16"/>
                <w:szCs w:val="16"/>
                <w:lang w:eastAsia="es-MX"/>
              </w:rPr>
              <w:t>Importe</w:t>
            </w:r>
          </w:p>
        </w:tc>
      </w:tr>
      <w:tr w:rsidR="00C56022" w:rsidRPr="00C56022" w14:paraId="6A149108" w14:textId="77777777" w:rsidTr="00367F16">
        <w:trPr>
          <w:trHeight w:val="255"/>
        </w:trPr>
        <w:tc>
          <w:tcPr>
            <w:tcW w:w="5068" w:type="dxa"/>
            <w:tcBorders>
              <w:top w:val="nil"/>
              <w:left w:val="single" w:sz="4" w:space="0" w:color="auto"/>
              <w:bottom w:val="single" w:sz="4" w:space="0" w:color="auto"/>
              <w:right w:val="single" w:sz="4" w:space="0" w:color="auto"/>
            </w:tcBorders>
            <w:shd w:val="clear" w:color="auto" w:fill="auto"/>
            <w:noWrap/>
            <w:vAlign w:val="center"/>
            <w:hideMark/>
          </w:tcPr>
          <w:p w14:paraId="375DEAA4" w14:textId="77777777" w:rsidR="00C56022" w:rsidRPr="00C56022" w:rsidRDefault="00C56022" w:rsidP="00C56022">
            <w:pPr>
              <w:spacing w:after="0" w:line="240" w:lineRule="auto"/>
              <w:rPr>
                <w:rFonts w:eastAsia="Times New Roman" w:cs="Calibri"/>
                <w:color w:val="000000"/>
                <w:sz w:val="14"/>
                <w:szCs w:val="14"/>
                <w:lang w:eastAsia="es-MX"/>
              </w:rPr>
            </w:pPr>
            <w:r w:rsidRPr="00C56022">
              <w:rPr>
                <w:rFonts w:eastAsia="Times New Roman" w:cs="Calibri"/>
                <w:color w:val="000000"/>
                <w:sz w:val="14"/>
                <w:szCs w:val="14"/>
                <w:lang w:eastAsia="es-MX"/>
              </w:rPr>
              <w:t>Fideicomiso Puente Internacional Nuevo Laredo III</w:t>
            </w:r>
          </w:p>
        </w:tc>
        <w:tc>
          <w:tcPr>
            <w:tcW w:w="2126" w:type="dxa"/>
            <w:tcBorders>
              <w:top w:val="nil"/>
              <w:left w:val="nil"/>
              <w:bottom w:val="single" w:sz="4" w:space="0" w:color="auto"/>
              <w:right w:val="single" w:sz="4" w:space="0" w:color="auto"/>
            </w:tcBorders>
            <w:shd w:val="clear" w:color="auto" w:fill="auto"/>
            <w:noWrap/>
            <w:vAlign w:val="bottom"/>
            <w:hideMark/>
          </w:tcPr>
          <w:p w14:paraId="28FF6D65"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512,924,813</w:t>
            </w:r>
          </w:p>
        </w:tc>
      </w:tr>
      <w:tr w:rsidR="00C56022" w:rsidRPr="00C56022" w14:paraId="569B9B17" w14:textId="77777777" w:rsidTr="00367F16">
        <w:trPr>
          <w:trHeight w:val="255"/>
        </w:trPr>
        <w:tc>
          <w:tcPr>
            <w:tcW w:w="5068" w:type="dxa"/>
            <w:tcBorders>
              <w:top w:val="nil"/>
              <w:left w:val="single" w:sz="4" w:space="0" w:color="auto"/>
              <w:bottom w:val="single" w:sz="4" w:space="0" w:color="auto"/>
              <w:right w:val="single" w:sz="4" w:space="0" w:color="auto"/>
            </w:tcBorders>
            <w:shd w:val="clear" w:color="auto" w:fill="auto"/>
            <w:noWrap/>
            <w:vAlign w:val="center"/>
            <w:hideMark/>
          </w:tcPr>
          <w:p w14:paraId="320CDBD7" w14:textId="77777777" w:rsidR="00C56022" w:rsidRPr="00C56022" w:rsidRDefault="00C56022" w:rsidP="00C56022">
            <w:pPr>
              <w:spacing w:after="0" w:line="240" w:lineRule="auto"/>
              <w:rPr>
                <w:rFonts w:eastAsia="Times New Roman" w:cs="Calibri"/>
                <w:color w:val="000000"/>
                <w:sz w:val="14"/>
                <w:szCs w:val="14"/>
                <w:lang w:eastAsia="es-MX"/>
              </w:rPr>
            </w:pPr>
            <w:r w:rsidRPr="00C56022">
              <w:rPr>
                <w:rFonts w:eastAsia="Times New Roman" w:cs="Calibri"/>
                <w:color w:val="000000"/>
                <w:sz w:val="14"/>
                <w:szCs w:val="14"/>
                <w:lang w:eastAsia="es-MX"/>
              </w:rPr>
              <w:t>Fideicomiso Santander 200-3885 (CREDITOS)</w:t>
            </w:r>
          </w:p>
        </w:tc>
        <w:tc>
          <w:tcPr>
            <w:tcW w:w="2126" w:type="dxa"/>
            <w:tcBorders>
              <w:top w:val="nil"/>
              <w:left w:val="nil"/>
              <w:bottom w:val="single" w:sz="4" w:space="0" w:color="auto"/>
              <w:right w:val="single" w:sz="4" w:space="0" w:color="auto"/>
            </w:tcBorders>
            <w:shd w:val="clear" w:color="auto" w:fill="auto"/>
            <w:noWrap/>
            <w:vAlign w:val="bottom"/>
            <w:hideMark/>
          </w:tcPr>
          <w:p w14:paraId="325A8B37"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398,558,446</w:t>
            </w:r>
          </w:p>
        </w:tc>
      </w:tr>
      <w:tr w:rsidR="00C56022" w:rsidRPr="00C56022" w14:paraId="781F1942" w14:textId="77777777" w:rsidTr="00367F16">
        <w:trPr>
          <w:trHeight w:val="255"/>
        </w:trPr>
        <w:tc>
          <w:tcPr>
            <w:tcW w:w="5068" w:type="dxa"/>
            <w:tcBorders>
              <w:top w:val="nil"/>
              <w:left w:val="single" w:sz="4" w:space="0" w:color="auto"/>
              <w:bottom w:val="single" w:sz="4" w:space="0" w:color="auto"/>
              <w:right w:val="single" w:sz="4" w:space="0" w:color="auto"/>
            </w:tcBorders>
            <w:shd w:val="clear" w:color="auto" w:fill="auto"/>
            <w:noWrap/>
            <w:vAlign w:val="center"/>
            <w:hideMark/>
          </w:tcPr>
          <w:p w14:paraId="2A99A097" w14:textId="77777777" w:rsidR="00C56022" w:rsidRPr="00C56022" w:rsidRDefault="00C56022" w:rsidP="00C56022">
            <w:pPr>
              <w:spacing w:after="0" w:line="240" w:lineRule="auto"/>
              <w:rPr>
                <w:rFonts w:eastAsia="Times New Roman" w:cs="Calibri"/>
                <w:color w:val="000000"/>
                <w:sz w:val="14"/>
                <w:szCs w:val="14"/>
                <w:lang w:eastAsia="es-MX"/>
              </w:rPr>
            </w:pPr>
            <w:r w:rsidRPr="00C56022">
              <w:rPr>
                <w:rFonts w:eastAsia="Times New Roman" w:cs="Calibri"/>
                <w:color w:val="000000"/>
                <w:sz w:val="14"/>
                <w:szCs w:val="14"/>
                <w:lang w:eastAsia="es-MX"/>
              </w:rPr>
              <w:t>Fideicomiso de Admon. Y Fuente de Pago APP</w:t>
            </w:r>
          </w:p>
        </w:tc>
        <w:tc>
          <w:tcPr>
            <w:tcW w:w="2126" w:type="dxa"/>
            <w:tcBorders>
              <w:top w:val="nil"/>
              <w:left w:val="nil"/>
              <w:bottom w:val="single" w:sz="4" w:space="0" w:color="auto"/>
              <w:right w:val="single" w:sz="4" w:space="0" w:color="auto"/>
            </w:tcBorders>
            <w:shd w:val="clear" w:color="auto" w:fill="auto"/>
            <w:noWrap/>
            <w:vAlign w:val="bottom"/>
            <w:hideMark/>
          </w:tcPr>
          <w:p w14:paraId="62B29586"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236,105,089</w:t>
            </w:r>
          </w:p>
        </w:tc>
      </w:tr>
      <w:tr w:rsidR="00C56022" w:rsidRPr="00C56022" w14:paraId="26482B8F" w14:textId="77777777" w:rsidTr="00367F16">
        <w:trPr>
          <w:trHeight w:val="255"/>
        </w:trPr>
        <w:tc>
          <w:tcPr>
            <w:tcW w:w="5068" w:type="dxa"/>
            <w:tcBorders>
              <w:top w:val="nil"/>
              <w:left w:val="single" w:sz="4" w:space="0" w:color="auto"/>
              <w:bottom w:val="single" w:sz="4" w:space="0" w:color="auto"/>
              <w:right w:val="single" w:sz="4" w:space="0" w:color="auto"/>
            </w:tcBorders>
            <w:shd w:val="clear" w:color="auto" w:fill="auto"/>
            <w:noWrap/>
            <w:vAlign w:val="center"/>
            <w:hideMark/>
          </w:tcPr>
          <w:p w14:paraId="5C18E22D" w14:textId="77777777" w:rsidR="00C56022" w:rsidRPr="00C56022" w:rsidRDefault="00C56022" w:rsidP="00C56022">
            <w:pPr>
              <w:spacing w:after="0" w:line="240" w:lineRule="auto"/>
              <w:rPr>
                <w:rFonts w:eastAsia="Times New Roman" w:cs="Calibri"/>
                <w:color w:val="000000"/>
                <w:sz w:val="14"/>
                <w:szCs w:val="14"/>
                <w:lang w:eastAsia="es-MX"/>
              </w:rPr>
            </w:pPr>
            <w:r w:rsidRPr="00C56022">
              <w:rPr>
                <w:rFonts w:eastAsia="Times New Roman" w:cs="Calibri"/>
                <w:color w:val="000000"/>
                <w:sz w:val="14"/>
                <w:szCs w:val="14"/>
                <w:lang w:eastAsia="es-MX"/>
              </w:rPr>
              <w:t>Fideicomiso FOFAET</w:t>
            </w:r>
          </w:p>
        </w:tc>
        <w:tc>
          <w:tcPr>
            <w:tcW w:w="2126" w:type="dxa"/>
            <w:tcBorders>
              <w:top w:val="nil"/>
              <w:left w:val="nil"/>
              <w:bottom w:val="single" w:sz="4" w:space="0" w:color="auto"/>
              <w:right w:val="single" w:sz="4" w:space="0" w:color="auto"/>
            </w:tcBorders>
            <w:shd w:val="clear" w:color="auto" w:fill="auto"/>
            <w:noWrap/>
            <w:vAlign w:val="bottom"/>
            <w:hideMark/>
          </w:tcPr>
          <w:p w14:paraId="41A9B316"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83,375,310</w:t>
            </w:r>
          </w:p>
        </w:tc>
      </w:tr>
      <w:tr w:rsidR="00C56022" w:rsidRPr="00C56022" w14:paraId="301A3051" w14:textId="77777777" w:rsidTr="00367F16">
        <w:trPr>
          <w:trHeight w:val="255"/>
        </w:trPr>
        <w:tc>
          <w:tcPr>
            <w:tcW w:w="5068" w:type="dxa"/>
            <w:tcBorders>
              <w:top w:val="nil"/>
              <w:left w:val="single" w:sz="4" w:space="0" w:color="auto"/>
              <w:bottom w:val="single" w:sz="4" w:space="0" w:color="auto"/>
              <w:right w:val="single" w:sz="4" w:space="0" w:color="auto"/>
            </w:tcBorders>
            <w:shd w:val="clear" w:color="auto" w:fill="auto"/>
            <w:noWrap/>
            <w:vAlign w:val="center"/>
            <w:hideMark/>
          </w:tcPr>
          <w:p w14:paraId="39BBDB40" w14:textId="77777777" w:rsidR="00C56022" w:rsidRPr="00C56022" w:rsidRDefault="00C56022" w:rsidP="00C56022">
            <w:pPr>
              <w:spacing w:after="0" w:line="240" w:lineRule="auto"/>
              <w:rPr>
                <w:rFonts w:eastAsia="Times New Roman" w:cs="Calibri"/>
                <w:color w:val="000000"/>
                <w:sz w:val="14"/>
                <w:szCs w:val="14"/>
                <w:lang w:eastAsia="es-MX"/>
              </w:rPr>
            </w:pPr>
            <w:r w:rsidRPr="00C56022">
              <w:rPr>
                <w:rFonts w:eastAsia="Times New Roman" w:cs="Calibri"/>
                <w:color w:val="000000"/>
                <w:sz w:val="14"/>
                <w:szCs w:val="14"/>
                <w:lang w:eastAsia="es-MX"/>
              </w:rPr>
              <w:t>Fideicomiso para Pago de Créditos (FIPAC)</w:t>
            </w:r>
          </w:p>
        </w:tc>
        <w:tc>
          <w:tcPr>
            <w:tcW w:w="2126" w:type="dxa"/>
            <w:tcBorders>
              <w:top w:val="nil"/>
              <w:left w:val="nil"/>
              <w:bottom w:val="single" w:sz="4" w:space="0" w:color="auto"/>
              <w:right w:val="single" w:sz="4" w:space="0" w:color="auto"/>
            </w:tcBorders>
            <w:shd w:val="clear" w:color="auto" w:fill="auto"/>
            <w:noWrap/>
            <w:vAlign w:val="bottom"/>
            <w:hideMark/>
          </w:tcPr>
          <w:p w14:paraId="76D6F8F8"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73,106,374</w:t>
            </w:r>
          </w:p>
        </w:tc>
      </w:tr>
      <w:tr w:rsidR="00C56022" w:rsidRPr="00C56022" w14:paraId="55DB2076" w14:textId="77777777" w:rsidTr="00367F16">
        <w:trPr>
          <w:trHeight w:val="255"/>
        </w:trPr>
        <w:tc>
          <w:tcPr>
            <w:tcW w:w="5068" w:type="dxa"/>
            <w:tcBorders>
              <w:top w:val="nil"/>
              <w:left w:val="single" w:sz="4" w:space="0" w:color="auto"/>
              <w:bottom w:val="single" w:sz="4" w:space="0" w:color="auto"/>
              <w:right w:val="single" w:sz="4" w:space="0" w:color="auto"/>
            </w:tcBorders>
            <w:shd w:val="clear" w:color="auto" w:fill="auto"/>
            <w:noWrap/>
            <w:vAlign w:val="center"/>
            <w:hideMark/>
          </w:tcPr>
          <w:p w14:paraId="77BC4E64" w14:textId="77777777" w:rsidR="00C56022" w:rsidRPr="00C56022" w:rsidRDefault="00C56022" w:rsidP="00C56022">
            <w:pPr>
              <w:spacing w:after="0" w:line="240" w:lineRule="auto"/>
              <w:rPr>
                <w:rFonts w:eastAsia="Times New Roman" w:cs="Calibri"/>
                <w:color w:val="000000"/>
                <w:sz w:val="14"/>
                <w:szCs w:val="14"/>
                <w:lang w:eastAsia="es-MX"/>
              </w:rPr>
            </w:pPr>
            <w:r w:rsidRPr="00C56022">
              <w:rPr>
                <w:rFonts w:eastAsia="Times New Roman" w:cs="Calibri"/>
                <w:color w:val="000000"/>
                <w:sz w:val="14"/>
                <w:szCs w:val="14"/>
                <w:lang w:eastAsia="es-MX"/>
              </w:rPr>
              <w:t>Fideicomiso FITABEC</w:t>
            </w:r>
          </w:p>
        </w:tc>
        <w:tc>
          <w:tcPr>
            <w:tcW w:w="2126" w:type="dxa"/>
            <w:tcBorders>
              <w:top w:val="nil"/>
              <w:left w:val="nil"/>
              <w:bottom w:val="single" w:sz="4" w:space="0" w:color="auto"/>
              <w:right w:val="single" w:sz="4" w:space="0" w:color="auto"/>
            </w:tcBorders>
            <w:shd w:val="clear" w:color="auto" w:fill="auto"/>
            <w:noWrap/>
            <w:vAlign w:val="bottom"/>
            <w:hideMark/>
          </w:tcPr>
          <w:p w14:paraId="0E1850A9"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43,525,510</w:t>
            </w:r>
          </w:p>
        </w:tc>
      </w:tr>
      <w:tr w:rsidR="00C56022" w:rsidRPr="00C56022" w14:paraId="2147FFE9" w14:textId="77777777" w:rsidTr="00367F16">
        <w:trPr>
          <w:trHeight w:val="255"/>
        </w:trPr>
        <w:tc>
          <w:tcPr>
            <w:tcW w:w="5068" w:type="dxa"/>
            <w:tcBorders>
              <w:top w:val="nil"/>
              <w:left w:val="single" w:sz="4" w:space="0" w:color="auto"/>
              <w:bottom w:val="single" w:sz="4" w:space="0" w:color="auto"/>
              <w:right w:val="single" w:sz="4" w:space="0" w:color="auto"/>
            </w:tcBorders>
            <w:shd w:val="clear" w:color="auto" w:fill="auto"/>
            <w:noWrap/>
            <w:vAlign w:val="center"/>
            <w:hideMark/>
          </w:tcPr>
          <w:p w14:paraId="52792A21" w14:textId="77777777" w:rsidR="00C56022" w:rsidRPr="00C56022" w:rsidRDefault="00C56022" w:rsidP="00C56022">
            <w:pPr>
              <w:spacing w:after="0" w:line="240" w:lineRule="auto"/>
              <w:rPr>
                <w:rFonts w:eastAsia="Times New Roman" w:cs="Calibri"/>
                <w:color w:val="000000"/>
                <w:sz w:val="14"/>
                <w:szCs w:val="14"/>
                <w:lang w:eastAsia="es-MX"/>
              </w:rPr>
            </w:pPr>
            <w:r w:rsidRPr="00C56022">
              <w:rPr>
                <w:rFonts w:eastAsia="Times New Roman" w:cs="Calibri"/>
                <w:color w:val="000000"/>
                <w:sz w:val="14"/>
                <w:szCs w:val="14"/>
                <w:lang w:eastAsia="es-MX"/>
              </w:rPr>
              <w:t>Fideicomiso Nuevo Santander</w:t>
            </w:r>
          </w:p>
        </w:tc>
        <w:tc>
          <w:tcPr>
            <w:tcW w:w="2126" w:type="dxa"/>
            <w:tcBorders>
              <w:top w:val="nil"/>
              <w:left w:val="nil"/>
              <w:bottom w:val="single" w:sz="4" w:space="0" w:color="auto"/>
              <w:right w:val="single" w:sz="4" w:space="0" w:color="auto"/>
            </w:tcBorders>
            <w:shd w:val="clear" w:color="auto" w:fill="auto"/>
            <w:noWrap/>
            <w:vAlign w:val="bottom"/>
            <w:hideMark/>
          </w:tcPr>
          <w:p w14:paraId="0D5216F9"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30,580,465</w:t>
            </w:r>
          </w:p>
        </w:tc>
      </w:tr>
      <w:tr w:rsidR="00C56022" w:rsidRPr="00C56022" w14:paraId="310887CB" w14:textId="77777777" w:rsidTr="00367F16">
        <w:trPr>
          <w:trHeight w:val="255"/>
        </w:trPr>
        <w:tc>
          <w:tcPr>
            <w:tcW w:w="5068" w:type="dxa"/>
            <w:tcBorders>
              <w:top w:val="nil"/>
              <w:left w:val="single" w:sz="4" w:space="0" w:color="auto"/>
              <w:bottom w:val="single" w:sz="4" w:space="0" w:color="auto"/>
              <w:right w:val="single" w:sz="4" w:space="0" w:color="auto"/>
            </w:tcBorders>
            <w:shd w:val="clear" w:color="auto" w:fill="auto"/>
            <w:noWrap/>
            <w:vAlign w:val="center"/>
            <w:hideMark/>
          </w:tcPr>
          <w:p w14:paraId="623162FC" w14:textId="77777777" w:rsidR="00C56022" w:rsidRPr="00C56022" w:rsidRDefault="00C56022" w:rsidP="00C56022">
            <w:pPr>
              <w:spacing w:after="0" w:line="240" w:lineRule="auto"/>
              <w:rPr>
                <w:rFonts w:eastAsia="Times New Roman" w:cs="Calibri"/>
                <w:color w:val="000000"/>
                <w:sz w:val="14"/>
                <w:szCs w:val="14"/>
                <w:lang w:eastAsia="es-MX"/>
              </w:rPr>
            </w:pPr>
            <w:r w:rsidRPr="00C56022">
              <w:rPr>
                <w:rFonts w:eastAsia="Times New Roman" w:cs="Calibri"/>
                <w:color w:val="000000"/>
                <w:sz w:val="14"/>
                <w:szCs w:val="14"/>
                <w:lang w:eastAsia="es-MX"/>
              </w:rPr>
              <w:t>Fideicomiso Rio Bravo-DONNA</w:t>
            </w:r>
          </w:p>
        </w:tc>
        <w:tc>
          <w:tcPr>
            <w:tcW w:w="2126" w:type="dxa"/>
            <w:tcBorders>
              <w:top w:val="nil"/>
              <w:left w:val="nil"/>
              <w:bottom w:val="single" w:sz="4" w:space="0" w:color="auto"/>
              <w:right w:val="single" w:sz="4" w:space="0" w:color="auto"/>
            </w:tcBorders>
            <w:shd w:val="clear" w:color="auto" w:fill="auto"/>
            <w:noWrap/>
            <w:vAlign w:val="bottom"/>
            <w:hideMark/>
          </w:tcPr>
          <w:p w14:paraId="1BAF597B"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26,228,967</w:t>
            </w:r>
          </w:p>
        </w:tc>
      </w:tr>
      <w:tr w:rsidR="00C56022" w:rsidRPr="00C56022" w14:paraId="6768246A" w14:textId="77777777" w:rsidTr="00367F16">
        <w:trPr>
          <w:trHeight w:val="255"/>
        </w:trPr>
        <w:tc>
          <w:tcPr>
            <w:tcW w:w="5068" w:type="dxa"/>
            <w:tcBorders>
              <w:top w:val="nil"/>
              <w:left w:val="single" w:sz="4" w:space="0" w:color="auto"/>
              <w:bottom w:val="single" w:sz="4" w:space="0" w:color="auto"/>
              <w:right w:val="single" w:sz="4" w:space="0" w:color="auto"/>
            </w:tcBorders>
            <w:shd w:val="clear" w:color="auto" w:fill="auto"/>
            <w:noWrap/>
            <w:vAlign w:val="center"/>
            <w:hideMark/>
          </w:tcPr>
          <w:p w14:paraId="2F4E54DB" w14:textId="77777777" w:rsidR="00C56022" w:rsidRPr="00C56022" w:rsidRDefault="00C56022" w:rsidP="00C56022">
            <w:pPr>
              <w:spacing w:after="0" w:line="240" w:lineRule="auto"/>
              <w:rPr>
                <w:rFonts w:eastAsia="Times New Roman" w:cs="Calibri"/>
                <w:color w:val="000000"/>
                <w:sz w:val="14"/>
                <w:szCs w:val="14"/>
                <w:lang w:eastAsia="es-MX"/>
              </w:rPr>
            </w:pPr>
            <w:r w:rsidRPr="00C56022">
              <w:rPr>
                <w:rFonts w:eastAsia="Times New Roman" w:cs="Calibri"/>
                <w:color w:val="000000"/>
                <w:sz w:val="14"/>
                <w:szCs w:val="14"/>
                <w:lang w:eastAsia="es-MX"/>
              </w:rPr>
              <w:t xml:space="preserve">Fideicomiso  FOVIMAT </w:t>
            </w:r>
          </w:p>
        </w:tc>
        <w:tc>
          <w:tcPr>
            <w:tcW w:w="2126" w:type="dxa"/>
            <w:tcBorders>
              <w:top w:val="nil"/>
              <w:left w:val="nil"/>
              <w:bottom w:val="single" w:sz="4" w:space="0" w:color="auto"/>
              <w:right w:val="single" w:sz="4" w:space="0" w:color="auto"/>
            </w:tcBorders>
            <w:shd w:val="clear" w:color="auto" w:fill="auto"/>
            <w:noWrap/>
            <w:vAlign w:val="bottom"/>
            <w:hideMark/>
          </w:tcPr>
          <w:p w14:paraId="6B1A34CA"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23,780,798</w:t>
            </w:r>
          </w:p>
        </w:tc>
      </w:tr>
      <w:tr w:rsidR="00C56022" w:rsidRPr="00C56022" w14:paraId="03507153" w14:textId="77777777" w:rsidTr="00367F16">
        <w:trPr>
          <w:trHeight w:val="255"/>
        </w:trPr>
        <w:tc>
          <w:tcPr>
            <w:tcW w:w="5068" w:type="dxa"/>
            <w:tcBorders>
              <w:top w:val="nil"/>
              <w:left w:val="single" w:sz="4" w:space="0" w:color="auto"/>
              <w:bottom w:val="single" w:sz="4" w:space="0" w:color="auto"/>
              <w:right w:val="single" w:sz="4" w:space="0" w:color="auto"/>
            </w:tcBorders>
            <w:shd w:val="clear" w:color="auto" w:fill="auto"/>
            <w:noWrap/>
            <w:vAlign w:val="center"/>
            <w:hideMark/>
          </w:tcPr>
          <w:p w14:paraId="2149DA3D" w14:textId="77777777" w:rsidR="00C56022" w:rsidRPr="00C56022" w:rsidRDefault="00C56022" w:rsidP="00C56022">
            <w:pPr>
              <w:spacing w:after="0" w:line="240" w:lineRule="auto"/>
              <w:rPr>
                <w:rFonts w:eastAsia="Times New Roman" w:cs="Calibri"/>
                <w:color w:val="000000"/>
                <w:sz w:val="14"/>
                <w:szCs w:val="14"/>
                <w:lang w:eastAsia="es-MX"/>
              </w:rPr>
            </w:pPr>
            <w:r w:rsidRPr="00C56022">
              <w:rPr>
                <w:rFonts w:eastAsia="Times New Roman" w:cs="Calibri"/>
                <w:color w:val="000000"/>
                <w:sz w:val="14"/>
                <w:szCs w:val="14"/>
                <w:lang w:eastAsia="es-MX"/>
              </w:rPr>
              <w:t>Fideicomiso Fondo de Desastres Naturales del Estado de Tamaulipas</w:t>
            </w:r>
          </w:p>
        </w:tc>
        <w:tc>
          <w:tcPr>
            <w:tcW w:w="2126" w:type="dxa"/>
            <w:tcBorders>
              <w:top w:val="nil"/>
              <w:left w:val="nil"/>
              <w:bottom w:val="single" w:sz="4" w:space="0" w:color="auto"/>
              <w:right w:val="single" w:sz="4" w:space="0" w:color="auto"/>
            </w:tcBorders>
            <w:shd w:val="clear" w:color="auto" w:fill="auto"/>
            <w:noWrap/>
            <w:vAlign w:val="bottom"/>
            <w:hideMark/>
          </w:tcPr>
          <w:p w14:paraId="294626EF"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21,388,343</w:t>
            </w:r>
          </w:p>
        </w:tc>
      </w:tr>
      <w:tr w:rsidR="00C56022" w:rsidRPr="00C56022" w14:paraId="6DEBCA0D" w14:textId="77777777" w:rsidTr="00367F16">
        <w:trPr>
          <w:trHeight w:val="255"/>
        </w:trPr>
        <w:tc>
          <w:tcPr>
            <w:tcW w:w="5068" w:type="dxa"/>
            <w:tcBorders>
              <w:top w:val="nil"/>
              <w:left w:val="single" w:sz="4" w:space="0" w:color="auto"/>
              <w:bottom w:val="single" w:sz="4" w:space="0" w:color="auto"/>
              <w:right w:val="single" w:sz="4" w:space="0" w:color="auto"/>
            </w:tcBorders>
            <w:shd w:val="clear" w:color="auto" w:fill="auto"/>
            <w:noWrap/>
            <w:vAlign w:val="center"/>
            <w:hideMark/>
          </w:tcPr>
          <w:p w14:paraId="4018301B" w14:textId="77777777" w:rsidR="00C56022" w:rsidRPr="00C56022" w:rsidRDefault="00C56022" w:rsidP="00C56022">
            <w:pPr>
              <w:spacing w:after="0" w:line="240" w:lineRule="auto"/>
              <w:rPr>
                <w:rFonts w:eastAsia="Times New Roman" w:cs="Calibri"/>
                <w:color w:val="000000"/>
                <w:sz w:val="14"/>
                <w:szCs w:val="14"/>
                <w:lang w:eastAsia="es-MX"/>
              </w:rPr>
            </w:pPr>
            <w:r w:rsidRPr="00C56022">
              <w:rPr>
                <w:rFonts w:eastAsia="Times New Roman" w:cs="Calibri"/>
                <w:color w:val="000000"/>
                <w:sz w:val="14"/>
                <w:szCs w:val="14"/>
                <w:lang w:eastAsia="es-MX"/>
              </w:rPr>
              <w:t>Fideicomiso Tecnologías Educativas</w:t>
            </w:r>
          </w:p>
        </w:tc>
        <w:tc>
          <w:tcPr>
            <w:tcW w:w="2126" w:type="dxa"/>
            <w:tcBorders>
              <w:top w:val="nil"/>
              <w:left w:val="nil"/>
              <w:bottom w:val="single" w:sz="4" w:space="0" w:color="auto"/>
              <w:right w:val="single" w:sz="4" w:space="0" w:color="auto"/>
            </w:tcBorders>
            <w:shd w:val="clear" w:color="auto" w:fill="auto"/>
            <w:noWrap/>
            <w:vAlign w:val="bottom"/>
            <w:hideMark/>
          </w:tcPr>
          <w:p w14:paraId="7AFA4311"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9,272,104</w:t>
            </w:r>
          </w:p>
        </w:tc>
      </w:tr>
      <w:tr w:rsidR="00C56022" w:rsidRPr="00C56022" w14:paraId="4DE6D9B8" w14:textId="77777777" w:rsidTr="00367F16">
        <w:trPr>
          <w:trHeight w:val="255"/>
        </w:trPr>
        <w:tc>
          <w:tcPr>
            <w:tcW w:w="5068" w:type="dxa"/>
            <w:tcBorders>
              <w:top w:val="nil"/>
              <w:left w:val="single" w:sz="4" w:space="0" w:color="auto"/>
              <w:bottom w:val="single" w:sz="4" w:space="0" w:color="auto"/>
              <w:right w:val="single" w:sz="4" w:space="0" w:color="auto"/>
            </w:tcBorders>
            <w:shd w:val="clear" w:color="auto" w:fill="auto"/>
            <w:noWrap/>
            <w:vAlign w:val="center"/>
            <w:hideMark/>
          </w:tcPr>
          <w:p w14:paraId="09B33DB3" w14:textId="77777777" w:rsidR="00C56022" w:rsidRPr="00C56022" w:rsidRDefault="00C56022" w:rsidP="00C56022">
            <w:pPr>
              <w:spacing w:after="0" w:line="240" w:lineRule="auto"/>
              <w:rPr>
                <w:rFonts w:eastAsia="Times New Roman" w:cs="Calibri"/>
                <w:color w:val="000000"/>
                <w:sz w:val="14"/>
                <w:szCs w:val="14"/>
                <w:lang w:eastAsia="es-MX"/>
              </w:rPr>
            </w:pPr>
            <w:r w:rsidRPr="00C56022">
              <w:rPr>
                <w:rFonts w:eastAsia="Times New Roman" w:cs="Calibri"/>
                <w:color w:val="000000"/>
                <w:sz w:val="14"/>
                <w:szCs w:val="14"/>
                <w:lang w:eastAsia="es-MX"/>
              </w:rPr>
              <w:t>Fideicomiso Tamaulipas para Cobertura de Precios y Agricultura</w:t>
            </w:r>
          </w:p>
        </w:tc>
        <w:tc>
          <w:tcPr>
            <w:tcW w:w="2126" w:type="dxa"/>
            <w:tcBorders>
              <w:top w:val="nil"/>
              <w:left w:val="nil"/>
              <w:bottom w:val="single" w:sz="4" w:space="0" w:color="auto"/>
              <w:right w:val="single" w:sz="4" w:space="0" w:color="auto"/>
            </w:tcBorders>
            <w:shd w:val="clear" w:color="auto" w:fill="auto"/>
            <w:noWrap/>
            <w:vAlign w:val="bottom"/>
            <w:hideMark/>
          </w:tcPr>
          <w:p w14:paraId="3C52C1F0"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4,680,999</w:t>
            </w:r>
          </w:p>
        </w:tc>
      </w:tr>
      <w:tr w:rsidR="00C56022" w:rsidRPr="00C56022" w14:paraId="4BA172C9" w14:textId="77777777" w:rsidTr="00367F16">
        <w:trPr>
          <w:trHeight w:val="255"/>
        </w:trPr>
        <w:tc>
          <w:tcPr>
            <w:tcW w:w="5068" w:type="dxa"/>
            <w:tcBorders>
              <w:top w:val="nil"/>
              <w:left w:val="single" w:sz="4" w:space="0" w:color="auto"/>
              <w:bottom w:val="single" w:sz="4" w:space="0" w:color="auto"/>
              <w:right w:val="single" w:sz="4" w:space="0" w:color="auto"/>
            </w:tcBorders>
            <w:shd w:val="clear" w:color="auto" w:fill="auto"/>
            <w:noWrap/>
            <w:vAlign w:val="center"/>
            <w:hideMark/>
          </w:tcPr>
          <w:p w14:paraId="2C3B5743" w14:textId="77777777" w:rsidR="00C56022" w:rsidRPr="00C56022" w:rsidRDefault="00C56022" w:rsidP="00C56022">
            <w:pPr>
              <w:spacing w:after="0" w:line="240" w:lineRule="auto"/>
              <w:rPr>
                <w:rFonts w:eastAsia="Times New Roman" w:cs="Calibri"/>
                <w:color w:val="000000"/>
                <w:sz w:val="14"/>
                <w:szCs w:val="14"/>
                <w:lang w:eastAsia="es-MX"/>
              </w:rPr>
            </w:pPr>
            <w:r w:rsidRPr="00C56022">
              <w:rPr>
                <w:rFonts w:eastAsia="Times New Roman" w:cs="Calibri"/>
                <w:color w:val="000000"/>
                <w:sz w:val="14"/>
                <w:szCs w:val="14"/>
                <w:lang w:eastAsia="es-MX"/>
              </w:rPr>
              <w:t>Fideicomiso de Garantía Agropecuaria</w:t>
            </w:r>
          </w:p>
        </w:tc>
        <w:tc>
          <w:tcPr>
            <w:tcW w:w="2126" w:type="dxa"/>
            <w:tcBorders>
              <w:top w:val="nil"/>
              <w:left w:val="nil"/>
              <w:bottom w:val="single" w:sz="4" w:space="0" w:color="auto"/>
              <w:right w:val="single" w:sz="4" w:space="0" w:color="auto"/>
            </w:tcBorders>
            <w:shd w:val="clear" w:color="auto" w:fill="auto"/>
            <w:noWrap/>
            <w:vAlign w:val="bottom"/>
            <w:hideMark/>
          </w:tcPr>
          <w:p w14:paraId="7B8F82FF"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3,824,569</w:t>
            </w:r>
          </w:p>
        </w:tc>
      </w:tr>
      <w:tr w:rsidR="00C56022" w:rsidRPr="00C56022" w14:paraId="49B7F6F6" w14:textId="77777777" w:rsidTr="00367F16">
        <w:trPr>
          <w:trHeight w:val="255"/>
        </w:trPr>
        <w:tc>
          <w:tcPr>
            <w:tcW w:w="5068" w:type="dxa"/>
            <w:tcBorders>
              <w:top w:val="nil"/>
              <w:left w:val="single" w:sz="4" w:space="0" w:color="auto"/>
              <w:bottom w:val="single" w:sz="4" w:space="0" w:color="auto"/>
              <w:right w:val="single" w:sz="4" w:space="0" w:color="auto"/>
            </w:tcBorders>
            <w:shd w:val="clear" w:color="auto" w:fill="auto"/>
            <w:noWrap/>
            <w:vAlign w:val="center"/>
            <w:hideMark/>
          </w:tcPr>
          <w:p w14:paraId="0BBD767E" w14:textId="77777777" w:rsidR="00C56022" w:rsidRPr="00C56022" w:rsidRDefault="00C56022" w:rsidP="00C56022">
            <w:pPr>
              <w:spacing w:after="0" w:line="240" w:lineRule="auto"/>
              <w:rPr>
                <w:rFonts w:eastAsia="Times New Roman" w:cs="Calibri"/>
                <w:color w:val="000000"/>
                <w:sz w:val="14"/>
                <w:szCs w:val="14"/>
                <w:lang w:eastAsia="es-MX"/>
              </w:rPr>
            </w:pPr>
            <w:r w:rsidRPr="00C56022">
              <w:rPr>
                <w:rFonts w:eastAsia="Times New Roman" w:cs="Calibri"/>
                <w:color w:val="000000"/>
                <w:sz w:val="14"/>
                <w:szCs w:val="14"/>
                <w:lang w:eastAsia="es-MX"/>
              </w:rPr>
              <w:t>Fideicomiso sobre Hospedaje</w:t>
            </w:r>
          </w:p>
        </w:tc>
        <w:tc>
          <w:tcPr>
            <w:tcW w:w="2126" w:type="dxa"/>
            <w:tcBorders>
              <w:top w:val="nil"/>
              <w:left w:val="nil"/>
              <w:bottom w:val="single" w:sz="4" w:space="0" w:color="auto"/>
              <w:right w:val="single" w:sz="4" w:space="0" w:color="auto"/>
            </w:tcBorders>
            <w:shd w:val="clear" w:color="auto" w:fill="auto"/>
            <w:noWrap/>
            <w:vAlign w:val="bottom"/>
            <w:hideMark/>
          </w:tcPr>
          <w:p w14:paraId="7E7781B5"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3,358,091</w:t>
            </w:r>
          </w:p>
        </w:tc>
      </w:tr>
      <w:tr w:rsidR="00C56022" w:rsidRPr="00C56022" w14:paraId="64C0EE0D" w14:textId="77777777" w:rsidTr="00367F16">
        <w:trPr>
          <w:trHeight w:val="255"/>
        </w:trPr>
        <w:tc>
          <w:tcPr>
            <w:tcW w:w="5068" w:type="dxa"/>
            <w:tcBorders>
              <w:top w:val="nil"/>
              <w:left w:val="single" w:sz="4" w:space="0" w:color="auto"/>
              <w:bottom w:val="single" w:sz="4" w:space="0" w:color="auto"/>
              <w:right w:val="single" w:sz="4" w:space="0" w:color="auto"/>
            </w:tcBorders>
            <w:shd w:val="clear" w:color="auto" w:fill="auto"/>
            <w:noWrap/>
            <w:vAlign w:val="center"/>
            <w:hideMark/>
          </w:tcPr>
          <w:p w14:paraId="318A1F19" w14:textId="77777777" w:rsidR="00C56022" w:rsidRPr="00C56022" w:rsidRDefault="00C56022" w:rsidP="00C56022">
            <w:pPr>
              <w:spacing w:after="0" w:line="240" w:lineRule="auto"/>
              <w:rPr>
                <w:rFonts w:eastAsia="Times New Roman" w:cs="Calibri"/>
                <w:color w:val="000000"/>
                <w:sz w:val="14"/>
                <w:szCs w:val="14"/>
                <w:lang w:eastAsia="es-MX"/>
              </w:rPr>
            </w:pPr>
            <w:r w:rsidRPr="00C56022">
              <w:rPr>
                <w:rFonts w:eastAsia="Times New Roman" w:cs="Calibri"/>
                <w:color w:val="000000"/>
                <w:sz w:val="14"/>
                <w:szCs w:val="14"/>
                <w:lang w:eastAsia="es-MX"/>
              </w:rPr>
              <w:t>Fideicomiso Banregio 851-00901 (CREDITOS)</w:t>
            </w:r>
          </w:p>
        </w:tc>
        <w:tc>
          <w:tcPr>
            <w:tcW w:w="2126" w:type="dxa"/>
            <w:tcBorders>
              <w:top w:val="nil"/>
              <w:left w:val="nil"/>
              <w:bottom w:val="single" w:sz="4" w:space="0" w:color="auto"/>
              <w:right w:val="single" w:sz="4" w:space="0" w:color="auto"/>
            </w:tcBorders>
            <w:shd w:val="clear" w:color="auto" w:fill="auto"/>
            <w:noWrap/>
            <w:vAlign w:val="bottom"/>
            <w:hideMark/>
          </w:tcPr>
          <w:p w14:paraId="1AD7D2DB"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2,543,524</w:t>
            </w:r>
          </w:p>
        </w:tc>
      </w:tr>
      <w:tr w:rsidR="00C56022" w:rsidRPr="00C56022" w14:paraId="558502B8" w14:textId="77777777" w:rsidTr="00367F16">
        <w:trPr>
          <w:trHeight w:val="255"/>
        </w:trPr>
        <w:tc>
          <w:tcPr>
            <w:tcW w:w="5068" w:type="dxa"/>
            <w:tcBorders>
              <w:top w:val="nil"/>
              <w:left w:val="single" w:sz="4" w:space="0" w:color="auto"/>
              <w:bottom w:val="single" w:sz="4" w:space="0" w:color="auto"/>
              <w:right w:val="single" w:sz="4" w:space="0" w:color="auto"/>
            </w:tcBorders>
            <w:shd w:val="clear" w:color="auto" w:fill="auto"/>
            <w:noWrap/>
            <w:vAlign w:val="center"/>
            <w:hideMark/>
          </w:tcPr>
          <w:p w14:paraId="58796866" w14:textId="77777777" w:rsidR="00C56022" w:rsidRPr="00C56022" w:rsidRDefault="00C56022" w:rsidP="00C56022">
            <w:pPr>
              <w:spacing w:after="0" w:line="240" w:lineRule="auto"/>
              <w:rPr>
                <w:rFonts w:eastAsia="Times New Roman" w:cs="Calibri"/>
                <w:color w:val="000000"/>
                <w:sz w:val="14"/>
                <w:szCs w:val="14"/>
                <w:lang w:eastAsia="es-MX"/>
              </w:rPr>
            </w:pPr>
            <w:r w:rsidRPr="00C56022">
              <w:rPr>
                <w:rFonts w:eastAsia="Times New Roman" w:cs="Calibri"/>
                <w:color w:val="000000"/>
                <w:sz w:val="14"/>
                <w:szCs w:val="14"/>
                <w:lang w:eastAsia="es-MX"/>
              </w:rPr>
              <w:t>Fideicomiso para el Desarrollo Forestal Sustentable</w:t>
            </w:r>
          </w:p>
        </w:tc>
        <w:tc>
          <w:tcPr>
            <w:tcW w:w="2126" w:type="dxa"/>
            <w:tcBorders>
              <w:top w:val="nil"/>
              <w:left w:val="nil"/>
              <w:bottom w:val="single" w:sz="4" w:space="0" w:color="auto"/>
              <w:right w:val="single" w:sz="4" w:space="0" w:color="auto"/>
            </w:tcBorders>
            <w:shd w:val="clear" w:color="auto" w:fill="auto"/>
            <w:noWrap/>
            <w:vAlign w:val="bottom"/>
            <w:hideMark/>
          </w:tcPr>
          <w:p w14:paraId="44A6FEAD"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2,202,625</w:t>
            </w:r>
          </w:p>
        </w:tc>
      </w:tr>
      <w:tr w:rsidR="00C56022" w:rsidRPr="00C56022" w14:paraId="721A5011" w14:textId="77777777" w:rsidTr="00367F16">
        <w:trPr>
          <w:trHeight w:val="255"/>
        </w:trPr>
        <w:tc>
          <w:tcPr>
            <w:tcW w:w="5068" w:type="dxa"/>
            <w:tcBorders>
              <w:top w:val="nil"/>
              <w:left w:val="single" w:sz="4" w:space="0" w:color="auto"/>
              <w:bottom w:val="single" w:sz="4" w:space="0" w:color="auto"/>
              <w:right w:val="single" w:sz="4" w:space="0" w:color="auto"/>
            </w:tcBorders>
            <w:shd w:val="clear" w:color="auto" w:fill="auto"/>
            <w:noWrap/>
            <w:vAlign w:val="center"/>
            <w:hideMark/>
          </w:tcPr>
          <w:p w14:paraId="6AC63ECF" w14:textId="77777777" w:rsidR="00C56022" w:rsidRPr="00C56022" w:rsidRDefault="00C56022" w:rsidP="00C56022">
            <w:pPr>
              <w:spacing w:after="0" w:line="240" w:lineRule="auto"/>
              <w:rPr>
                <w:rFonts w:eastAsia="Times New Roman" w:cs="Calibri"/>
                <w:color w:val="000000"/>
                <w:sz w:val="14"/>
                <w:szCs w:val="14"/>
                <w:lang w:eastAsia="es-MX"/>
              </w:rPr>
            </w:pPr>
            <w:r w:rsidRPr="00C56022">
              <w:rPr>
                <w:rFonts w:eastAsia="Times New Roman" w:cs="Calibri"/>
                <w:color w:val="000000"/>
                <w:sz w:val="14"/>
                <w:szCs w:val="14"/>
                <w:lang w:eastAsia="es-MX"/>
              </w:rPr>
              <w:t>Fideicomiso Garantía Liquida Solidaria</w:t>
            </w:r>
          </w:p>
        </w:tc>
        <w:tc>
          <w:tcPr>
            <w:tcW w:w="2126" w:type="dxa"/>
            <w:tcBorders>
              <w:top w:val="nil"/>
              <w:left w:val="nil"/>
              <w:bottom w:val="single" w:sz="4" w:space="0" w:color="auto"/>
              <w:right w:val="single" w:sz="4" w:space="0" w:color="auto"/>
            </w:tcBorders>
            <w:shd w:val="clear" w:color="auto" w:fill="auto"/>
            <w:noWrap/>
            <w:vAlign w:val="bottom"/>
            <w:hideMark/>
          </w:tcPr>
          <w:p w14:paraId="52646F9A"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1,706,404</w:t>
            </w:r>
          </w:p>
        </w:tc>
      </w:tr>
      <w:tr w:rsidR="00C56022" w:rsidRPr="00C56022" w14:paraId="05CE30B6" w14:textId="77777777" w:rsidTr="00367F16">
        <w:trPr>
          <w:trHeight w:val="255"/>
        </w:trPr>
        <w:tc>
          <w:tcPr>
            <w:tcW w:w="5068" w:type="dxa"/>
            <w:tcBorders>
              <w:top w:val="nil"/>
              <w:left w:val="single" w:sz="4" w:space="0" w:color="auto"/>
              <w:bottom w:val="single" w:sz="4" w:space="0" w:color="auto"/>
              <w:right w:val="single" w:sz="4" w:space="0" w:color="auto"/>
            </w:tcBorders>
            <w:shd w:val="clear" w:color="auto" w:fill="auto"/>
            <w:noWrap/>
            <w:vAlign w:val="center"/>
            <w:hideMark/>
          </w:tcPr>
          <w:p w14:paraId="767E964E" w14:textId="77777777" w:rsidR="00C56022" w:rsidRPr="00C56022" w:rsidRDefault="00C56022" w:rsidP="00C56022">
            <w:pPr>
              <w:spacing w:after="0" w:line="240" w:lineRule="auto"/>
              <w:rPr>
                <w:rFonts w:eastAsia="Times New Roman" w:cs="Calibri"/>
                <w:color w:val="000000"/>
                <w:sz w:val="14"/>
                <w:szCs w:val="14"/>
                <w:lang w:eastAsia="es-MX"/>
              </w:rPr>
            </w:pPr>
            <w:r w:rsidRPr="00C56022">
              <w:rPr>
                <w:rFonts w:eastAsia="Times New Roman" w:cs="Calibri"/>
                <w:color w:val="000000"/>
                <w:sz w:val="14"/>
                <w:szCs w:val="14"/>
                <w:lang w:eastAsia="es-MX"/>
              </w:rPr>
              <w:t>Fideicomiso Fondo Metropolitano de Matamoros</w:t>
            </w:r>
          </w:p>
        </w:tc>
        <w:tc>
          <w:tcPr>
            <w:tcW w:w="2126" w:type="dxa"/>
            <w:tcBorders>
              <w:top w:val="nil"/>
              <w:left w:val="nil"/>
              <w:bottom w:val="single" w:sz="4" w:space="0" w:color="auto"/>
              <w:right w:val="single" w:sz="4" w:space="0" w:color="auto"/>
            </w:tcBorders>
            <w:shd w:val="clear" w:color="auto" w:fill="auto"/>
            <w:noWrap/>
            <w:vAlign w:val="bottom"/>
            <w:hideMark/>
          </w:tcPr>
          <w:p w14:paraId="71593188"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646,867</w:t>
            </w:r>
          </w:p>
        </w:tc>
      </w:tr>
      <w:tr w:rsidR="00C56022" w:rsidRPr="00C56022" w14:paraId="0CD13438" w14:textId="77777777" w:rsidTr="00367F16">
        <w:trPr>
          <w:trHeight w:val="255"/>
        </w:trPr>
        <w:tc>
          <w:tcPr>
            <w:tcW w:w="5068" w:type="dxa"/>
            <w:tcBorders>
              <w:top w:val="nil"/>
              <w:left w:val="single" w:sz="4" w:space="0" w:color="auto"/>
              <w:bottom w:val="single" w:sz="4" w:space="0" w:color="auto"/>
              <w:right w:val="single" w:sz="4" w:space="0" w:color="auto"/>
            </w:tcBorders>
            <w:shd w:val="clear" w:color="auto" w:fill="auto"/>
            <w:noWrap/>
            <w:vAlign w:val="center"/>
            <w:hideMark/>
          </w:tcPr>
          <w:p w14:paraId="522F64CC" w14:textId="77777777" w:rsidR="00C56022" w:rsidRPr="00C56022" w:rsidRDefault="00C56022" w:rsidP="00C56022">
            <w:pPr>
              <w:spacing w:after="0" w:line="240" w:lineRule="auto"/>
              <w:rPr>
                <w:rFonts w:eastAsia="Times New Roman" w:cs="Calibri"/>
                <w:color w:val="000000"/>
                <w:sz w:val="14"/>
                <w:szCs w:val="14"/>
                <w:lang w:eastAsia="es-MX"/>
              </w:rPr>
            </w:pPr>
            <w:r w:rsidRPr="00C56022">
              <w:rPr>
                <w:rFonts w:eastAsia="Times New Roman" w:cs="Calibri"/>
                <w:color w:val="000000"/>
                <w:sz w:val="14"/>
                <w:szCs w:val="14"/>
                <w:lang w:eastAsia="es-MX"/>
              </w:rPr>
              <w:t>Fideicomiso Maestro Irrevocable de Admon y Fuente de Pago</w:t>
            </w:r>
          </w:p>
        </w:tc>
        <w:tc>
          <w:tcPr>
            <w:tcW w:w="2126" w:type="dxa"/>
            <w:tcBorders>
              <w:top w:val="nil"/>
              <w:left w:val="nil"/>
              <w:bottom w:val="single" w:sz="4" w:space="0" w:color="auto"/>
              <w:right w:val="single" w:sz="4" w:space="0" w:color="auto"/>
            </w:tcBorders>
            <w:shd w:val="clear" w:color="auto" w:fill="auto"/>
            <w:noWrap/>
            <w:vAlign w:val="bottom"/>
            <w:hideMark/>
          </w:tcPr>
          <w:p w14:paraId="7F3AC62A"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268,105</w:t>
            </w:r>
          </w:p>
        </w:tc>
      </w:tr>
      <w:tr w:rsidR="00C56022" w:rsidRPr="00C56022" w14:paraId="76D20699" w14:textId="77777777" w:rsidTr="00367F16">
        <w:trPr>
          <w:trHeight w:val="255"/>
        </w:trPr>
        <w:tc>
          <w:tcPr>
            <w:tcW w:w="5068" w:type="dxa"/>
            <w:tcBorders>
              <w:top w:val="nil"/>
              <w:left w:val="single" w:sz="4" w:space="0" w:color="auto"/>
              <w:bottom w:val="single" w:sz="4" w:space="0" w:color="auto"/>
              <w:right w:val="single" w:sz="4" w:space="0" w:color="auto"/>
            </w:tcBorders>
            <w:shd w:val="clear" w:color="auto" w:fill="auto"/>
            <w:noWrap/>
            <w:vAlign w:val="center"/>
            <w:hideMark/>
          </w:tcPr>
          <w:p w14:paraId="50CCFEAB" w14:textId="77777777" w:rsidR="00C56022" w:rsidRPr="00C56022" w:rsidRDefault="00C56022" w:rsidP="00C56022">
            <w:pPr>
              <w:spacing w:after="0" w:line="240" w:lineRule="auto"/>
              <w:rPr>
                <w:rFonts w:eastAsia="Times New Roman" w:cs="Calibri"/>
                <w:color w:val="000000"/>
                <w:sz w:val="14"/>
                <w:szCs w:val="14"/>
                <w:lang w:eastAsia="es-MX"/>
              </w:rPr>
            </w:pPr>
            <w:r w:rsidRPr="00C56022">
              <w:rPr>
                <w:rFonts w:eastAsia="Times New Roman" w:cs="Calibri"/>
                <w:color w:val="000000"/>
                <w:sz w:val="14"/>
                <w:szCs w:val="14"/>
                <w:lang w:eastAsia="es-MX"/>
              </w:rPr>
              <w:t>Fideicomiso del Corredor Económico del Norte</w:t>
            </w:r>
          </w:p>
        </w:tc>
        <w:tc>
          <w:tcPr>
            <w:tcW w:w="2126" w:type="dxa"/>
            <w:tcBorders>
              <w:top w:val="nil"/>
              <w:left w:val="nil"/>
              <w:bottom w:val="single" w:sz="4" w:space="0" w:color="auto"/>
              <w:right w:val="single" w:sz="4" w:space="0" w:color="auto"/>
            </w:tcBorders>
            <w:shd w:val="clear" w:color="auto" w:fill="auto"/>
            <w:noWrap/>
            <w:vAlign w:val="bottom"/>
            <w:hideMark/>
          </w:tcPr>
          <w:p w14:paraId="6352B40B"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206,652</w:t>
            </w:r>
          </w:p>
        </w:tc>
      </w:tr>
      <w:tr w:rsidR="00C56022" w:rsidRPr="00C56022" w14:paraId="6DFEFCAD" w14:textId="77777777" w:rsidTr="00367F16">
        <w:trPr>
          <w:trHeight w:val="255"/>
        </w:trPr>
        <w:tc>
          <w:tcPr>
            <w:tcW w:w="5068" w:type="dxa"/>
            <w:tcBorders>
              <w:top w:val="nil"/>
              <w:left w:val="single" w:sz="4" w:space="0" w:color="auto"/>
              <w:bottom w:val="single" w:sz="4" w:space="0" w:color="auto"/>
              <w:right w:val="single" w:sz="4" w:space="0" w:color="auto"/>
            </w:tcBorders>
            <w:shd w:val="clear" w:color="auto" w:fill="auto"/>
            <w:noWrap/>
            <w:vAlign w:val="center"/>
            <w:hideMark/>
          </w:tcPr>
          <w:p w14:paraId="72541E67" w14:textId="77777777" w:rsidR="00C56022" w:rsidRPr="00C56022" w:rsidRDefault="00C56022" w:rsidP="00C56022">
            <w:pPr>
              <w:spacing w:after="0" w:line="240" w:lineRule="auto"/>
              <w:rPr>
                <w:rFonts w:eastAsia="Times New Roman" w:cs="Calibri"/>
                <w:color w:val="000000"/>
                <w:sz w:val="14"/>
                <w:szCs w:val="14"/>
                <w:lang w:eastAsia="es-MX"/>
              </w:rPr>
            </w:pPr>
            <w:r w:rsidRPr="00C56022">
              <w:rPr>
                <w:rFonts w:eastAsia="Times New Roman" w:cs="Calibri"/>
                <w:color w:val="000000"/>
                <w:sz w:val="14"/>
                <w:szCs w:val="14"/>
                <w:lang w:eastAsia="es-MX"/>
              </w:rPr>
              <w:t>Fideicomiso  Centro Histórico De Tampico</w:t>
            </w:r>
          </w:p>
        </w:tc>
        <w:tc>
          <w:tcPr>
            <w:tcW w:w="2126" w:type="dxa"/>
            <w:tcBorders>
              <w:top w:val="nil"/>
              <w:left w:val="nil"/>
              <w:bottom w:val="single" w:sz="4" w:space="0" w:color="auto"/>
              <w:right w:val="single" w:sz="4" w:space="0" w:color="auto"/>
            </w:tcBorders>
            <w:shd w:val="clear" w:color="auto" w:fill="auto"/>
            <w:noWrap/>
            <w:vAlign w:val="bottom"/>
            <w:hideMark/>
          </w:tcPr>
          <w:p w14:paraId="201F5B51"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17,763</w:t>
            </w:r>
          </w:p>
        </w:tc>
      </w:tr>
      <w:tr w:rsidR="00C56022" w:rsidRPr="00C56022" w14:paraId="5BCE2E7E" w14:textId="77777777" w:rsidTr="00367F16">
        <w:trPr>
          <w:trHeight w:val="255"/>
        </w:trPr>
        <w:tc>
          <w:tcPr>
            <w:tcW w:w="5068" w:type="dxa"/>
            <w:tcBorders>
              <w:top w:val="nil"/>
              <w:left w:val="single" w:sz="4" w:space="0" w:color="auto"/>
              <w:bottom w:val="single" w:sz="4" w:space="0" w:color="auto"/>
              <w:right w:val="single" w:sz="4" w:space="0" w:color="auto"/>
            </w:tcBorders>
            <w:shd w:val="clear" w:color="auto" w:fill="auto"/>
            <w:noWrap/>
            <w:vAlign w:val="center"/>
            <w:hideMark/>
          </w:tcPr>
          <w:p w14:paraId="6A307946" w14:textId="77777777" w:rsidR="00C56022" w:rsidRPr="00C56022" w:rsidRDefault="00C56022" w:rsidP="00C56022">
            <w:pPr>
              <w:spacing w:after="0" w:line="240" w:lineRule="auto"/>
              <w:rPr>
                <w:rFonts w:eastAsia="Times New Roman" w:cs="Calibri"/>
                <w:color w:val="000000"/>
                <w:sz w:val="14"/>
                <w:szCs w:val="14"/>
                <w:lang w:eastAsia="es-MX"/>
              </w:rPr>
            </w:pPr>
            <w:r w:rsidRPr="00C56022">
              <w:rPr>
                <w:rFonts w:eastAsia="Times New Roman" w:cs="Calibri"/>
                <w:color w:val="000000"/>
                <w:sz w:val="14"/>
                <w:szCs w:val="14"/>
                <w:lang w:eastAsia="es-MX"/>
              </w:rPr>
              <w:t>Fideicomiso Mante-Ocampo-Tula</w:t>
            </w:r>
          </w:p>
        </w:tc>
        <w:tc>
          <w:tcPr>
            <w:tcW w:w="2126" w:type="dxa"/>
            <w:tcBorders>
              <w:top w:val="nil"/>
              <w:left w:val="nil"/>
              <w:bottom w:val="single" w:sz="4" w:space="0" w:color="auto"/>
              <w:right w:val="single" w:sz="4" w:space="0" w:color="auto"/>
            </w:tcBorders>
            <w:shd w:val="clear" w:color="auto" w:fill="auto"/>
            <w:noWrap/>
            <w:vAlign w:val="bottom"/>
            <w:hideMark/>
          </w:tcPr>
          <w:p w14:paraId="60A95928"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16,027</w:t>
            </w:r>
          </w:p>
        </w:tc>
      </w:tr>
      <w:tr w:rsidR="00C56022" w:rsidRPr="00C56022" w14:paraId="3F6C097F" w14:textId="77777777" w:rsidTr="00367F16">
        <w:trPr>
          <w:trHeight w:val="255"/>
        </w:trPr>
        <w:tc>
          <w:tcPr>
            <w:tcW w:w="5068" w:type="dxa"/>
            <w:tcBorders>
              <w:top w:val="single" w:sz="4" w:space="0" w:color="auto"/>
              <w:left w:val="single" w:sz="4" w:space="0" w:color="auto"/>
              <w:bottom w:val="single" w:sz="4" w:space="0" w:color="auto"/>
              <w:right w:val="nil"/>
            </w:tcBorders>
            <w:shd w:val="clear" w:color="auto" w:fill="auto"/>
            <w:noWrap/>
            <w:vAlign w:val="bottom"/>
            <w:hideMark/>
          </w:tcPr>
          <w:p w14:paraId="0FDA853F" w14:textId="77777777" w:rsidR="00C56022" w:rsidRPr="00C56022" w:rsidRDefault="00C56022" w:rsidP="00C56022">
            <w:pPr>
              <w:spacing w:after="0" w:line="240" w:lineRule="auto"/>
              <w:rPr>
                <w:rFonts w:eastAsia="Times New Roman" w:cs="Calibri"/>
                <w:color w:val="000000"/>
                <w:sz w:val="14"/>
                <w:szCs w:val="14"/>
                <w:lang w:eastAsia="es-MX"/>
              </w:rPr>
            </w:pPr>
            <w:r w:rsidRPr="00C56022">
              <w:rPr>
                <w:rFonts w:eastAsia="Times New Roman" w:cs="Calibri"/>
                <w:color w:val="000000"/>
                <w:sz w:val="14"/>
                <w:szCs w:val="14"/>
                <w:lang w:eastAsia="es-MX"/>
              </w:rPr>
              <w:t>Fideicomisos Nuestros Niños Nuestro Futuro</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683D3"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6,672</w:t>
            </w:r>
          </w:p>
        </w:tc>
      </w:tr>
      <w:tr w:rsidR="00C56022" w:rsidRPr="00C56022" w14:paraId="2464E8D7" w14:textId="77777777" w:rsidTr="00367F16">
        <w:trPr>
          <w:trHeight w:val="255"/>
        </w:trPr>
        <w:tc>
          <w:tcPr>
            <w:tcW w:w="5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530CB" w14:textId="77777777" w:rsidR="00C56022" w:rsidRPr="00C56022" w:rsidRDefault="00C56022" w:rsidP="00C56022">
            <w:pPr>
              <w:spacing w:after="0" w:line="240" w:lineRule="auto"/>
              <w:rPr>
                <w:rFonts w:eastAsia="Times New Roman" w:cs="Calibri"/>
                <w:color w:val="000000"/>
                <w:sz w:val="14"/>
                <w:szCs w:val="14"/>
                <w:lang w:eastAsia="es-MX"/>
              </w:rPr>
            </w:pPr>
            <w:r w:rsidRPr="00C56022">
              <w:rPr>
                <w:rFonts w:eastAsia="Times New Roman" w:cs="Calibri"/>
                <w:color w:val="000000"/>
                <w:sz w:val="14"/>
                <w:szCs w:val="14"/>
                <w:lang w:eastAsia="es-MX"/>
              </w:rPr>
              <w:t xml:space="preserve">Fideicomiso Para el Desarrollo Comercial Ignacio Zaragoza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81DA58C"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3,922</w:t>
            </w:r>
          </w:p>
        </w:tc>
      </w:tr>
      <w:tr w:rsidR="00C56022" w:rsidRPr="00C56022" w14:paraId="27F0DF32" w14:textId="77777777" w:rsidTr="00367F16">
        <w:trPr>
          <w:trHeight w:val="255"/>
        </w:trPr>
        <w:tc>
          <w:tcPr>
            <w:tcW w:w="5068" w:type="dxa"/>
            <w:tcBorders>
              <w:top w:val="nil"/>
              <w:left w:val="single" w:sz="4" w:space="0" w:color="auto"/>
              <w:bottom w:val="single" w:sz="4" w:space="0" w:color="auto"/>
              <w:right w:val="single" w:sz="4" w:space="0" w:color="auto"/>
            </w:tcBorders>
            <w:shd w:val="clear" w:color="auto" w:fill="auto"/>
            <w:noWrap/>
            <w:vAlign w:val="center"/>
            <w:hideMark/>
          </w:tcPr>
          <w:p w14:paraId="4E45590B" w14:textId="77777777" w:rsidR="00C56022" w:rsidRPr="00C56022" w:rsidRDefault="00C56022" w:rsidP="00C56022">
            <w:pPr>
              <w:spacing w:after="0" w:line="240" w:lineRule="auto"/>
              <w:rPr>
                <w:rFonts w:eastAsia="Times New Roman" w:cs="Calibri"/>
                <w:color w:val="000000"/>
                <w:sz w:val="14"/>
                <w:szCs w:val="14"/>
                <w:lang w:eastAsia="es-MX"/>
              </w:rPr>
            </w:pPr>
            <w:r w:rsidRPr="00C56022">
              <w:rPr>
                <w:rFonts w:eastAsia="Times New Roman" w:cs="Calibri"/>
                <w:color w:val="000000"/>
                <w:sz w:val="14"/>
                <w:szCs w:val="14"/>
                <w:lang w:eastAsia="es-MX"/>
              </w:rPr>
              <w:t xml:space="preserve">Fideicomiso Centro Histórico De Matamoros </w:t>
            </w:r>
          </w:p>
        </w:tc>
        <w:tc>
          <w:tcPr>
            <w:tcW w:w="2126" w:type="dxa"/>
            <w:tcBorders>
              <w:top w:val="nil"/>
              <w:left w:val="nil"/>
              <w:bottom w:val="single" w:sz="4" w:space="0" w:color="auto"/>
              <w:right w:val="single" w:sz="4" w:space="0" w:color="auto"/>
            </w:tcBorders>
            <w:shd w:val="clear" w:color="auto" w:fill="auto"/>
            <w:noWrap/>
            <w:vAlign w:val="bottom"/>
            <w:hideMark/>
          </w:tcPr>
          <w:p w14:paraId="5575EC23"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2,629</w:t>
            </w:r>
          </w:p>
        </w:tc>
      </w:tr>
      <w:tr w:rsidR="00C56022" w:rsidRPr="00C56022" w14:paraId="714ECF2A" w14:textId="77777777" w:rsidTr="0061352F">
        <w:trPr>
          <w:trHeight w:val="284"/>
        </w:trPr>
        <w:tc>
          <w:tcPr>
            <w:tcW w:w="5068" w:type="dxa"/>
            <w:tcBorders>
              <w:top w:val="nil"/>
              <w:left w:val="single" w:sz="4" w:space="0" w:color="auto"/>
              <w:bottom w:val="single" w:sz="4" w:space="0" w:color="auto"/>
              <w:right w:val="single" w:sz="4" w:space="0" w:color="auto"/>
            </w:tcBorders>
            <w:shd w:val="clear" w:color="000000" w:fill="DDC9A3"/>
            <w:vAlign w:val="center"/>
            <w:hideMark/>
          </w:tcPr>
          <w:p w14:paraId="5EAF4AE4" w14:textId="77777777" w:rsidR="00C56022" w:rsidRPr="00C56022" w:rsidRDefault="00C56022" w:rsidP="00C56022">
            <w:pPr>
              <w:spacing w:after="0" w:line="240" w:lineRule="auto"/>
              <w:jc w:val="center"/>
              <w:rPr>
                <w:rFonts w:eastAsia="Times New Roman" w:cs="Calibri"/>
                <w:b/>
                <w:bCs/>
                <w:color w:val="000000"/>
                <w:sz w:val="14"/>
                <w:szCs w:val="14"/>
                <w:lang w:eastAsia="es-MX"/>
              </w:rPr>
            </w:pPr>
            <w:r w:rsidRPr="00C56022">
              <w:rPr>
                <w:rFonts w:eastAsia="Times New Roman" w:cs="Calibri"/>
                <w:b/>
                <w:bCs/>
                <w:color w:val="000000"/>
                <w:sz w:val="14"/>
                <w:szCs w:val="14"/>
                <w:lang w:eastAsia="es-MX"/>
              </w:rPr>
              <w:t>TOTAL</w:t>
            </w:r>
          </w:p>
        </w:tc>
        <w:tc>
          <w:tcPr>
            <w:tcW w:w="2126" w:type="dxa"/>
            <w:tcBorders>
              <w:top w:val="nil"/>
              <w:left w:val="nil"/>
              <w:bottom w:val="single" w:sz="4" w:space="0" w:color="auto"/>
              <w:right w:val="single" w:sz="4" w:space="0" w:color="auto"/>
            </w:tcBorders>
            <w:shd w:val="clear" w:color="000000" w:fill="DDC9A3"/>
            <w:vAlign w:val="center"/>
            <w:hideMark/>
          </w:tcPr>
          <w:p w14:paraId="05D902D8" w14:textId="77777777" w:rsidR="00C56022" w:rsidRPr="00C56022" w:rsidRDefault="00C56022" w:rsidP="00C56022">
            <w:pPr>
              <w:spacing w:after="0" w:line="240" w:lineRule="auto"/>
              <w:jc w:val="right"/>
              <w:rPr>
                <w:rFonts w:eastAsia="Times New Roman" w:cs="Calibri"/>
                <w:b/>
                <w:bCs/>
                <w:color w:val="000000"/>
                <w:sz w:val="14"/>
                <w:szCs w:val="14"/>
                <w:lang w:eastAsia="es-MX"/>
              </w:rPr>
            </w:pPr>
            <w:r w:rsidRPr="00C56022">
              <w:rPr>
                <w:rFonts w:eastAsia="Times New Roman" w:cs="Calibri"/>
                <w:b/>
                <w:bCs/>
                <w:color w:val="000000"/>
                <w:sz w:val="14"/>
                <w:szCs w:val="14"/>
                <w:lang w:eastAsia="es-MX"/>
              </w:rPr>
              <w:t>1,478,331,069</w:t>
            </w:r>
          </w:p>
        </w:tc>
      </w:tr>
    </w:tbl>
    <w:p w14:paraId="6FD8E3DC" w14:textId="2E0D8414" w:rsidR="006D62A5" w:rsidRDefault="006D62A5" w:rsidP="000E4BF4">
      <w:pPr>
        <w:pStyle w:val="Texto"/>
        <w:spacing w:after="0" w:line="276" w:lineRule="auto"/>
        <w:ind w:firstLine="0"/>
        <w:rPr>
          <w:rFonts w:asciiTheme="minorHAnsi" w:hAnsiTheme="minorHAnsi" w:cstheme="minorHAnsi"/>
          <w:szCs w:val="18"/>
          <w:lang w:val="es-MX"/>
        </w:rPr>
      </w:pPr>
    </w:p>
    <w:p w14:paraId="5790C7B5" w14:textId="77777777" w:rsidR="00367F16" w:rsidRDefault="00367F16" w:rsidP="000E4BF4">
      <w:pPr>
        <w:pStyle w:val="Texto"/>
        <w:spacing w:after="0" w:line="276" w:lineRule="auto"/>
        <w:ind w:firstLine="0"/>
        <w:rPr>
          <w:rFonts w:asciiTheme="minorHAnsi" w:hAnsiTheme="minorHAnsi" w:cstheme="minorHAnsi"/>
          <w:szCs w:val="18"/>
          <w:lang w:val="es-MX"/>
        </w:rPr>
      </w:pPr>
    </w:p>
    <w:p w14:paraId="6EE0599D" w14:textId="52FEBA08" w:rsidR="007161E1" w:rsidRDefault="007161E1" w:rsidP="00B46FFA">
      <w:pPr>
        <w:pStyle w:val="Texto"/>
        <w:numPr>
          <w:ilvl w:val="0"/>
          <w:numId w:val="28"/>
        </w:numPr>
        <w:spacing w:after="0" w:line="240" w:lineRule="exact"/>
        <w:ind w:left="567" w:hanging="283"/>
        <w:rPr>
          <w:rFonts w:asciiTheme="minorHAnsi" w:hAnsiTheme="minorHAnsi" w:cstheme="minorHAnsi"/>
          <w:szCs w:val="18"/>
          <w:lang w:val="es-MX"/>
        </w:rPr>
      </w:pPr>
      <w:r w:rsidRPr="006A7927">
        <w:rPr>
          <w:rFonts w:asciiTheme="minorHAnsi" w:hAnsiTheme="minorHAnsi" w:cstheme="minorHAnsi"/>
          <w:szCs w:val="18"/>
          <w:lang w:val="es-MX"/>
        </w:rPr>
        <w:t>También se refleja un incremento</w:t>
      </w:r>
      <w:r w:rsidR="00D57E69" w:rsidRPr="006A7927">
        <w:rPr>
          <w:rFonts w:asciiTheme="minorHAnsi" w:hAnsiTheme="minorHAnsi" w:cstheme="minorHAnsi"/>
          <w:szCs w:val="18"/>
          <w:lang w:val="es-MX"/>
        </w:rPr>
        <w:t xml:space="preserve"> en las Participaciones y Aportaciones de Capital por $</w:t>
      </w:r>
      <w:r w:rsidR="007E4F6D" w:rsidRPr="006A7927">
        <w:rPr>
          <w:rFonts w:asciiTheme="minorHAnsi" w:hAnsiTheme="minorHAnsi" w:cstheme="minorHAnsi"/>
          <w:szCs w:val="18"/>
          <w:lang w:val="es-MX"/>
        </w:rPr>
        <w:t>48,060,79</w:t>
      </w:r>
      <w:r w:rsidR="00000001">
        <w:rPr>
          <w:rFonts w:asciiTheme="minorHAnsi" w:hAnsiTheme="minorHAnsi" w:cstheme="minorHAnsi"/>
          <w:szCs w:val="18"/>
          <w:lang w:val="es-MX"/>
        </w:rPr>
        <w:t>5</w:t>
      </w:r>
      <w:r w:rsidR="00D57E69" w:rsidRPr="006A7927">
        <w:rPr>
          <w:rFonts w:asciiTheme="minorHAnsi" w:hAnsiTheme="minorHAnsi" w:cstheme="minorHAnsi"/>
          <w:szCs w:val="18"/>
          <w:lang w:val="es-MX"/>
        </w:rPr>
        <w:t xml:space="preserve"> cantidad que corresponde a las aportaciones entregadas a la empresa </w:t>
      </w:r>
      <w:r w:rsidR="00AF4193" w:rsidRPr="006A7927">
        <w:rPr>
          <w:rFonts w:asciiTheme="minorHAnsi" w:hAnsiTheme="minorHAnsi" w:cstheme="minorHAnsi"/>
          <w:szCs w:val="18"/>
          <w:lang w:val="es-MX"/>
        </w:rPr>
        <w:t xml:space="preserve">Promotora para el Desarrollo de Tamaulipas S.A. de C.V. </w:t>
      </w:r>
      <w:r w:rsidR="00D57E69" w:rsidRPr="006A7927">
        <w:rPr>
          <w:rFonts w:asciiTheme="minorHAnsi" w:hAnsiTheme="minorHAnsi" w:cstheme="minorHAnsi"/>
          <w:szCs w:val="18"/>
          <w:lang w:val="es-MX"/>
        </w:rPr>
        <w:t>por $</w:t>
      </w:r>
      <w:r w:rsidR="00E00968" w:rsidRPr="006A7927">
        <w:rPr>
          <w:rFonts w:asciiTheme="minorHAnsi" w:hAnsiTheme="minorHAnsi" w:cstheme="minorHAnsi"/>
          <w:szCs w:val="18"/>
          <w:lang w:val="es-MX"/>
        </w:rPr>
        <w:t>12,</w:t>
      </w:r>
      <w:r w:rsidR="007E4F6D" w:rsidRPr="006A7927">
        <w:rPr>
          <w:rFonts w:asciiTheme="minorHAnsi" w:hAnsiTheme="minorHAnsi" w:cstheme="minorHAnsi"/>
          <w:szCs w:val="18"/>
          <w:lang w:val="es-MX"/>
        </w:rPr>
        <w:t>901,835</w:t>
      </w:r>
      <w:r w:rsidR="00D57E69" w:rsidRPr="006A7927">
        <w:rPr>
          <w:rFonts w:asciiTheme="minorHAnsi" w:hAnsiTheme="minorHAnsi" w:cstheme="minorHAnsi"/>
          <w:szCs w:val="18"/>
          <w:lang w:val="es-MX"/>
        </w:rPr>
        <w:t>, la</w:t>
      </w:r>
      <w:r w:rsidR="00AF4193" w:rsidRPr="006A7927">
        <w:rPr>
          <w:rFonts w:asciiTheme="minorHAnsi" w:hAnsiTheme="minorHAnsi" w:cstheme="minorHAnsi"/>
          <w:szCs w:val="18"/>
          <w:lang w:val="es-MX"/>
        </w:rPr>
        <w:t xml:space="preserve"> Paraestatal Administración Portuaria Integral de Tamaulipas S.A. de C.V. por </w:t>
      </w:r>
      <w:r w:rsidR="00D57E69" w:rsidRPr="006A7927">
        <w:rPr>
          <w:rFonts w:asciiTheme="minorHAnsi" w:hAnsiTheme="minorHAnsi" w:cstheme="minorHAnsi"/>
          <w:szCs w:val="18"/>
          <w:lang w:val="es-MX"/>
        </w:rPr>
        <w:t>$</w:t>
      </w:r>
      <w:r w:rsidR="007E4F6D" w:rsidRPr="006A7927">
        <w:rPr>
          <w:rFonts w:asciiTheme="minorHAnsi" w:hAnsiTheme="minorHAnsi" w:cstheme="minorHAnsi"/>
          <w:szCs w:val="18"/>
          <w:lang w:val="es-MX"/>
        </w:rPr>
        <w:t>19,944,131</w:t>
      </w:r>
      <w:r w:rsidR="00AF4193" w:rsidRPr="006A7927">
        <w:rPr>
          <w:rFonts w:asciiTheme="minorHAnsi" w:hAnsiTheme="minorHAnsi" w:cstheme="minorHAnsi"/>
          <w:szCs w:val="18"/>
          <w:lang w:val="es-MX"/>
        </w:rPr>
        <w:t xml:space="preserve"> y a la empresa Tam. Energía Alianza S.A. de C.V.  por el importe de $</w:t>
      </w:r>
      <w:r w:rsidR="007E4F6D" w:rsidRPr="006A7927">
        <w:rPr>
          <w:rFonts w:asciiTheme="minorHAnsi" w:hAnsiTheme="minorHAnsi" w:cstheme="minorHAnsi"/>
          <w:szCs w:val="18"/>
          <w:lang w:val="es-MX"/>
        </w:rPr>
        <w:t>15,214,829</w:t>
      </w:r>
      <w:r w:rsidR="00D57E69" w:rsidRPr="006A7927">
        <w:rPr>
          <w:rFonts w:asciiTheme="minorHAnsi" w:hAnsiTheme="minorHAnsi" w:cstheme="minorHAnsi"/>
          <w:szCs w:val="18"/>
          <w:lang w:val="es-MX"/>
        </w:rPr>
        <w:t>, dichas aportaciones serán consideradas para</w:t>
      </w:r>
      <w:r w:rsidR="00022DD2" w:rsidRPr="006A7927">
        <w:rPr>
          <w:rFonts w:asciiTheme="minorHAnsi" w:hAnsiTheme="minorHAnsi" w:cstheme="minorHAnsi"/>
          <w:szCs w:val="18"/>
          <w:lang w:val="es-MX"/>
        </w:rPr>
        <w:t xml:space="preserve"> futuros incrementos de capital, a la fecha reflejan los saldos siguientes:</w:t>
      </w:r>
    </w:p>
    <w:p w14:paraId="1133983B" w14:textId="5B1D982A" w:rsidR="00367F16" w:rsidRDefault="00367F16" w:rsidP="00367F16">
      <w:pPr>
        <w:pStyle w:val="Texto"/>
        <w:spacing w:after="0" w:line="240" w:lineRule="exact"/>
        <w:rPr>
          <w:rFonts w:asciiTheme="minorHAnsi" w:hAnsiTheme="minorHAnsi" w:cstheme="minorHAnsi"/>
          <w:szCs w:val="18"/>
          <w:lang w:val="es-MX"/>
        </w:rPr>
      </w:pPr>
    </w:p>
    <w:tbl>
      <w:tblPr>
        <w:tblpPr w:leftFromText="141" w:rightFromText="141" w:vertAnchor="page" w:horzAnchor="page" w:tblpX="1951" w:tblpY="11596"/>
        <w:tblOverlap w:val="never"/>
        <w:tblW w:w="6782" w:type="dxa"/>
        <w:tblCellMar>
          <w:left w:w="70" w:type="dxa"/>
          <w:right w:w="70" w:type="dxa"/>
        </w:tblCellMar>
        <w:tblLook w:val="04A0" w:firstRow="1" w:lastRow="0" w:firstColumn="1" w:lastColumn="0" w:noHBand="0" w:noVBand="1"/>
      </w:tblPr>
      <w:tblGrid>
        <w:gridCol w:w="4957"/>
        <w:gridCol w:w="1825"/>
      </w:tblGrid>
      <w:tr w:rsidR="00367F16" w:rsidRPr="007E4F6D" w14:paraId="2D1CDE6C" w14:textId="77777777" w:rsidTr="00367F16">
        <w:trPr>
          <w:trHeight w:val="361"/>
        </w:trPr>
        <w:tc>
          <w:tcPr>
            <w:tcW w:w="4957"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6493646C" w14:textId="77777777" w:rsidR="00367F16" w:rsidRPr="007E4F6D" w:rsidRDefault="00367F16" w:rsidP="00367F16">
            <w:pPr>
              <w:spacing w:after="0" w:line="240" w:lineRule="auto"/>
              <w:jc w:val="center"/>
              <w:rPr>
                <w:rFonts w:eastAsia="Times New Roman" w:cs="Calibri"/>
                <w:b/>
                <w:bCs/>
                <w:color w:val="FFFFFF"/>
                <w:sz w:val="16"/>
                <w:szCs w:val="16"/>
                <w:lang w:eastAsia="es-MX"/>
              </w:rPr>
            </w:pPr>
            <w:r w:rsidRPr="007E4F6D">
              <w:rPr>
                <w:rFonts w:eastAsia="Times New Roman" w:cs="Calibri"/>
                <w:b/>
                <w:bCs/>
                <w:color w:val="FFFFFF"/>
                <w:sz w:val="16"/>
                <w:szCs w:val="16"/>
                <w:lang w:eastAsia="es-MX"/>
              </w:rPr>
              <w:t>Participaciones y Aportaciones</w:t>
            </w:r>
          </w:p>
        </w:tc>
        <w:tc>
          <w:tcPr>
            <w:tcW w:w="1825" w:type="dxa"/>
            <w:tcBorders>
              <w:top w:val="single" w:sz="4" w:space="0" w:color="auto"/>
              <w:left w:val="nil"/>
              <w:bottom w:val="single" w:sz="4" w:space="0" w:color="auto"/>
              <w:right w:val="single" w:sz="4" w:space="0" w:color="auto"/>
            </w:tcBorders>
            <w:shd w:val="clear" w:color="000000" w:fill="AB0033"/>
            <w:vAlign w:val="center"/>
            <w:hideMark/>
          </w:tcPr>
          <w:p w14:paraId="05807BDF" w14:textId="77777777" w:rsidR="00367F16" w:rsidRPr="007E4F6D" w:rsidRDefault="00367F16" w:rsidP="00367F16">
            <w:pPr>
              <w:spacing w:after="0" w:line="240" w:lineRule="auto"/>
              <w:jc w:val="center"/>
              <w:rPr>
                <w:rFonts w:eastAsia="Times New Roman" w:cs="Calibri"/>
                <w:b/>
                <w:bCs/>
                <w:color w:val="FFFFFF"/>
                <w:sz w:val="16"/>
                <w:szCs w:val="16"/>
                <w:lang w:eastAsia="es-MX"/>
              </w:rPr>
            </w:pPr>
            <w:r w:rsidRPr="007E4F6D">
              <w:rPr>
                <w:rFonts w:eastAsia="Times New Roman" w:cs="Calibri"/>
                <w:b/>
                <w:bCs/>
                <w:color w:val="FFFFFF"/>
                <w:sz w:val="16"/>
                <w:szCs w:val="16"/>
                <w:lang w:eastAsia="es-MX"/>
              </w:rPr>
              <w:t>Importe</w:t>
            </w:r>
          </w:p>
        </w:tc>
      </w:tr>
      <w:tr w:rsidR="00367F16" w:rsidRPr="007E4F6D" w14:paraId="5BACB4DE" w14:textId="77777777" w:rsidTr="00367F16">
        <w:trPr>
          <w:trHeight w:val="34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478DA8DB" w14:textId="77777777" w:rsidR="00367F16" w:rsidRPr="00097C29" w:rsidRDefault="00367F16" w:rsidP="00367F16">
            <w:pPr>
              <w:spacing w:after="0" w:line="240" w:lineRule="auto"/>
              <w:jc w:val="both"/>
              <w:rPr>
                <w:rFonts w:eastAsia="Times New Roman" w:cs="Calibri"/>
                <w:color w:val="000000"/>
                <w:sz w:val="15"/>
                <w:szCs w:val="15"/>
                <w:lang w:eastAsia="es-MX"/>
              </w:rPr>
            </w:pPr>
            <w:r w:rsidRPr="00097C29">
              <w:rPr>
                <w:rFonts w:eastAsia="Times New Roman" w:cs="Calibri"/>
                <w:color w:val="000000"/>
                <w:sz w:val="15"/>
                <w:szCs w:val="15"/>
                <w:lang w:eastAsia="es-MX"/>
              </w:rPr>
              <w:t>Promotora para el Desarrollo de Tamaulipas S.A de C.V.</w:t>
            </w:r>
          </w:p>
        </w:tc>
        <w:tc>
          <w:tcPr>
            <w:tcW w:w="1825" w:type="dxa"/>
            <w:tcBorders>
              <w:top w:val="nil"/>
              <w:left w:val="nil"/>
              <w:bottom w:val="single" w:sz="4" w:space="0" w:color="auto"/>
              <w:right w:val="single" w:sz="4" w:space="0" w:color="auto"/>
            </w:tcBorders>
            <w:shd w:val="clear" w:color="auto" w:fill="auto"/>
            <w:vAlign w:val="center"/>
            <w:hideMark/>
          </w:tcPr>
          <w:p w14:paraId="2093A84F" w14:textId="77777777" w:rsidR="00367F16" w:rsidRPr="00097C29" w:rsidRDefault="00367F16" w:rsidP="00367F16">
            <w:pPr>
              <w:spacing w:after="0" w:line="240" w:lineRule="auto"/>
              <w:jc w:val="right"/>
              <w:rPr>
                <w:rFonts w:eastAsia="Times New Roman" w:cs="Calibri"/>
                <w:color w:val="000000"/>
                <w:sz w:val="15"/>
                <w:szCs w:val="15"/>
                <w:lang w:eastAsia="es-MX"/>
              </w:rPr>
            </w:pPr>
            <w:r w:rsidRPr="00097C29">
              <w:rPr>
                <w:rFonts w:eastAsia="Times New Roman" w:cs="Calibri"/>
                <w:color w:val="000000"/>
                <w:sz w:val="15"/>
                <w:szCs w:val="15"/>
                <w:lang w:eastAsia="es-MX"/>
              </w:rPr>
              <w:t>262,153,528</w:t>
            </w:r>
          </w:p>
        </w:tc>
      </w:tr>
      <w:tr w:rsidR="00367F16" w:rsidRPr="007E4F6D" w14:paraId="00DB4C5D" w14:textId="77777777" w:rsidTr="00367F16">
        <w:trPr>
          <w:trHeight w:val="34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BA37E25" w14:textId="77777777" w:rsidR="00367F16" w:rsidRPr="00097C29" w:rsidRDefault="00367F16" w:rsidP="00367F16">
            <w:pPr>
              <w:spacing w:after="0" w:line="240" w:lineRule="auto"/>
              <w:jc w:val="both"/>
              <w:rPr>
                <w:rFonts w:eastAsia="Times New Roman" w:cs="Calibri"/>
                <w:color w:val="000000"/>
                <w:sz w:val="15"/>
                <w:szCs w:val="15"/>
                <w:lang w:eastAsia="es-MX"/>
              </w:rPr>
            </w:pPr>
            <w:r w:rsidRPr="00097C29">
              <w:rPr>
                <w:rFonts w:eastAsia="Times New Roman" w:cs="Calibri"/>
                <w:color w:val="000000"/>
                <w:sz w:val="15"/>
                <w:szCs w:val="15"/>
                <w:lang w:eastAsia="es-MX"/>
              </w:rPr>
              <w:t xml:space="preserve">Administración Portuaria Integral de Tamaulipas S.A. de C.V. </w:t>
            </w:r>
          </w:p>
        </w:tc>
        <w:tc>
          <w:tcPr>
            <w:tcW w:w="1825" w:type="dxa"/>
            <w:tcBorders>
              <w:top w:val="nil"/>
              <w:left w:val="nil"/>
              <w:bottom w:val="single" w:sz="4" w:space="0" w:color="auto"/>
              <w:right w:val="single" w:sz="4" w:space="0" w:color="auto"/>
            </w:tcBorders>
            <w:shd w:val="clear" w:color="auto" w:fill="auto"/>
            <w:vAlign w:val="center"/>
            <w:hideMark/>
          </w:tcPr>
          <w:p w14:paraId="1A2B0E96" w14:textId="77777777" w:rsidR="00367F16" w:rsidRPr="00097C29" w:rsidRDefault="00367F16" w:rsidP="00367F16">
            <w:pPr>
              <w:spacing w:after="0" w:line="240" w:lineRule="auto"/>
              <w:jc w:val="right"/>
              <w:rPr>
                <w:rFonts w:eastAsia="Times New Roman" w:cs="Calibri"/>
                <w:color w:val="000000"/>
                <w:sz w:val="15"/>
                <w:szCs w:val="15"/>
                <w:lang w:eastAsia="es-MX"/>
              </w:rPr>
            </w:pPr>
            <w:r w:rsidRPr="00097C29">
              <w:rPr>
                <w:rFonts w:eastAsia="Times New Roman" w:cs="Calibri"/>
                <w:color w:val="000000"/>
                <w:sz w:val="15"/>
                <w:szCs w:val="15"/>
                <w:lang w:eastAsia="es-MX"/>
              </w:rPr>
              <w:t>179,304,249</w:t>
            </w:r>
          </w:p>
        </w:tc>
      </w:tr>
      <w:tr w:rsidR="00367F16" w:rsidRPr="007E4F6D" w14:paraId="3E5A71C5" w14:textId="77777777" w:rsidTr="00367F16">
        <w:trPr>
          <w:trHeight w:val="34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80D4447" w14:textId="77777777" w:rsidR="00367F16" w:rsidRPr="00097C29" w:rsidRDefault="00367F16" w:rsidP="00367F16">
            <w:pPr>
              <w:spacing w:after="0" w:line="240" w:lineRule="auto"/>
              <w:jc w:val="both"/>
              <w:rPr>
                <w:rFonts w:eastAsia="Times New Roman" w:cs="Calibri"/>
                <w:color w:val="000000"/>
                <w:sz w:val="15"/>
                <w:szCs w:val="15"/>
                <w:lang w:eastAsia="es-MX"/>
              </w:rPr>
            </w:pPr>
            <w:r w:rsidRPr="00097C29">
              <w:rPr>
                <w:rFonts w:eastAsia="Times New Roman" w:cs="Calibri"/>
                <w:color w:val="000000"/>
                <w:sz w:val="15"/>
                <w:szCs w:val="15"/>
                <w:lang w:eastAsia="es-MX"/>
              </w:rPr>
              <w:t xml:space="preserve">Tam. Energía Alianza S.A. de C.V.  </w:t>
            </w:r>
          </w:p>
        </w:tc>
        <w:tc>
          <w:tcPr>
            <w:tcW w:w="1825" w:type="dxa"/>
            <w:tcBorders>
              <w:top w:val="nil"/>
              <w:left w:val="nil"/>
              <w:bottom w:val="single" w:sz="4" w:space="0" w:color="auto"/>
              <w:right w:val="single" w:sz="4" w:space="0" w:color="auto"/>
            </w:tcBorders>
            <w:shd w:val="clear" w:color="auto" w:fill="auto"/>
            <w:vAlign w:val="center"/>
            <w:hideMark/>
          </w:tcPr>
          <w:p w14:paraId="30015659" w14:textId="77777777" w:rsidR="00367F16" w:rsidRPr="00097C29" w:rsidRDefault="00367F16" w:rsidP="00367F16">
            <w:pPr>
              <w:spacing w:after="0" w:line="240" w:lineRule="auto"/>
              <w:jc w:val="right"/>
              <w:rPr>
                <w:rFonts w:eastAsia="Times New Roman" w:cs="Calibri"/>
                <w:color w:val="000000"/>
                <w:sz w:val="15"/>
                <w:szCs w:val="15"/>
                <w:lang w:eastAsia="es-MX"/>
              </w:rPr>
            </w:pPr>
            <w:r w:rsidRPr="00097C29">
              <w:rPr>
                <w:rFonts w:eastAsia="Times New Roman" w:cs="Calibri"/>
                <w:color w:val="000000"/>
                <w:sz w:val="15"/>
                <w:szCs w:val="15"/>
                <w:lang w:eastAsia="es-MX"/>
              </w:rPr>
              <w:t>81,966,342</w:t>
            </w:r>
          </w:p>
        </w:tc>
      </w:tr>
      <w:tr w:rsidR="00367F16" w:rsidRPr="007E4F6D" w14:paraId="3096CC32" w14:textId="77777777" w:rsidTr="00367F16">
        <w:trPr>
          <w:trHeight w:val="340"/>
        </w:trPr>
        <w:tc>
          <w:tcPr>
            <w:tcW w:w="4957" w:type="dxa"/>
            <w:tcBorders>
              <w:top w:val="nil"/>
              <w:left w:val="single" w:sz="4" w:space="0" w:color="auto"/>
              <w:bottom w:val="single" w:sz="4" w:space="0" w:color="auto"/>
              <w:right w:val="single" w:sz="4" w:space="0" w:color="auto"/>
            </w:tcBorders>
            <w:shd w:val="clear" w:color="000000" w:fill="DDC9A3"/>
            <w:vAlign w:val="center"/>
            <w:hideMark/>
          </w:tcPr>
          <w:p w14:paraId="2ECB5973" w14:textId="77777777" w:rsidR="00367F16" w:rsidRPr="007E4F6D" w:rsidRDefault="00367F16" w:rsidP="00367F16">
            <w:pPr>
              <w:spacing w:after="0" w:line="240" w:lineRule="auto"/>
              <w:jc w:val="center"/>
              <w:rPr>
                <w:rFonts w:eastAsia="Times New Roman" w:cs="Calibri"/>
                <w:b/>
                <w:bCs/>
                <w:color w:val="000000"/>
                <w:sz w:val="14"/>
                <w:szCs w:val="14"/>
                <w:lang w:eastAsia="es-MX"/>
              </w:rPr>
            </w:pPr>
            <w:r w:rsidRPr="007E4F6D">
              <w:rPr>
                <w:rFonts w:eastAsia="Times New Roman" w:cs="Calibri"/>
                <w:b/>
                <w:bCs/>
                <w:color w:val="000000"/>
                <w:sz w:val="14"/>
                <w:szCs w:val="14"/>
                <w:lang w:eastAsia="es-MX"/>
              </w:rPr>
              <w:t>TOTAL</w:t>
            </w:r>
          </w:p>
        </w:tc>
        <w:tc>
          <w:tcPr>
            <w:tcW w:w="1825" w:type="dxa"/>
            <w:tcBorders>
              <w:top w:val="nil"/>
              <w:left w:val="nil"/>
              <w:bottom w:val="single" w:sz="4" w:space="0" w:color="auto"/>
              <w:right w:val="single" w:sz="4" w:space="0" w:color="auto"/>
            </w:tcBorders>
            <w:shd w:val="clear" w:color="000000" w:fill="DDC9A3"/>
            <w:vAlign w:val="center"/>
            <w:hideMark/>
          </w:tcPr>
          <w:p w14:paraId="4A33642C" w14:textId="77777777" w:rsidR="00367F16" w:rsidRPr="007E4F6D" w:rsidRDefault="00367F16" w:rsidP="00367F16">
            <w:pPr>
              <w:spacing w:after="0" w:line="240" w:lineRule="auto"/>
              <w:jc w:val="right"/>
              <w:rPr>
                <w:rFonts w:eastAsia="Times New Roman" w:cs="Calibri"/>
                <w:b/>
                <w:bCs/>
                <w:color w:val="000000"/>
                <w:sz w:val="14"/>
                <w:szCs w:val="14"/>
                <w:lang w:eastAsia="es-MX"/>
              </w:rPr>
            </w:pPr>
            <w:r w:rsidRPr="007E4F6D">
              <w:rPr>
                <w:rFonts w:eastAsia="Times New Roman" w:cs="Calibri"/>
                <w:b/>
                <w:bCs/>
                <w:color w:val="000000"/>
                <w:sz w:val="14"/>
                <w:szCs w:val="14"/>
                <w:lang w:eastAsia="es-MX"/>
              </w:rPr>
              <w:t>523,424,119</w:t>
            </w:r>
          </w:p>
        </w:tc>
      </w:tr>
    </w:tbl>
    <w:p w14:paraId="19637AB2" w14:textId="4280D76B" w:rsidR="00367F16" w:rsidRDefault="00367F16" w:rsidP="00367F16">
      <w:pPr>
        <w:pStyle w:val="Texto"/>
        <w:spacing w:after="0" w:line="240" w:lineRule="exact"/>
        <w:rPr>
          <w:rFonts w:asciiTheme="minorHAnsi" w:hAnsiTheme="minorHAnsi" w:cstheme="minorHAnsi"/>
          <w:szCs w:val="18"/>
          <w:lang w:val="es-MX"/>
        </w:rPr>
      </w:pPr>
    </w:p>
    <w:p w14:paraId="63D4E92E" w14:textId="6953F7B7" w:rsidR="00367F16" w:rsidRDefault="00367F16" w:rsidP="00367F16">
      <w:pPr>
        <w:pStyle w:val="Texto"/>
        <w:spacing w:after="0" w:line="240" w:lineRule="exact"/>
        <w:rPr>
          <w:rFonts w:asciiTheme="minorHAnsi" w:hAnsiTheme="minorHAnsi" w:cstheme="minorHAnsi"/>
          <w:szCs w:val="18"/>
          <w:lang w:val="es-MX"/>
        </w:rPr>
      </w:pPr>
    </w:p>
    <w:p w14:paraId="5624A683" w14:textId="5D734C11" w:rsidR="00367F16" w:rsidRDefault="00367F16" w:rsidP="00367F16">
      <w:pPr>
        <w:pStyle w:val="Texto"/>
        <w:spacing w:after="0" w:line="240" w:lineRule="exact"/>
        <w:rPr>
          <w:rFonts w:asciiTheme="minorHAnsi" w:hAnsiTheme="minorHAnsi" w:cstheme="minorHAnsi"/>
          <w:szCs w:val="18"/>
          <w:lang w:val="es-MX"/>
        </w:rPr>
      </w:pPr>
    </w:p>
    <w:p w14:paraId="2B3A17AC" w14:textId="4F95230E" w:rsidR="00367F16" w:rsidRDefault="00367F16" w:rsidP="00367F16">
      <w:pPr>
        <w:pStyle w:val="Texto"/>
        <w:spacing w:after="0" w:line="240" w:lineRule="exact"/>
        <w:rPr>
          <w:rFonts w:asciiTheme="minorHAnsi" w:hAnsiTheme="minorHAnsi" w:cstheme="minorHAnsi"/>
          <w:szCs w:val="18"/>
          <w:lang w:val="es-MX"/>
        </w:rPr>
      </w:pPr>
    </w:p>
    <w:p w14:paraId="276EA1E9" w14:textId="3B11A6FE" w:rsidR="00367F16" w:rsidRDefault="00367F16" w:rsidP="00367F16">
      <w:pPr>
        <w:pStyle w:val="Texto"/>
        <w:spacing w:after="0" w:line="240" w:lineRule="exact"/>
        <w:rPr>
          <w:rFonts w:asciiTheme="minorHAnsi" w:hAnsiTheme="minorHAnsi" w:cstheme="minorHAnsi"/>
          <w:szCs w:val="18"/>
          <w:lang w:val="es-MX"/>
        </w:rPr>
      </w:pPr>
    </w:p>
    <w:p w14:paraId="2F4037AA" w14:textId="77777777" w:rsidR="00367F16" w:rsidRPr="006A7927" w:rsidRDefault="00367F16" w:rsidP="00367F16">
      <w:pPr>
        <w:pStyle w:val="Texto"/>
        <w:spacing w:after="0" w:line="240" w:lineRule="exact"/>
        <w:rPr>
          <w:rFonts w:asciiTheme="minorHAnsi" w:hAnsiTheme="minorHAnsi" w:cstheme="minorHAnsi"/>
          <w:szCs w:val="18"/>
          <w:lang w:val="es-MX"/>
        </w:rPr>
      </w:pPr>
    </w:p>
    <w:p w14:paraId="369A94B1" w14:textId="63472D6E" w:rsidR="007732BE" w:rsidRDefault="007732BE" w:rsidP="007732BE">
      <w:pPr>
        <w:pStyle w:val="Texto"/>
        <w:spacing w:after="0" w:line="240" w:lineRule="exact"/>
        <w:rPr>
          <w:rFonts w:asciiTheme="minorHAnsi" w:hAnsiTheme="minorHAnsi" w:cstheme="minorHAnsi"/>
          <w:szCs w:val="18"/>
          <w:lang w:val="es-MX"/>
        </w:rPr>
      </w:pPr>
    </w:p>
    <w:p w14:paraId="1381A87B" w14:textId="77777777" w:rsidR="005C6845" w:rsidRDefault="005C6845" w:rsidP="003D7ABC">
      <w:pPr>
        <w:pStyle w:val="Texto"/>
        <w:spacing w:after="0" w:line="240" w:lineRule="exact"/>
        <w:ind w:firstLine="0"/>
        <w:rPr>
          <w:rFonts w:asciiTheme="minorHAnsi" w:hAnsiTheme="minorHAnsi" w:cstheme="minorHAnsi"/>
          <w:b/>
          <w:i/>
          <w:sz w:val="20"/>
          <w:szCs w:val="18"/>
          <w:lang w:val="es-MX"/>
        </w:rPr>
      </w:pPr>
    </w:p>
    <w:p w14:paraId="0C386C70" w14:textId="77777777" w:rsidR="005C6845" w:rsidRDefault="005C6845" w:rsidP="003D7ABC">
      <w:pPr>
        <w:pStyle w:val="Texto"/>
        <w:spacing w:after="0" w:line="240" w:lineRule="exact"/>
        <w:ind w:firstLine="0"/>
        <w:rPr>
          <w:rFonts w:asciiTheme="minorHAnsi" w:hAnsiTheme="minorHAnsi" w:cstheme="minorHAnsi"/>
          <w:b/>
          <w:i/>
          <w:sz w:val="20"/>
          <w:szCs w:val="18"/>
          <w:lang w:val="es-MX"/>
        </w:rPr>
      </w:pPr>
    </w:p>
    <w:p w14:paraId="69784570" w14:textId="77777777" w:rsidR="005C6845" w:rsidRDefault="005C6845" w:rsidP="003D7ABC">
      <w:pPr>
        <w:pStyle w:val="Texto"/>
        <w:spacing w:after="0" w:line="240" w:lineRule="exact"/>
        <w:ind w:firstLine="0"/>
        <w:rPr>
          <w:rFonts w:asciiTheme="minorHAnsi" w:hAnsiTheme="minorHAnsi" w:cstheme="minorHAnsi"/>
          <w:b/>
          <w:i/>
          <w:sz w:val="20"/>
          <w:szCs w:val="18"/>
          <w:lang w:val="es-MX"/>
        </w:rPr>
      </w:pPr>
    </w:p>
    <w:p w14:paraId="54C13495" w14:textId="77777777" w:rsidR="005C6845" w:rsidRDefault="005C6845" w:rsidP="003D7ABC">
      <w:pPr>
        <w:pStyle w:val="Texto"/>
        <w:spacing w:after="0" w:line="240" w:lineRule="exact"/>
        <w:ind w:firstLine="0"/>
        <w:rPr>
          <w:rFonts w:asciiTheme="minorHAnsi" w:hAnsiTheme="minorHAnsi" w:cstheme="minorHAnsi"/>
          <w:b/>
          <w:i/>
          <w:sz w:val="20"/>
          <w:szCs w:val="18"/>
          <w:lang w:val="es-MX"/>
        </w:rPr>
      </w:pPr>
    </w:p>
    <w:p w14:paraId="5A93E3E2" w14:textId="78D5AECA" w:rsidR="00E44252" w:rsidRPr="00686668" w:rsidRDefault="00E44252" w:rsidP="003D7ABC">
      <w:pPr>
        <w:pStyle w:val="Texto"/>
        <w:spacing w:after="0" w:line="240" w:lineRule="exact"/>
        <w:ind w:firstLine="0"/>
        <w:rPr>
          <w:rFonts w:asciiTheme="minorHAnsi" w:hAnsiTheme="minorHAnsi" w:cstheme="minorHAnsi"/>
          <w:b/>
          <w:i/>
          <w:sz w:val="20"/>
          <w:szCs w:val="18"/>
          <w:u w:val="single"/>
          <w:lang w:val="es-MX"/>
        </w:rPr>
      </w:pPr>
      <w:r w:rsidRPr="00686668">
        <w:rPr>
          <w:rFonts w:asciiTheme="minorHAnsi" w:hAnsiTheme="minorHAnsi" w:cstheme="minorHAnsi"/>
          <w:b/>
          <w:i/>
          <w:sz w:val="20"/>
          <w:szCs w:val="18"/>
          <w:u w:val="single"/>
          <w:lang w:val="es-MX"/>
        </w:rPr>
        <w:t>DERECHOS A RECIBIR EFECTIVO O EQUIVALENTES A LARGO PLAZO</w:t>
      </w:r>
    </w:p>
    <w:p w14:paraId="0DC881F2" w14:textId="77777777" w:rsidR="00B5460F" w:rsidRDefault="00B5460F" w:rsidP="00AD0940">
      <w:pPr>
        <w:spacing w:after="0" w:line="240" w:lineRule="auto"/>
        <w:ind w:left="426"/>
        <w:jc w:val="both"/>
        <w:rPr>
          <w:rFonts w:asciiTheme="minorHAnsi" w:eastAsia="Times New Roman" w:hAnsiTheme="minorHAnsi" w:cstheme="minorHAnsi"/>
          <w:sz w:val="18"/>
          <w:szCs w:val="18"/>
          <w:lang w:val="es-ES" w:eastAsia="es-ES"/>
        </w:rPr>
      </w:pPr>
    </w:p>
    <w:tbl>
      <w:tblPr>
        <w:tblW w:w="6593" w:type="dxa"/>
        <w:tblInd w:w="465" w:type="dxa"/>
        <w:tblCellMar>
          <w:left w:w="70" w:type="dxa"/>
          <w:right w:w="70" w:type="dxa"/>
        </w:tblCellMar>
        <w:tblLook w:val="04A0" w:firstRow="1" w:lastRow="0" w:firstColumn="1" w:lastColumn="0" w:noHBand="0" w:noVBand="1"/>
      </w:tblPr>
      <w:tblGrid>
        <w:gridCol w:w="4633"/>
        <w:gridCol w:w="1960"/>
      </w:tblGrid>
      <w:tr w:rsidR="00B5460F" w:rsidRPr="00B5460F" w14:paraId="6B43C2CD" w14:textId="77777777" w:rsidTr="00B5460F">
        <w:trPr>
          <w:trHeight w:val="405"/>
        </w:trPr>
        <w:tc>
          <w:tcPr>
            <w:tcW w:w="4633"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24C8BB16" w14:textId="77777777" w:rsidR="00B5460F" w:rsidRPr="00B5460F" w:rsidRDefault="00B5460F" w:rsidP="00B5460F">
            <w:pPr>
              <w:spacing w:after="0" w:line="240" w:lineRule="auto"/>
              <w:jc w:val="center"/>
              <w:rPr>
                <w:rFonts w:eastAsia="Times New Roman" w:cs="Calibri"/>
                <w:b/>
                <w:bCs/>
                <w:color w:val="FFFFFF"/>
                <w:sz w:val="16"/>
                <w:szCs w:val="16"/>
                <w:lang w:eastAsia="es-MX"/>
              </w:rPr>
            </w:pPr>
            <w:r w:rsidRPr="00B5460F">
              <w:rPr>
                <w:rFonts w:eastAsia="Times New Roman" w:cs="Calibri"/>
                <w:b/>
                <w:bCs/>
                <w:color w:val="FFFFFF"/>
                <w:sz w:val="16"/>
                <w:szCs w:val="16"/>
                <w:lang w:eastAsia="es-MX"/>
              </w:rPr>
              <w:t xml:space="preserve">Descripción de la Cuenta </w:t>
            </w:r>
          </w:p>
        </w:tc>
        <w:tc>
          <w:tcPr>
            <w:tcW w:w="1960" w:type="dxa"/>
            <w:tcBorders>
              <w:top w:val="single" w:sz="4" w:space="0" w:color="auto"/>
              <w:left w:val="nil"/>
              <w:bottom w:val="single" w:sz="4" w:space="0" w:color="auto"/>
              <w:right w:val="single" w:sz="4" w:space="0" w:color="auto"/>
            </w:tcBorders>
            <w:shd w:val="clear" w:color="000000" w:fill="AB0033"/>
            <w:vAlign w:val="center"/>
            <w:hideMark/>
          </w:tcPr>
          <w:p w14:paraId="43BE0146" w14:textId="77777777" w:rsidR="00B5460F" w:rsidRPr="00B5460F" w:rsidRDefault="00B5460F" w:rsidP="00B5460F">
            <w:pPr>
              <w:spacing w:after="0" w:line="240" w:lineRule="auto"/>
              <w:jc w:val="center"/>
              <w:rPr>
                <w:rFonts w:eastAsia="Times New Roman" w:cs="Calibri"/>
                <w:b/>
                <w:bCs/>
                <w:color w:val="FFFFFF"/>
                <w:sz w:val="16"/>
                <w:szCs w:val="16"/>
                <w:lang w:eastAsia="es-MX"/>
              </w:rPr>
            </w:pPr>
            <w:r w:rsidRPr="00B5460F">
              <w:rPr>
                <w:rFonts w:eastAsia="Times New Roman" w:cs="Calibri"/>
                <w:b/>
                <w:bCs/>
                <w:color w:val="FFFFFF"/>
                <w:sz w:val="16"/>
                <w:szCs w:val="16"/>
                <w:lang w:eastAsia="es-MX"/>
              </w:rPr>
              <w:t>Importe</w:t>
            </w:r>
          </w:p>
        </w:tc>
      </w:tr>
      <w:tr w:rsidR="00B5460F" w:rsidRPr="00B5460F" w14:paraId="24097049" w14:textId="77777777" w:rsidTr="00B5460F">
        <w:trPr>
          <w:trHeight w:val="405"/>
        </w:trPr>
        <w:tc>
          <w:tcPr>
            <w:tcW w:w="4633" w:type="dxa"/>
            <w:tcBorders>
              <w:top w:val="nil"/>
              <w:left w:val="single" w:sz="4" w:space="0" w:color="auto"/>
              <w:bottom w:val="single" w:sz="4" w:space="0" w:color="auto"/>
              <w:right w:val="single" w:sz="4" w:space="0" w:color="auto"/>
            </w:tcBorders>
            <w:shd w:val="clear" w:color="auto" w:fill="auto"/>
            <w:vAlign w:val="center"/>
            <w:hideMark/>
          </w:tcPr>
          <w:p w14:paraId="219533A7" w14:textId="77777777" w:rsidR="00B5460F" w:rsidRPr="00B5460F" w:rsidRDefault="00B5460F" w:rsidP="00B5460F">
            <w:pPr>
              <w:spacing w:after="0" w:line="240" w:lineRule="auto"/>
              <w:jc w:val="both"/>
              <w:rPr>
                <w:rFonts w:eastAsia="Times New Roman" w:cs="Calibri"/>
                <w:color w:val="000000"/>
                <w:sz w:val="15"/>
                <w:szCs w:val="15"/>
                <w:lang w:eastAsia="es-MX"/>
              </w:rPr>
            </w:pPr>
            <w:r w:rsidRPr="00B5460F">
              <w:rPr>
                <w:rFonts w:eastAsia="Times New Roman" w:cs="Calibri"/>
                <w:color w:val="000000"/>
                <w:sz w:val="15"/>
                <w:szCs w:val="15"/>
                <w:lang w:eastAsia="es-MX"/>
              </w:rPr>
              <w:t>Deudores Diversos a Largo Plazo</w:t>
            </w:r>
          </w:p>
        </w:tc>
        <w:tc>
          <w:tcPr>
            <w:tcW w:w="1960" w:type="dxa"/>
            <w:tcBorders>
              <w:top w:val="nil"/>
              <w:left w:val="nil"/>
              <w:bottom w:val="single" w:sz="4" w:space="0" w:color="auto"/>
              <w:right w:val="single" w:sz="4" w:space="0" w:color="auto"/>
            </w:tcBorders>
            <w:shd w:val="clear" w:color="auto" w:fill="auto"/>
            <w:vAlign w:val="center"/>
            <w:hideMark/>
          </w:tcPr>
          <w:p w14:paraId="73EB46D6" w14:textId="77777777" w:rsidR="00B5460F" w:rsidRPr="00B5460F" w:rsidRDefault="00B5460F" w:rsidP="00B5460F">
            <w:pPr>
              <w:spacing w:after="0" w:line="240" w:lineRule="auto"/>
              <w:jc w:val="right"/>
              <w:rPr>
                <w:rFonts w:eastAsia="Times New Roman" w:cs="Calibri"/>
                <w:color w:val="000000"/>
                <w:sz w:val="15"/>
                <w:szCs w:val="15"/>
                <w:lang w:eastAsia="es-MX"/>
              </w:rPr>
            </w:pPr>
            <w:r w:rsidRPr="00B5460F">
              <w:rPr>
                <w:rFonts w:eastAsia="Times New Roman" w:cs="Calibri"/>
                <w:color w:val="000000"/>
                <w:sz w:val="15"/>
                <w:szCs w:val="15"/>
                <w:lang w:eastAsia="es-MX"/>
              </w:rPr>
              <w:t>46,200,741</w:t>
            </w:r>
          </w:p>
        </w:tc>
      </w:tr>
      <w:tr w:rsidR="00B5460F" w:rsidRPr="00B5460F" w14:paraId="6E0724BA" w14:textId="77777777" w:rsidTr="00B5460F">
        <w:trPr>
          <w:trHeight w:val="405"/>
        </w:trPr>
        <w:tc>
          <w:tcPr>
            <w:tcW w:w="4633" w:type="dxa"/>
            <w:tcBorders>
              <w:top w:val="nil"/>
              <w:left w:val="single" w:sz="4" w:space="0" w:color="auto"/>
              <w:bottom w:val="single" w:sz="4" w:space="0" w:color="auto"/>
              <w:right w:val="single" w:sz="4" w:space="0" w:color="auto"/>
            </w:tcBorders>
            <w:shd w:val="clear" w:color="auto" w:fill="auto"/>
            <w:vAlign w:val="center"/>
            <w:hideMark/>
          </w:tcPr>
          <w:p w14:paraId="192573C4" w14:textId="77777777" w:rsidR="00B5460F" w:rsidRPr="00B5460F" w:rsidRDefault="00B5460F" w:rsidP="00B5460F">
            <w:pPr>
              <w:spacing w:after="0" w:line="240" w:lineRule="auto"/>
              <w:jc w:val="both"/>
              <w:rPr>
                <w:rFonts w:eastAsia="Times New Roman" w:cs="Calibri"/>
                <w:color w:val="000000"/>
                <w:sz w:val="15"/>
                <w:szCs w:val="15"/>
                <w:lang w:eastAsia="es-MX"/>
              </w:rPr>
            </w:pPr>
            <w:r w:rsidRPr="00B5460F">
              <w:rPr>
                <w:rFonts w:eastAsia="Times New Roman" w:cs="Calibri"/>
                <w:color w:val="000000"/>
                <w:sz w:val="15"/>
                <w:szCs w:val="15"/>
                <w:lang w:eastAsia="es-MX"/>
              </w:rPr>
              <w:t>Préstamos Otorgados a Largo Plazo</w:t>
            </w:r>
          </w:p>
        </w:tc>
        <w:tc>
          <w:tcPr>
            <w:tcW w:w="1960" w:type="dxa"/>
            <w:tcBorders>
              <w:top w:val="nil"/>
              <w:left w:val="nil"/>
              <w:bottom w:val="single" w:sz="4" w:space="0" w:color="auto"/>
              <w:right w:val="single" w:sz="4" w:space="0" w:color="auto"/>
            </w:tcBorders>
            <w:shd w:val="clear" w:color="auto" w:fill="auto"/>
            <w:vAlign w:val="center"/>
            <w:hideMark/>
          </w:tcPr>
          <w:p w14:paraId="4CD6F879" w14:textId="77777777" w:rsidR="00B5460F" w:rsidRPr="00B5460F" w:rsidRDefault="00B5460F" w:rsidP="00B5460F">
            <w:pPr>
              <w:spacing w:after="0" w:line="240" w:lineRule="auto"/>
              <w:jc w:val="right"/>
              <w:rPr>
                <w:rFonts w:eastAsia="Times New Roman" w:cs="Calibri"/>
                <w:color w:val="000000"/>
                <w:sz w:val="15"/>
                <w:szCs w:val="15"/>
                <w:lang w:eastAsia="es-MX"/>
              </w:rPr>
            </w:pPr>
            <w:r w:rsidRPr="00B5460F">
              <w:rPr>
                <w:rFonts w:eastAsia="Times New Roman" w:cs="Calibri"/>
                <w:color w:val="000000"/>
                <w:sz w:val="15"/>
                <w:szCs w:val="15"/>
                <w:lang w:eastAsia="es-MX"/>
              </w:rPr>
              <w:t>0</w:t>
            </w:r>
          </w:p>
        </w:tc>
      </w:tr>
      <w:tr w:rsidR="00B5460F" w:rsidRPr="00B5460F" w14:paraId="4E4ACC69" w14:textId="77777777" w:rsidTr="00B5460F">
        <w:trPr>
          <w:trHeight w:val="405"/>
        </w:trPr>
        <w:tc>
          <w:tcPr>
            <w:tcW w:w="4633" w:type="dxa"/>
            <w:tcBorders>
              <w:top w:val="nil"/>
              <w:left w:val="single" w:sz="4" w:space="0" w:color="auto"/>
              <w:bottom w:val="single" w:sz="4" w:space="0" w:color="auto"/>
              <w:right w:val="single" w:sz="4" w:space="0" w:color="auto"/>
            </w:tcBorders>
            <w:shd w:val="clear" w:color="auto" w:fill="auto"/>
            <w:vAlign w:val="center"/>
            <w:hideMark/>
          </w:tcPr>
          <w:p w14:paraId="2318ED8E" w14:textId="77777777" w:rsidR="00B5460F" w:rsidRPr="00B5460F" w:rsidRDefault="00B5460F" w:rsidP="00B5460F">
            <w:pPr>
              <w:spacing w:after="0" w:line="240" w:lineRule="auto"/>
              <w:rPr>
                <w:rFonts w:eastAsia="Times New Roman" w:cs="Calibri"/>
                <w:color w:val="000000"/>
                <w:sz w:val="15"/>
                <w:szCs w:val="15"/>
                <w:lang w:eastAsia="es-MX"/>
              </w:rPr>
            </w:pPr>
            <w:r w:rsidRPr="00B5460F">
              <w:rPr>
                <w:rFonts w:eastAsia="Times New Roman" w:cs="Calibri"/>
                <w:color w:val="000000"/>
                <w:sz w:val="15"/>
                <w:szCs w:val="15"/>
                <w:lang w:eastAsia="es-MX"/>
              </w:rPr>
              <w:t>Otros Derechos a recibir Efectivo o Equivalentes a Largo Plazo</w:t>
            </w:r>
          </w:p>
        </w:tc>
        <w:tc>
          <w:tcPr>
            <w:tcW w:w="1960" w:type="dxa"/>
            <w:tcBorders>
              <w:top w:val="nil"/>
              <w:left w:val="nil"/>
              <w:bottom w:val="single" w:sz="4" w:space="0" w:color="auto"/>
              <w:right w:val="single" w:sz="4" w:space="0" w:color="auto"/>
            </w:tcBorders>
            <w:shd w:val="clear" w:color="auto" w:fill="auto"/>
            <w:vAlign w:val="center"/>
            <w:hideMark/>
          </w:tcPr>
          <w:p w14:paraId="0E5E2F57" w14:textId="77777777" w:rsidR="00B5460F" w:rsidRPr="00B5460F" w:rsidRDefault="00B5460F" w:rsidP="00B5460F">
            <w:pPr>
              <w:spacing w:after="0" w:line="240" w:lineRule="auto"/>
              <w:jc w:val="right"/>
              <w:rPr>
                <w:rFonts w:eastAsia="Times New Roman" w:cs="Calibri"/>
                <w:color w:val="000000"/>
                <w:sz w:val="15"/>
                <w:szCs w:val="15"/>
                <w:lang w:eastAsia="es-MX"/>
              </w:rPr>
            </w:pPr>
            <w:r w:rsidRPr="00B5460F">
              <w:rPr>
                <w:rFonts w:eastAsia="Times New Roman" w:cs="Calibri"/>
                <w:color w:val="000000"/>
                <w:sz w:val="15"/>
                <w:szCs w:val="15"/>
                <w:lang w:eastAsia="es-MX"/>
              </w:rPr>
              <w:t>295,265,694</w:t>
            </w:r>
          </w:p>
        </w:tc>
      </w:tr>
      <w:tr w:rsidR="00B5460F" w:rsidRPr="00B5460F" w14:paraId="2BE75A14" w14:textId="77777777" w:rsidTr="00B5460F">
        <w:trPr>
          <w:trHeight w:val="405"/>
        </w:trPr>
        <w:tc>
          <w:tcPr>
            <w:tcW w:w="4633" w:type="dxa"/>
            <w:tcBorders>
              <w:top w:val="nil"/>
              <w:left w:val="single" w:sz="4" w:space="0" w:color="auto"/>
              <w:bottom w:val="single" w:sz="4" w:space="0" w:color="auto"/>
              <w:right w:val="single" w:sz="4" w:space="0" w:color="auto"/>
            </w:tcBorders>
            <w:shd w:val="clear" w:color="000000" w:fill="DDC9A3"/>
            <w:vAlign w:val="center"/>
            <w:hideMark/>
          </w:tcPr>
          <w:p w14:paraId="2690ADA4" w14:textId="77777777" w:rsidR="00B5460F" w:rsidRPr="00B5460F" w:rsidRDefault="00B5460F" w:rsidP="00B5460F">
            <w:pPr>
              <w:spacing w:after="0" w:line="240" w:lineRule="auto"/>
              <w:jc w:val="center"/>
              <w:rPr>
                <w:rFonts w:eastAsia="Times New Roman" w:cs="Calibri"/>
                <w:b/>
                <w:bCs/>
                <w:color w:val="000000"/>
                <w:sz w:val="16"/>
                <w:szCs w:val="14"/>
                <w:lang w:eastAsia="es-MX"/>
              </w:rPr>
            </w:pPr>
            <w:r w:rsidRPr="00B5460F">
              <w:rPr>
                <w:rFonts w:eastAsia="Times New Roman" w:cs="Calibri"/>
                <w:b/>
                <w:bCs/>
                <w:color w:val="000000"/>
                <w:sz w:val="16"/>
                <w:szCs w:val="14"/>
                <w:lang w:eastAsia="es-MX"/>
              </w:rPr>
              <w:t>TOTAL</w:t>
            </w:r>
          </w:p>
        </w:tc>
        <w:tc>
          <w:tcPr>
            <w:tcW w:w="1960" w:type="dxa"/>
            <w:tcBorders>
              <w:top w:val="nil"/>
              <w:left w:val="nil"/>
              <w:bottom w:val="single" w:sz="4" w:space="0" w:color="auto"/>
              <w:right w:val="single" w:sz="4" w:space="0" w:color="auto"/>
            </w:tcBorders>
            <w:shd w:val="clear" w:color="000000" w:fill="DDC9A3"/>
            <w:vAlign w:val="center"/>
            <w:hideMark/>
          </w:tcPr>
          <w:p w14:paraId="176229B9" w14:textId="77777777" w:rsidR="00B5460F" w:rsidRPr="00B5460F" w:rsidRDefault="00B5460F" w:rsidP="00B5460F">
            <w:pPr>
              <w:spacing w:after="0" w:line="240" w:lineRule="auto"/>
              <w:jc w:val="right"/>
              <w:rPr>
                <w:rFonts w:eastAsia="Times New Roman" w:cs="Calibri"/>
                <w:b/>
                <w:bCs/>
                <w:color w:val="000000"/>
                <w:sz w:val="16"/>
                <w:szCs w:val="14"/>
                <w:lang w:eastAsia="es-MX"/>
              </w:rPr>
            </w:pPr>
            <w:r w:rsidRPr="00B5460F">
              <w:rPr>
                <w:rFonts w:eastAsia="Times New Roman" w:cs="Calibri"/>
                <w:b/>
                <w:bCs/>
                <w:color w:val="000000"/>
                <w:sz w:val="16"/>
                <w:szCs w:val="14"/>
                <w:lang w:eastAsia="es-MX"/>
              </w:rPr>
              <w:t>341,466,435</w:t>
            </w:r>
          </w:p>
        </w:tc>
      </w:tr>
    </w:tbl>
    <w:p w14:paraId="1006ECAE" w14:textId="77777777" w:rsidR="00B5460F" w:rsidRDefault="00B5460F" w:rsidP="00AD0940">
      <w:pPr>
        <w:spacing w:after="0" w:line="240" w:lineRule="auto"/>
        <w:ind w:left="426"/>
        <w:jc w:val="both"/>
        <w:rPr>
          <w:rFonts w:asciiTheme="minorHAnsi" w:eastAsia="Times New Roman" w:hAnsiTheme="minorHAnsi" w:cstheme="minorHAnsi"/>
          <w:sz w:val="18"/>
          <w:szCs w:val="18"/>
          <w:lang w:val="es-ES" w:eastAsia="es-ES"/>
        </w:rPr>
      </w:pPr>
    </w:p>
    <w:p w14:paraId="50B67890" w14:textId="40F38F34" w:rsidR="000B5805" w:rsidRDefault="000B5805" w:rsidP="00AD0940">
      <w:pPr>
        <w:spacing w:after="0" w:line="240" w:lineRule="auto"/>
        <w:ind w:left="426"/>
        <w:jc w:val="both"/>
        <w:rPr>
          <w:rFonts w:asciiTheme="minorHAnsi" w:eastAsia="Times New Roman" w:hAnsiTheme="minorHAnsi" w:cstheme="minorHAnsi"/>
          <w:sz w:val="18"/>
          <w:szCs w:val="18"/>
          <w:lang w:val="es-ES" w:eastAsia="es-ES"/>
        </w:rPr>
      </w:pPr>
      <w:r w:rsidRPr="000B5805">
        <w:rPr>
          <w:rFonts w:asciiTheme="minorHAnsi" w:eastAsia="Times New Roman" w:hAnsiTheme="minorHAnsi" w:cstheme="minorHAnsi"/>
          <w:sz w:val="18"/>
          <w:szCs w:val="18"/>
          <w:lang w:val="es-ES" w:eastAsia="es-ES"/>
        </w:rPr>
        <w:t>Dentro de este rubro se contemplan entre otros conceptos las fianzas en garantía</w:t>
      </w:r>
      <w:r w:rsidR="00570D09">
        <w:rPr>
          <w:rFonts w:asciiTheme="minorHAnsi" w:eastAsia="Times New Roman" w:hAnsiTheme="minorHAnsi" w:cstheme="minorHAnsi"/>
          <w:sz w:val="18"/>
          <w:szCs w:val="18"/>
          <w:lang w:val="es-ES" w:eastAsia="es-ES"/>
        </w:rPr>
        <w:t xml:space="preserve"> </w:t>
      </w:r>
      <w:r w:rsidR="00367F16">
        <w:rPr>
          <w:rFonts w:asciiTheme="minorHAnsi" w:eastAsia="Times New Roman" w:hAnsiTheme="minorHAnsi" w:cstheme="minorHAnsi"/>
          <w:sz w:val="18"/>
          <w:szCs w:val="18"/>
          <w:lang w:val="es-ES" w:eastAsia="es-ES"/>
        </w:rPr>
        <w:t xml:space="preserve">que </w:t>
      </w:r>
      <w:r w:rsidR="00367F16" w:rsidRPr="000B5805">
        <w:rPr>
          <w:rFonts w:asciiTheme="minorHAnsi" w:eastAsia="Times New Roman" w:hAnsiTheme="minorHAnsi" w:cstheme="minorHAnsi"/>
          <w:sz w:val="18"/>
          <w:szCs w:val="18"/>
          <w:lang w:val="es-ES" w:eastAsia="es-ES"/>
        </w:rPr>
        <w:t>se</w:t>
      </w:r>
      <w:r w:rsidR="00570D09" w:rsidRPr="00570D09">
        <w:rPr>
          <w:rFonts w:asciiTheme="minorHAnsi" w:eastAsia="Times New Roman" w:hAnsiTheme="minorHAnsi" w:cstheme="minorHAnsi"/>
          <w:sz w:val="18"/>
          <w:szCs w:val="18"/>
          <w:lang w:val="es-ES" w:eastAsia="es-ES"/>
        </w:rPr>
        <w:t xml:space="preserve"> tienen contratadas con la compañía </w:t>
      </w:r>
      <w:r w:rsidRPr="00570D09">
        <w:rPr>
          <w:rFonts w:asciiTheme="minorHAnsi" w:eastAsia="Times New Roman" w:hAnsiTheme="minorHAnsi" w:cstheme="minorHAnsi"/>
          <w:sz w:val="18"/>
          <w:szCs w:val="18"/>
          <w:lang w:val="es-ES" w:eastAsia="es-ES"/>
        </w:rPr>
        <w:t>Afianzadora Insurgentes lo cuales son: Desarrollo la Pesca por $6,796,326, Corredor Urbano Reynosa-Río Bravo por $7,094,400, y el Proyecto Laguna del Carpintero por $16,707,990.</w:t>
      </w:r>
    </w:p>
    <w:p w14:paraId="610DCAA3" w14:textId="77777777" w:rsidR="00AD0940" w:rsidRPr="00AD0940" w:rsidRDefault="00AD0940" w:rsidP="00AD0940">
      <w:pPr>
        <w:spacing w:after="0" w:line="240" w:lineRule="auto"/>
        <w:ind w:left="426"/>
        <w:jc w:val="both"/>
        <w:rPr>
          <w:rFonts w:asciiTheme="minorHAnsi" w:eastAsia="Times New Roman" w:hAnsiTheme="minorHAnsi" w:cstheme="minorHAnsi"/>
          <w:sz w:val="16"/>
          <w:szCs w:val="18"/>
          <w:lang w:val="es-ES" w:eastAsia="es-ES"/>
        </w:rPr>
      </w:pPr>
    </w:p>
    <w:p w14:paraId="089E6765" w14:textId="6923AB4D" w:rsidR="005E794B" w:rsidRDefault="005E794B" w:rsidP="00AD0940">
      <w:pPr>
        <w:spacing w:after="0" w:line="240" w:lineRule="auto"/>
        <w:ind w:left="426"/>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Además en este rubro por lo que respecta a los Fideicomisos incorporados el Fideicomiso Nuevo Santander </w:t>
      </w:r>
      <w:r w:rsidR="00BB794D">
        <w:rPr>
          <w:rFonts w:asciiTheme="minorHAnsi" w:eastAsia="Times New Roman" w:hAnsiTheme="minorHAnsi" w:cstheme="minorHAnsi"/>
          <w:sz w:val="18"/>
          <w:szCs w:val="18"/>
          <w:lang w:val="es-ES" w:eastAsia="es-ES"/>
        </w:rPr>
        <w:t xml:space="preserve">mantiene $29,909,088, </w:t>
      </w:r>
      <w:r w:rsidR="00C526FE">
        <w:rPr>
          <w:rFonts w:asciiTheme="minorHAnsi" w:eastAsia="Times New Roman" w:hAnsiTheme="minorHAnsi" w:cstheme="minorHAnsi"/>
          <w:sz w:val="18"/>
          <w:szCs w:val="18"/>
          <w:lang w:val="es-ES" w:eastAsia="es-ES"/>
        </w:rPr>
        <w:t xml:space="preserve">por concepto de ventas de terrenos y el Fideicomiso de Garantía Líquida Solidaria del  </w:t>
      </w:r>
      <w:r w:rsidR="003A2D78">
        <w:rPr>
          <w:rFonts w:asciiTheme="minorHAnsi" w:eastAsia="Times New Roman" w:hAnsiTheme="minorHAnsi" w:cstheme="minorHAnsi"/>
          <w:sz w:val="18"/>
          <w:szCs w:val="18"/>
          <w:lang w:val="es-ES" w:eastAsia="es-ES"/>
        </w:rPr>
        <w:t xml:space="preserve">Estado de Tamaulipas (FIDEGAT) la cantidad de </w:t>
      </w:r>
      <w:r w:rsidR="00AD0940">
        <w:rPr>
          <w:rFonts w:asciiTheme="minorHAnsi" w:eastAsia="Times New Roman" w:hAnsiTheme="minorHAnsi" w:cstheme="minorHAnsi"/>
          <w:sz w:val="18"/>
          <w:szCs w:val="18"/>
          <w:lang w:val="es-ES" w:eastAsia="es-ES"/>
        </w:rPr>
        <w:t>$</w:t>
      </w:r>
      <w:r w:rsidR="003A2D78">
        <w:rPr>
          <w:rFonts w:asciiTheme="minorHAnsi" w:eastAsia="Times New Roman" w:hAnsiTheme="minorHAnsi" w:cstheme="minorHAnsi"/>
          <w:sz w:val="18"/>
          <w:szCs w:val="18"/>
          <w:lang w:val="es-ES" w:eastAsia="es-ES"/>
        </w:rPr>
        <w:t>14,730,895, correspondiente a préstamos agrícolas a particulares.</w:t>
      </w:r>
    </w:p>
    <w:p w14:paraId="1EDBE7BC" w14:textId="77777777" w:rsidR="000B5805" w:rsidRPr="00AD0940" w:rsidRDefault="000B5805" w:rsidP="00AD0940">
      <w:pPr>
        <w:spacing w:after="0" w:line="240" w:lineRule="auto"/>
        <w:ind w:left="426"/>
        <w:jc w:val="both"/>
        <w:rPr>
          <w:rFonts w:asciiTheme="minorHAnsi" w:eastAsia="Times New Roman" w:hAnsiTheme="minorHAnsi" w:cstheme="minorHAnsi"/>
          <w:sz w:val="16"/>
          <w:szCs w:val="18"/>
          <w:lang w:val="es-ES" w:eastAsia="es-ES"/>
        </w:rPr>
      </w:pPr>
    </w:p>
    <w:p w14:paraId="5A77A050" w14:textId="7C5CED12" w:rsidR="00EF09CB" w:rsidRDefault="00565E65" w:rsidP="00AD0940">
      <w:pPr>
        <w:spacing w:after="0" w:line="240" w:lineRule="auto"/>
        <w:ind w:left="426"/>
        <w:jc w:val="both"/>
        <w:rPr>
          <w:rFonts w:asciiTheme="minorHAnsi" w:eastAsia="Times New Roman" w:hAnsiTheme="minorHAnsi" w:cstheme="minorHAnsi"/>
          <w:sz w:val="18"/>
          <w:szCs w:val="18"/>
          <w:lang w:val="es-ES" w:eastAsia="es-ES"/>
        </w:rPr>
      </w:pPr>
      <w:r w:rsidRPr="005F45A3">
        <w:rPr>
          <w:rFonts w:asciiTheme="minorHAnsi" w:eastAsia="Times New Roman" w:hAnsiTheme="minorHAnsi" w:cstheme="minorHAnsi"/>
          <w:sz w:val="18"/>
          <w:szCs w:val="18"/>
          <w:lang w:val="es-ES" w:eastAsia="es-ES"/>
        </w:rPr>
        <w:t>Derivado de los depósitos en la cuenta bancaria del Banco Accendo el 6 de agosto de 2021 por la cantidad de $139,328,239</w:t>
      </w:r>
      <w:r w:rsidR="00B5460F">
        <w:rPr>
          <w:rFonts w:asciiTheme="minorHAnsi" w:eastAsia="Times New Roman" w:hAnsiTheme="minorHAnsi" w:cstheme="minorHAnsi"/>
          <w:sz w:val="18"/>
          <w:szCs w:val="18"/>
          <w:lang w:val="es-ES" w:eastAsia="es-ES"/>
        </w:rPr>
        <w:t xml:space="preserve">, </w:t>
      </w:r>
      <w:r w:rsidRPr="005F45A3">
        <w:rPr>
          <w:rFonts w:asciiTheme="minorHAnsi" w:eastAsia="Times New Roman" w:hAnsiTheme="minorHAnsi" w:cstheme="minorHAnsi"/>
          <w:sz w:val="18"/>
          <w:szCs w:val="18"/>
          <w:lang w:val="es-ES" w:eastAsia="es-ES"/>
        </w:rPr>
        <w:t xml:space="preserve">y el 6 de septiembre del mismo año por la cantidad de </w:t>
      </w:r>
      <w:r w:rsidR="00547AA9" w:rsidRPr="005F45A3">
        <w:rPr>
          <w:rFonts w:asciiTheme="minorHAnsi" w:eastAsia="Times New Roman" w:hAnsiTheme="minorHAnsi" w:cstheme="minorHAnsi"/>
          <w:sz w:val="18"/>
          <w:szCs w:val="18"/>
          <w:lang w:val="es-ES" w:eastAsia="es-ES"/>
        </w:rPr>
        <w:t>$</w:t>
      </w:r>
      <w:r w:rsidR="00EF09CB">
        <w:rPr>
          <w:rFonts w:asciiTheme="minorHAnsi" w:eastAsia="Times New Roman" w:hAnsiTheme="minorHAnsi" w:cstheme="minorHAnsi"/>
          <w:sz w:val="18"/>
          <w:szCs w:val="18"/>
          <w:lang w:val="es-ES" w:eastAsia="es-ES"/>
        </w:rPr>
        <w:t>42</w:t>
      </w:r>
      <w:r w:rsidR="00AD0940">
        <w:rPr>
          <w:rFonts w:asciiTheme="minorHAnsi" w:eastAsia="Times New Roman" w:hAnsiTheme="minorHAnsi" w:cstheme="minorHAnsi"/>
          <w:sz w:val="18"/>
          <w:szCs w:val="18"/>
          <w:lang w:val="es-ES" w:eastAsia="es-ES"/>
        </w:rPr>
        <w:t>,1</w:t>
      </w:r>
      <w:r w:rsidR="00EF09CB">
        <w:rPr>
          <w:rFonts w:asciiTheme="minorHAnsi" w:eastAsia="Times New Roman" w:hAnsiTheme="minorHAnsi" w:cstheme="minorHAnsi"/>
          <w:sz w:val="18"/>
          <w:szCs w:val="18"/>
          <w:lang w:val="es-ES" w:eastAsia="es-ES"/>
        </w:rPr>
        <w:t xml:space="preserve">26,376.  se reflejó </w:t>
      </w:r>
      <w:r w:rsidR="00367F16">
        <w:rPr>
          <w:rFonts w:asciiTheme="minorHAnsi" w:eastAsia="Times New Roman" w:hAnsiTheme="minorHAnsi" w:cstheme="minorHAnsi"/>
          <w:sz w:val="18"/>
          <w:szCs w:val="18"/>
          <w:lang w:val="es-ES" w:eastAsia="es-ES"/>
        </w:rPr>
        <w:t xml:space="preserve">en </w:t>
      </w:r>
      <w:r w:rsidR="00367F16" w:rsidRPr="005F45A3">
        <w:rPr>
          <w:rFonts w:asciiTheme="minorHAnsi" w:eastAsia="Times New Roman" w:hAnsiTheme="minorHAnsi" w:cstheme="minorHAnsi"/>
          <w:sz w:val="18"/>
          <w:szCs w:val="18"/>
          <w:lang w:val="es-ES" w:eastAsia="es-ES"/>
        </w:rPr>
        <w:t>Otros</w:t>
      </w:r>
      <w:r w:rsidRPr="005F45A3">
        <w:rPr>
          <w:rFonts w:asciiTheme="minorHAnsi" w:eastAsia="Times New Roman" w:hAnsiTheme="minorHAnsi" w:cstheme="minorHAnsi"/>
          <w:sz w:val="18"/>
          <w:szCs w:val="18"/>
          <w:lang w:val="es-ES" w:eastAsia="es-ES"/>
        </w:rPr>
        <w:t xml:space="preserve"> Derechos a Recibir Efectivo y Equivalentes la cantidad de $</w:t>
      </w:r>
      <w:r w:rsidR="00F4255E" w:rsidRPr="005F45A3">
        <w:rPr>
          <w:rFonts w:asciiTheme="minorHAnsi" w:eastAsia="Times New Roman" w:hAnsiTheme="minorHAnsi" w:cstheme="minorHAnsi"/>
          <w:sz w:val="18"/>
          <w:szCs w:val="18"/>
          <w:lang w:val="es-ES" w:eastAsia="es-ES"/>
        </w:rPr>
        <w:t>181,813,1</w:t>
      </w:r>
      <w:r w:rsidR="00122A92" w:rsidRPr="005F45A3">
        <w:rPr>
          <w:rFonts w:asciiTheme="minorHAnsi" w:eastAsia="Times New Roman" w:hAnsiTheme="minorHAnsi" w:cstheme="minorHAnsi"/>
          <w:sz w:val="18"/>
          <w:szCs w:val="18"/>
          <w:lang w:val="es-ES" w:eastAsia="es-ES"/>
        </w:rPr>
        <w:t>0</w:t>
      </w:r>
      <w:r w:rsidR="00A30242" w:rsidRPr="005F45A3">
        <w:rPr>
          <w:rFonts w:asciiTheme="minorHAnsi" w:eastAsia="Times New Roman" w:hAnsiTheme="minorHAnsi" w:cstheme="minorHAnsi"/>
          <w:sz w:val="18"/>
          <w:szCs w:val="18"/>
          <w:lang w:val="es-ES" w:eastAsia="es-ES"/>
        </w:rPr>
        <w:t>2</w:t>
      </w:r>
      <w:r w:rsidR="00B5460F">
        <w:rPr>
          <w:rFonts w:asciiTheme="minorHAnsi" w:eastAsia="Times New Roman" w:hAnsiTheme="minorHAnsi" w:cstheme="minorHAnsi"/>
          <w:sz w:val="18"/>
          <w:szCs w:val="18"/>
          <w:lang w:val="es-ES" w:eastAsia="es-ES"/>
        </w:rPr>
        <w:t>,</w:t>
      </w:r>
      <w:r w:rsidR="00F4255E" w:rsidRPr="005F45A3">
        <w:rPr>
          <w:rFonts w:asciiTheme="minorHAnsi" w:eastAsia="Times New Roman" w:hAnsiTheme="minorHAnsi" w:cstheme="minorHAnsi"/>
          <w:sz w:val="18"/>
          <w:szCs w:val="18"/>
          <w:lang w:val="es-ES" w:eastAsia="es-ES"/>
        </w:rPr>
        <w:t xml:space="preserve"> incluyendo rendimientos financieros </w:t>
      </w:r>
      <w:r w:rsidR="00C05381" w:rsidRPr="005F45A3">
        <w:rPr>
          <w:rFonts w:asciiTheme="minorHAnsi" w:eastAsia="Times New Roman" w:hAnsiTheme="minorHAnsi" w:cstheme="minorHAnsi"/>
          <w:sz w:val="18"/>
          <w:szCs w:val="18"/>
          <w:lang w:val="es-ES" w:eastAsia="es-ES"/>
        </w:rPr>
        <w:t xml:space="preserve">de </w:t>
      </w:r>
      <w:r w:rsidR="00547AA9" w:rsidRPr="005F45A3">
        <w:rPr>
          <w:rFonts w:asciiTheme="minorHAnsi" w:eastAsia="Times New Roman" w:hAnsiTheme="minorHAnsi" w:cstheme="minorHAnsi"/>
          <w:sz w:val="18"/>
          <w:szCs w:val="18"/>
          <w:lang w:val="es-ES" w:eastAsia="es-ES"/>
        </w:rPr>
        <w:t>$</w:t>
      </w:r>
      <w:r w:rsidR="00F4255E" w:rsidRPr="005F45A3">
        <w:rPr>
          <w:rFonts w:asciiTheme="minorHAnsi" w:eastAsia="Times New Roman" w:hAnsiTheme="minorHAnsi" w:cstheme="minorHAnsi"/>
          <w:sz w:val="18"/>
          <w:szCs w:val="18"/>
          <w:lang w:val="es-ES" w:eastAsia="es-ES"/>
        </w:rPr>
        <w:t>358,48</w:t>
      </w:r>
      <w:r w:rsidR="00B5460F">
        <w:rPr>
          <w:rFonts w:asciiTheme="minorHAnsi" w:eastAsia="Times New Roman" w:hAnsiTheme="minorHAnsi" w:cstheme="minorHAnsi"/>
          <w:sz w:val="18"/>
          <w:szCs w:val="18"/>
          <w:lang w:val="es-ES" w:eastAsia="es-ES"/>
        </w:rPr>
        <w:t>6</w:t>
      </w:r>
      <w:r w:rsidR="00EF09CB">
        <w:rPr>
          <w:rFonts w:asciiTheme="minorHAnsi" w:eastAsia="Times New Roman" w:hAnsiTheme="minorHAnsi" w:cstheme="minorHAnsi"/>
          <w:sz w:val="18"/>
          <w:szCs w:val="18"/>
          <w:lang w:val="es-ES" w:eastAsia="es-ES"/>
        </w:rPr>
        <w:t>.</w:t>
      </w:r>
    </w:p>
    <w:p w14:paraId="591142E0" w14:textId="063F6897" w:rsidR="00AD0940" w:rsidRDefault="00AD0940" w:rsidP="002261FB">
      <w:pPr>
        <w:spacing w:after="0" w:line="240" w:lineRule="auto"/>
        <w:ind w:left="567"/>
        <w:jc w:val="both"/>
        <w:rPr>
          <w:rFonts w:asciiTheme="minorHAnsi" w:eastAsia="Times New Roman" w:hAnsiTheme="minorHAnsi" w:cstheme="minorHAnsi"/>
          <w:sz w:val="18"/>
          <w:szCs w:val="18"/>
          <w:lang w:val="es-ES" w:eastAsia="es-ES"/>
        </w:rPr>
      </w:pPr>
    </w:p>
    <w:p w14:paraId="7BCB600E" w14:textId="67558543" w:rsidR="006C3B11" w:rsidRPr="005F45A3" w:rsidRDefault="00EF09CB" w:rsidP="00AD0940">
      <w:pPr>
        <w:spacing w:after="0" w:line="240" w:lineRule="auto"/>
        <w:ind w:left="426"/>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w:t>
      </w:r>
      <w:r w:rsidR="00C05381" w:rsidRPr="005F45A3">
        <w:rPr>
          <w:rFonts w:asciiTheme="minorHAnsi" w:eastAsia="Times New Roman" w:hAnsiTheme="minorHAnsi" w:cstheme="minorHAnsi"/>
          <w:sz w:val="18"/>
          <w:szCs w:val="18"/>
          <w:lang w:val="es-ES" w:eastAsia="es-ES"/>
        </w:rPr>
        <w:t xml:space="preserve">ebido a la publicación en el Diario Oficial de la Federación de los “ACUERDOS de la Junta de Gobierno de la Comisión </w:t>
      </w:r>
      <w:r w:rsidR="0004437B" w:rsidRPr="005F45A3">
        <w:rPr>
          <w:rFonts w:asciiTheme="minorHAnsi" w:eastAsia="Times New Roman" w:hAnsiTheme="minorHAnsi" w:cstheme="minorHAnsi"/>
          <w:sz w:val="18"/>
          <w:szCs w:val="18"/>
          <w:lang w:val="es-ES" w:eastAsia="es-ES"/>
        </w:rPr>
        <w:t>Nacional Bancaria y de Valores, a través de los cuales se resuelve  la revocación que le fue otorgada</w:t>
      </w:r>
      <w:r w:rsidR="006C3B11" w:rsidRPr="005F45A3">
        <w:rPr>
          <w:rFonts w:asciiTheme="minorHAnsi" w:eastAsia="Times New Roman" w:hAnsiTheme="minorHAnsi" w:cstheme="minorHAnsi"/>
          <w:sz w:val="18"/>
          <w:szCs w:val="18"/>
          <w:lang w:val="es-ES" w:eastAsia="es-ES"/>
        </w:rPr>
        <w:t xml:space="preserve"> a Accendo Banco, S.A. Institución de Banca Múltiple para organizarse y operar como</w:t>
      </w:r>
      <w:r>
        <w:rPr>
          <w:rFonts w:asciiTheme="minorHAnsi" w:eastAsia="Times New Roman" w:hAnsiTheme="minorHAnsi" w:cstheme="minorHAnsi"/>
          <w:sz w:val="18"/>
          <w:szCs w:val="18"/>
          <w:lang w:val="es-ES" w:eastAsia="es-ES"/>
        </w:rPr>
        <w:t xml:space="preserve"> institución de banca múltiple”, los depósitos fueron registrados como deudores a largo plazo.</w:t>
      </w:r>
    </w:p>
    <w:p w14:paraId="4430E1B0" w14:textId="77777777" w:rsidR="007D099F" w:rsidRPr="00AD0940" w:rsidRDefault="007D099F" w:rsidP="00AD0940">
      <w:pPr>
        <w:spacing w:after="0" w:line="240" w:lineRule="auto"/>
        <w:ind w:left="426"/>
        <w:jc w:val="both"/>
        <w:rPr>
          <w:rFonts w:asciiTheme="minorHAnsi" w:eastAsia="Times New Roman" w:hAnsiTheme="minorHAnsi" w:cstheme="minorHAnsi"/>
          <w:sz w:val="16"/>
          <w:szCs w:val="18"/>
          <w:lang w:val="es-ES" w:eastAsia="es-ES"/>
        </w:rPr>
      </w:pPr>
    </w:p>
    <w:p w14:paraId="603F3002" w14:textId="04F11BF8" w:rsidR="009A23D3" w:rsidRPr="005F45A3" w:rsidRDefault="00EF09CB" w:rsidP="00AD0940">
      <w:pPr>
        <w:spacing w:after="0" w:line="240" w:lineRule="auto"/>
        <w:ind w:left="426"/>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También por los</w:t>
      </w:r>
      <w:r w:rsidR="006C3B11" w:rsidRPr="005F45A3">
        <w:rPr>
          <w:rFonts w:asciiTheme="minorHAnsi" w:eastAsia="Times New Roman" w:hAnsiTheme="minorHAnsi" w:cstheme="minorHAnsi"/>
          <w:sz w:val="18"/>
          <w:szCs w:val="18"/>
          <w:lang w:val="es-ES" w:eastAsia="es-ES"/>
        </w:rPr>
        <w:t xml:space="preserve"> acuerdos de revocación y según se desprende de los mismos en relación con lo dispuesto en los artículos 28, párrafos antepenúltimo, penúltimo y último, y 170 de la ley de Instituciones de Crédito, el Banco Accendo entro en estado de liquidación el 29 de septiembre de 2021, en virtud de lo anterior las obligaciones a plazo a cargo del Banco Accendo y a favor del Estado de Tamaulipas derivadas de su relación contractual y de las transferencias bancarias </w:t>
      </w:r>
      <w:r w:rsidR="00BF6973" w:rsidRPr="005F45A3">
        <w:rPr>
          <w:rFonts w:asciiTheme="minorHAnsi" w:eastAsia="Times New Roman" w:hAnsiTheme="minorHAnsi" w:cstheme="minorHAnsi"/>
          <w:sz w:val="18"/>
          <w:szCs w:val="18"/>
          <w:lang w:val="es-ES" w:eastAsia="es-ES"/>
        </w:rPr>
        <w:t>realizadas, se dieron por vencidas cuando se revocó la autorización del Banco y se puso en estado de liquidación, de tal manera que desde ese momento nació la obligación legal de ACCENDO de devolver al Estado de Tamaulipas la totalidad del saldo que se mantenía en la cuenta bancaria, así como sus conceptos accesorios tales</w:t>
      </w:r>
      <w:r w:rsidR="009A23D3" w:rsidRPr="005F45A3">
        <w:rPr>
          <w:rFonts w:asciiTheme="minorHAnsi" w:eastAsia="Times New Roman" w:hAnsiTheme="minorHAnsi" w:cstheme="minorHAnsi"/>
          <w:sz w:val="18"/>
          <w:szCs w:val="18"/>
          <w:lang w:val="es-ES" w:eastAsia="es-ES"/>
        </w:rPr>
        <w:t xml:space="preserve"> como rendimientos e intereses.</w:t>
      </w:r>
    </w:p>
    <w:p w14:paraId="03B32292" w14:textId="77777777" w:rsidR="009A23D3" w:rsidRPr="00AD0940" w:rsidRDefault="009A23D3" w:rsidP="00AD0940">
      <w:pPr>
        <w:spacing w:after="0" w:line="240" w:lineRule="auto"/>
        <w:ind w:left="426"/>
        <w:jc w:val="both"/>
        <w:rPr>
          <w:rFonts w:asciiTheme="minorHAnsi" w:eastAsia="Times New Roman" w:hAnsiTheme="minorHAnsi" w:cstheme="minorHAnsi"/>
          <w:sz w:val="16"/>
          <w:szCs w:val="18"/>
          <w:lang w:val="es-ES" w:eastAsia="es-ES"/>
        </w:rPr>
      </w:pPr>
    </w:p>
    <w:p w14:paraId="224EE64B" w14:textId="1FCD1944" w:rsidR="00565E65" w:rsidRPr="005F45A3" w:rsidRDefault="009A23D3" w:rsidP="00AD0940">
      <w:pPr>
        <w:spacing w:after="0" w:line="240" w:lineRule="auto"/>
        <w:ind w:left="426"/>
        <w:jc w:val="both"/>
        <w:rPr>
          <w:rFonts w:asciiTheme="minorHAnsi" w:eastAsia="Times New Roman" w:hAnsiTheme="minorHAnsi" w:cstheme="minorHAnsi"/>
          <w:sz w:val="18"/>
          <w:szCs w:val="18"/>
          <w:lang w:val="es-ES" w:eastAsia="es-ES"/>
        </w:rPr>
      </w:pPr>
      <w:r w:rsidRPr="005F45A3">
        <w:rPr>
          <w:rFonts w:asciiTheme="minorHAnsi" w:eastAsia="Times New Roman" w:hAnsiTheme="minorHAnsi" w:cstheme="minorHAnsi"/>
          <w:sz w:val="18"/>
          <w:szCs w:val="18"/>
          <w:lang w:val="es-ES" w:eastAsia="es-ES"/>
        </w:rPr>
        <w:t>C</w:t>
      </w:r>
      <w:r w:rsidR="00BB08C8" w:rsidRPr="005F45A3">
        <w:rPr>
          <w:rFonts w:asciiTheme="minorHAnsi" w:eastAsia="Times New Roman" w:hAnsiTheme="minorHAnsi" w:cstheme="minorHAnsi"/>
          <w:sz w:val="18"/>
          <w:szCs w:val="18"/>
          <w:lang w:val="es-ES" w:eastAsia="es-ES"/>
        </w:rPr>
        <w:t xml:space="preserve">on fecha 16 de Junio del presente se </w:t>
      </w:r>
      <w:r w:rsidRPr="005F45A3">
        <w:rPr>
          <w:rFonts w:asciiTheme="minorHAnsi" w:eastAsia="Times New Roman" w:hAnsiTheme="minorHAnsi" w:cstheme="minorHAnsi"/>
          <w:sz w:val="18"/>
          <w:szCs w:val="18"/>
          <w:lang w:val="es-ES" w:eastAsia="es-ES"/>
        </w:rPr>
        <w:t xml:space="preserve">realizó un </w:t>
      </w:r>
      <w:r w:rsidR="0077348F">
        <w:rPr>
          <w:rFonts w:asciiTheme="minorHAnsi" w:eastAsia="Times New Roman" w:hAnsiTheme="minorHAnsi" w:cstheme="minorHAnsi"/>
          <w:sz w:val="18"/>
          <w:szCs w:val="18"/>
          <w:lang w:val="es-ES" w:eastAsia="es-ES"/>
        </w:rPr>
        <w:t>depósito</w:t>
      </w:r>
      <w:r w:rsidR="00BB08C8" w:rsidRPr="005F45A3">
        <w:rPr>
          <w:rFonts w:asciiTheme="minorHAnsi" w:eastAsia="Times New Roman" w:hAnsiTheme="minorHAnsi" w:cstheme="minorHAnsi"/>
          <w:sz w:val="18"/>
          <w:szCs w:val="18"/>
          <w:lang w:val="es-ES" w:eastAsia="es-ES"/>
        </w:rPr>
        <w:t xml:space="preserve"> </w:t>
      </w:r>
      <w:r w:rsidRPr="005F45A3">
        <w:rPr>
          <w:rFonts w:asciiTheme="minorHAnsi" w:eastAsia="Times New Roman" w:hAnsiTheme="minorHAnsi" w:cstheme="minorHAnsi"/>
          <w:sz w:val="18"/>
          <w:szCs w:val="18"/>
          <w:lang w:val="es-ES" w:eastAsia="es-ES"/>
        </w:rPr>
        <w:t xml:space="preserve">por </w:t>
      </w:r>
      <w:r w:rsidR="00BB08C8" w:rsidRPr="005F45A3">
        <w:rPr>
          <w:rFonts w:asciiTheme="minorHAnsi" w:eastAsia="Times New Roman" w:hAnsiTheme="minorHAnsi" w:cstheme="minorHAnsi"/>
          <w:sz w:val="18"/>
          <w:szCs w:val="18"/>
          <w:lang w:val="es-ES" w:eastAsia="es-ES"/>
        </w:rPr>
        <w:t>la cantidad de $2,768,169</w:t>
      </w:r>
      <w:r w:rsidRPr="005F45A3">
        <w:rPr>
          <w:rFonts w:asciiTheme="minorHAnsi" w:eastAsia="Times New Roman" w:hAnsiTheme="minorHAnsi" w:cstheme="minorHAnsi"/>
          <w:sz w:val="18"/>
          <w:szCs w:val="18"/>
          <w:lang w:val="es-ES" w:eastAsia="es-ES"/>
        </w:rPr>
        <w:t xml:space="preserve"> ( Dos Millones Setecientos Sesenta y Ocho Mil Cientos </w:t>
      </w:r>
      <w:r w:rsidR="00AD0940">
        <w:rPr>
          <w:rFonts w:asciiTheme="minorHAnsi" w:eastAsia="Times New Roman" w:hAnsiTheme="minorHAnsi" w:cstheme="minorHAnsi"/>
          <w:sz w:val="18"/>
          <w:szCs w:val="18"/>
          <w:lang w:val="es-ES" w:eastAsia="es-ES"/>
        </w:rPr>
        <w:t>S</w:t>
      </w:r>
      <w:r w:rsidRPr="005F45A3">
        <w:rPr>
          <w:rFonts w:asciiTheme="minorHAnsi" w:eastAsia="Times New Roman" w:hAnsiTheme="minorHAnsi" w:cstheme="minorHAnsi"/>
          <w:sz w:val="18"/>
          <w:szCs w:val="18"/>
          <w:lang w:val="es-ES" w:eastAsia="es-ES"/>
        </w:rPr>
        <w:t xml:space="preserve">esenta y Nueve Pesos </w:t>
      </w:r>
      <w:r w:rsidR="00B5460F">
        <w:rPr>
          <w:rFonts w:asciiTheme="minorHAnsi" w:eastAsia="Times New Roman" w:hAnsiTheme="minorHAnsi" w:cstheme="minorHAnsi"/>
          <w:sz w:val="18"/>
          <w:szCs w:val="18"/>
          <w:lang w:val="es-ES" w:eastAsia="es-ES"/>
        </w:rPr>
        <w:t>00</w:t>
      </w:r>
      <w:r w:rsidRPr="005F45A3">
        <w:rPr>
          <w:rFonts w:asciiTheme="minorHAnsi" w:eastAsia="Times New Roman" w:hAnsiTheme="minorHAnsi" w:cstheme="minorHAnsi"/>
          <w:sz w:val="18"/>
          <w:szCs w:val="18"/>
          <w:lang w:val="es-ES" w:eastAsia="es-ES"/>
        </w:rPr>
        <w:t>/100 M.N.), derivado de la aprobación de la Junta de Gobierno del Instituto para la Protección al Ahorro (IPAB), mediante el cual se procedió al Pago de las Obligaciones Garantizadas, es decir pagar a las personas ahorradores de BANCO ACCENDO, en virtud del proceso de liquidación de este último, esta misma canti</w:t>
      </w:r>
      <w:r w:rsidR="00EF09CB">
        <w:rPr>
          <w:rFonts w:asciiTheme="minorHAnsi" w:eastAsia="Times New Roman" w:hAnsiTheme="minorHAnsi" w:cstheme="minorHAnsi"/>
          <w:sz w:val="18"/>
          <w:szCs w:val="18"/>
          <w:lang w:val="es-ES" w:eastAsia="es-ES"/>
        </w:rPr>
        <w:t>dad  fue abonada a dicho deudor</w:t>
      </w:r>
      <w:r w:rsidR="001162CD">
        <w:rPr>
          <w:rFonts w:asciiTheme="minorHAnsi" w:eastAsia="Times New Roman" w:hAnsiTheme="minorHAnsi" w:cstheme="minorHAnsi"/>
          <w:sz w:val="18"/>
          <w:szCs w:val="18"/>
          <w:lang w:val="es-ES" w:eastAsia="es-ES"/>
        </w:rPr>
        <w:t xml:space="preserve"> quedando un saldo por la cantidad de $ 179,044,933.</w:t>
      </w:r>
    </w:p>
    <w:p w14:paraId="47E59E6B" w14:textId="77777777" w:rsidR="00136F28" w:rsidRPr="00AD0940" w:rsidRDefault="00136F28" w:rsidP="00AD0940">
      <w:pPr>
        <w:pStyle w:val="Texto"/>
        <w:spacing w:after="0" w:line="240" w:lineRule="exact"/>
        <w:ind w:left="426" w:firstLine="0"/>
        <w:rPr>
          <w:rFonts w:asciiTheme="minorHAnsi" w:eastAsia="Calibri" w:hAnsiTheme="minorHAnsi" w:cstheme="minorHAnsi"/>
          <w:sz w:val="14"/>
          <w:szCs w:val="14"/>
        </w:rPr>
      </w:pPr>
    </w:p>
    <w:p w14:paraId="4EFB3A2C" w14:textId="0C49A1B2" w:rsidR="00422B74" w:rsidRDefault="000B5805" w:rsidP="00AD0940">
      <w:pPr>
        <w:pStyle w:val="Texto"/>
        <w:spacing w:after="0" w:line="240" w:lineRule="exact"/>
        <w:ind w:left="426" w:firstLine="0"/>
        <w:rPr>
          <w:rFonts w:asciiTheme="minorHAnsi" w:hAnsiTheme="minorHAnsi" w:cstheme="minorHAnsi"/>
          <w:szCs w:val="18"/>
          <w:lang w:val="es-MX"/>
        </w:rPr>
      </w:pPr>
      <w:r>
        <w:rPr>
          <w:rFonts w:asciiTheme="minorHAnsi" w:hAnsiTheme="minorHAnsi" w:cstheme="minorHAnsi"/>
          <w:szCs w:val="18"/>
          <w:lang w:val="es-MX"/>
        </w:rPr>
        <w:t xml:space="preserve">Además de contemplarse en esta cuenta </w:t>
      </w:r>
      <w:r w:rsidR="00422B74" w:rsidRPr="005F45A3">
        <w:rPr>
          <w:rFonts w:asciiTheme="minorHAnsi" w:hAnsiTheme="minorHAnsi" w:cstheme="minorHAnsi"/>
          <w:szCs w:val="18"/>
          <w:lang w:val="es-MX"/>
        </w:rPr>
        <w:t xml:space="preserve">préstamos a largo plazo otorgados a empresas con </w:t>
      </w:r>
      <w:r w:rsidR="005472BC" w:rsidRPr="005F45A3">
        <w:rPr>
          <w:rFonts w:asciiTheme="minorHAnsi" w:hAnsiTheme="minorHAnsi" w:cstheme="minorHAnsi"/>
          <w:szCs w:val="18"/>
          <w:lang w:val="es-MX"/>
        </w:rPr>
        <w:t>recurso del programa Foprode</w:t>
      </w:r>
      <w:r w:rsidR="00C849E9" w:rsidRPr="005F45A3">
        <w:rPr>
          <w:rFonts w:asciiTheme="minorHAnsi" w:hAnsiTheme="minorHAnsi" w:cstheme="minorHAnsi"/>
          <w:szCs w:val="18"/>
          <w:lang w:val="es-MX"/>
        </w:rPr>
        <w:t>s Pymes del Fideicomiso de Garantía Solidaria del Estado de Tamaulipas (FIDEGAT), por $</w:t>
      </w:r>
      <w:r w:rsidR="00E179E3">
        <w:rPr>
          <w:rFonts w:asciiTheme="minorHAnsi" w:hAnsiTheme="minorHAnsi" w:cstheme="minorHAnsi"/>
          <w:szCs w:val="18"/>
          <w:lang w:val="es-MX"/>
        </w:rPr>
        <w:t>14,730,895, y el registro del pago de la Deuda a Largo Plazo de la</w:t>
      </w:r>
      <w:r w:rsidR="00000001">
        <w:rPr>
          <w:rFonts w:asciiTheme="minorHAnsi" w:hAnsiTheme="minorHAnsi" w:cstheme="minorHAnsi"/>
          <w:szCs w:val="18"/>
          <w:lang w:val="es-MX"/>
        </w:rPr>
        <w:t xml:space="preserve"> COMAPA </w:t>
      </w:r>
      <w:r w:rsidR="00E179E3">
        <w:rPr>
          <w:rFonts w:asciiTheme="minorHAnsi" w:hAnsiTheme="minorHAnsi" w:cstheme="minorHAnsi"/>
          <w:szCs w:val="18"/>
          <w:lang w:val="es-MX"/>
        </w:rPr>
        <w:t>Río Bravo por $ 58,314,362.</w:t>
      </w:r>
    </w:p>
    <w:p w14:paraId="33F77D2B" w14:textId="77777777" w:rsidR="005C6845" w:rsidRDefault="005C6845" w:rsidP="003D7ABC">
      <w:pPr>
        <w:pStyle w:val="Texto"/>
        <w:spacing w:after="0" w:line="240" w:lineRule="exact"/>
        <w:ind w:firstLine="0"/>
        <w:rPr>
          <w:rFonts w:asciiTheme="minorHAnsi" w:hAnsiTheme="minorHAnsi" w:cstheme="minorHAnsi"/>
          <w:b/>
          <w:sz w:val="20"/>
          <w:szCs w:val="18"/>
          <w:lang w:val="es-MX"/>
        </w:rPr>
      </w:pPr>
    </w:p>
    <w:p w14:paraId="73603958" w14:textId="77777777" w:rsidR="005C6845" w:rsidRDefault="005C6845" w:rsidP="003D7ABC">
      <w:pPr>
        <w:pStyle w:val="Texto"/>
        <w:spacing w:after="0" w:line="240" w:lineRule="exact"/>
        <w:ind w:firstLine="0"/>
        <w:rPr>
          <w:rFonts w:asciiTheme="minorHAnsi" w:hAnsiTheme="minorHAnsi" w:cstheme="minorHAnsi"/>
          <w:b/>
          <w:sz w:val="20"/>
          <w:szCs w:val="18"/>
          <w:lang w:val="es-MX"/>
        </w:rPr>
      </w:pPr>
    </w:p>
    <w:p w14:paraId="29EA576E" w14:textId="77777777" w:rsidR="005C6845" w:rsidRDefault="005C6845" w:rsidP="003D7ABC">
      <w:pPr>
        <w:pStyle w:val="Texto"/>
        <w:spacing w:after="0" w:line="240" w:lineRule="exact"/>
        <w:ind w:firstLine="0"/>
        <w:rPr>
          <w:rFonts w:asciiTheme="minorHAnsi" w:hAnsiTheme="minorHAnsi" w:cstheme="minorHAnsi"/>
          <w:b/>
          <w:sz w:val="20"/>
          <w:szCs w:val="18"/>
          <w:lang w:val="es-MX"/>
        </w:rPr>
      </w:pPr>
    </w:p>
    <w:p w14:paraId="57D921C6" w14:textId="77777777" w:rsidR="005C6845" w:rsidRDefault="005C6845" w:rsidP="003D7ABC">
      <w:pPr>
        <w:pStyle w:val="Texto"/>
        <w:spacing w:after="0" w:line="240" w:lineRule="exact"/>
        <w:ind w:firstLine="0"/>
        <w:rPr>
          <w:rFonts w:asciiTheme="minorHAnsi" w:hAnsiTheme="minorHAnsi" w:cstheme="minorHAnsi"/>
          <w:b/>
          <w:sz w:val="20"/>
          <w:szCs w:val="18"/>
          <w:lang w:val="es-MX"/>
        </w:rPr>
      </w:pPr>
    </w:p>
    <w:p w14:paraId="0C56373F" w14:textId="77777777" w:rsidR="005C6845" w:rsidRDefault="005C6845" w:rsidP="003D7ABC">
      <w:pPr>
        <w:pStyle w:val="Texto"/>
        <w:spacing w:after="0" w:line="240" w:lineRule="exact"/>
        <w:ind w:firstLine="0"/>
        <w:rPr>
          <w:rFonts w:asciiTheme="minorHAnsi" w:hAnsiTheme="minorHAnsi" w:cstheme="minorHAnsi"/>
          <w:b/>
          <w:sz w:val="20"/>
          <w:szCs w:val="18"/>
          <w:lang w:val="es-MX"/>
        </w:rPr>
      </w:pPr>
    </w:p>
    <w:p w14:paraId="6EB9ECD9" w14:textId="77777777" w:rsidR="005C6845" w:rsidRDefault="005C6845" w:rsidP="003D7ABC">
      <w:pPr>
        <w:pStyle w:val="Texto"/>
        <w:spacing w:after="0" w:line="240" w:lineRule="exact"/>
        <w:ind w:firstLine="0"/>
        <w:rPr>
          <w:rFonts w:asciiTheme="minorHAnsi" w:hAnsiTheme="minorHAnsi" w:cstheme="minorHAnsi"/>
          <w:b/>
          <w:sz w:val="20"/>
          <w:szCs w:val="18"/>
          <w:lang w:val="es-MX"/>
        </w:rPr>
      </w:pPr>
    </w:p>
    <w:p w14:paraId="70D96A29" w14:textId="77777777" w:rsidR="005C6845" w:rsidRDefault="005C6845" w:rsidP="003D7ABC">
      <w:pPr>
        <w:pStyle w:val="Texto"/>
        <w:spacing w:after="0" w:line="240" w:lineRule="exact"/>
        <w:ind w:firstLine="0"/>
        <w:rPr>
          <w:rFonts w:asciiTheme="minorHAnsi" w:hAnsiTheme="minorHAnsi" w:cstheme="minorHAnsi"/>
          <w:b/>
          <w:sz w:val="20"/>
          <w:szCs w:val="18"/>
          <w:lang w:val="es-MX"/>
        </w:rPr>
      </w:pPr>
    </w:p>
    <w:p w14:paraId="159143F8" w14:textId="77777777" w:rsidR="005C6845" w:rsidRDefault="005C6845" w:rsidP="003D7ABC">
      <w:pPr>
        <w:pStyle w:val="Texto"/>
        <w:spacing w:after="0" w:line="240" w:lineRule="exact"/>
        <w:ind w:firstLine="0"/>
        <w:rPr>
          <w:rFonts w:asciiTheme="minorHAnsi" w:hAnsiTheme="minorHAnsi" w:cstheme="minorHAnsi"/>
          <w:b/>
          <w:sz w:val="20"/>
          <w:szCs w:val="18"/>
          <w:lang w:val="es-MX"/>
        </w:rPr>
      </w:pPr>
    </w:p>
    <w:p w14:paraId="28110FD2" w14:textId="33ED9ED1" w:rsidR="00040F0F" w:rsidRPr="00686668" w:rsidRDefault="00040F0F" w:rsidP="003D7ABC">
      <w:pPr>
        <w:pStyle w:val="Texto"/>
        <w:spacing w:after="0" w:line="240" w:lineRule="exact"/>
        <w:ind w:firstLine="0"/>
        <w:rPr>
          <w:rFonts w:asciiTheme="minorHAnsi" w:hAnsiTheme="minorHAnsi" w:cstheme="minorHAnsi"/>
          <w:b/>
          <w:i/>
          <w:sz w:val="20"/>
          <w:szCs w:val="18"/>
          <w:u w:val="single"/>
          <w:lang w:val="es-MX"/>
        </w:rPr>
      </w:pPr>
      <w:r w:rsidRPr="00686668">
        <w:rPr>
          <w:rFonts w:asciiTheme="minorHAnsi" w:hAnsiTheme="minorHAnsi" w:cstheme="minorHAnsi"/>
          <w:b/>
          <w:i/>
          <w:sz w:val="20"/>
          <w:szCs w:val="18"/>
          <w:u w:val="single"/>
          <w:lang w:val="es-MX"/>
        </w:rPr>
        <w:t xml:space="preserve">BIENES </w:t>
      </w:r>
      <w:r w:rsidR="00F30568" w:rsidRPr="00686668">
        <w:rPr>
          <w:rFonts w:asciiTheme="minorHAnsi" w:hAnsiTheme="minorHAnsi" w:cstheme="minorHAnsi"/>
          <w:b/>
          <w:i/>
          <w:sz w:val="20"/>
          <w:szCs w:val="18"/>
          <w:u w:val="single"/>
          <w:lang w:val="es-MX"/>
        </w:rPr>
        <w:t xml:space="preserve">MUEBLES, INMUEBLES E INTANGIBLES </w:t>
      </w:r>
      <w:r w:rsidRPr="00686668">
        <w:rPr>
          <w:rFonts w:asciiTheme="minorHAnsi" w:hAnsiTheme="minorHAnsi" w:cstheme="minorHAnsi"/>
          <w:b/>
          <w:i/>
          <w:sz w:val="20"/>
          <w:szCs w:val="18"/>
          <w:u w:val="single"/>
          <w:lang w:val="es-MX"/>
        </w:rPr>
        <w:t xml:space="preserve">   </w:t>
      </w:r>
    </w:p>
    <w:p w14:paraId="3198AFB3" w14:textId="77777777" w:rsidR="00642CB2" w:rsidRPr="005F45A3" w:rsidRDefault="00642CB2" w:rsidP="00040F0F">
      <w:pPr>
        <w:pStyle w:val="Texto"/>
        <w:spacing w:after="0" w:line="240" w:lineRule="exact"/>
        <w:ind w:firstLine="646"/>
        <w:rPr>
          <w:rFonts w:asciiTheme="minorHAnsi" w:hAnsiTheme="minorHAnsi" w:cstheme="minorHAnsi"/>
          <w:szCs w:val="18"/>
          <w:lang w:val="es-MX"/>
        </w:rPr>
      </w:pPr>
    </w:p>
    <w:p w14:paraId="499939A6" w14:textId="77777777" w:rsidR="00730775" w:rsidRPr="005F45A3" w:rsidRDefault="00F30568" w:rsidP="00B46FFA">
      <w:pPr>
        <w:pStyle w:val="Prrafodelista"/>
        <w:numPr>
          <w:ilvl w:val="0"/>
          <w:numId w:val="26"/>
        </w:numPr>
        <w:ind w:left="567"/>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El método de depreciación</w:t>
      </w:r>
      <w:r w:rsidR="00BE2761" w:rsidRPr="005F45A3">
        <w:rPr>
          <w:rFonts w:asciiTheme="minorHAnsi" w:eastAsia="Times New Roman" w:hAnsiTheme="minorHAnsi" w:cstheme="minorHAnsi"/>
          <w:sz w:val="18"/>
          <w:szCs w:val="18"/>
          <w:lang w:eastAsia="es-ES"/>
        </w:rPr>
        <w:t xml:space="preserve"> para los Bienes Muebles, Inmuebles e Intangibles es el de línea recta, método que se aplica en forma consistente en cada clase de activo, y de acuerdo a la tabla establecida por el Consejo de Armonización Contable del Estado de Tamaulipas (CACET).</w:t>
      </w:r>
    </w:p>
    <w:p w14:paraId="1645640F" w14:textId="77777777" w:rsidR="00E41106" w:rsidRDefault="00C477B9" w:rsidP="00040F0F">
      <w:pPr>
        <w:rPr>
          <w:rFonts w:asciiTheme="minorHAnsi" w:hAnsiTheme="minorHAnsi" w:cstheme="minorHAnsi"/>
          <w:b/>
          <w:sz w:val="20"/>
          <w:lang w:val="es-ES" w:eastAsia="es-ES"/>
        </w:rPr>
      </w:pPr>
      <w:r w:rsidRPr="005F45A3">
        <w:rPr>
          <w:rFonts w:asciiTheme="minorHAnsi" w:eastAsia="Times New Roman" w:hAnsiTheme="minorHAnsi" w:cstheme="minorHAnsi"/>
          <w:b/>
          <w:sz w:val="18"/>
          <w:szCs w:val="18"/>
          <w:lang w:eastAsia="es-ES"/>
        </w:rPr>
        <w:t>Bienes Inmuebles</w:t>
      </w:r>
      <w:r w:rsidR="00DC7906" w:rsidRPr="005F45A3">
        <w:rPr>
          <w:rFonts w:asciiTheme="minorHAnsi" w:hAnsiTheme="minorHAnsi" w:cstheme="minorHAnsi"/>
          <w:b/>
          <w:sz w:val="20"/>
          <w:lang w:val="es-ES" w:eastAsia="es-ES"/>
        </w:rPr>
        <w:t xml:space="preserve"> </w:t>
      </w:r>
      <w:r w:rsidR="00E41106" w:rsidRPr="005F45A3">
        <w:rPr>
          <w:rFonts w:asciiTheme="minorHAnsi" w:hAnsiTheme="minorHAnsi" w:cstheme="minorHAnsi"/>
          <w:b/>
          <w:sz w:val="20"/>
          <w:lang w:val="es-ES" w:eastAsia="es-ES"/>
        </w:rPr>
        <w:t xml:space="preserve">  </w:t>
      </w:r>
    </w:p>
    <w:tbl>
      <w:tblPr>
        <w:tblW w:w="9351" w:type="dxa"/>
        <w:tblCellMar>
          <w:left w:w="70" w:type="dxa"/>
          <w:right w:w="70" w:type="dxa"/>
        </w:tblCellMar>
        <w:tblLook w:val="04A0" w:firstRow="1" w:lastRow="0" w:firstColumn="1" w:lastColumn="0" w:noHBand="0" w:noVBand="1"/>
      </w:tblPr>
      <w:tblGrid>
        <w:gridCol w:w="3539"/>
        <w:gridCol w:w="1418"/>
        <w:gridCol w:w="1461"/>
        <w:gridCol w:w="1515"/>
        <w:gridCol w:w="1418"/>
      </w:tblGrid>
      <w:tr w:rsidR="003F3036" w:rsidRPr="003F3036" w14:paraId="398ED385" w14:textId="77777777" w:rsidTr="00363D97">
        <w:trPr>
          <w:trHeight w:val="624"/>
        </w:trPr>
        <w:tc>
          <w:tcPr>
            <w:tcW w:w="3539"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6F8F5A4C" w14:textId="6D430100" w:rsidR="003F3036" w:rsidRPr="003F3036" w:rsidRDefault="003F3036" w:rsidP="003F3036">
            <w:pPr>
              <w:spacing w:after="0" w:line="240" w:lineRule="auto"/>
              <w:jc w:val="center"/>
              <w:rPr>
                <w:rFonts w:eastAsia="Times New Roman" w:cs="Calibri"/>
                <w:b/>
                <w:bCs/>
                <w:color w:val="FFFFFF"/>
                <w:sz w:val="20"/>
                <w:szCs w:val="20"/>
                <w:lang w:eastAsia="es-MX"/>
              </w:rPr>
            </w:pPr>
            <w:r>
              <w:rPr>
                <w:rFonts w:asciiTheme="minorHAnsi" w:hAnsiTheme="minorHAnsi" w:cstheme="minorHAnsi"/>
                <w:b/>
                <w:sz w:val="20"/>
                <w:lang w:val="es-ES" w:eastAsia="es-ES"/>
              </w:rPr>
              <w:t xml:space="preserve">           </w:t>
            </w:r>
            <w:r w:rsidRPr="003F3036">
              <w:rPr>
                <w:rFonts w:eastAsia="Times New Roman" w:cs="Calibri"/>
                <w:b/>
                <w:bCs/>
                <w:color w:val="FFFFFF"/>
                <w:sz w:val="20"/>
                <w:szCs w:val="20"/>
                <w:lang w:eastAsia="es-MX"/>
              </w:rPr>
              <w:t>Bienes Inmuebles</w:t>
            </w:r>
          </w:p>
        </w:tc>
        <w:tc>
          <w:tcPr>
            <w:tcW w:w="1418" w:type="dxa"/>
            <w:tcBorders>
              <w:top w:val="single" w:sz="4" w:space="0" w:color="auto"/>
              <w:left w:val="nil"/>
              <w:bottom w:val="single" w:sz="4" w:space="0" w:color="auto"/>
              <w:right w:val="single" w:sz="4" w:space="0" w:color="auto"/>
            </w:tcBorders>
            <w:shd w:val="clear" w:color="000000" w:fill="AB0033"/>
            <w:vAlign w:val="center"/>
            <w:hideMark/>
          </w:tcPr>
          <w:p w14:paraId="6988003B" w14:textId="77777777" w:rsidR="003F3036" w:rsidRPr="003F3036" w:rsidRDefault="003F3036" w:rsidP="003F3036">
            <w:pPr>
              <w:spacing w:after="0" w:line="240" w:lineRule="auto"/>
              <w:jc w:val="center"/>
              <w:rPr>
                <w:rFonts w:eastAsia="Times New Roman" w:cs="Calibri"/>
                <w:b/>
                <w:bCs/>
                <w:color w:val="FFFFFF"/>
                <w:sz w:val="16"/>
                <w:szCs w:val="16"/>
                <w:lang w:eastAsia="es-MX"/>
              </w:rPr>
            </w:pPr>
            <w:r w:rsidRPr="003F3036">
              <w:rPr>
                <w:rFonts w:eastAsia="Times New Roman" w:cs="Calibri"/>
                <w:b/>
                <w:bCs/>
                <w:color w:val="FFFFFF"/>
                <w:sz w:val="16"/>
                <w:szCs w:val="16"/>
                <w:lang w:eastAsia="es-MX"/>
              </w:rPr>
              <w:t>Importe</w:t>
            </w:r>
          </w:p>
        </w:tc>
        <w:tc>
          <w:tcPr>
            <w:tcW w:w="1461" w:type="dxa"/>
            <w:tcBorders>
              <w:top w:val="single" w:sz="4" w:space="0" w:color="auto"/>
              <w:left w:val="nil"/>
              <w:bottom w:val="single" w:sz="4" w:space="0" w:color="auto"/>
              <w:right w:val="single" w:sz="4" w:space="0" w:color="auto"/>
            </w:tcBorders>
            <w:shd w:val="clear" w:color="000000" w:fill="AB0033"/>
            <w:vAlign w:val="center"/>
            <w:hideMark/>
          </w:tcPr>
          <w:p w14:paraId="217DC38F" w14:textId="77777777" w:rsidR="003F3036" w:rsidRPr="003F3036" w:rsidRDefault="003F3036" w:rsidP="003F3036">
            <w:pPr>
              <w:spacing w:after="0" w:line="240" w:lineRule="auto"/>
              <w:jc w:val="center"/>
              <w:rPr>
                <w:rFonts w:eastAsia="Times New Roman" w:cs="Calibri"/>
                <w:b/>
                <w:bCs/>
                <w:color w:val="FFFFFF"/>
                <w:sz w:val="16"/>
                <w:szCs w:val="16"/>
                <w:lang w:eastAsia="es-MX"/>
              </w:rPr>
            </w:pPr>
            <w:r w:rsidRPr="003F3036">
              <w:rPr>
                <w:rFonts w:eastAsia="Times New Roman" w:cs="Calibri"/>
                <w:b/>
                <w:bCs/>
                <w:color w:val="FFFFFF"/>
                <w:sz w:val="16"/>
                <w:szCs w:val="16"/>
                <w:lang w:eastAsia="es-MX"/>
              </w:rPr>
              <w:t>Depreciación Acumulada al 31 de Diciembre de 2021</w:t>
            </w:r>
          </w:p>
        </w:tc>
        <w:tc>
          <w:tcPr>
            <w:tcW w:w="1515" w:type="dxa"/>
            <w:tcBorders>
              <w:top w:val="single" w:sz="4" w:space="0" w:color="auto"/>
              <w:left w:val="nil"/>
              <w:bottom w:val="single" w:sz="4" w:space="0" w:color="auto"/>
              <w:right w:val="single" w:sz="4" w:space="0" w:color="auto"/>
            </w:tcBorders>
            <w:shd w:val="clear" w:color="000000" w:fill="AB0033"/>
            <w:vAlign w:val="center"/>
            <w:hideMark/>
          </w:tcPr>
          <w:p w14:paraId="70C3FC8B" w14:textId="77777777" w:rsidR="003F3036" w:rsidRPr="003F3036" w:rsidRDefault="003F3036" w:rsidP="003F3036">
            <w:pPr>
              <w:spacing w:after="0" w:line="240" w:lineRule="auto"/>
              <w:jc w:val="center"/>
              <w:rPr>
                <w:rFonts w:eastAsia="Times New Roman" w:cs="Calibri"/>
                <w:b/>
                <w:bCs/>
                <w:color w:val="FFFFFF"/>
                <w:sz w:val="16"/>
                <w:szCs w:val="16"/>
                <w:lang w:eastAsia="es-MX"/>
              </w:rPr>
            </w:pPr>
            <w:r w:rsidRPr="003F3036">
              <w:rPr>
                <w:rFonts w:eastAsia="Times New Roman" w:cs="Calibri"/>
                <w:b/>
                <w:bCs/>
                <w:color w:val="FFFFFF"/>
                <w:sz w:val="16"/>
                <w:szCs w:val="16"/>
                <w:lang w:eastAsia="es-MX"/>
              </w:rPr>
              <w:t>Depreciación del Ejercicio</w:t>
            </w:r>
          </w:p>
        </w:tc>
        <w:tc>
          <w:tcPr>
            <w:tcW w:w="1418" w:type="dxa"/>
            <w:tcBorders>
              <w:top w:val="single" w:sz="4" w:space="0" w:color="auto"/>
              <w:left w:val="nil"/>
              <w:bottom w:val="single" w:sz="4" w:space="0" w:color="auto"/>
              <w:right w:val="single" w:sz="4" w:space="0" w:color="auto"/>
            </w:tcBorders>
            <w:shd w:val="clear" w:color="000000" w:fill="AB0033"/>
            <w:vAlign w:val="center"/>
            <w:hideMark/>
          </w:tcPr>
          <w:p w14:paraId="29BC5829" w14:textId="77777777" w:rsidR="003F3036" w:rsidRPr="003F3036" w:rsidRDefault="003F3036" w:rsidP="003F3036">
            <w:pPr>
              <w:spacing w:after="0" w:line="240" w:lineRule="auto"/>
              <w:jc w:val="center"/>
              <w:rPr>
                <w:rFonts w:eastAsia="Times New Roman" w:cs="Calibri"/>
                <w:b/>
                <w:bCs/>
                <w:color w:val="FFFFFF"/>
                <w:sz w:val="16"/>
                <w:szCs w:val="16"/>
                <w:lang w:eastAsia="es-MX"/>
              </w:rPr>
            </w:pPr>
            <w:r w:rsidRPr="003F3036">
              <w:rPr>
                <w:rFonts w:eastAsia="Times New Roman" w:cs="Calibri"/>
                <w:b/>
                <w:bCs/>
                <w:color w:val="FFFFFF"/>
                <w:sz w:val="16"/>
                <w:szCs w:val="16"/>
                <w:lang w:eastAsia="es-MX"/>
              </w:rPr>
              <w:t xml:space="preserve">Tasa Anual de Depreciación </w:t>
            </w:r>
          </w:p>
        </w:tc>
      </w:tr>
      <w:tr w:rsidR="003F3036" w:rsidRPr="003F3036" w14:paraId="7AD51802" w14:textId="77777777" w:rsidTr="00363D97">
        <w:trPr>
          <w:trHeight w:val="369"/>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75558C1" w14:textId="77777777" w:rsidR="003F3036" w:rsidRPr="003F3036" w:rsidRDefault="003F3036" w:rsidP="003F3036">
            <w:pPr>
              <w:spacing w:after="0" w:line="240" w:lineRule="auto"/>
              <w:rPr>
                <w:rFonts w:eastAsia="Times New Roman" w:cs="Calibri"/>
                <w:color w:val="000000"/>
                <w:sz w:val="14"/>
                <w:szCs w:val="14"/>
                <w:lang w:eastAsia="es-MX"/>
              </w:rPr>
            </w:pPr>
            <w:r w:rsidRPr="003F3036">
              <w:rPr>
                <w:rFonts w:eastAsia="Times New Roman" w:cs="Calibri"/>
                <w:color w:val="000000"/>
                <w:sz w:val="14"/>
                <w:szCs w:val="14"/>
                <w:lang w:eastAsia="es-MX"/>
              </w:rPr>
              <w:t>Terrenos*</w:t>
            </w:r>
          </w:p>
        </w:tc>
        <w:tc>
          <w:tcPr>
            <w:tcW w:w="1418" w:type="dxa"/>
            <w:tcBorders>
              <w:top w:val="nil"/>
              <w:left w:val="nil"/>
              <w:bottom w:val="single" w:sz="4" w:space="0" w:color="auto"/>
              <w:right w:val="single" w:sz="4" w:space="0" w:color="auto"/>
            </w:tcBorders>
            <w:shd w:val="clear" w:color="auto" w:fill="auto"/>
            <w:noWrap/>
            <w:vAlign w:val="center"/>
            <w:hideMark/>
          </w:tcPr>
          <w:p w14:paraId="603AA9DF"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2,674,518,416</w:t>
            </w:r>
          </w:p>
        </w:tc>
        <w:tc>
          <w:tcPr>
            <w:tcW w:w="1461" w:type="dxa"/>
            <w:tcBorders>
              <w:top w:val="nil"/>
              <w:left w:val="nil"/>
              <w:bottom w:val="single" w:sz="4" w:space="0" w:color="auto"/>
              <w:right w:val="single" w:sz="4" w:space="0" w:color="auto"/>
            </w:tcBorders>
            <w:shd w:val="clear" w:color="auto" w:fill="auto"/>
            <w:noWrap/>
            <w:vAlign w:val="center"/>
            <w:hideMark/>
          </w:tcPr>
          <w:p w14:paraId="4593ADF9"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 </w:t>
            </w:r>
          </w:p>
        </w:tc>
        <w:tc>
          <w:tcPr>
            <w:tcW w:w="1515" w:type="dxa"/>
            <w:tcBorders>
              <w:top w:val="nil"/>
              <w:left w:val="nil"/>
              <w:bottom w:val="single" w:sz="4" w:space="0" w:color="auto"/>
              <w:right w:val="single" w:sz="4" w:space="0" w:color="auto"/>
            </w:tcBorders>
            <w:shd w:val="clear" w:color="auto" w:fill="auto"/>
            <w:noWrap/>
            <w:vAlign w:val="center"/>
            <w:hideMark/>
          </w:tcPr>
          <w:p w14:paraId="4D85FAC1"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 </w:t>
            </w:r>
          </w:p>
        </w:tc>
        <w:tc>
          <w:tcPr>
            <w:tcW w:w="1418" w:type="dxa"/>
            <w:tcBorders>
              <w:top w:val="nil"/>
              <w:left w:val="nil"/>
              <w:bottom w:val="single" w:sz="4" w:space="0" w:color="auto"/>
              <w:right w:val="single" w:sz="4" w:space="0" w:color="auto"/>
            </w:tcBorders>
            <w:shd w:val="clear" w:color="auto" w:fill="auto"/>
            <w:noWrap/>
            <w:vAlign w:val="center"/>
            <w:hideMark/>
          </w:tcPr>
          <w:p w14:paraId="27F19B07" w14:textId="77777777" w:rsidR="003F3036" w:rsidRPr="003F3036" w:rsidRDefault="003F3036" w:rsidP="003F3036">
            <w:pPr>
              <w:spacing w:after="0" w:line="240" w:lineRule="auto"/>
              <w:jc w:val="center"/>
              <w:rPr>
                <w:rFonts w:eastAsia="Times New Roman" w:cs="Calibri"/>
                <w:color w:val="000000"/>
                <w:sz w:val="14"/>
                <w:szCs w:val="14"/>
                <w:lang w:eastAsia="es-MX"/>
              </w:rPr>
            </w:pPr>
            <w:r w:rsidRPr="003F3036">
              <w:rPr>
                <w:rFonts w:eastAsia="Times New Roman" w:cs="Calibri"/>
                <w:color w:val="000000"/>
                <w:sz w:val="14"/>
                <w:szCs w:val="14"/>
                <w:lang w:eastAsia="es-MX"/>
              </w:rPr>
              <w:t>0.00%</w:t>
            </w:r>
          </w:p>
        </w:tc>
      </w:tr>
      <w:tr w:rsidR="003F3036" w:rsidRPr="003F3036" w14:paraId="4F6A5102" w14:textId="77777777" w:rsidTr="00363D97">
        <w:trPr>
          <w:trHeight w:val="369"/>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C06F4F8" w14:textId="77777777" w:rsidR="003F3036" w:rsidRPr="003F3036" w:rsidRDefault="003F3036" w:rsidP="003F3036">
            <w:pPr>
              <w:spacing w:after="0" w:line="240" w:lineRule="auto"/>
              <w:rPr>
                <w:rFonts w:eastAsia="Times New Roman" w:cs="Calibri"/>
                <w:color w:val="000000"/>
                <w:sz w:val="14"/>
                <w:szCs w:val="14"/>
                <w:lang w:eastAsia="es-MX"/>
              </w:rPr>
            </w:pPr>
            <w:r w:rsidRPr="003F3036">
              <w:rPr>
                <w:rFonts w:eastAsia="Times New Roman" w:cs="Calibri"/>
                <w:color w:val="000000"/>
                <w:sz w:val="14"/>
                <w:szCs w:val="14"/>
                <w:lang w:eastAsia="es-MX"/>
              </w:rPr>
              <w:t>Viviendas</w:t>
            </w:r>
          </w:p>
        </w:tc>
        <w:tc>
          <w:tcPr>
            <w:tcW w:w="1418" w:type="dxa"/>
            <w:tcBorders>
              <w:top w:val="nil"/>
              <w:left w:val="nil"/>
              <w:bottom w:val="single" w:sz="4" w:space="0" w:color="auto"/>
              <w:right w:val="single" w:sz="4" w:space="0" w:color="auto"/>
            </w:tcBorders>
            <w:shd w:val="clear" w:color="auto" w:fill="auto"/>
            <w:noWrap/>
            <w:vAlign w:val="center"/>
            <w:hideMark/>
          </w:tcPr>
          <w:p w14:paraId="11F0ABD5"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11,839,770</w:t>
            </w:r>
          </w:p>
        </w:tc>
        <w:tc>
          <w:tcPr>
            <w:tcW w:w="1461" w:type="dxa"/>
            <w:tcBorders>
              <w:top w:val="nil"/>
              <w:left w:val="nil"/>
              <w:bottom w:val="single" w:sz="4" w:space="0" w:color="auto"/>
              <w:right w:val="single" w:sz="4" w:space="0" w:color="auto"/>
            </w:tcBorders>
            <w:shd w:val="clear" w:color="auto" w:fill="auto"/>
            <w:noWrap/>
            <w:vAlign w:val="center"/>
            <w:hideMark/>
          </w:tcPr>
          <w:p w14:paraId="58FCC6C5"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 </w:t>
            </w:r>
          </w:p>
        </w:tc>
        <w:tc>
          <w:tcPr>
            <w:tcW w:w="1515" w:type="dxa"/>
            <w:tcBorders>
              <w:top w:val="nil"/>
              <w:left w:val="nil"/>
              <w:bottom w:val="single" w:sz="4" w:space="0" w:color="auto"/>
              <w:right w:val="single" w:sz="4" w:space="0" w:color="auto"/>
            </w:tcBorders>
            <w:shd w:val="clear" w:color="auto" w:fill="auto"/>
            <w:noWrap/>
            <w:vAlign w:val="center"/>
            <w:hideMark/>
          </w:tcPr>
          <w:p w14:paraId="74625CD6"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 </w:t>
            </w:r>
          </w:p>
        </w:tc>
        <w:tc>
          <w:tcPr>
            <w:tcW w:w="1418" w:type="dxa"/>
            <w:tcBorders>
              <w:top w:val="nil"/>
              <w:left w:val="nil"/>
              <w:bottom w:val="single" w:sz="4" w:space="0" w:color="auto"/>
              <w:right w:val="single" w:sz="4" w:space="0" w:color="auto"/>
            </w:tcBorders>
            <w:shd w:val="clear" w:color="auto" w:fill="auto"/>
            <w:noWrap/>
            <w:vAlign w:val="center"/>
            <w:hideMark/>
          </w:tcPr>
          <w:p w14:paraId="7C9085CF" w14:textId="77777777" w:rsidR="003F3036" w:rsidRPr="003F3036" w:rsidRDefault="003F3036" w:rsidP="003F3036">
            <w:pPr>
              <w:spacing w:after="0" w:line="240" w:lineRule="auto"/>
              <w:jc w:val="center"/>
              <w:rPr>
                <w:rFonts w:eastAsia="Times New Roman" w:cs="Calibri"/>
                <w:color w:val="000000"/>
                <w:sz w:val="14"/>
                <w:szCs w:val="14"/>
                <w:lang w:eastAsia="es-MX"/>
              </w:rPr>
            </w:pPr>
            <w:r w:rsidRPr="003F3036">
              <w:rPr>
                <w:rFonts w:eastAsia="Times New Roman" w:cs="Calibri"/>
                <w:color w:val="000000"/>
                <w:sz w:val="14"/>
                <w:szCs w:val="14"/>
                <w:lang w:eastAsia="es-MX"/>
              </w:rPr>
              <w:t> </w:t>
            </w:r>
          </w:p>
        </w:tc>
      </w:tr>
      <w:tr w:rsidR="003F3036" w:rsidRPr="003F3036" w14:paraId="757C7717" w14:textId="77777777" w:rsidTr="00363D97">
        <w:trPr>
          <w:trHeight w:val="369"/>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CB2887A" w14:textId="7FF58AA7" w:rsidR="003F3036" w:rsidRPr="003F3036" w:rsidRDefault="003F3036" w:rsidP="003F3036">
            <w:pPr>
              <w:spacing w:after="0" w:line="240" w:lineRule="auto"/>
              <w:rPr>
                <w:rFonts w:eastAsia="Times New Roman" w:cs="Calibri"/>
                <w:color w:val="000000"/>
                <w:sz w:val="14"/>
                <w:szCs w:val="14"/>
                <w:lang w:eastAsia="es-MX"/>
              </w:rPr>
            </w:pPr>
            <w:r w:rsidRPr="003F3036">
              <w:rPr>
                <w:rFonts w:eastAsia="Times New Roman" w:cs="Calibri"/>
                <w:color w:val="000000"/>
                <w:sz w:val="14"/>
                <w:szCs w:val="14"/>
                <w:lang w:eastAsia="es-MX"/>
              </w:rPr>
              <w:t xml:space="preserve">Edificios No </w:t>
            </w:r>
            <w:r w:rsidR="0028672C" w:rsidRPr="003F3036">
              <w:rPr>
                <w:rFonts w:eastAsia="Times New Roman" w:cs="Calibri"/>
                <w:color w:val="000000"/>
                <w:sz w:val="14"/>
                <w:szCs w:val="14"/>
                <w:lang w:eastAsia="es-MX"/>
              </w:rPr>
              <w:t>habitacionales</w:t>
            </w:r>
            <w:r w:rsidRPr="003F3036">
              <w:rPr>
                <w:rFonts w:eastAsia="Times New Roman" w:cs="Calibri"/>
                <w:color w:val="000000"/>
                <w:sz w:val="14"/>
                <w:szCs w:val="14"/>
                <w:lang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14:paraId="282A867D"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3,996,004,391</w:t>
            </w:r>
          </w:p>
        </w:tc>
        <w:tc>
          <w:tcPr>
            <w:tcW w:w="1461" w:type="dxa"/>
            <w:tcBorders>
              <w:top w:val="nil"/>
              <w:left w:val="nil"/>
              <w:bottom w:val="single" w:sz="4" w:space="0" w:color="auto"/>
              <w:right w:val="single" w:sz="4" w:space="0" w:color="auto"/>
            </w:tcBorders>
            <w:shd w:val="clear" w:color="auto" w:fill="auto"/>
            <w:noWrap/>
            <w:vAlign w:val="center"/>
            <w:hideMark/>
          </w:tcPr>
          <w:p w14:paraId="02763EE8"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-234,281,374</w:t>
            </w:r>
          </w:p>
        </w:tc>
        <w:tc>
          <w:tcPr>
            <w:tcW w:w="1515" w:type="dxa"/>
            <w:tcBorders>
              <w:top w:val="nil"/>
              <w:left w:val="nil"/>
              <w:bottom w:val="single" w:sz="4" w:space="0" w:color="auto"/>
              <w:right w:val="single" w:sz="4" w:space="0" w:color="auto"/>
            </w:tcBorders>
            <w:shd w:val="clear" w:color="auto" w:fill="auto"/>
            <w:noWrap/>
            <w:vAlign w:val="center"/>
            <w:hideMark/>
          </w:tcPr>
          <w:p w14:paraId="0D58076D"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-507,554,662</w:t>
            </w:r>
          </w:p>
        </w:tc>
        <w:tc>
          <w:tcPr>
            <w:tcW w:w="1418" w:type="dxa"/>
            <w:tcBorders>
              <w:top w:val="nil"/>
              <w:left w:val="nil"/>
              <w:bottom w:val="single" w:sz="4" w:space="0" w:color="auto"/>
              <w:right w:val="single" w:sz="4" w:space="0" w:color="auto"/>
            </w:tcBorders>
            <w:shd w:val="clear" w:color="auto" w:fill="auto"/>
            <w:noWrap/>
            <w:vAlign w:val="center"/>
            <w:hideMark/>
          </w:tcPr>
          <w:p w14:paraId="05219C79" w14:textId="77777777" w:rsidR="003F3036" w:rsidRPr="003F3036" w:rsidRDefault="003F3036" w:rsidP="003F3036">
            <w:pPr>
              <w:spacing w:after="0" w:line="240" w:lineRule="auto"/>
              <w:jc w:val="center"/>
              <w:rPr>
                <w:rFonts w:eastAsia="Times New Roman" w:cs="Calibri"/>
                <w:color w:val="000000"/>
                <w:sz w:val="14"/>
                <w:szCs w:val="14"/>
                <w:lang w:eastAsia="es-MX"/>
              </w:rPr>
            </w:pPr>
            <w:r w:rsidRPr="003F3036">
              <w:rPr>
                <w:rFonts w:eastAsia="Times New Roman" w:cs="Calibri"/>
                <w:color w:val="000000"/>
                <w:sz w:val="14"/>
                <w:szCs w:val="14"/>
                <w:lang w:eastAsia="es-MX"/>
              </w:rPr>
              <w:t>3.33%</w:t>
            </w:r>
          </w:p>
        </w:tc>
      </w:tr>
      <w:tr w:rsidR="003F3036" w:rsidRPr="003F3036" w14:paraId="27A15DC6" w14:textId="77777777" w:rsidTr="00363D97">
        <w:trPr>
          <w:trHeight w:val="369"/>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2F1A2D8" w14:textId="77777777" w:rsidR="003F3036" w:rsidRPr="003F3036" w:rsidRDefault="003F3036" w:rsidP="003F3036">
            <w:pPr>
              <w:spacing w:after="0" w:line="240" w:lineRule="auto"/>
              <w:rPr>
                <w:rFonts w:eastAsia="Times New Roman" w:cs="Calibri"/>
                <w:color w:val="000000"/>
                <w:sz w:val="14"/>
                <w:szCs w:val="14"/>
                <w:lang w:eastAsia="es-MX"/>
              </w:rPr>
            </w:pPr>
            <w:r w:rsidRPr="003F3036">
              <w:rPr>
                <w:rFonts w:eastAsia="Times New Roman" w:cs="Calibri"/>
                <w:color w:val="000000"/>
                <w:sz w:val="14"/>
                <w:szCs w:val="14"/>
                <w:lang w:eastAsia="es-MX"/>
              </w:rPr>
              <w:t>Infraestructura</w:t>
            </w:r>
          </w:p>
        </w:tc>
        <w:tc>
          <w:tcPr>
            <w:tcW w:w="1418" w:type="dxa"/>
            <w:tcBorders>
              <w:top w:val="nil"/>
              <w:left w:val="nil"/>
              <w:bottom w:val="single" w:sz="4" w:space="0" w:color="auto"/>
              <w:right w:val="single" w:sz="4" w:space="0" w:color="auto"/>
            </w:tcBorders>
            <w:shd w:val="clear" w:color="auto" w:fill="auto"/>
            <w:noWrap/>
            <w:vAlign w:val="center"/>
            <w:hideMark/>
          </w:tcPr>
          <w:p w14:paraId="4B010B1D"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57,722,288</w:t>
            </w:r>
          </w:p>
        </w:tc>
        <w:tc>
          <w:tcPr>
            <w:tcW w:w="1461" w:type="dxa"/>
            <w:tcBorders>
              <w:top w:val="nil"/>
              <w:left w:val="nil"/>
              <w:bottom w:val="single" w:sz="4" w:space="0" w:color="auto"/>
              <w:right w:val="single" w:sz="4" w:space="0" w:color="auto"/>
            </w:tcBorders>
            <w:shd w:val="clear" w:color="auto" w:fill="auto"/>
            <w:noWrap/>
            <w:vAlign w:val="center"/>
            <w:hideMark/>
          </w:tcPr>
          <w:p w14:paraId="02143ECA"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-11,700,463</w:t>
            </w:r>
          </w:p>
        </w:tc>
        <w:tc>
          <w:tcPr>
            <w:tcW w:w="1515" w:type="dxa"/>
            <w:tcBorders>
              <w:top w:val="nil"/>
              <w:left w:val="nil"/>
              <w:bottom w:val="single" w:sz="4" w:space="0" w:color="auto"/>
              <w:right w:val="single" w:sz="4" w:space="0" w:color="auto"/>
            </w:tcBorders>
            <w:shd w:val="clear" w:color="auto" w:fill="auto"/>
            <w:noWrap/>
            <w:vAlign w:val="center"/>
            <w:hideMark/>
          </w:tcPr>
          <w:p w14:paraId="5DB98A65"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-2,340,093</w:t>
            </w:r>
          </w:p>
        </w:tc>
        <w:tc>
          <w:tcPr>
            <w:tcW w:w="1418" w:type="dxa"/>
            <w:tcBorders>
              <w:top w:val="nil"/>
              <w:left w:val="nil"/>
              <w:bottom w:val="single" w:sz="4" w:space="0" w:color="auto"/>
              <w:right w:val="single" w:sz="4" w:space="0" w:color="auto"/>
            </w:tcBorders>
            <w:shd w:val="clear" w:color="auto" w:fill="auto"/>
            <w:noWrap/>
            <w:vAlign w:val="center"/>
            <w:hideMark/>
          </w:tcPr>
          <w:p w14:paraId="31FF3BAE" w14:textId="77777777" w:rsidR="003F3036" w:rsidRPr="003F3036" w:rsidRDefault="003F3036" w:rsidP="003F3036">
            <w:pPr>
              <w:spacing w:after="0" w:line="240" w:lineRule="auto"/>
              <w:jc w:val="center"/>
              <w:rPr>
                <w:rFonts w:eastAsia="Times New Roman" w:cs="Calibri"/>
                <w:color w:val="000000"/>
                <w:sz w:val="14"/>
                <w:szCs w:val="14"/>
                <w:lang w:eastAsia="es-MX"/>
              </w:rPr>
            </w:pPr>
            <w:r w:rsidRPr="003F3036">
              <w:rPr>
                <w:rFonts w:eastAsia="Times New Roman" w:cs="Calibri"/>
                <w:color w:val="000000"/>
                <w:sz w:val="14"/>
                <w:szCs w:val="14"/>
                <w:lang w:eastAsia="es-MX"/>
              </w:rPr>
              <w:t>3.33%</w:t>
            </w:r>
          </w:p>
        </w:tc>
      </w:tr>
      <w:tr w:rsidR="003F3036" w:rsidRPr="003F3036" w14:paraId="514722D4" w14:textId="77777777" w:rsidTr="00363D97">
        <w:trPr>
          <w:trHeight w:val="369"/>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4974D6B" w14:textId="77777777" w:rsidR="003F3036" w:rsidRPr="003F3036" w:rsidRDefault="003F3036" w:rsidP="003F3036">
            <w:pPr>
              <w:spacing w:after="0" w:line="240" w:lineRule="auto"/>
              <w:rPr>
                <w:rFonts w:eastAsia="Times New Roman" w:cs="Calibri"/>
                <w:color w:val="000000"/>
                <w:sz w:val="14"/>
                <w:szCs w:val="14"/>
                <w:lang w:eastAsia="es-MX"/>
              </w:rPr>
            </w:pPr>
            <w:r w:rsidRPr="003F3036">
              <w:rPr>
                <w:rFonts w:eastAsia="Times New Roman" w:cs="Calibri"/>
                <w:color w:val="000000"/>
                <w:sz w:val="14"/>
                <w:szCs w:val="14"/>
                <w:lang w:eastAsia="es-MX"/>
              </w:rPr>
              <w:t>Construcciones en Proceso en Bienes de Dominio Público</w:t>
            </w:r>
          </w:p>
        </w:tc>
        <w:tc>
          <w:tcPr>
            <w:tcW w:w="1418" w:type="dxa"/>
            <w:tcBorders>
              <w:top w:val="nil"/>
              <w:left w:val="nil"/>
              <w:bottom w:val="single" w:sz="4" w:space="0" w:color="auto"/>
              <w:right w:val="single" w:sz="4" w:space="0" w:color="auto"/>
            </w:tcBorders>
            <w:shd w:val="clear" w:color="auto" w:fill="auto"/>
            <w:noWrap/>
            <w:vAlign w:val="center"/>
            <w:hideMark/>
          </w:tcPr>
          <w:p w14:paraId="6B81EF90"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3,553,699,966</w:t>
            </w:r>
          </w:p>
        </w:tc>
        <w:tc>
          <w:tcPr>
            <w:tcW w:w="1461" w:type="dxa"/>
            <w:tcBorders>
              <w:top w:val="nil"/>
              <w:left w:val="nil"/>
              <w:bottom w:val="single" w:sz="4" w:space="0" w:color="auto"/>
              <w:right w:val="single" w:sz="4" w:space="0" w:color="auto"/>
            </w:tcBorders>
            <w:shd w:val="clear" w:color="auto" w:fill="auto"/>
            <w:noWrap/>
            <w:vAlign w:val="center"/>
            <w:hideMark/>
          </w:tcPr>
          <w:p w14:paraId="72D06484"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 </w:t>
            </w:r>
          </w:p>
        </w:tc>
        <w:tc>
          <w:tcPr>
            <w:tcW w:w="1515" w:type="dxa"/>
            <w:tcBorders>
              <w:top w:val="nil"/>
              <w:left w:val="nil"/>
              <w:bottom w:val="single" w:sz="4" w:space="0" w:color="auto"/>
              <w:right w:val="single" w:sz="4" w:space="0" w:color="auto"/>
            </w:tcBorders>
            <w:shd w:val="clear" w:color="auto" w:fill="auto"/>
            <w:noWrap/>
            <w:vAlign w:val="center"/>
            <w:hideMark/>
          </w:tcPr>
          <w:p w14:paraId="3FAD09E0"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 </w:t>
            </w:r>
          </w:p>
        </w:tc>
        <w:tc>
          <w:tcPr>
            <w:tcW w:w="1418" w:type="dxa"/>
            <w:tcBorders>
              <w:top w:val="nil"/>
              <w:left w:val="nil"/>
              <w:bottom w:val="single" w:sz="4" w:space="0" w:color="auto"/>
              <w:right w:val="single" w:sz="4" w:space="0" w:color="auto"/>
            </w:tcBorders>
            <w:shd w:val="clear" w:color="auto" w:fill="auto"/>
            <w:noWrap/>
            <w:vAlign w:val="center"/>
            <w:hideMark/>
          </w:tcPr>
          <w:p w14:paraId="6C609BD5" w14:textId="77777777" w:rsidR="003F3036" w:rsidRPr="003F3036" w:rsidRDefault="003F3036" w:rsidP="003F3036">
            <w:pPr>
              <w:spacing w:after="0" w:line="240" w:lineRule="auto"/>
              <w:jc w:val="center"/>
              <w:rPr>
                <w:rFonts w:eastAsia="Times New Roman" w:cs="Calibri"/>
                <w:color w:val="000000"/>
                <w:sz w:val="14"/>
                <w:szCs w:val="14"/>
                <w:lang w:eastAsia="es-MX"/>
              </w:rPr>
            </w:pPr>
            <w:r w:rsidRPr="003F3036">
              <w:rPr>
                <w:rFonts w:eastAsia="Times New Roman" w:cs="Calibri"/>
                <w:color w:val="000000"/>
                <w:sz w:val="14"/>
                <w:szCs w:val="14"/>
                <w:lang w:eastAsia="es-MX"/>
              </w:rPr>
              <w:t>0.00%</w:t>
            </w:r>
          </w:p>
        </w:tc>
      </w:tr>
      <w:tr w:rsidR="003F3036" w:rsidRPr="003F3036" w14:paraId="4EE465A5" w14:textId="77777777" w:rsidTr="00363D97">
        <w:trPr>
          <w:trHeight w:val="369"/>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11000F3" w14:textId="77777777" w:rsidR="003F3036" w:rsidRPr="003F3036" w:rsidRDefault="003F3036" w:rsidP="003F3036">
            <w:pPr>
              <w:spacing w:after="0" w:line="240" w:lineRule="auto"/>
              <w:rPr>
                <w:rFonts w:eastAsia="Times New Roman" w:cs="Calibri"/>
                <w:color w:val="000000"/>
                <w:sz w:val="14"/>
                <w:szCs w:val="14"/>
                <w:lang w:eastAsia="es-MX"/>
              </w:rPr>
            </w:pPr>
            <w:r w:rsidRPr="003F3036">
              <w:rPr>
                <w:rFonts w:eastAsia="Times New Roman" w:cs="Calibri"/>
                <w:color w:val="000000"/>
                <w:sz w:val="14"/>
                <w:szCs w:val="14"/>
                <w:lang w:eastAsia="es-MX"/>
              </w:rPr>
              <w:t>Construcciones en Proceso en Bienes Propios</w:t>
            </w:r>
          </w:p>
        </w:tc>
        <w:tc>
          <w:tcPr>
            <w:tcW w:w="1418" w:type="dxa"/>
            <w:tcBorders>
              <w:top w:val="nil"/>
              <w:left w:val="nil"/>
              <w:bottom w:val="single" w:sz="4" w:space="0" w:color="auto"/>
              <w:right w:val="single" w:sz="4" w:space="0" w:color="auto"/>
            </w:tcBorders>
            <w:shd w:val="clear" w:color="auto" w:fill="auto"/>
            <w:noWrap/>
            <w:vAlign w:val="center"/>
            <w:hideMark/>
          </w:tcPr>
          <w:p w14:paraId="4E012D43"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6,570,367,281</w:t>
            </w:r>
          </w:p>
        </w:tc>
        <w:tc>
          <w:tcPr>
            <w:tcW w:w="1461" w:type="dxa"/>
            <w:tcBorders>
              <w:top w:val="nil"/>
              <w:left w:val="nil"/>
              <w:bottom w:val="single" w:sz="4" w:space="0" w:color="auto"/>
              <w:right w:val="single" w:sz="4" w:space="0" w:color="auto"/>
            </w:tcBorders>
            <w:shd w:val="clear" w:color="auto" w:fill="auto"/>
            <w:noWrap/>
            <w:vAlign w:val="center"/>
            <w:hideMark/>
          </w:tcPr>
          <w:p w14:paraId="1E324C04"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 </w:t>
            </w:r>
          </w:p>
        </w:tc>
        <w:tc>
          <w:tcPr>
            <w:tcW w:w="1515" w:type="dxa"/>
            <w:tcBorders>
              <w:top w:val="nil"/>
              <w:left w:val="nil"/>
              <w:bottom w:val="single" w:sz="4" w:space="0" w:color="auto"/>
              <w:right w:val="single" w:sz="4" w:space="0" w:color="auto"/>
            </w:tcBorders>
            <w:shd w:val="clear" w:color="auto" w:fill="auto"/>
            <w:noWrap/>
            <w:vAlign w:val="center"/>
            <w:hideMark/>
          </w:tcPr>
          <w:p w14:paraId="0A9B05C8"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 </w:t>
            </w:r>
          </w:p>
        </w:tc>
        <w:tc>
          <w:tcPr>
            <w:tcW w:w="1418" w:type="dxa"/>
            <w:tcBorders>
              <w:top w:val="nil"/>
              <w:left w:val="nil"/>
              <w:bottom w:val="single" w:sz="4" w:space="0" w:color="auto"/>
              <w:right w:val="single" w:sz="4" w:space="0" w:color="auto"/>
            </w:tcBorders>
            <w:shd w:val="clear" w:color="auto" w:fill="auto"/>
            <w:noWrap/>
            <w:vAlign w:val="center"/>
            <w:hideMark/>
          </w:tcPr>
          <w:p w14:paraId="78397257" w14:textId="77777777" w:rsidR="003F3036" w:rsidRPr="003F3036" w:rsidRDefault="003F3036" w:rsidP="003F3036">
            <w:pPr>
              <w:spacing w:after="0" w:line="240" w:lineRule="auto"/>
              <w:jc w:val="center"/>
              <w:rPr>
                <w:rFonts w:eastAsia="Times New Roman" w:cs="Calibri"/>
                <w:color w:val="000000"/>
                <w:sz w:val="14"/>
                <w:szCs w:val="14"/>
                <w:lang w:eastAsia="es-MX"/>
              </w:rPr>
            </w:pPr>
            <w:r w:rsidRPr="003F3036">
              <w:rPr>
                <w:rFonts w:eastAsia="Times New Roman" w:cs="Calibri"/>
                <w:color w:val="000000"/>
                <w:sz w:val="14"/>
                <w:szCs w:val="14"/>
                <w:lang w:eastAsia="es-MX"/>
              </w:rPr>
              <w:t>0.00%</w:t>
            </w:r>
          </w:p>
        </w:tc>
      </w:tr>
      <w:tr w:rsidR="003F3036" w:rsidRPr="003F3036" w14:paraId="3D8979D8" w14:textId="77777777" w:rsidTr="001C4513">
        <w:trPr>
          <w:trHeight w:val="300"/>
        </w:trPr>
        <w:tc>
          <w:tcPr>
            <w:tcW w:w="3539" w:type="dxa"/>
            <w:tcBorders>
              <w:top w:val="nil"/>
              <w:left w:val="single" w:sz="4" w:space="0" w:color="auto"/>
              <w:bottom w:val="single" w:sz="4" w:space="0" w:color="auto"/>
              <w:right w:val="single" w:sz="4" w:space="0" w:color="auto"/>
            </w:tcBorders>
            <w:shd w:val="clear" w:color="000000" w:fill="AB0033"/>
            <w:vAlign w:val="center"/>
            <w:hideMark/>
          </w:tcPr>
          <w:p w14:paraId="2B1C5677" w14:textId="77777777" w:rsidR="003F3036" w:rsidRPr="003F3036" w:rsidRDefault="003F3036" w:rsidP="003F3036">
            <w:pPr>
              <w:spacing w:after="0" w:line="240" w:lineRule="auto"/>
              <w:jc w:val="center"/>
              <w:rPr>
                <w:rFonts w:eastAsia="Times New Roman" w:cs="Calibri"/>
                <w:b/>
                <w:bCs/>
                <w:color w:val="FFFFFF"/>
                <w:sz w:val="20"/>
                <w:szCs w:val="20"/>
                <w:lang w:eastAsia="es-MX"/>
              </w:rPr>
            </w:pPr>
            <w:r w:rsidRPr="003F3036">
              <w:rPr>
                <w:rFonts w:eastAsia="Times New Roman" w:cs="Calibri"/>
                <w:b/>
                <w:bCs/>
                <w:color w:val="FFFFFF"/>
                <w:sz w:val="20"/>
                <w:szCs w:val="20"/>
                <w:lang w:eastAsia="es-MX"/>
              </w:rPr>
              <w:t>Fideicomisos</w:t>
            </w:r>
          </w:p>
        </w:tc>
        <w:tc>
          <w:tcPr>
            <w:tcW w:w="1418" w:type="dxa"/>
            <w:tcBorders>
              <w:top w:val="nil"/>
              <w:left w:val="nil"/>
              <w:bottom w:val="single" w:sz="4" w:space="0" w:color="auto"/>
              <w:right w:val="single" w:sz="4" w:space="0" w:color="auto"/>
            </w:tcBorders>
            <w:shd w:val="clear" w:color="000000" w:fill="AB0033"/>
            <w:vAlign w:val="center"/>
            <w:hideMark/>
          </w:tcPr>
          <w:p w14:paraId="792DDFCE" w14:textId="77777777" w:rsidR="003F3036" w:rsidRPr="003F3036" w:rsidRDefault="003F3036" w:rsidP="003F3036">
            <w:pPr>
              <w:spacing w:after="0" w:line="240" w:lineRule="auto"/>
              <w:jc w:val="center"/>
              <w:rPr>
                <w:rFonts w:eastAsia="Times New Roman" w:cs="Calibri"/>
                <w:b/>
                <w:bCs/>
                <w:color w:val="FFFFFF"/>
                <w:sz w:val="16"/>
                <w:szCs w:val="16"/>
                <w:lang w:eastAsia="es-MX"/>
              </w:rPr>
            </w:pPr>
            <w:r w:rsidRPr="003F3036">
              <w:rPr>
                <w:rFonts w:eastAsia="Times New Roman" w:cs="Calibri"/>
                <w:b/>
                <w:bCs/>
                <w:color w:val="FFFFFF"/>
                <w:sz w:val="16"/>
                <w:szCs w:val="16"/>
                <w:lang w:eastAsia="es-MX"/>
              </w:rPr>
              <w:t> </w:t>
            </w:r>
          </w:p>
        </w:tc>
        <w:tc>
          <w:tcPr>
            <w:tcW w:w="1461" w:type="dxa"/>
            <w:tcBorders>
              <w:top w:val="nil"/>
              <w:left w:val="nil"/>
              <w:bottom w:val="single" w:sz="4" w:space="0" w:color="auto"/>
              <w:right w:val="single" w:sz="4" w:space="0" w:color="auto"/>
            </w:tcBorders>
            <w:shd w:val="clear" w:color="000000" w:fill="AB0033"/>
            <w:vAlign w:val="center"/>
            <w:hideMark/>
          </w:tcPr>
          <w:p w14:paraId="6FEFD419" w14:textId="77777777" w:rsidR="003F3036" w:rsidRPr="003F3036" w:rsidRDefault="003F3036" w:rsidP="003F3036">
            <w:pPr>
              <w:spacing w:after="0" w:line="240" w:lineRule="auto"/>
              <w:jc w:val="center"/>
              <w:rPr>
                <w:rFonts w:eastAsia="Times New Roman" w:cs="Calibri"/>
                <w:b/>
                <w:bCs/>
                <w:color w:val="FFFFFF"/>
                <w:sz w:val="16"/>
                <w:szCs w:val="16"/>
                <w:lang w:eastAsia="es-MX"/>
              </w:rPr>
            </w:pPr>
            <w:r w:rsidRPr="003F3036">
              <w:rPr>
                <w:rFonts w:eastAsia="Times New Roman" w:cs="Calibri"/>
                <w:b/>
                <w:bCs/>
                <w:color w:val="FFFFFF"/>
                <w:sz w:val="16"/>
                <w:szCs w:val="16"/>
                <w:lang w:eastAsia="es-MX"/>
              </w:rPr>
              <w:t> </w:t>
            </w:r>
          </w:p>
        </w:tc>
        <w:tc>
          <w:tcPr>
            <w:tcW w:w="1515" w:type="dxa"/>
            <w:tcBorders>
              <w:top w:val="nil"/>
              <w:left w:val="nil"/>
              <w:bottom w:val="single" w:sz="4" w:space="0" w:color="auto"/>
              <w:right w:val="single" w:sz="4" w:space="0" w:color="auto"/>
            </w:tcBorders>
            <w:shd w:val="clear" w:color="000000" w:fill="AB0033"/>
            <w:vAlign w:val="center"/>
            <w:hideMark/>
          </w:tcPr>
          <w:p w14:paraId="5EA8C36F" w14:textId="77777777" w:rsidR="003F3036" w:rsidRPr="003F3036" w:rsidRDefault="003F3036" w:rsidP="003F3036">
            <w:pPr>
              <w:spacing w:after="0" w:line="240" w:lineRule="auto"/>
              <w:jc w:val="center"/>
              <w:rPr>
                <w:rFonts w:eastAsia="Times New Roman" w:cs="Calibri"/>
                <w:b/>
                <w:bCs/>
                <w:color w:val="FFFFFF"/>
                <w:sz w:val="16"/>
                <w:szCs w:val="16"/>
                <w:lang w:eastAsia="es-MX"/>
              </w:rPr>
            </w:pPr>
            <w:r w:rsidRPr="003F3036">
              <w:rPr>
                <w:rFonts w:eastAsia="Times New Roman" w:cs="Calibri"/>
                <w:b/>
                <w:bCs/>
                <w:color w:val="FFFFFF"/>
                <w:sz w:val="16"/>
                <w:szCs w:val="16"/>
                <w:lang w:eastAsia="es-MX"/>
              </w:rPr>
              <w:t> </w:t>
            </w:r>
          </w:p>
        </w:tc>
        <w:tc>
          <w:tcPr>
            <w:tcW w:w="1418" w:type="dxa"/>
            <w:tcBorders>
              <w:top w:val="nil"/>
              <w:left w:val="nil"/>
              <w:bottom w:val="single" w:sz="4" w:space="0" w:color="auto"/>
              <w:right w:val="single" w:sz="4" w:space="0" w:color="auto"/>
            </w:tcBorders>
            <w:shd w:val="clear" w:color="000000" w:fill="AB0033"/>
            <w:vAlign w:val="center"/>
            <w:hideMark/>
          </w:tcPr>
          <w:p w14:paraId="0B5E5903" w14:textId="77777777" w:rsidR="003F3036" w:rsidRPr="003F3036" w:rsidRDefault="003F3036" w:rsidP="003F3036">
            <w:pPr>
              <w:spacing w:after="0" w:line="240" w:lineRule="auto"/>
              <w:jc w:val="center"/>
              <w:rPr>
                <w:rFonts w:eastAsia="Times New Roman" w:cs="Calibri"/>
                <w:b/>
                <w:bCs/>
                <w:color w:val="FFFFFF"/>
                <w:sz w:val="16"/>
                <w:szCs w:val="16"/>
                <w:lang w:eastAsia="es-MX"/>
              </w:rPr>
            </w:pPr>
            <w:r w:rsidRPr="003F3036">
              <w:rPr>
                <w:rFonts w:eastAsia="Times New Roman" w:cs="Calibri"/>
                <w:b/>
                <w:bCs/>
                <w:color w:val="FFFFFF"/>
                <w:sz w:val="16"/>
                <w:szCs w:val="16"/>
                <w:lang w:eastAsia="es-MX"/>
              </w:rPr>
              <w:t> </w:t>
            </w:r>
          </w:p>
        </w:tc>
      </w:tr>
      <w:tr w:rsidR="003F3036" w:rsidRPr="003F3036" w14:paraId="121DA5DB" w14:textId="77777777" w:rsidTr="00363D97">
        <w:trPr>
          <w:trHeight w:val="369"/>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E141E52" w14:textId="77777777" w:rsidR="003F3036" w:rsidRPr="003F3036" w:rsidRDefault="003F3036" w:rsidP="003F3036">
            <w:pPr>
              <w:spacing w:after="0" w:line="240" w:lineRule="auto"/>
              <w:rPr>
                <w:rFonts w:eastAsia="Times New Roman" w:cs="Calibri"/>
                <w:color w:val="000000"/>
                <w:sz w:val="14"/>
                <w:szCs w:val="14"/>
                <w:lang w:eastAsia="es-MX"/>
              </w:rPr>
            </w:pPr>
            <w:r w:rsidRPr="003F3036">
              <w:rPr>
                <w:rFonts w:eastAsia="Times New Roman" w:cs="Calibri"/>
                <w:color w:val="000000"/>
                <w:sz w:val="14"/>
                <w:szCs w:val="14"/>
                <w:lang w:eastAsia="es-MX"/>
              </w:rPr>
              <w:t>Terrenos</w:t>
            </w:r>
          </w:p>
        </w:tc>
        <w:tc>
          <w:tcPr>
            <w:tcW w:w="1418" w:type="dxa"/>
            <w:tcBorders>
              <w:top w:val="nil"/>
              <w:left w:val="nil"/>
              <w:bottom w:val="single" w:sz="4" w:space="0" w:color="auto"/>
              <w:right w:val="single" w:sz="4" w:space="0" w:color="auto"/>
            </w:tcBorders>
            <w:shd w:val="clear" w:color="auto" w:fill="auto"/>
            <w:noWrap/>
            <w:vAlign w:val="center"/>
            <w:hideMark/>
          </w:tcPr>
          <w:p w14:paraId="44DC1B3C"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141,627,993</w:t>
            </w:r>
          </w:p>
        </w:tc>
        <w:tc>
          <w:tcPr>
            <w:tcW w:w="1461" w:type="dxa"/>
            <w:tcBorders>
              <w:top w:val="nil"/>
              <w:left w:val="nil"/>
              <w:bottom w:val="single" w:sz="4" w:space="0" w:color="auto"/>
              <w:right w:val="single" w:sz="4" w:space="0" w:color="auto"/>
            </w:tcBorders>
            <w:shd w:val="clear" w:color="auto" w:fill="auto"/>
            <w:noWrap/>
            <w:vAlign w:val="center"/>
            <w:hideMark/>
          </w:tcPr>
          <w:p w14:paraId="4B0DB8C5"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 </w:t>
            </w:r>
          </w:p>
        </w:tc>
        <w:tc>
          <w:tcPr>
            <w:tcW w:w="1515" w:type="dxa"/>
            <w:tcBorders>
              <w:top w:val="nil"/>
              <w:left w:val="nil"/>
              <w:bottom w:val="single" w:sz="4" w:space="0" w:color="auto"/>
              <w:right w:val="single" w:sz="4" w:space="0" w:color="auto"/>
            </w:tcBorders>
            <w:shd w:val="clear" w:color="auto" w:fill="auto"/>
            <w:noWrap/>
            <w:vAlign w:val="center"/>
            <w:hideMark/>
          </w:tcPr>
          <w:p w14:paraId="68762D96"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 </w:t>
            </w:r>
          </w:p>
        </w:tc>
        <w:tc>
          <w:tcPr>
            <w:tcW w:w="1418" w:type="dxa"/>
            <w:tcBorders>
              <w:top w:val="nil"/>
              <w:left w:val="nil"/>
              <w:bottom w:val="single" w:sz="4" w:space="0" w:color="auto"/>
              <w:right w:val="single" w:sz="4" w:space="0" w:color="auto"/>
            </w:tcBorders>
            <w:shd w:val="clear" w:color="auto" w:fill="auto"/>
            <w:noWrap/>
            <w:vAlign w:val="center"/>
            <w:hideMark/>
          </w:tcPr>
          <w:p w14:paraId="18BFD366" w14:textId="77777777" w:rsidR="003F3036" w:rsidRPr="003F3036" w:rsidRDefault="003F3036" w:rsidP="003F3036">
            <w:pPr>
              <w:spacing w:after="0" w:line="240" w:lineRule="auto"/>
              <w:jc w:val="center"/>
              <w:rPr>
                <w:rFonts w:eastAsia="Times New Roman" w:cs="Calibri"/>
                <w:color w:val="000000"/>
                <w:sz w:val="14"/>
                <w:szCs w:val="14"/>
                <w:lang w:eastAsia="es-MX"/>
              </w:rPr>
            </w:pPr>
            <w:r w:rsidRPr="003F3036">
              <w:rPr>
                <w:rFonts w:eastAsia="Times New Roman" w:cs="Calibri"/>
                <w:color w:val="000000"/>
                <w:sz w:val="14"/>
                <w:szCs w:val="14"/>
                <w:lang w:eastAsia="es-MX"/>
              </w:rPr>
              <w:t>0.00%</w:t>
            </w:r>
          </w:p>
        </w:tc>
      </w:tr>
      <w:tr w:rsidR="003F3036" w:rsidRPr="003F3036" w14:paraId="31082F35" w14:textId="77777777" w:rsidTr="00363D97">
        <w:trPr>
          <w:trHeight w:val="369"/>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6708612" w14:textId="4EF002F7" w:rsidR="003F3036" w:rsidRPr="003F3036" w:rsidRDefault="003F3036" w:rsidP="003F3036">
            <w:pPr>
              <w:spacing w:after="0" w:line="240" w:lineRule="auto"/>
              <w:rPr>
                <w:rFonts w:eastAsia="Times New Roman" w:cs="Calibri"/>
                <w:color w:val="000000"/>
                <w:sz w:val="14"/>
                <w:szCs w:val="14"/>
                <w:lang w:eastAsia="es-MX"/>
              </w:rPr>
            </w:pPr>
            <w:r w:rsidRPr="003F3036">
              <w:rPr>
                <w:rFonts w:eastAsia="Times New Roman" w:cs="Calibri"/>
                <w:color w:val="000000"/>
                <w:sz w:val="14"/>
                <w:szCs w:val="14"/>
                <w:lang w:eastAsia="es-MX"/>
              </w:rPr>
              <w:t xml:space="preserve">Edificios No </w:t>
            </w:r>
            <w:r w:rsidR="0028672C" w:rsidRPr="003F3036">
              <w:rPr>
                <w:rFonts w:eastAsia="Times New Roman" w:cs="Calibri"/>
                <w:color w:val="000000"/>
                <w:sz w:val="14"/>
                <w:szCs w:val="14"/>
                <w:lang w:eastAsia="es-MX"/>
              </w:rPr>
              <w:t>habitacionales</w:t>
            </w:r>
          </w:p>
        </w:tc>
        <w:tc>
          <w:tcPr>
            <w:tcW w:w="1418" w:type="dxa"/>
            <w:tcBorders>
              <w:top w:val="nil"/>
              <w:left w:val="nil"/>
              <w:bottom w:val="single" w:sz="4" w:space="0" w:color="auto"/>
              <w:right w:val="single" w:sz="4" w:space="0" w:color="auto"/>
            </w:tcBorders>
            <w:shd w:val="clear" w:color="auto" w:fill="auto"/>
            <w:noWrap/>
            <w:vAlign w:val="center"/>
            <w:hideMark/>
          </w:tcPr>
          <w:p w14:paraId="75D42D43"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3,253,500</w:t>
            </w:r>
          </w:p>
        </w:tc>
        <w:tc>
          <w:tcPr>
            <w:tcW w:w="1461" w:type="dxa"/>
            <w:tcBorders>
              <w:top w:val="nil"/>
              <w:left w:val="nil"/>
              <w:bottom w:val="single" w:sz="4" w:space="0" w:color="auto"/>
              <w:right w:val="single" w:sz="4" w:space="0" w:color="auto"/>
            </w:tcBorders>
            <w:shd w:val="clear" w:color="auto" w:fill="auto"/>
            <w:noWrap/>
            <w:vAlign w:val="center"/>
            <w:hideMark/>
          </w:tcPr>
          <w:p w14:paraId="67D9638A"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 </w:t>
            </w:r>
          </w:p>
        </w:tc>
        <w:tc>
          <w:tcPr>
            <w:tcW w:w="1515" w:type="dxa"/>
            <w:tcBorders>
              <w:top w:val="nil"/>
              <w:left w:val="nil"/>
              <w:bottom w:val="single" w:sz="4" w:space="0" w:color="auto"/>
              <w:right w:val="single" w:sz="4" w:space="0" w:color="auto"/>
            </w:tcBorders>
            <w:shd w:val="clear" w:color="auto" w:fill="auto"/>
            <w:noWrap/>
            <w:vAlign w:val="center"/>
            <w:hideMark/>
          </w:tcPr>
          <w:p w14:paraId="19CC9D3F"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 </w:t>
            </w:r>
          </w:p>
        </w:tc>
        <w:tc>
          <w:tcPr>
            <w:tcW w:w="1418" w:type="dxa"/>
            <w:tcBorders>
              <w:top w:val="nil"/>
              <w:left w:val="nil"/>
              <w:bottom w:val="single" w:sz="4" w:space="0" w:color="auto"/>
              <w:right w:val="single" w:sz="4" w:space="0" w:color="auto"/>
            </w:tcBorders>
            <w:shd w:val="clear" w:color="auto" w:fill="auto"/>
            <w:noWrap/>
            <w:vAlign w:val="center"/>
            <w:hideMark/>
          </w:tcPr>
          <w:p w14:paraId="59B933E1" w14:textId="77777777" w:rsidR="003F3036" w:rsidRPr="003F3036" w:rsidRDefault="003F3036" w:rsidP="003F3036">
            <w:pPr>
              <w:spacing w:after="0" w:line="240" w:lineRule="auto"/>
              <w:jc w:val="center"/>
              <w:rPr>
                <w:rFonts w:eastAsia="Times New Roman" w:cs="Calibri"/>
                <w:color w:val="000000"/>
                <w:sz w:val="14"/>
                <w:szCs w:val="14"/>
                <w:lang w:eastAsia="es-MX"/>
              </w:rPr>
            </w:pPr>
            <w:r w:rsidRPr="003F3036">
              <w:rPr>
                <w:rFonts w:eastAsia="Times New Roman" w:cs="Calibri"/>
                <w:color w:val="000000"/>
                <w:sz w:val="14"/>
                <w:szCs w:val="14"/>
                <w:lang w:eastAsia="es-MX"/>
              </w:rPr>
              <w:t>3.33%</w:t>
            </w:r>
          </w:p>
        </w:tc>
      </w:tr>
      <w:tr w:rsidR="003F3036" w:rsidRPr="003F3036" w14:paraId="70F45D58" w14:textId="77777777" w:rsidTr="00363D97">
        <w:trPr>
          <w:trHeight w:val="369"/>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207D062" w14:textId="77777777" w:rsidR="003F3036" w:rsidRPr="003F3036" w:rsidRDefault="003F3036" w:rsidP="003F3036">
            <w:pPr>
              <w:spacing w:after="0" w:line="240" w:lineRule="auto"/>
              <w:rPr>
                <w:rFonts w:eastAsia="Times New Roman" w:cs="Calibri"/>
                <w:color w:val="000000"/>
                <w:sz w:val="14"/>
                <w:szCs w:val="14"/>
                <w:lang w:eastAsia="es-MX"/>
              </w:rPr>
            </w:pPr>
            <w:r w:rsidRPr="003F3036">
              <w:rPr>
                <w:rFonts w:eastAsia="Times New Roman" w:cs="Calibri"/>
                <w:color w:val="000000"/>
                <w:sz w:val="14"/>
                <w:szCs w:val="14"/>
                <w:lang w:eastAsia="es-MX"/>
              </w:rPr>
              <w:t>Infraestructura</w:t>
            </w:r>
          </w:p>
        </w:tc>
        <w:tc>
          <w:tcPr>
            <w:tcW w:w="1418" w:type="dxa"/>
            <w:tcBorders>
              <w:top w:val="nil"/>
              <w:left w:val="nil"/>
              <w:bottom w:val="single" w:sz="4" w:space="0" w:color="auto"/>
              <w:right w:val="single" w:sz="4" w:space="0" w:color="auto"/>
            </w:tcBorders>
            <w:shd w:val="clear" w:color="auto" w:fill="auto"/>
            <w:noWrap/>
            <w:vAlign w:val="center"/>
            <w:hideMark/>
          </w:tcPr>
          <w:p w14:paraId="20D2080F"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632,806,238</w:t>
            </w:r>
          </w:p>
        </w:tc>
        <w:tc>
          <w:tcPr>
            <w:tcW w:w="1461" w:type="dxa"/>
            <w:tcBorders>
              <w:top w:val="nil"/>
              <w:left w:val="nil"/>
              <w:bottom w:val="single" w:sz="4" w:space="0" w:color="auto"/>
              <w:right w:val="single" w:sz="4" w:space="0" w:color="auto"/>
            </w:tcBorders>
            <w:shd w:val="clear" w:color="auto" w:fill="auto"/>
            <w:noWrap/>
            <w:vAlign w:val="center"/>
            <w:hideMark/>
          </w:tcPr>
          <w:p w14:paraId="348BF3BA"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 </w:t>
            </w:r>
          </w:p>
        </w:tc>
        <w:tc>
          <w:tcPr>
            <w:tcW w:w="1515" w:type="dxa"/>
            <w:tcBorders>
              <w:top w:val="nil"/>
              <w:left w:val="nil"/>
              <w:bottom w:val="single" w:sz="4" w:space="0" w:color="auto"/>
              <w:right w:val="single" w:sz="4" w:space="0" w:color="auto"/>
            </w:tcBorders>
            <w:shd w:val="clear" w:color="auto" w:fill="auto"/>
            <w:noWrap/>
            <w:vAlign w:val="center"/>
            <w:hideMark/>
          </w:tcPr>
          <w:p w14:paraId="7811FCF6"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 </w:t>
            </w:r>
          </w:p>
        </w:tc>
        <w:tc>
          <w:tcPr>
            <w:tcW w:w="1418" w:type="dxa"/>
            <w:tcBorders>
              <w:top w:val="nil"/>
              <w:left w:val="nil"/>
              <w:bottom w:val="single" w:sz="4" w:space="0" w:color="auto"/>
              <w:right w:val="single" w:sz="4" w:space="0" w:color="auto"/>
            </w:tcBorders>
            <w:shd w:val="clear" w:color="auto" w:fill="auto"/>
            <w:noWrap/>
            <w:vAlign w:val="center"/>
            <w:hideMark/>
          </w:tcPr>
          <w:p w14:paraId="652253C3" w14:textId="77777777" w:rsidR="003F3036" w:rsidRPr="003F3036" w:rsidRDefault="003F3036" w:rsidP="003F3036">
            <w:pPr>
              <w:spacing w:after="0" w:line="240" w:lineRule="auto"/>
              <w:jc w:val="center"/>
              <w:rPr>
                <w:rFonts w:eastAsia="Times New Roman" w:cs="Calibri"/>
                <w:color w:val="000000"/>
                <w:sz w:val="14"/>
                <w:szCs w:val="14"/>
                <w:lang w:eastAsia="es-MX"/>
              </w:rPr>
            </w:pPr>
            <w:r w:rsidRPr="003F3036">
              <w:rPr>
                <w:rFonts w:eastAsia="Times New Roman" w:cs="Calibri"/>
                <w:color w:val="000000"/>
                <w:sz w:val="14"/>
                <w:szCs w:val="14"/>
                <w:lang w:eastAsia="es-MX"/>
              </w:rPr>
              <w:t>4.00%</w:t>
            </w:r>
          </w:p>
        </w:tc>
      </w:tr>
      <w:tr w:rsidR="003F3036" w:rsidRPr="003F3036" w14:paraId="29C70280" w14:textId="77777777" w:rsidTr="00363D97">
        <w:trPr>
          <w:trHeight w:val="369"/>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9ADDC52" w14:textId="77777777" w:rsidR="003F3036" w:rsidRPr="003F3036" w:rsidRDefault="003F3036" w:rsidP="003F3036">
            <w:pPr>
              <w:spacing w:after="0" w:line="240" w:lineRule="auto"/>
              <w:rPr>
                <w:rFonts w:eastAsia="Times New Roman" w:cs="Calibri"/>
                <w:color w:val="000000"/>
                <w:sz w:val="14"/>
                <w:szCs w:val="14"/>
                <w:lang w:eastAsia="es-MX"/>
              </w:rPr>
            </w:pPr>
            <w:r w:rsidRPr="003F3036">
              <w:rPr>
                <w:rFonts w:eastAsia="Times New Roman" w:cs="Calibri"/>
                <w:color w:val="000000"/>
                <w:sz w:val="14"/>
                <w:szCs w:val="14"/>
                <w:lang w:eastAsia="es-MX"/>
              </w:rPr>
              <w:t>Construcciones en Proceso en Bienes de Dominio Público</w:t>
            </w:r>
          </w:p>
        </w:tc>
        <w:tc>
          <w:tcPr>
            <w:tcW w:w="1418" w:type="dxa"/>
            <w:tcBorders>
              <w:top w:val="nil"/>
              <w:left w:val="nil"/>
              <w:bottom w:val="single" w:sz="4" w:space="0" w:color="auto"/>
              <w:right w:val="single" w:sz="4" w:space="0" w:color="auto"/>
            </w:tcBorders>
            <w:shd w:val="clear" w:color="auto" w:fill="auto"/>
            <w:noWrap/>
            <w:vAlign w:val="center"/>
            <w:hideMark/>
          </w:tcPr>
          <w:p w14:paraId="4DEA3099"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248,756,950</w:t>
            </w:r>
          </w:p>
        </w:tc>
        <w:tc>
          <w:tcPr>
            <w:tcW w:w="1461" w:type="dxa"/>
            <w:tcBorders>
              <w:top w:val="nil"/>
              <w:left w:val="nil"/>
              <w:bottom w:val="single" w:sz="4" w:space="0" w:color="auto"/>
              <w:right w:val="single" w:sz="4" w:space="0" w:color="auto"/>
            </w:tcBorders>
            <w:shd w:val="clear" w:color="auto" w:fill="auto"/>
            <w:noWrap/>
            <w:vAlign w:val="center"/>
            <w:hideMark/>
          </w:tcPr>
          <w:p w14:paraId="2C572C42"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 </w:t>
            </w:r>
          </w:p>
        </w:tc>
        <w:tc>
          <w:tcPr>
            <w:tcW w:w="1515" w:type="dxa"/>
            <w:tcBorders>
              <w:top w:val="nil"/>
              <w:left w:val="nil"/>
              <w:bottom w:val="single" w:sz="4" w:space="0" w:color="auto"/>
              <w:right w:val="single" w:sz="4" w:space="0" w:color="auto"/>
            </w:tcBorders>
            <w:shd w:val="clear" w:color="auto" w:fill="auto"/>
            <w:noWrap/>
            <w:vAlign w:val="center"/>
            <w:hideMark/>
          </w:tcPr>
          <w:p w14:paraId="2749AF2D"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 </w:t>
            </w:r>
          </w:p>
        </w:tc>
        <w:tc>
          <w:tcPr>
            <w:tcW w:w="1418" w:type="dxa"/>
            <w:tcBorders>
              <w:top w:val="nil"/>
              <w:left w:val="nil"/>
              <w:bottom w:val="single" w:sz="4" w:space="0" w:color="auto"/>
              <w:right w:val="single" w:sz="4" w:space="0" w:color="auto"/>
            </w:tcBorders>
            <w:shd w:val="clear" w:color="auto" w:fill="auto"/>
            <w:noWrap/>
            <w:vAlign w:val="center"/>
            <w:hideMark/>
          </w:tcPr>
          <w:p w14:paraId="50D22AF6" w14:textId="77777777" w:rsidR="003F3036" w:rsidRPr="003F3036" w:rsidRDefault="003F3036" w:rsidP="003F3036">
            <w:pPr>
              <w:spacing w:after="0" w:line="240" w:lineRule="auto"/>
              <w:jc w:val="center"/>
              <w:rPr>
                <w:rFonts w:eastAsia="Times New Roman" w:cs="Calibri"/>
                <w:color w:val="000000"/>
                <w:sz w:val="14"/>
                <w:szCs w:val="14"/>
                <w:lang w:eastAsia="es-MX"/>
              </w:rPr>
            </w:pPr>
            <w:r w:rsidRPr="003F3036">
              <w:rPr>
                <w:rFonts w:eastAsia="Times New Roman" w:cs="Calibri"/>
                <w:color w:val="000000"/>
                <w:sz w:val="14"/>
                <w:szCs w:val="14"/>
                <w:lang w:eastAsia="es-MX"/>
              </w:rPr>
              <w:t>0.00%</w:t>
            </w:r>
          </w:p>
        </w:tc>
      </w:tr>
      <w:tr w:rsidR="003F3036" w:rsidRPr="003F3036" w14:paraId="3D528193" w14:textId="77777777" w:rsidTr="00363D97">
        <w:trPr>
          <w:trHeight w:val="369"/>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2B7A7E3" w14:textId="77777777" w:rsidR="003F3036" w:rsidRPr="003F3036" w:rsidRDefault="003F3036" w:rsidP="003F3036">
            <w:pPr>
              <w:spacing w:after="0" w:line="240" w:lineRule="auto"/>
              <w:rPr>
                <w:rFonts w:eastAsia="Times New Roman" w:cs="Calibri"/>
                <w:color w:val="000000"/>
                <w:sz w:val="14"/>
                <w:szCs w:val="14"/>
                <w:lang w:eastAsia="es-MX"/>
              </w:rPr>
            </w:pPr>
            <w:r w:rsidRPr="003F3036">
              <w:rPr>
                <w:rFonts w:eastAsia="Times New Roman" w:cs="Calibri"/>
                <w:color w:val="000000"/>
                <w:sz w:val="14"/>
                <w:szCs w:val="14"/>
                <w:lang w:eastAsia="es-MX"/>
              </w:rPr>
              <w:t>Otros Bienes Inmuebles</w:t>
            </w:r>
          </w:p>
        </w:tc>
        <w:tc>
          <w:tcPr>
            <w:tcW w:w="1418" w:type="dxa"/>
            <w:tcBorders>
              <w:top w:val="nil"/>
              <w:left w:val="nil"/>
              <w:bottom w:val="single" w:sz="4" w:space="0" w:color="auto"/>
              <w:right w:val="single" w:sz="4" w:space="0" w:color="auto"/>
            </w:tcBorders>
            <w:shd w:val="clear" w:color="auto" w:fill="auto"/>
            <w:noWrap/>
            <w:vAlign w:val="center"/>
            <w:hideMark/>
          </w:tcPr>
          <w:p w14:paraId="6AB0A2ED"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534,987</w:t>
            </w:r>
          </w:p>
        </w:tc>
        <w:tc>
          <w:tcPr>
            <w:tcW w:w="1461" w:type="dxa"/>
            <w:tcBorders>
              <w:top w:val="nil"/>
              <w:left w:val="nil"/>
              <w:bottom w:val="single" w:sz="4" w:space="0" w:color="auto"/>
              <w:right w:val="single" w:sz="4" w:space="0" w:color="auto"/>
            </w:tcBorders>
            <w:shd w:val="clear" w:color="auto" w:fill="auto"/>
            <w:noWrap/>
            <w:vAlign w:val="center"/>
            <w:hideMark/>
          </w:tcPr>
          <w:p w14:paraId="15675AC8"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 </w:t>
            </w:r>
          </w:p>
        </w:tc>
        <w:tc>
          <w:tcPr>
            <w:tcW w:w="1515" w:type="dxa"/>
            <w:tcBorders>
              <w:top w:val="nil"/>
              <w:left w:val="nil"/>
              <w:bottom w:val="single" w:sz="4" w:space="0" w:color="auto"/>
              <w:right w:val="single" w:sz="4" w:space="0" w:color="auto"/>
            </w:tcBorders>
            <w:shd w:val="clear" w:color="auto" w:fill="auto"/>
            <w:noWrap/>
            <w:vAlign w:val="center"/>
            <w:hideMark/>
          </w:tcPr>
          <w:p w14:paraId="391267B9"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 </w:t>
            </w:r>
          </w:p>
        </w:tc>
        <w:tc>
          <w:tcPr>
            <w:tcW w:w="1418" w:type="dxa"/>
            <w:tcBorders>
              <w:top w:val="nil"/>
              <w:left w:val="nil"/>
              <w:bottom w:val="single" w:sz="4" w:space="0" w:color="auto"/>
              <w:right w:val="single" w:sz="4" w:space="0" w:color="auto"/>
            </w:tcBorders>
            <w:shd w:val="clear" w:color="auto" w:fill="auto"/>
            <w:noWrap/>
            <w:vAlign w:val="center"/>
            <w:hideMark/>
          </w:tcPr>
          <w:p w14:paraId="1221FF79" w14:textId="77777777" w:rsidR="003F3036" w:rsidRPr="003F3036" w:rsidRDefault="003F3036" w:rsidP="003F3036">
            <w:pPr>
              <w:spacing w:after="0" w:line="240" w:lineRule="auto"/>
              <w:jc w:val="center"/>
              <w:rPr>
                <w:rFonts w:eastAsia="Times New Roman" w:cs="Calibri"/>
                <w:color w:val="000000"/>
                <w:sz w:val="14"/>
                <w:szCs w:val="14"/>
                <w:lang w:eastAsia="es-MX"/>
              </w:rPr>
            </w:pPr>
            <w:r w:rsidRPr="003F3036">
              <w:rPr>
                <w:rFonts w:eastAsia="Times New Roman" w:cs="Calibri"/>
                <w:color w:val="000000"/>
                <w:sz w:val="14"/>
                <w:szCs w:val="14"/>
                <w:lang w:eastAsia="es-MX"/>
              </w:rPr>
              <w:t>0.00%</w:t>
            </w:r>
          </w:p>
        </w:tc>
      </w:tr>
      <w:tr w:rsidR="003F3036" w:rsidRPr="003F3036" w14:paraId="34D66D37" w14:textId="77777777" w:rsidTr="001C4513">
        <w:trPr>
          <w:trHeight w:val="300"/>
        </w:trPr>
        <w:tc>
          <w:tcPr>
            <w:tcW w:w="3539" w:type="dxa"/>
            <w:tcBorders>
              <w:top w:val="nil"/>
              <w:left w:val="single" w:sz="4" w:space="0" w:color="auto"/>
              <w:bottom w:val="single" w:sz="4" w:space="0" w:color="auto"/>
              <w:right w:val="single" w:sz="4" w:space="0" w:color="auto"/>
            </w:tcBorders>
            <w:shd w:val="clear" w:color="000000" w:fill="DDC9A3"/>
            <w:vAlign w:val="center"/>
            <w:hideMark/>
          </w:tcPr>
          <w:p w14:paraId="2141BC38" w14:textId="77777777" w:rsidR="003F3036" w:rsidRPr="003F3036" w:rsidRDefault="003F3036" w:rsidP="003F3036">
            <w:pPr>
              <w:spacing w:after="0" w:line="240" w:lineRule="auto"/>
              <w:jc w:val="center"/>
              <w:rPr>
                <w:rFonts w:eastAsia="Times New Roman" w:cs="Calibri"/>
                <w:b/>
                <w:bCs/>
                <w:color w:val="000000"/>
                <w:sz w:val="16"/>
                <w:szCs w:val="16"/>
                <w:lang w:eastAsia="es-MX"/>
              </w:rPr>
            </w:pPr>
            <w:r w:rsidRPr="003F3036">
              <w:rPr>
                <w:rFonts w:eastAsia="Times New Roman" w:cs="Calibri"/>
                <w:b/>
                <w:bCs/>
                <w:color w:val="000000"/>
                <w:sz w:val="16"/>
                <w:szCs w:val="16"/>
                <w:lang w:eastAsia="es-MX"/>
              </w:rPr>
              <w:t>TOTAL</w:t>
            </w:r>
          </w:p>
        </w:tc>
        <w:tc>
          <w:tcPr>
            <w:tcW w:w="1418" w:type="dxa"/>
            <w:tcBorders>
              <w:top w:val="nil"/>
              <w:left w:val="nil"/>
              <w:bottom w:val="single" w:sz="4" w:space="0" w:color="auto"/>
              <w:right w:val="single" w:sz="4" w:space="0" w:color="auto"/>
            </w:tcBorders>
            <w:shd w:val="clear" w:color="000000" w:fill="DDC9A3"/>
            <w:vAlign w:val="center"/>
            <w:hideMark/>
          </w:tcPr>
          <w:p w14:paraId="71DE85AF" w14:textId="77777777" w:rsidR="003F3036" w:rsidRPr="003F3036" w:rsidRDefault="003F3036" w:rsidP="003F3036">
            <w:pPr>
              <w:spacing w:after="0" w:line="240" w:lineRule="auto"/>
              <w:jc w:val="right"/>
              <w:rPr>
                <w:rFonts w:eastAsia="Times New Roman" w:cs="Calibri"/>
                <w:b/>
                <w:bCs/>
                <w:color w:val="000000"/>
                <w:sz w:val="16"/>
                <w:szCs w:val="16"/>
                <w:lang w:eastAsia="es-MX"/>
              </w:rPr>
            </w:pPr>
            <w:r w:rsidRPr="003F3036">
              <w:rPr>
                <w:rFonts w:eastAsia="Times New Roman" w:cs="Calibri"/>
                <w:b/>
                <w:bCs/>
                <w:color w:val="000000"/>
                <w:sz w:val="16"/>
                <w:szCs w:val="16"/>
                <w:lang w:eastAsia="es-MX"/>
              </w:rPr>
              <w:t>17,891,131,780</w:t>
            </w:r>
          </w:p>
        </w:tc>
        <w:tc>
          <w:tcPr>
            <w:tcW w:w="1461" w:type="dxa"/>
            <w:tcBorders>
              <w:top w:val="nil"/>
              <w:left w:val="nil"/>
              <w:bottom w:val="single" w:sz="4" w:space="0" w:color="auto"/>
              <w:right w:val="single" w:sz="4" w:space="0" w:color="auto"/>
            </w:tcBorders>
            <w:shd w:val="clear" w:color="000000" w:fill="DDC9A3"/>
            <w:vAlign w:val="center"/>
            <w:hideMark/>
          </w:tcPr>
          <w:p w14:paraId="00BB8683" w14:textId="77777777" w:rsidR="003F3036" w:rsidRPr="003F3036" w:rsidRDefault="003F3036" w:rsidP="003F3036">
            <w:pPr>
              <w:spacing w:after="0" w:line="240" w:lineRule="auto"/>
              <w:jc w:val="right"/>
              <w:rPr>
                <w:rFonts w:eastAsia="Times New Roman" w:cs="Calibri"/>
                <w:b/>
                <w:bCs/>
                <w:color w:val="000000"/>
                <w:sz w:val="16"/>
                <w:szCs w:val="16"/>
                <w:lang w:eastAsia="es-MX"/>
              </w:rPr>
            </w:pPr>
            <w:r w:rsidRPr="003F3036">
              <w:rPr>
                <w:rFonts w:eastAsia="Times New Roman" w:cs="Calibri"/>
                <w:b/>
                <w:bCs/>
                <w:color w:val="000000"/>
                <w:sz w:val="16"/>
                <w:szCs w:val="16"/>
                <w:lang w:eastAsia="es-MX"/>
              </w:rPr>
              <w:t>-245,981,837</w:t>
            </w:r>
          </w:p>
        </w:tc>
        <w:tc>
          <w:tcPr>
            <w:tcW w:w="1515" w:type="dxa"/>
            <w:tcBorders>
              <w:top w:val="nil"/>
              <w:left w:val="nil"/>
              <w:bottom w:val="single" w:sz="4" w:space="0" w:color="auto"/>
              <w:right w:val="single" w:sz="4" w:space="0" w:color="auto"/>
            </w:tcBorders>
            <w:shd w:val="clear" w:color="000000" w:fill="DDC9A3"/>
            <w:vAlign w:val="center"/>
            <w:hideMark/>
          </w:tcPr>
          <w:p w14:paraId="3523ED7D" w14:textId="77777777" w:rsidR="003F3036" w:rsidRPr="003F3036" w:rsidRDefault="003F3036" w:rsidP="003F3036">
            <w:pPr>
              <w:spacing w:after="0" w:line="240" w:lineRule="auto"/>
              <w:jc w:val="right"/>
              <w:rPr>
                <w:rFonts w:eastAsia="Times New Roman" w:cs="Calibri"/>
                <w:b/>
                <w:bCs/>
                <w:color w:val="000000"/>
                <w:sz w:val="16"/>
                <w:szCs w:val="16"/>
                <w:lang w:eastAsia="es-MX"/>
              </w:rPr>
            </w:pPr>
            <w:r w:rsidRPr="003F3036">
              <w:rPr>
                <w:rFonts w:eastAsia="Times New Roman" w:cs="Calibri"/>
                <w:b/>
                <w:bCs/>
                <w:color w:val="000000"/>
                <w:sz w:val="16"/>
                <w:szCs w:val="16"/>
                <w:lang w:eastAsia="es-MX"/>
              </w:rPr>
              <w:t>-509,894,755</w:t>
            </w:r>
          </w:p>
        </w:tc>
        <w:tc>
          <w:tcPr>
            <w:tcW w:w="1418" w:type="dxa"/>
            <w:tcBorders>
              <w:top w:val="nil"/>
              <w:left w:val="nil"/>
              <w:bottom w:val="single" w:sz="4" w:space="0" w:color="auto"/>
              <w:right w:val="single" w:sz="4" w:space="0" w:color="auto"/>
            </w:tcBorders>
            <w:shd w:val="clear" w:color="000000" w:fill="DDC9A3"/>
            <w:vAlign w:val="center"/>
            <w:hideMark/>
          </w:tcPr>
          <w:p w14:paraId="3E5A9A18" w14:textId="77777777" w:rsidR="003F3036" w:rsidRPr="003F3036" w:rsidRDefault="003F3036" w:rsidP="003F3036">
            <w:pPr>
              <w:spacing w:after="0" w:line="240" w:lineRule="auto"/>
              <w:jc w:val="center"/>
              <w:rPr>
                <w:rFonts w:eastAsia="Times New Roman" w:cs="Calibri"/>
                <w:b/>
                <w:bCs/>
                <w:color w:val="000000"/>
                <w:sz w:val="16"/>
                <w:szCs w:val="16"/>
                <w:lang w:eastAsia="es-MX"/>
              </w:rPr>
            </w:pPr>
            <w:r w:rsidRPr="003F3036">
              <w:rPr>
                <w:rFonts w:eastAsia="Times New Roman" w:cs="Calibri"/>
                <w:b/>
                <w:bCs/>
                <w:color w:val="000000"/>
                <w:sz w:val="16"/>
                <w:szCs w:val="16"/>
                <w:lang w:eastAsia="es-MX"/>
              </w:rPr>
              <w:t> </w:t>
            </w:r>
          </w:p>
        </w:tc>
      </w:tr>
    </w:tbl>
    <w:p w14:paraId="73DCDE53" w14:textId="5111CF00" w:rsidR="00843B81" w:rsidRDefault="008708D2" w:rsidP="0077348F">
      <w:pPr>
        <w:spacing w:after="0"/>
        <w:rPr>
          <w:rFonts w:asciiTheme="minorHAnsi" w:hAnsiTheme="minorHAnsi" w:cstheme="minorHAnsi"/>
          <w:sz w:val="14"/>
          <w:szCs w:val="14"/>
        </w:rPr>
      </w:pPr>
      <w:r w:rsidRPr="005F45A3">
        <w:rPr>
          <w:rFonts w:asciiTheme="minorHAnsi" w:hAnsiTheme="minorHAnsi" w:cstheme="minorHAnsi"/>
          <w:b/>
          <w:sz w:val="20"/>
          <w:lang w:val="es-ES" w:eastAsia="es-ES"/>
        </w:rPr>
        <w:t xml:space="preserve">           </w:t>
      </w:r>
      <w:r w:rsidR="001A00F8" w:rsidRPr="005F45A3">
        <w:rPr>
          <w:rFonts w:asciiTheme="minorHAnsi" w:hAnsiTheme="minorHAnsi" w:cstheme="minorHAnsi"/>
          <w:sz w:val="14"/>
          <w:szCs w:val="14"/>
        </w:rPr>
        <w:t>*** Los porcentajes de depreciación son aplicados directamente por cada uno de los Fideicomisos incorporándose posteriormente a los registros del Gobierno del Estado.</w:t>
      </w:r>
    </w:p>
    <w:p w14:paraId="333F215F" w14:textId="77777777" w:rsidR="0077348F" w:rsidRPr="005F45A3" w:rsidRDefault="0077348F" w:rsidP="0077348F">
      <w:pPr>
        <w:spacing w:after="0"/>
        <w:rPr>
          <w:rFonts w:asciiTheme="minorHAnsi" w:hAnsiTheme="minorHAnsi" w:cstheme="minorHAnsi"/>
          <w:sz w:val="14"/>
          <w:szCs w:val="14"/>
        </w:rPr>
      </w:pPr>
    </w:p>
    <w:p w14:paraId="76CFD094" w14:textId="77777777" w:rsidR="00570D09" w:rsidRPr="00570D09" w:rsidRDefault="00570D09" w:rsidP="00570D09">
      <w:pPr>
        <w:spacing w:after="0"/>
        <w:jc w:val="both"/>
        <w:rPr>
          <w:rFonts w:asciiTheme="minorHAnsi" w:hAnsiTheme="minorHAnsi" w:cstheme="minorHAnsi"/>
          <w:sz w:val="18"/>
          <w:szCs w:val="18"/>
        </w:rPr>
      </w:pPr>
      <w:r w:rsidRPr="00570D09">
        <w:rPr>
          <w:rFonts w:asciiTheme="minorHAnsi" w:hAnsiTheme="minorHAnsi" w:cstheme="minorHAnsi"/>
          <w:sz w:val="18"/>
          <w:szCs w:val="18"/>
        </w:rPr>
        <w:t>Al inicio del ejercicio la Dirección de Patrimonio realizó los siguientes registros:</w:t>
      </w:r>
    </w:p>
    <w:p w14:paraId="1D81AFF5" w14:textId="77777777" w:rsidR="00570D09" w:rsidRPr="00570D09" w:rsidRDefault="00570D09" w:rsidP="00570D09">
      <w:pPr>
        <w:spacing w:after="0"/>
        <w:jc w:val="both"/>
        <w:rPr>
          <w:rFonts w:asciiTheme="minorHAnsi" w:hAnsiTheme="minorHAnsi" w:cstheme="minorHAnsi"/>
          <w:sz w:val="18"/>
          <w:szCs w:val="18"/>
        </w:rPr>
      </w:pPr>
    </w:p>
    <w:p w14:paraId="13481CF4" w14:textId="77777777" w:rsidR="00570D09" w:rsidRPr="00570D09" w:rsidRDefault="00570D09" w:rsidP="00367F16">
      <w:pPr>
        <w:pStyle w:val="Prrafodelista"/>
        <w:numPr>
          <w:ilvl w:val="0"/>
          <w:numId w:val="31"/>
        </w:numPr>
        <w:spacing w:after="0"/>
        <w:ind w:left="851" w:hanging="567"/>
        <w:jc w:val="both"/>
        <w:rPr>
          <w:rFonts w:asciiTheme="minorHAnsi" w:hAnsiTheme="minorHAnsi" w:cstheme="minorHAnsi"/>
          <w:sz w:val="18"/>
          <w:szCs w:val="18"/>
        </w:rPr>
      </w:pPr>
      <w:r w:rsidRPr="00570D09">
        <w:rPr>
          <w:rFonts w:asciiTheme="minorHAnsi" w:hAnsiTheme="minorHAnsi" w:cstheme="minorHAnsi"/>
          <w:sz w:val="18"/>
          <w:szCs w:val="18"/>
        </w:rPr>
        <w:t xml:space="preserve"> Traspaso de 18 terrenos de la Ex HACIENDA EL BARCODON ubicados en el Municipio de Altamira, a las cuentas del Fideicomiso Maestro Irrevocable de Administración y Fuente de Pago con un valor de $66,175,000.</w:t>
      </w:r>
    </w:p>
    <w:p w14:paraId="508B730A" w14:textId="77777777" w:rsidR="00570D09" w:rsidRPr="00570D09" w:rsidRDefault="00570D09" w:rsidP="00367F16">
      <w:pPr>
        <w:pStyle w:val="Prrafodelista"/>
        <w:spacing w:after="0"/>
        <w:ind w:left="851" w:hanging="567"/>
        <w:jc w:val="both"/>
        <w:rPr>
          <w:rFonts w:asciiTheme="minorHAnsi" w:hAnsiTheme="minorHAnsi" w:cstheme="minorHAnsi"/>
          <w:sz w:val="18"/>
          <w:szCs w:val="18"/>
        </w:rPr>
      </w:pPr>
    </w:p>
    <w:p w14:paraId="10C91B88" w14:textId="600B290B" w:rsidR="00570D09" w:rsidRPr="00570D09" w:rsidRDefault="00570D09" w:rsidP="00367F16">
      <w:pPr>
        <w:pStyle w:val="Prrafodelista"/>
        <w:numPr>
          <w:ilvl w:val="0"/>
          <w:numId w:val="31"/>
        </w:numPr>
        <w:spacing w:after="0"/>
        <w:ind w:left="851" w:hanging="567"/>
        <w:jc w:val="both"/>
        <w:rPr>
          <w:rFonts w:asciiTheme="minorHAnsi" w:hAnsiTheme="minorHAnsi" w:cstheme="minorHAnsi"/>
          <w:sz w:val="18"/>
          <w:szCs w:val="18"/>
        </w:rPr>
      </w:pPr>
      <w:r w:rsidRPr="00570D09">
        <w:rPr>
          <w:rFonts w:asciiTheme="minorHAnsi" w:hAnsiTheme="minorHAnsi" w:cstheme="minorHAnsi"/>
          <w:sz w:val="18"/>
          <w:szCs w:val="18"/>
        </w:rPr>
        <w:t>Baja de la Estación Naval ubicada en la Presa Vicente Guerrero del Municipio de Padilla por traspaso a Dependencias Federales por la Cantidad de $90,001,997.</w:t>
      </w:r>
    </w:p>
    <w:p w14:paraId="0E31DC2B" w14:textId="77777777" w:rsidR="00570D09" w:rsidRPr="00570D09" w:rsidRDefault="00570D09" w:rsidP="00367F16">
      <w:pPr>
        <w:pStyle w:val="Prrafodelista"/>
        <w:ind w:left="851" w:hanging="567"/>
        <w:rPr>
          <w:rFonts w:asciiTheme="minorHAnsi" w:hAnsiTheme="minorHAnsi" w:cstheme="minorHAnsi"/>
          <w:sz w:val="18"/>
          <w:szCs w:val="18"/>
        </w:rPr>
      </w:pPr>
    </w:p>
    <w:p w14:paraId="20E2A22E" w14:textId="77777777" w:rsidR="00367F16" w:rsidRDefault="00570D09" w:rsidP="00363D97">
      <w:pPr>
        <w:pStyle w:val="Prrafodelista"/>
        <w:numPr>
          <w:ilvl w:val="0"/>
          <w:numId w:val="31"/>
        </w:numPr>
        <w:spacing w:after="0"/>
        <w:ind w:left="851" w:hanging="567"/>
        <w:jc w:val="both"/>
        <w:rPr>
          <w:rFonts w:asciiTheme="minorHAnsi" w:hAnsiTheme="minorHAnsi" w:cstheme="minorHAnsi"/>
          <w:sz w:val="18"/>
          <w:szCs w:val="18"/>
        </w:rPr>
      </w:pPr>
      <w:r w:rsidRPr="00570D09">
        <w:rPr>
          <w:rFonts w:asciiTheme="minorHAnsi" w:hAnsiTheme="minorHAnsi" w:cstheme="minorHAnsi"/>
          <w:sz w:val="18"/>
          <w:szCs w:val="18"/>
        </w:rPr>
        <w:t>Se registraron altas de 620 terrenos por la cantidad de $1,312,152,588 y 255 bienes inmuebles por la cantidad de $1,094,532,208.</w:t>
      </w:r>
    </w:p>
    <w:p w14:paraId="3B328064" w14:textId="77777777" w:rsidR="00367F16" w:rsidRPr="00363D97" w:rsidRDefault="00367F16" w:rsidP="00363D97">
      <w:pPr>
        <w:pStyle w:val="Prrafodelista"/>
        <w:spacing w:after="0"/>
        <w:rPr>
          <w:rFonts w:asciiTheme="minorHAnsi" w:hAnsiTheme="minorHAnsi" w:cstheme="minorHAnsi"/>
          <w:sz w:val="18"/>
          <w:szCs w:val="18"/>
        </w:rPr>
      </w:pPr>
    </w:p>
    <w:p w14:paraId="27D328E7" w14:textId="6E5E2AD4" w:rsidR="008F37A0" w:rsidRPr="005F45A3" w:rsidRDefault="008F37A0" w:rsidP="00363D97">
      <w:pPr>
        <w:spacing w:after="0"/>
        <w:jc w:val="both"/>
        <w:rPr>
          <w:rFonts w:asciiTheme="minorHAnsi" w:hAnsiTheme="minorHAnsi" w:cstheme="minorHAnsi"/>
          <w:sz w:val="18"/>
          <w:szCs w:val="18"/>
        </w:rPr>
      </w:pPr>
      <w:r w:rsidRPr="005F45A3">
        <w:rPr>
          <w:rFonts w:asciiTheme="minorHAnsi" w:hAnsiTheme="minorHAnsi" w:cstheme="minorHAnsi"/>
          <w:sz w:val="18"/>
          <w:szCs w:val="18"/>
        </w:rPr>
        <w:t xml:space="preserve">Dentro del renglón de Otros Bienes </w:t>
      </w:r>
      <w:r w:rsidR="00371800">
        <w:rPr>
          <w:rFonts w:asciiTheme="minorHAnsi" w:hAnsiTheme="minorHAnsi" w:cstheme="minorHAnsi"/>
          <w:sz w:val="18"/>
          <w:szCs w:val="18"/>
        </w:rPr>
        <w:t>I</w:t>
      </w:r>
      <w:r w:rsidRPr="005F45A3">
        <w:rPr>
          <w:rFonts w:asciiTheme="minorHAnsi" w:hAnsiTheme="minorHAnsi" w:cstheme="minorHAnsi"/>
          <w:sz w:val="18"/>
          <w:szCs w:val="18"/>
        </w:rPr>
        <w:t>nmuebles se identifica la cantidad de $534,987, importe correspondiente al Fideicomiso del Desarrollo Urbano Lucio Blanco.</w:t>
      </w:r>
    </w:p>
    <w:p w14:paraId="7B4A020C" w14:textId="77777777" w:rsidR="00624C7D" w:rsidRPr="000B5805" w:rsidRDefault="00624C7D" w:rsidP="003107D9">
      <w:pPr>
        <w:spacing w:after="0"/>
        <w:jc w:val="both"/>
        <w:rPr>
          <w:rFonts w:asciiTheme="minorHAnsi" w:hAnsiTheme="minorHAnsi" w:cstheme="minorHAnsi"/>
          <w:sz w:val="18"/>
          <w:szCs w:val="18"/>
        </w:rPr>
      </w:pPr>
    </w:p>
    <w:p w14:paraId="613D75C7" w14:textId="4A6D3FCA" w:rsidR="001A00F8" w:rsidRDefault="00A06D3D" w:rsidP="0028672C">
      <w:pPr>
        <w:spacing w:after="0"/>
        <w:jc w:val="both"/>
        <w:rPr>
          <w:rFonts w:asciiTheme="minorHAnsi" w:hAnsiTheme="minorHAnsi" w:cstheme="minorHAnsi"/>
          <w:sz w:val="18"/>
          <w:szCs w:val="18"/>
        </w:rPr>
      </w:pPr>
      <w:r w:rsidRPr="0028672C">
        <w:rPr>
          <w:rFonts w:asciiTheme="minorHAnsi" w:hAnsiTheme="minorHAnsi" w:cstheme="minorHAnsi"/>
          <w:sz w:val="18"/>
          <w:szCs w:val="18"/>
        </w:rPr>
        <w:t>S</w:t>
      </w:r>
      <w:r w:rsidR="000A4F7B" w:rsidRPr="0028672C">
        <w:rPr>
          <w:rFonts w:asciiTheme="minorHAnsi" w:hAnsiTheme="minorHAnsi" w:cstheme="minorHAnsi"/>
          <w:sz w:val="18"/>
          <w:szCs w:val="18"/>
        </w:rPr>
        <w:t xml:space="preserve">e </w:t>
      </w:r>
      <w:r w:rsidRPr="0028672C">
        <w:rPr>
          <w:rFonts w:asciiTheme="minorHAnsi" w:hAnsiTheme="minorHAnsi" w:cstheme="minorHAnsi"/>
          <w:sz w:val="18"/>
          <w:szCs w:val="18"/>
        </w:rPr>
        <w:t xml:space="preserve">siguió </w:t>
      </w:r>
      <w:r w:rsidR="000A4F7B" w:rsidRPr="0028672C">
        <w:rPr>
          <w:rFonts w:asciiTheme="minorHAnsi" w:hAnsiTheme="minorHAnsi" w:cstheme="minorHAnsi"/>
          <w:sz w:val="18"/>
          <w:szCs w:val="18"/>
        </w:rPr>
        <w:t>realiz</w:t>
      </w:r>
      <w:r w:rsidRPr="0028672C">
        <w:rPr>
          <w:rFonts w:asciiTheme="minorHAnsi" w:hAnsiTheme="minorHAnsi" w:cstheme="minorHAnsi"/>
          <w:sz w:val="18"/>
          <w:szCs w:val="18"/>
        </w:rPr>
        <w:t>ando</w:t>
      </w:r>
      <w:r w:rsidR="00371800">
        <w:rPr>
          <w:rFonts w:asciiTheme="minorHAnsi" w:hAnsiTheme="minorHAnsi" w:cstheme="minorHAnsi"/>
          <w:sz w:val="18"/>
          <w:szCs w:val="18"/>
        </w:rPr>
        <w:t xml:space="preserve"> conjuntamente con la Secretarí</w:t>
      </w:r>
      <w:r w:rsidR="000A4F7B" w:rsidRPr="0028672C">
        <w:rPr>
          <w:rFonts w:asciiTheme="minorHAnsi" w:hAnsiTheme="minorHAnsi" w:cstheme="minorHAnsi"/>
          <w:sz w:val="18"/>
          <w:szCs w:val="18"/>
        </w:rPr>
        <w:t xml:space="preserve">a de Obras Públicas el proceso completo en la cuenta de OBRA EN PROCESO mediante la </w:t>
      </w:r>
      <w:r w:rsidR="00207C9C" w:rsidRPr="0028672C">
        <w:rPr>
          <w:rFonts w:asciiTheme="minorHAnsi" w:hAnsiTheme="minorHAnsi" w:cstheme="minorHAnsi"/>
          <w:sz w:val="18"/>
          <w:szCs w:val="18"/>
        </w:rPr>
        <w:t xml:space="preserve">revisión </w:t>
      </w:r>
      <w:r w:rsidR="000A4F7B" w:rsidRPr="0028672C">
        <w:rPr>
          <w:rFonts w:asciiTheme="minorHAnsi" w:hAnsiTheme="minorHAnsi" w:cstheme="minorHAnsi"/>
          <w:sz w:val="18"/>
          <w:szCs w:val="18"/>
        </w:rPr>
        <w:t>de cada una de las obras</w:t>
      </w:r>
      <w:r w:rsidR="00B23BA0" w:rsidRPr="0028672C">
        <w:rPr>
          <w:rFonts w:asciiTheme="minorHAnsi" w:hAnsiTheme="minorHAnsi" w:cstheme="minorHAnsi"/>
          <w:sz w:val="18"/>
          <w:szCs w:val="18"/>
        </w:rPr>
        <w:t xml:space="preserve"> se</w:t>
      </w:r>
      <w:r w:rsidR="0067173C" w:rsidRPr="0028672C">
        <w:rPr>
          <w:rFonts w:asciiTheme="minorHAnsi" w:hAnsiTheme="minorHAnsi" w:cstheme="minorHAnsi"/>
          <w:sz w:val="18"/>
          <w:szCs w:val="18"/>
        </w:rPr>
        <w:t xml:space="preserve"> </w:t>
      </w:r>
      <w:r w:rsidR="00207C9C" w:rsidRPr="0028672C">
        <w:rPr>
          <w:rFonts w:asciiTheme="minorHAnsi" w:hAnsiTheme="minorHAnsi" w:cstheme="minorHAnsi"/>
          <w:sz w:val="18"/>
          <w:szCs w:val="18"/>
        </w:rPr>
        <w:t>identificó</w:t>
      </w:r>
      <w:r w:rsidR="0067173C" w:rsidRPr="0028672C">
        <w:rPr>
          <w:rFonts w:asciiTheme="minorHAnsi" w:hAnsiTheme="minorHAnsi" w:cstheme="minorHAnsi"/>
          <w:sz w:val="18"/>
          <w:szCs w:val="18"/>
        </w:rPr>
        <w:t xml:space="preserve"> </w:t>
      </w:r>
      <w:r w:rsidR="00363D97">
        <w:rPr>
          <w:rFonts w:asciiTheme="minorHAnsi" w:hAnsiTheme="minorHAnsi" w:cstheme="minorHAnsi"/>
          <w:sz w:val="18"/>
          <w:szCs w:val="18"/>
        </w:rPr>
        <w:t>Obra-</w:t>
      </w:r>
      <w:r w:rsidR="00207C9C" w:rsidRPr="0028672C">
        <w:rPr>
          <w:rFonts w:asciiTheme="minorHAnsi" w:hAnsiTheme="minorHAnsi" w:cstheme="minorHAnsi"/>
          <w:sz w:val="18"/>
          <w:szCs w:val="18"/>
        </w:rPr>
        <w:t>Gasto por su</w:t>
      </w:r>
      <w:r w:rsidR="000A4F7B" w:rsidRPr="0028672C">
        <w:rPr>
          <w:rFonts w:asciiTheme="minorHAnsi" w:hAnsiTheme="minorHAnsi" w:cstheme="minorHAnsi"/>
          <w:sz w:val="18"/>
          <w:szCs w:val="18"/>
        </w:rPr>
        <w:t xml:space="preserve"> naturaleza</w:t>
      </w:r>
      <w:r w:rsidR="00BD16CD" w:rsidRPr="0028672C">
        <w:rPr>
          <w:rFonts w:asciiTheme="minorHAnsi" w:hAnsiTheme="minorHAnsi" w:cstheme="minorHAnsi"/>
          <w:sz w:val="18"/>
          <w:szCs w:val="18"/>
        </w:rPr>
        <w:t>, co</w:t>
      </w:r>
      <w:r w:rsidR="00207C9C" w:rsidRPr="0028672C">
        <w:rPr>
          <w:rFonts w:asciiTheme="minorHAnsi" w:hAnsiTheme="minorHAnsi" w:cstheme="minorHAnsi"/>
          <w:sz w:val="18"/>
          <w:szCs w:val="18"/>
        </w:rPr>
        <w:t>n</w:t>
      </w:r>
      <w:r w:rsidR="00BD16CD" w:rsidRPr="0028672C">
        <w:rPr>
          <w:rFonts w:asciiTheme="minorHAnsi" w:hAnsiTheme="minorHAnsi" w:cstheme="minorHAnsi"/>
          <w:sz w:val="18"/>
          <w:szCs w:val="18"/>
        </w:rPr>
        <w:t xml:space="preserve"> un </w:t>
      </w:r>
      <w:r w:rsidR="000A4F7B" w:rsidRPr="0028672C">
        <w:rPr>
          <w:rFonts w:asciiTheme="minorHAnsi" w:hAnsiTheme="minorHAnsi" w:cstheme="minorHAnsi"/>
          <w:sz w:val="18"/>
          <w:szCs w:val="18"/>
        </w:rPr>
        <w:t xml:space="preserve"> importe de </w:t>
      </w:r>
      <w:r w:rsidRPr="0028672C">
        <w:rPr>
          <w:rFonts w:asciiTheme="minorHAnsi" w:hAnsiTheme="minorHAnsi" w:cstheme="minorHAnsi"/>
          <w:sz w:val="18"/>
          <w:szCs w:val="18"/>
        </w:rPr>
        <w:t>$</w:t>
      </w:r>
      <w:r w:rsidR="00207C9C" w:rsidRPr="0028672C">
        <w:rPr>
          <w:rFonts w:asciiTheme="minorHAnsi" w:hAnsiTheme="minorHAnsi" w:cstheme="minorHAnsi"/>
          <w:sz w:val="18"/>
          <w:szCs w:val="18"/>
        </w:rPr>
        <w:t xml:space="preserve">585,754,526, cantidad que fue reclasificada </w:t>
      </w:r>
      <w:r w:rsidR="000A4F7B" w:rsidRPr="0028672C">
        <w:rPr>
          <w:rFonts w:asciiTheme="minorHAnsi" w:hAnsiTheme="minorHAnsi" w:cstheme="minorHAnsi"/>
          <w:sz w:val="18"/>
          <w:szCs w:val="18"/>
        </w:rPr>
        <w:t>a la cuenta de Res</w:t>
      </w:r>
      <w:r w:rsidR="0067173C" w:rsidRPr="0028672C">
        <w:rPr>
          <w:rFonts w:asciiTheme="minorHAnsi" w:hAnsiTheme="minorHAnsi" w:cstheme="minorHAnsi"/>
          <w:sz w:val="18"/>
          <w:szCs w:val="18"/>
        </w:rPr>
        <w:t xml:space="preserve">ultado de </w:t>
      </w:r>
      <w:r w:rsidR="001A00F8" w:rsidRPr="0028672C">
        <w:rPr>
          <w:rFonts w:asciiTheme="minorHAnsi" w:hAnsiTheme="minorHAnsi" w:cstheme="minorHAnsi"/>
          <w:sz w:val="18"/>
          <w:szCs w:val="18"/>
        </w:rPr>
        <w:t>Ejercicios Anteriores, continuando así el proceso de depuración de la Obra en Proceso la cual trae un saldo acumulado desde el mes de Agosto de 2012, a continuación, se detalla la situación de acuerdo al número de obras pendientes de trabajar en el sistema y dependencia responsable de ello.</w:t>
      </w:r>
    </w:p>
    <w:p w14:paraId="49A03E6A" w14:textId="77777777" w:rsidR="0028672C" w:rsidRDefault="0028672C" w:rsidP="0028672C">
      <w:pPr>
        <w:spacing w:after="0"/>
        <w:jc w:val="both"/>
        <w:rPr>
          <w:rFonts w:asciiTheme="minorHAnsi" w:hAnsiTheme="minorHAnsi" w:cstheme="minorHAnsi"/>
          <w:sz w:val="18"/>
          <w:szCs w:val="18"/>
        </w:rPr>
      </w:pPr>
    </w:p>
    <w:p w14:paraId="6D478D7C" w14:textId="77777777" w:rsidR="00570D09" w:rsidRDefault="00570D09" w:rsidP="00570D09">
      <w:pPr>
        <w:spacing w:after="0"/>
        <w:jc w:val="both"/>
        <w:rPr>
          <w:rFonts w:asciiTheme="minorHAnsi" w:hAnsiTheme="minorHAnsi" w:cstheme="minorHAnsi"/>
          <w:sz w:val="18"/>
          <w:szCs w:val="18"/>
        </w:rPr>
      </w:pPr>
      <w:r w:rsidRPr="00B46E26">
        <w:rPr>
          <w:rFonts w:asciiTheme="minorHAnsi" w:hAnsiTheme="minorHAnsi" w:cstheme="minorHAnsi"/>
          <w:sz w:val="18"/>
          <w:szCs w:val="18"/>
        </w:rPr>
        <w:t>En cuanto a las condiciones en las que fueron recibidos los bienes inmuebles al inicio de esta administración 2022-2028, después de una revisión realizada con la colaboración de varias dependencias podemos manifestar que</w:t>
      </w:r>
      <w:r>
        <w:rPr>
          <w:rFonts w:asciiTheme="minorHAnsi" w:hAnsiTheme="minorHAnsi" w:cstheme="minorHAnsi"/>
          <w:sz w:val="18"/>
          <w:szCs w:val="18"/>
        </w:rPr>
        <w:t>:</w:t>
      </w:r>
    </w:p>
    <w:p w14:paraId="6D0BB598" w14:textId="77777777" w:rsidR="00570D09" w:rsidRDefault="00570D09" w:rsidP="00570D09">
      <w:pPr>
        <w:spacing w:after="0"/>
        <w:jc w:val="both"/>
        <w:rPr>
          <w:rFonts w:asciiTheme="minorHAnsi" w:hAnsiTheme="minorHAnsi" w:cstheme="minorHAnsi"/>
          <w:sz w:val="18"/>
          <w:szCs w:val="18"/>
        </w:rPr>
      </w:pPr>
      <w:r w:rsidRPr="00B46E26">
        <w:rPr>
          <w:rFonts w:asciiTheme="minorHAnsi" w:hAnsiTheme="minorHAnsi" w:cstheme="minorHAnsi"/>
          <w:sz w:val="18"/>
          <w:szCs w:val="18"/>
        </w:rPr>
        <w:t xml:space="preserve"> </w:t>
      </w:r>
    </w:p>
    <w:p w14:paraId="7542899E" w14:textId="76070079" w:rsidR="00570D09" w:rsidRPr="00570D09" w:rsidRDefault="00570D09" w:rsidP="00B46FFA">
      <w:pPr>
        <w:pStyle w:val="Prrafodelista"/>
        <w:numPr>
          <w:ilvl w:val="0"/>
          <w:numId w:val="32"/>
        </w:numPr>
        <w:spacing w:after="0"/>
        <w:jc w:val="both"/>
        <w:rPr>
          <w:rFonts w:asciiTheme="minorHAnsi" w:hAnsiTheme="minorHAnsi" w:cstheme="minorHAnsi"/>
          <w:sz w:val="18"/>
          <w:szCs w:val="18"/>
        </w:rPr>
      </w:pPr>
      <w:r w:rsidRPr="00570D09">
        <w:rPr>
          <w:rFonts w:asciiTheme="minorHAnsi" w:hAnsiTheme="minorHAnsi" w:cstheme="minorHAnsi"/>
          <w:sz w:val="18"/>
          <w:szCs w:val="18"/>
        </w:rPr>
        <w:t xml:space="preserve">40% </w:t>
      </w:r>
      <w:r w:rsidR="00367F16">
        <w:rPr>
          <w:rFonts w:asciiTheme="minorHAnsi" w:hAnsiTheme="minorHAnsi" w:cstheme="minorHAnsi"/>
          <w:sz w:val="18"/>
          <w:szCs w:val="18"/>
        </w:rPr>
        <w:t>D</w:t>
      </w:r>
      <w:r w:rsidRPr="00570D09">
        <w:rPr>
          <w:rFonts w:asciiTheme="minorHAnsi" w:hAnsiTheme="minorHAnsi" w:cstheme="minorHAnsi"/>
          <w:sz w:val="18"/>
          <w:szCs w:val="18"/>
        </w:rPr>
        <w:t>e los inmuebles del Estado se encuentran en buenas condiciones de uso.</w:t>
      </w:r>
    </w:p>
    <w:p w14:paraId="14A666EA" w14:textId="4F67D309" w:rsidR="00570D09" w:rsidRPr="00570D09" w:rsidRDefault="00570D09" w:rsidP="00B46FFA">
      <w:pPr>
        <w:pStyle w:val="Prrafodelista"/>
        <w:numPr>
          <w:ilvl w:val="0"/>
          <w:numId w:val="32"/>
        </w:numPr>
        <w:spacing w:after="0"/>
        <w:jc w:val="both"/>
        <w:rPr>
          <w:rFonts w:asciiTheme="minorHAnsi" w:hAnsiTheme="minorHAnsi" w:cstheme="minorHAnsi"/>
          <w:sz w:val="18"/>
          <w:szCs w:val="18"/>
        </w:rPr>
      </w:pPr>
      <w:r w:rsidRPr="00570D09">
        <w:rPr>
          <w:rFonts w:asciiTheme="minorHAnsi" w:hAnsiTheme="minorHAnsi" w:cstheme="minorHAnsi"/>
          <w:sz w:val="18"/>
          <w:szCs w:val="18"/>
        </w:rPr>
        <w:t xml:space="preserve">52% </w:t>
      </w:r>
      <w:r w:rsidR="00367F16">
        <w:rPr>
          <w:rFonts w:asciiTheme="minorHAnsi" w:hAnsiTheme="minorHAnsi" w:cstheme="minorHAnsi"/>
          <w:sz w:val="18"/>
          <w:szCs w:val="18"/>
        </w:rPr>
        <w:t>S</w:t>
      </w:r>
      <w:r w:rsidRPr="00570D09">
        <w:rPr>
          <w:rFonts w:asciiTheme="minorHAnsi" w:hAnsiTheme="minorHAnsi" w:cstheme="minorHAnsi"/>
          <w:sz w:val="18"/>
          <w:szCs w:val="18"/>
        </w:rPr>
        <w:t>e encuentran en condiciones regulares.</w:t>
      </w:r>
    </w:p>
    <w:p w14:paraId="4EC6E3DE" w14:textId="5A806B5F" w:rsidR="00570D09" w:rsidRPr="00570D09" w:rsidRDefault="00570D09" w:rsidP="00B46FFA">
      <w:pPr>
        <w:pStyle w:val="Prrafodelista"/>
        <w:numPr>
          <w:ilvl w:val="0"/>
          <w:numId w:val="32"/>
        </w:numPr>
        <w:spacing w:after="0"/>
        <w:jc w:val="both"/>
        <w:rPr>
          <w:rFonts w:asciiTheme="minorHAnsi" w:hAnsiTheme="minorHAnsi" w:cstheme="minorHAnsi"/>
          <w:sz w:val="18"/>
          <w:szCs w:val="18"/>
        </w:rPr>
      </w:pPr>
      <w:r w:rsidRPr="00570D09">
        <w:rPr>
          <w:rFonts w:asciiTheme="minorHAnsi" w:hAnsiTheme="minorHAnsi" w:cstheme="minorHAnsi"/>
          <w:sz w:val="18"/>
          <w:szCs w:val="18"/>
        </w:rPr>
        <w:t xml:space="preserve">8% </w:t>
      </w:r>
      <w:r w:rsidR="00367F16">
        <w:rPr>
          <w:rFonts w:asciiTheme="minorHAnsi" w:hAnsiTheme="minorHAnsi" w:cstheme="minorHAnsi"/>
          <w:sz w:val="18"/>
          <w:szCs w:val="18"/>
        </w:rPr>
        <w:t>E</w:t>
      </w:r>
      <w:r w:rsidRPr="00570D09">
        <w:rPr>
          <w:rFonts w:asciiTheme="minorHAnsi" w:hAnsiTheme="minorHAnsi" w:cstheme="minorHAnsi"/>
          <w:sz w:val="18"/>
          <w:szCs w:val="18"/>
        </w:rPr>
        <w:t>n malas condiciones.</w:t>
      </w:r>
    </w:p>
    <w:p w14:paraId="3F2092B7" w14:textId="77777777" w:rsidR="00570D09" w:rsidRPr="00570D09" w:rsidRDefault="00570D09" w:rsidP="00570D09">
      <w:pPr>
        <w:pStyle w:val="Prrafodelista"/>
        <w:spacing w:after="0"/>
        <w:ind w:left="1080"/>
        <w:jc w:val="both"/>
        <w:rPr>
          <w:rFonts w:asciiTheme="minorHAnsi" w:hAnsiTheme="minorHAnsi" w:cstheme="minorHAnsi"/>
          <w:sz w:val="18"/>
          <w:szCs w:val="18"/>
        </w:rPr>
      </w:pPr>
    </w:p>
    <w:p w14:paraId="5FA952DE" w14:textId="33238FB6" w:rsidR="00570D09" w:rsidRPr="00570D09" w:rsidRDefault="00570D09" w:rsidP="00570D09">
      <w:pPr>
        <w:spacing w:after="0"/>
        <w:jc w:val="both"/>
        <w:rPr>
          <w:rFonts w:asciiTheme="minorHAnsi" w:hAnsiTheme="minorHAnsi" w:cstheme="minorHAnsi"/>
          <w:sz w:val="18"/>
          <w:szCs w:val="18"/>
        </w:rPr>
      </w:pPr>
      <w:r w:rsidRPr="00570D09">
        <w:rPr>
          <w:rFonts w:asciiTheme="minorHAnsi" w:hAnsiTheme="minorHAnsi" w:cstheme="minorHAnsi"/>
          <w:sz w:val="18"/>
          <w:szCs w:val="18"/>
        </w:rPr>
        <w:t>Así mismo se tienen las siguientes observaciones:</w:t>
      </w:r>
    </w:p>
    <w:p w14:paraId="7DDCE70F" w14:textId="77777777" w:rsidR="00570D09" w:rsidRPr="00570D09" w:rsidRDefault="00570D09" w:rsidP="00570D09">
      <w:pPr>
        <w:spacing w:after="0"/>
        <w:jc w:val="both"/>
        <w:rPr>
          <w:rFonts w:asciiTheme="minorHAnsi" w:hAnsiTheme="minorHAnsi" w:cstheme="minorHAnsi"/>
          <w:sz w:val="18"/>
          <w:szCs w:val="18"/>
        </w:rPr>
      </w:pPr>
    </w:p>
    <w:p w14:paraId="1E99378B" w14:textId="77777777" w:rsidR="00570D09" w:rsidRPr="00570D09" w:rsidRDefault="00570D09" w:rsidP="00B46FFA">
      <w:pPr>
        <w:pStyle w:val="Prrafodelista"/>
        <w:numPr>
          <w:ilvl w:val="0"/>
          <w:numId w:val="33"/>
        </w:numPr>
        <w:spacing w:after="0"/>
        <w:jc w:val="both"/>
        <w:rPr>
          <w:rFonts w:asciiTheme="minorHAnsi" w:hAnsiTheme="minorHAnsi" w:cstheme="minorHAnsi"/>
          <w:sz w:val="18"/>
          <w:szCs w:val="18"/>
        </w:rPr>
      </w:pPr>
      <w:r w:rsidRPr="00570D09">
        <w:rPr>
          <w:rFonts w:asciiTheme="minorHAnsi" w:hAnsiTheme="minorHAnsi" w:cstheme="minorHAnsi"/>
          <w:sz w:val="18"/>
          <w:szCs w:val="18"/>
        </w:rPr>
        <w:t>En proceso de desincorporación se encuentran cinco inmuebles ubicados en la Zona de  Desarrollo Turístico Playa Miramar en el Municipio de Madero y uno en el Poblado La Pesca del Municipio de Soto La Marina, lo anterior derivado del proceso de licitación 57062002-001-2022 y 57062002-002-2022.</w:t>
      </w:r>
    </w:p>
    <w:p w14:paraId="76F4842B" w14:textId="77777777" w:rsidR="00570D09" w:rsidRPr="00570D09" w:rsidRDefault="00570D09" w:rsidP="00570D09">
      <w:pPr>
        <w:pStyle w:val="Prrafodelista"/>
        <w:spacing w:after="0"/>
        <w:ind w:left="1080"/>
        <w:jc w:val="both"/>
        <w:rPr>
          <w:rFonts w:asciiTheme="minorHAnsi" w:hAnsiTheme="minorHAnsi" w:cstheme="minorHAnsi"/>
          <w:sz w:val="18"/>
          <w:szCs w:val="18"/>
        </w:rPr>
      </w:pPr>
    </w:p>
    <w:p w14:paraId="1D7F5A10" w14:textId="77777777" w:rsidR="00570D09" w:rsidRPr="00570D09" w:rsidRDefault="00570D09" w:rsidP="00B46FFA">
      <w:pPr>
        <w:pStyle w:val="Prrafodelista"/>
        <w:numPr>
          <w:ilvl w:val="0"/>
          <w:numId w:val="33"/>
        </w:numPr>
        <w:spacing w:after="0"/>
        <w:jc w:val="both"/>
        <w:rPr>
          <w:rFonts w:asciiTheme="minorHAnsi" w:hAnsiTheme="minorHAnsi" w:cstheme="minorHAnsi"/>
          <w:sz w:val="18"/>
          <w:szCs w:val="18"/>
        </w:rPr>
      </w:pPr>
      <w:r w:rsidRPr="00570D09">
        <w:rPr>
          <w:rFonts w:asciiTheme="minorHAnsi" w:hAnsiTheme="minorHAnsi" w:cstheme="minorHAnsi"/>
          <w:sz w:val="18"/>
          <w:szCs w:val="18"/>
        </w:rPr>
        <w:t>El inmueble ubicado en el ejido la Retama, Municipio de Reynosa se encuentra en proceso de desincorporación en la modalidad de dación en pago a la Universidad Autónoma de Tamaulipas.</w:t>
      </w:r>
    </w:p>
    <w:p w14:paraId="39AED5C7" w14:textId="77777777" w:rsidR="00570D09" w:rsidRPr="00570D09" w:rsidRDefault="00570D09" w:rsidP="00570D09">
      <w:pPr>
        <w:pStyle w:val="Prrafodelista"/>
        <w:spacing w:after="0"/>
        <w:ind w:left="1080"/>
        <w:jc w:val="both"/>
        <w:rPr>
          <w:rFonts w:asciiTheme="minorHAnsi" w:hAnsiTheme="minorHAnsi" w:cstheme="minorHAnsi"/>
          <w:sz w:val="18"/>
          <w:szCs w:val="18"/>
        </w:rPr>
      </w:pPr>
    </w:p>
    <w:p w14:paraId="034C1574" w14:textId="77777777" w:rsidR="00570D09" w:rsidRPr="00570D09" w:rsidRDefault="00570D09" w:rsidP="00B46FFA">
      <w:pPr>
        <w:pStyle w:val="Prrafodelista"/>
        <w:numPr>
          <w:ilvl w:val="0"/>
          <w:numId w:val="33"/>
        </w:numPr>
        <w:spacing w:after="0"/>
        <w:jc w:val="both"/>
        <w:rPr>
          <w:rFonts w:asciiTheme="minorHAnsi" w:hAnsiTheme="minorHAnsi" w:cstheme="minorHAnsi"/>
          <w:sz w:val="18"/>
          <w:szCs w:val="18"/>
        </w:rPr>
      </w:pPr>
      <w:r w:rsidRPr="00570D09">
        <w:rPr>
          <w:rFonts w:asciiTheme="minorHAnsi" w:hAnsiTheme="minorHAnsi" w:cstheme="minorHAnsi"/>
          <w:sz w:val="18"/>
          <w:szCs w:val="18"/>
        </w:rPr>
        <w:t>El inmueble ubicado en calle Nuevo Libramiento Altamira Km 3, Colonia Santa Amalia, del Municipio de Altamira se encuentra en proceso de ser Donado a Título Gratuito a la Universidad Politécnica de Altamira.</w:t>
      </w:r>
    </w:p>
    <w:p w14:paraId="18DFB4AC" w14:textId="77777777" w:rsidR="00570D09" w:rsidRPr="00570D09" w:rsidRDefault="00570D09" w:rsidP="00570D09">
      <w:pPr>
        <w:pStyle w:val="Prrafodelista"/>
        <w:rPr>
          <w:rFonts w:asciiTheme="minorHAnsi" w:hAnsiTheme="minorHAnsi" w:cstheme="minorHAnsi"/>
          <w:sz w:val="18"/>
          <w:szCs w:val="18"/>
        </w:rPr>
      </w:pPr>
    </w:p>
    <w:p w14:paraId="5922E06F" w14:textId="2D5E91ED" w:rsidR="00570D09" w:rsidRPr="00570D09" w:rsidRDefault="00570D09" w:rsidP="00B46FFA">
      <w:pPr>
        <w:pStyle w:val="Prrafodelista"/>
        <w:numPr>
          <w:ilvl w:val="0"/>
          <w:numId w:val="33"/>
        </w:numPr>
        <w:spacing w:after="0"/>
        <w:jc w:val="both"/>
        <w:rPr>
          <w:rFonts w:asciiTheme="minorHAnsi" w:hAnsiTheme="minorHAnsi" w:cstheme="minorHAnsi"/>
          <w:sz w:val="18"/>
          <w:szCs w:val="18"/>
        </w:rPr>
      </w:pPr>
      <w:r w:rsidRPr="00570D09">
        <w:rPr>
          <w:rFonts w:asciiTheme="minorHAnsi" w:hAnsiTheme="minorHAnsi" w:cstheme="minorHAnsi"/>
          <w:sz w:val="18"/>
          <w:szCs w:val="18"/>
        </w:rPr>
        <w:t>Po</w:t>
      </w:r>
      <w:r w:rsidR="00371800">
        <w:rPr>
          <w:rFonts w:asciiTheme="minorHAnsi" w:hAnsiTheme="minorHAnsi" w:cstheme="minorHAnsi"/>
          <w:sz w:val="18"/>
          <w:szCs w:val="18"/>
        </w:rPr>
        <w:t>r lo que respecta al polígono rú</w:t>
      </w:r>
      <w:r w:rsidRPr="00570D09">
        <w:rPr>
          <w:rFonts w:asciiTheme="minorHAnsi" w:hAnsiTheme="minorHAnsi" w:cstheme="minorHAnsi"/>
          <w:sz w:val="18"/>
          <w:szCs w:val="18"/>
        </w:rPr>
        <w:t>stico en la carretera Nacional Esta</w:t>
      </w:r>
      <w:r w:rsidR="00371800">
        <w:rPr>
          <w:rFonts w:asciiTheme="minorHAnsi" w:hAnsiTheme="minorHAnsi" w:cstheme="minorHAnsi"/>
          <w:sz w:val="18"/>
          <w:szCs w:val="18"/>
        </w:rPr>
        <w:t xml:space="preserve">ción </w:t>
      </w:r>
      <w:r w:rsidRPr="00570D09">
        <w:rPr>
          <w:rFonts w:asciiTheme="minorHAnsi" w:hAnsiTheme="minorHAnsi" w:cstheme="minorHAnsi"/>
          <w:sz w:val="18"/>
          <w:szCs w:val="18"/>
        </w:rPr>
        <w:t>Manuel-Soto la Marina, Km 35, del Municipio de Aldama, se autorizó mediante decreto la Donación a Título Gratuito de una fracción de 5-00-00 hectáreas en favor de Servicios de Salud de Tamaulipas.</w:t>
      </w:r>
    </w:p>
    <w:p w14:paraId="764D1487" w14:textId="77777777" w:rsidR="00570D09" w:rsidRPr="00570D09" w:rsidRDefault="00570D09" w:rsidP="00570D09">
      <w:pPr>
        <w:spacing w:after="0"/>
        <w:jc w:val="both"/>
        <w:rPr>
          <w:rFonts w:asciiTheme="minorHAnsi" w:hAnsiTheme="minorHAnsi" w:cstheme="minorHAnsi"/>
          <w:sz w:val="18"/>
          <w:szCs w:val="18"/>
          <w:highlight w:val="yellow"/>
        </w:rPr>
      </w:pPr>
    </w:p>
    <w:p w14:paraId="73C7656C" w14:textId="016DD91D" w:rsidR="008A7EC0" w:rsidRDefault="008A7EC0" w:rsidP="0028672C">
      <w:pPr>
        <w:spacing w:after="0"/>
        <w:jc w:val="both"/>
        <w:rPr>
          <w:rFonts w:asciiTheme="minorHAnsi" w:hAnsiTheme="minorHAnsi" w:cstheme="minorHAnsi"/>
          <w:sz w:val="18"/>
          <w:szCs w:val="18"/>
        </w:rPr>
      </w:pPr>
      <w:r w:rsidRPr="00B46E26">
        <w:rPr>
          <w:rFonts w:asciiTheme="minorHAnsi" w:hAnsiTheme="minorHAnsi" w:cstheme="minorHAnsi"/>
          <w:sz w:val="18"/>
          <w:szCs w:val="18"/>
        </w:rPr>
        <w:t>Dentro de Edificios No Habitacion</w:t>
      </w:r>
      <w:r w:rsidR="00371800">
        <w:rPr>
          <w:rFonts w:asciiTheme="minorHAnsi" w:hAnsiTheme="minorHAnsi" w:cstheme="minorHAnsi"/>
          <w:sz w:val="18"/>
          <w:szCs w:val="18"/>
        </w:rPr>
        <w:t>ales s</w:t>
      </w:r>
      <w:r w:rsidRPr="00B46E26">
        <w:rPr>
          <w:rFonts w:asciiTheme="minorHAnsi" w:hAnsiTheme="minorHAnsi" w:cstheme="minorHAnsi"/>
          <w:sz w:val="18"/>
          <w:szCs w:val="18"/>
        </w:rPr>
        <w:t>e mantiene una cuenta de Edificios No Habitacionales Transferibles debido a la naturaleza de su creación y a que a la fecha no se cuenta con un proceso establecido para su desincorporación.</w:t>
      </w:r>
    </w:p>
    <w:p w14:paraId="2AFABA82" w14:textId="77777777" w:rsidR="00B46E26" w:rsidRPr="0028672C" w:rsidRDefault="00B46E26" w:rsidP="0028672C">
      <w:pPr>
        <w:spacing w:after="0"/>
        <w:jc w:val="both"/>
        <w:rPr>
          <w:rFonts w:asciiTheme="minorHAnsi" w:hAnsiTheme="minorHAnsi" w:cstheme="minorHAnsi"/>
          <w:sz w:val="18"/>
          <w:szCs w:val="18"/>
        </w:rPr>
      </w:pPr>
    </w:p>
    <w:p w14:paraId="452994A5" w14:textId="7D6F2601" w:rsidR="00BE6B88" w:rsidRDefault="00BE6B88" w:rsidP="00040F0F">
      <w:pPr>
        <w:rPr>
          <w:rFonts w:asciiTheme="minorHAnsi" w:eastAsia="Times New Roman" w:hAnsiTheme="minorHAnsi" w:cstheme="minorHAnsi"/>
          <w:b/>
          <w:sz w:val="20"/>
          <w:szCs w:val="18"/>
          <w:lang w:eastAsia="es-ES"/>
        </w:rPr>
      </w:pPr>
      <w:r w:rsidRPr="005F45A3">
        <w:rPr>
          <w:rFonts w:asciiTheme="minorHAnsi" w:eastAsia="Times New Roman" w:hAnsiTheme="minorHAnsi" w:cstheme="minorHAnsi"/>
          <w:b/>
          <w:sz w:val="20"/>
          <w:szCs w:val="18"/>
          <w:lang w:eastAsia="es-ES"/>
        </w:rPr>
        <w:t>Construcciones en proceso en Bienes de Dominio Público.</w:t>
      </w:r>
    </w:p>
    <w:tbl>
      <w:tblPr>
        <w:tblW w:w="8852" w:type="dxa"/>
        <w:tblInd w:w="-5" w:type="dxa"/>
        <w:tblCellMar>
          <w:left w:w="70" w:type="dxa"/>
          <w:right w:w="70" w:type="dxa"/>
        </w:tblCellMar>
        <w:tblLook w:val="04A0" w:firstRow="1" w:lastRow="0" w:firstColumn="1" w:lastColumn="0" w:noHBand="0" w:noVBand="1"/>
      </w:tblPr>
      <w:tblGrid>
        <w:gridCol w:w="1200"/>
        <w:gridCol w:w="1320"/>
        <w:gridCol w:w="3292"/>
        <w:gridCol w:w="1440"/>
        <w:gridCol w:w="1600"/>
      </w:tblGrid>
      <w:tr w:rsidR="001C4513" w:rsidRPr="001C4513" w14:paraId="0279034B" w14:textId="77777777" w:rsidTr="001C4513">
        <w:trPr>
          <w:trHeight w:val="510"/>
        </w:trPr>
        <w:tc>
          <w:tcPr>
            <w:tcW w:w="120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362C01AF" w14:textId="77777777" w:rsidR="001C4513" w:rsidRPr="001C4513" w:rsidRDefault="001C4513" w:rsidP="001C4513">
            <w:pPr>
              <w:spacing w:after="0" w:line="240" w:lineRule="auto"/>
              <w:jc w:val="center"/>
              <w:rPr>
                <w:rFonts w:eastAsia="Times New Roman" w:cs="Calibri"/>
                <w:b/>
                <w:bCs/>
                <w:color w:val="FFFFFF"/>
                <w:sz w:val="16"/>
                <w:szCs w:val="16"/>
                <w:lang w:eastAsia="es-MX"/>
              </w:rPr>
            </w:pPr>
            <w:r w:rsidRPr="001C4513">
              <w:rPr>
                <w:rFonts w:eastAsia="Times New Roman" w:cs="Calibri"/>
                <w:b/>
                <w:bCs/>
                <w:color w:val="FFFFFF"/>
                <w:sz w:val="16"/>
                <w:szCs w:val="16"/>
                <w:lang w:eastAsia="es-MX"/>
              </w:rPr>
              <w:t> </w:t>
            </w:r>
          </w:p>
        </w:tc>
        <w:tc>
          <w:tcPr>
            <w:tcW w:w="1320" w:type="dxa"/>
            <w:tcBorders>
              <w:top w:val="single" w:sz="4" w:space="0" w:color="auto"/>
              <w:left w:val="nil"/>
              <w:bottom w:val="single" w:sz="4" w:space="0" w:color="auto"/>
              <w:right w:val="single" w:sz="4" w:space="0" w:color="auto"/>
            </w:tcBorders>
            <w:shd w:val="clear" w:color="000000" w:fill="AB0033"/>
            <w:vAlign w:val="center"/>
            <w:hideMark/>
          </w:tcPr>
          <w:p w14:paraId="51495B82" w14:textId="77777777" w:rsidR="001C4513" w:rsidRPr="001C4513" w:rsidRDefault="001C4513" w:rsidP="001C4513">
            <w:pPr>
              <w:spacing w:after="0" w:line="240" w:lineRule="auto"/>
              <w:jc w:val="center"/>
              <w:rPr>
                <w:rFonts w:eastAsia="Times New Roman" w:cs="Calibri"/>
                <w:b/>
                <w:bCs/>
                <w:color w:val="FFFFFF"/>
                <w:sz w:val="16"/>
                <w:szCs w:val="16"/>
                <w:lang w:eastAsia="es-MX"/>
              </w:rPr>
            </w:pPr>
            <w:r w:rsidRPr="001C4513">
              <w:rPr>
                <w:rFonts w:eastAsia="Times New Roman" w:cs="Calibri"/>
                <w:b/>
                <w:bCs/>
                <w:color w:val="FFFFFF"/>
                <w:sz w:val="16"/>
                <w:szCs w:val="16"/>
                <w:lang w:eastAsia="es-MX"/>
              </w:rPr>
              <w:t>No. DE OBRAS</w:t>
            </w:r>
          </w:p>
        </w:tc>
        <w:tc>
          <w:tcPr>
            <w:tcW w:w="3292" w:type="dxa"/>
            <w:tcBorders>
              <w:top w:val="single" w:sz="4" w:space="0" w:color="auto"/>
              <w:left w:val="nil"/>
              <w:bottom w:val="single" w:sz="4" w:space="0" w:color="auto"/>
              <w:right w:val="single" w:sz="4" w:space="0" w:color="auto"/>
            </w:tcBorders>
            <w:shd w:val="clear" w:color="000000" w:fill="AB0033"/>
            <w:vAlign w:val="center"/>
            <w:hideMark/>
          </w:tcPr>
          <w:p w14:paraId="06486844" w14:textId="77777777" w:rsidR="001C4513" w:rsidRPr="001C4513" w:rsidRDefault="001C4513" w:rsidP="001C4513">
            <w:pPr>
              <w:spacing w:after="0" w:line="240" w:lineRule="auto"/>
              <w:jc w:val="center"/>
              <w:rPr>
                <w:rFonts w:eastAsia="Times New Roman" w:cs="Calibri"/>
                <w:b/>
                <w:bCs/>
                <w:color w:val="FFFFFF"/>
                <w:sz w:val="16"/>
                <w:szCs w:val="16"/>
                <w:lang w:eastAsia="es-MX"/>
              </w:rPr>
            </w:pPr>
            <w:r w:rsidRPr="001C4513">
              <w:rPr>
                <w:rFonts w:eastAsia="Times New Roman" w:cs="Calibri"/>
                <w:b/>
                <w:bCs/>
                <w:color w:val="FFFFFF"/>
                <w:sz w:val="16"/>
                <w:szCs w:val="16"/>
                <w:lang w:eastAsia="es-MX"/>
              </w:rPr>
              <w:t>DEPENDENCIAS</w:t>
            </w:r>
          </w:p>
        </w:tc>
        <w:tc>
          <w:tcPr>
            <w:tcW w:w="1440" w:type="dxa"/>
            <w:tcBorders>
              <w:top w:val="single" w:sz="4" w:space="0" w:color="auto"/>
              <w:left w:val="nil"/>
              <w:bottom w:val="single" w:sz="4" w:space="0" w:color="auto"/>
              <w:right w:val="single" w:sz="4" w:space="0" w:color="auto"/>
            </w:tcBorders>
            <w:shd w:val="clear" w:color="000000" w:fill="AB0033"/>
            <w:vAlign w:val="center"/>
            <w:hideMark/>
          </w:tcPr>
          <w:p w14:paraId="22D4AA9C" w14:textId="77777777" w:rsidR="001C4513" w:rsidRPr="001C4513" w:rsidRDefault="001C4513" w:rsidP="001C4513">
            <w:pPr>
              <w:spacing w:after="0" w:line="240" w:lineRule="auto"/>
              <w:jc w:val="center"/>
              <w:rPr>
                <w:rFonts w:eastAsia="Times New Roman" w:cs="Calibri"/>
                <w:b/>
                <w:bCs/>
                <w:color w:val="FFFFFF"/>
                <w:sz w:val="16"/>
                <w:szCs w:val="16"/>
                <w:lang w:eastAsia="es-MX"/>
              </w:rPr>
            </w:pPr>
            <w:r w:rsidRPr="001C4513">
              <w:rPr>
                <w:rFonts w:eastAsia="Times New Roman" w:cs="Calibri"/>
                <w:b/>
                <w:bCs/>
                <w:color w:val="FFFFFF"/>
                <w:sz w:val="16"/>
                <w:szCs w:val="16"/>
                <w:lang w:eastAsia="es-MX"/>
              </w:rPr>
              <w:t xml:space="preserve">IMPORTE </w:t>
            </w:r>
          </w:p>
        </w:tc>
        <w:tc>
          <w:tcPr>
            <w:tcW w:w="1600" w:type="dxa"/>
            <w:tcBorders>
              <w:top w:val="single" w:sz="4" w:space="0" w:color="auto"/>
              <w:left w:val="nil"/>
              <w:bottom w:val="single" w:sz="4" w:space="0" w:color="auto"/>
              <w:right w:val="single" w:sz="4" w:space="0" w:color="auto"/>
            </w:tcBorders>
            <w:shd w:val="clear" w:color="000000" w:fill="AB0033"/>
            <w:vAlign w:val="center"/>
            <w:hideMark/>
          </w:tcPr>
          <w:p w14:paraId="53A1D519" w14:textId="77777777" w:rsidR="001C4513" w:rsidRPr="001C4513" w:rsidRDefault="001C4513" w:rsidP="001C4513">
            <w:pPr>
              <w:spacing w:after="0" w:line="240" w:lineRule="auto"/>
              <w:jc w:val="center"/>
              <w:rPr>
                <w:rFonts w:eastAsia="Times New Roman" w:cs="Calibri"/>
                <w:b/>
                <w:bCs/>
                <w:color w:val="FFFFFF"/>
                <w:sz w:val="16"/>
                <w:szCs w:val="16"/>
                <w:lang w:eastAsia="es-MX"/>
              </w:rPr>
            </w:pPr>
            <w:r w:rsidRPr="001C4513">
              <w:rPr>
                <w:rFonts w:eastAsia="Times New Roman" w:cs="Calibri"/>
                <w:b/>
                <w:bCs/>
                <w:color w:val="FFFFFF"/>
                <w:sz w:val="16"/>
                <w:szCs w:val="16"/>
                <w:lang w:eastAsia="es-MX"/>
              </w:rPr>
              <w:t>TOTAL</w:t>
            </w:r>
          </w:p>
        </w:tc>
      </w:tr>
      <w:tr w:rsidR="001C4513" w:rsidRPr="001C4513" w14:paraId="30B3FA5A" w14:textId="77777777" w:rsidTr="001C4513">
        <w:trPr>
          <w:trHeight w:val="510"/>
        </w:trPr>
        <w:tc>
          <w:tcPr>
            <w:tcW w:w="1200" w:type="dxa"/>
            <w:tcBorders>
              <w:top w:val="nil"/>
              <w:left w:val="single" w:sz="4" w:space="0" w:color="auto"/>
              <w:bottom w:val="nil"/>
              <w:right w:val="single" w:sz="4" w:space="0" w:color="auto"/>
            </w:tcBorders>
            <w:shd w:val="clear" w:color="auto" w:fill="auto"/>
            <w:noWrap/>
            <w:vAlign w:val="bottom"/>
            <w:hideMark/>
          </w:tcPr>
          <w:p w14:paraId="777FF43D" w14:textId="77777777" w:rsidR="001C4513" w:rsidRPr="001C4513" w:rsidRDefault="001C4513" w:rsidP="001C4513">
            <w:pPr>
              <w:spacing w:after="0" w:line="240" w:lineRule="auto"/>
              <w:jc w:val="center"/>
              <w:rPr>
                <w:rFonts w:eastAsia="Times New Roman" w:cs="Calibri"/>
                <w:color w:val="000000"/>
                <w:sz w:val="15"/>
                <w:szCs w:val="15"/>
                <w:lang w:eastAsia="es-MX"/>
              </w:rPr>
            </w:pPr>
            <w:r w:rsidRPr="001C4513">
              <w:rPr>
                <w:rFonts w:eastAsia="Times New Roman" w:cs="Calibri"/>
                <w:color w:val="000000"/>
                <w:sz w:val="15"/>
                <w:szCs w:val="15"/>
                <w:lang w:eastAsia="es-MX"/>
              </w:rPr>
              <w:t>1235</w:t>
            </w:r>
          </w:p>
        </w:tc>
        <w:tc>
          <w:tcPr>
            <w:tcW w:w="1320" w:type="dxa"/>
            <w:tcBorders>
              <w:top w:val="nil"/>
              <w:left w:val="nil"/>
              <w:bottom w:val="single" w:sz="4" w:space="0" w:color="auto"/>
              <w:right w:val="single" w:sz="4" w:space="0" w:color="auto"/>
            </w:tcBorders>
            <w:shd w:val="clear" w:color="auto" w:fill="auto"/>
            <w:vAlign w:val="center"/>
            <w:hideMark/>
          </w:tcPr>
          <w:p w14:paraId="02C9B783" w14:textId="77777777" w:rsidR="001C4513" w:rsidRPr="001C4513" w:rsidRDefault="001C4513" w:rsidP="001C4513">
            <w:pPr>
              <w:spacing w:after="0" w:line="240" w:lineRule="auto"/>
              <w:jc w:val="center"/>
              <w:rPr>
                <w:rFonts w:eastAsia="Times New Roman" w:cs="Calibri"/>
                <w:color w:val="000000"/>
                <w:sz w:val="15"/>
                <w:szCs w:val="15"/>
                <w:lang w:eastAsia="es-MX"/>
              </w:rPr>
            </w:pPr>
            <w:r w:rsidRPr="001C4513">
              <w:rPr>
                <w:rFonts w:eastAsia="Times New Roman" w:cs="Calibri"/>
                <w:color w:val="000000"/>
                <w:sz w:val="15"/>
                <w:szCs w:val="15"/>
                <w:lang w:eastAsia="es-MX"/>
              </w:rPr>
              <w:t>607</w:t>
            </w:r>
          </w:p>
        </w:tc>
        <w:tc>
          <w:tcPr>
            <w:tcW w:w="3292" w:type="dxa"/>
            <w:tcBorders>
              <w:top w:val="nil"/>
              <w:left w:val="nil"/>
              <w:bottom w:val="single" w:sz="4" w:space="0" w:color="auto"/>
              <w:right w:val="single" w:sz="4" w:space="0" w:color="auto"/>
            </w:tcBorders>
            <w:shd w:val="clear" w:color="auto" w:fill="auto"/>
            <w:vAlign w:val="center"/>
            <w:hideMark/>
          </w:tcPr>
          <w:p w14:paraId="0F91BDA3" w14:textId="77777777" w:rsidR="001C4513" w:rsidRPr="001C4513" w:rsidRDefault="001C4513" w:rsidP="001C4513">
            <w:pPr>
              <w:spacing w:after="0" w:line="240" w:lineRule="auto"/>
              <w:jc w:val="center"/>
              <w:rPr>
                <w:rFonts w:eastAsia="Times New Roman" w:cs="Calibri"/>
                <w:color w:val="000000"/>
                <w:sz w:val="15"/>
                <w:szCs w:val="15"/>
                <w:lang w:eastAsia="es-MX"/>
              </w:rPr>
            </w:pPr>
            <w:r w:rsidRPr="001C4513">
              <w:rPr>
                <w:rFonts w:eastAsia="Times New Roman" w:cs="Calibri"/>
                <w:color w:val="000000"/>
                <w:sz w:val="15"/>
                <w:szCs w:val="15"/>
                <w:lang w:eastAsia="es-MX"/>
              </w:rPr>
              <w:t>Secretaría de Obras Públicas</w:t>
            </w:r>
          </w:p>
        </w:tc>
        <w:tc>
          <w:tcPr>
            <w:tcW w:w="1440" w:type="dxa"/>
            <w:tcBorders>
              <w:top w:val="nil"/>
              <w:left w:val="nil"/>
              <w:bottom w:val="single" w:sz="4" w:space="0" w:color="auto"/>
              <w:right w:val="single" w:sz="4" w:space="0" w:color="auto"/>
            </w:tcBorders>
            <w:shd w:val="clear" w:color="auto" w:fill="auto"/>
            <w:vAlign w:val="center"/>
            <w:hideMark/>
          </w:tcPr>
          <w:p w14:paraId="6524CDAA" w14:textId="77777777" w:rsidR="001C4513" w:rsidRPr="001C4513" w:rsidRDefault="001C4513" w:rsidP="001C4513">
            <w:pPr>
              <w:spacing w:after="0" w:line="240" w:lineRule="auto"/>
              <w:jc w:val="right"/>
              <w:rPr>
                <w:rFonts w:eastAsia="Times New Roman" w:cs="Calibri"/>
                <w:color w:val="000000"/>
                <w:sz w:val="15"/>
                <w:szCs w:val="15"/>
                <w:lang w:eastAsia="es-MX"/>
              </w:rPr>
            </w:pPr>
            <w:r w:rsidRPr="001C4513">
              <w:rPr>
                <w:rFonts w:eastAsia="Times New Roman" w:cs="Calibri"/>
                <w:color w:val="000000"/>
                <w:sz w:val="15"/>
                <w:szCs w:val="15"/>
                <w:lang w:eastAsia="es-MX"/>
              </w:rPr>
              <w:t>3,553,699,966</w:t>
            </w:r>
          </w:p>
        </w:tc>
        <w:tc>
          <w:tcPr>
            <w:tcW w:w="1600" w:type="dxa"/>
            <w:tcBorders>
              <w:top w:val="nil"/>
              <w:left w:val="nil"/>
              <w:bottom w:val="nil"/>
              <w:right w:val="single" w:sz="4" w:space="0" w:color="auto"/>
            </w:tcBorders>
            <w:shd w:val="clear" w:color="auto" w:fill="auto"/>
            <w:noWrap/>
            <w:vAlign w:val="bottom"/>
            <w:hideMark/>
          </w:tcPr>
          <w:p w14:paraId="4FF2CD1F" w14:textId="77777777" w:rsidR="001C4513" w:rsidRPr="001C4513" w:rsidRDefault="001C4513" w:rsidP="001C4513">
            <w:pPr>
              <w:spacing w:after="0" w:line="240" w:lineRule="auto"/>
              <w:jc w:val="right"/>
              <w:rPr>
                <w:rFonts w:eastAsia="Times New Roman" w:cs="Calibri"/>
                <w:color w:val="000000"/>
                <w:sz w:val="15"/>
                <w:szCs w:val="15"/>
                <w:lang w:eastAsia="es-MX"/>
              </w:rPr>
            </w:pPr>
            <w:r w:rsidRPr="001C4513">
              <w:rPr>
                <w:rFonts w:eastAsia="Times New Roman" w:cs="Calibri"/>
                <w:color w:val="000000"/>
                <w:sz w:val="15"/>
                <w:szCs w:val="15"/>
                <w:lang w:eastAsia="es-MX"/>
              </w:rPr>
              <w:t>3,802,456,916</w:t>
            </w:r>
          </w:p>
        </w:tc>
      </w:tr>
      <w:tr w:rsidR="001C4513" w:rsidRPr="001C4513" w14:paraId="0D7B9B13" w14:textId="77777777" w:rsidTr="001C4513">
        <w:trPr>
          <w:trHeight w:val="51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3980B3E" w14:textId="77777777" w:rsidR="001C4513" w:rsidRPr="001C4513" w:rsidRDefault="001C4513" w:rsidP="001C4513">
            <w:pPr>
              <w:spacing w:after="0" w:line="240" w:lineRule="auto"/>
              <w:rPr>
                <w:rFonts w:eastAsia="Times New Roman" w:cs="Calibri"/>
                <w:color w:val="000000"/>
                <w:sz w:val="15"/>
                <w:szCs w:val="15"/>
                <w:lang w:eastAsia="es-MX"/>
              </w:rPr>
            </w:pPr>
            <w:r w:rsidRPr="001C4513">
              <w:rPr>
                <w:rFonts w:eastAsia="Times New Roman" w:cs="Calibri"/>
                <w:color w:val="000000"/>
                <w:sz w:val="15"/>
                <w:szCs w:val="15"/>
                <w:lang w:eastAsia="es-MX"/>
              </w:rPr>
              <w:t> </w:t>
            </w:r>
          </w:p>
        </w:tc>
        <w:tc>
          <w:tcPr>
            <w:tcW w:w="1320" w:type="dxa"/>
            <w:tcBorders>
              <w:top w:val="nil"/>
              <w:left w:val="nil"/>
              <w:bottom w:val="single" w:sz="4" w:space="0" w:color="auto"/>
              <w:right w:val="single" w:sz="4" w:space="0" w:color="auto"/>
            </w:tcBorders>
            <w:shd w:val="clear" w:color="auto" w:fill="auto"/>
            <w:vAlign w:val="center"/>
            <w:hideMark/>
          </w:tcPr>
          <w:p w14:paraId="7AF3F401" w14:textId="77777777" w:rsidR="001C4513" w:rsidRPr="001C4513" w:rsidRDefault="001C4513" w:rsidP="001C4513">
            <w:pPr>
              <w:spacing w:after="0" w:line="240" w:lineRule="auto"/>
              <w:jc w:val="center"/>
              <w:rPr>
                <w:rFonts w:eastAsia="Times New Roman" w:cs="Calibri"/>
                <w:color w:val="000000"/>
                <w:sz w:val="15"/>
                <w:szCs w:val="15"/>
                <w:lang w:eastAsia="es-MX"/>
              </w:rPr>
            </w:pPr>
            <w:r w:rsidRPr="001C4513">
              <w:rPr>
                <w:rFonts w:eastAsia="Times New Roman" w:cs="Calibri"/>
                <w:color w:val="000000"/>
                <w:sz w:val="15"/>
                <w:szCs w:val="15"/>
                <w:lang w:eastAsia="es-MX"/>
              </w:rPr>
              <w:t>5</w:t>
            </w:r>
          </w:p>
        </w:tc>
        <w:tc>
          <w:tcPr>
            <w:tcW w:w="3292" w:type="dxa"/>
            <w:tcBorders>
              <w:top w:val="nil"/>
              <w:left w:val="nil"/>
              <w:bottom w:val="single" w:sz="4" w:space="0" w:color="auto"/>
              <w:right w:val="single" w:sz="4" w:space="0" w:color="auto"/>
            </w:tcBorders>
            <w:shd w:val="clear" w:color="auto" w:fill="auto"/>
            <w:vAlign w:val="center"/>
            <w:hideMark/>
          </w:tcPr>
          <w:p w14:paraId="7BE4CA30" w14:textId="77777777" w:rsidR="001C4513" w:rsidRPr="001C4513" w:rsidRDefault="001C4513" w:rsidP="001C4513">
            <w:pPr>
              <w:spacing w:after="0" w:line="240" w:lineRule="auto"/>
              <w:jc w:val="center"/>
              <w:rPr>
                <w:rFonts w:eastAsia="Times New Roman" w:cs="Calibri"/>
                <w:color w:val="000000"/>
                <w:sz w:val="15"/>
                <w:szCs w:val="15"/>
                <w:lang w:eastAsia="es-MX"/>
              </w:rPr>
            </w:pPr>
            <w:r w:rsidRPr="001C4513">
              <w:rPr>
                <w:rFonts w:eastAsia="Times New Roman" w:cs="Calibri"/>
                <w:color w:val="000000"/>
                <w:sz w:val="15"/>
                <w:szCs w:val="15"/>
                <w:lang w:eastAsia="es-MX"/>
              </w:rPr>
              <w:t>Fideicomisos</w:t>
            </w:r>
          </w:p>
        </w:tc>
        <w:tc>
          <w:tcPr>
            <w:tcW w:w="1440" w:type="dxa"/>
            <w:tcBorders>
              <w:top w:val="nil"/>
              <w:left w:val="nil"/>
              <w:bottom w:val="single" w:sz="4" w:space="0" w:color="auto"/>
              <w:right w:val="single" w:sz="4" w:space="0" w:color="auto"/>
            </w:tcBorders>
            <w:shd w:val="clear" w:color="auto" w:fill="auto"/>
            <w:vAlign w:val="center"/>
            <w:hideMark/>
          </w:tcPr>
          <w:p w14:paraId="132D8F26" w14:textId="77777777" w:rsidR="001C4513" w:rsidRPr="001C4513" w:rsidRDefault="001C4513" w:rsidP="001C4513">
            <w:pPr>
              <w:spacing w:after="0" w:line="240" w:lineRule="auto"/>
              <w:jc w:val="right"/>
              <w:rPr>
                <w:rFonts w:eastAsia="Times New Roman" w:cs="Calibri"/>
                <w:color w:val="000000"/>
                <w:sz w:val="15"/>
                <w:szCs w:val="15"/>
                <w:lang w:eastAsia="es-MX"/>
              </w:rPr>
            </w:pPr>
            <w:r w:rsidRPr="001C4513">
              <w:rPr>
                <w:rFonts w:eastAsia="Times New Roman" w:cs="Calibri"/>
                <w:color w:val="000000"/>
                <w:sz w:val="15"/>
                <w:szCs w:val="15"/>
                <w:lang w:eastAsia="es-MX"/>
              </w:rPr>
              <w:t>248,756,950</w:t>
            </w:r>
          </w:p>
        </w:tc>
        <w:tc>
          <w:tcPr>
            <w:tcW w:w="1600" w:type="dxa"/>
            <w:tcBorders>
              <w:top w:val="nil"/>
              <w:left w:val="nil"/>
              <w:bottom w:val="single" w:sz="4" w:space="0" w:color="auto"/>
              <w:right w:val="single" w:sz="4" w:space="0" w:color="auto"/>
            </w:tcBorders>
            <w:shd w:val="clear" w:color="auto" w:fill="auto"/>
            <w:vAlign w:val="center"/>
            <w:hideMark/>
          </w:tcPr>
          <w:p w14:paraId="55D95415" w14:textId="77777777" w:rsidR="001C4513" w:rsidRPr="001C4513" w:rsidRDefault="001C4513" w:rsidP="001C4513">
            <w:pPr>
              <w:spacing w:after="0" w:line="240" w:lineRule="auto"/>
              <w:jc w:val="right"/>
              <w:rPr>
                <w:rFonts w:eastAsia="Times New Roman" w:cs="Calibri"/>
                <w:color w:val="000000"/>
                <w:sz w:val="15"/>
                <w:szCs w:val="15"/>
                <w:lang w:eastAsia="es-MX"/>
              </w:rPr>
            </w:pPr>
            <w:r w:rsidRPr="001C4513">
              <w:rPr>
                <w:rFonts w:eastAsia="Times New Roman" w:cs="Calibri"/>
                <w:color w:val="000000"/>
                <w:sz w:val="15"/>
                <w:szCs w:val="15"/>
                <w:lang w:eastAsia="es-MX"/>
              </w:rPr>
              <w:t> </w:t>
            </w:r>
          </w:p>
        </w:tc>
      </w:tr>
    </w:tbl>
    <w:p w14:paraId="7D763D60" w14:textId="77777777" w:rsidR="0025799F" w:rsidRDefault="0025799F" w:rsidP="00461C02">
      <w:pPr>
        <w:pStyle w:val="ROMANOS"/>
        <w:tabs>
          <w:tab w:val="clear" w:pos="720"/>
          <w:tab w:val="left" w:pos="426"/>
        </w:tabs>
        <w:spacing w:after="0" w:line="240" w:lineRule="exact"/>
        <w:ind w:left="0" w:firstLine="0"/>
        <w:rPr>
          <w:rFonts w:asciiTheme="minorHAnsi" w:hAnsiTheme="minorHAnsi" w:cstheme="minorHAnsi"/>
          <w:b/>
          <w:sz w:val="20"/>
          <w:lang w:val="es-MX"/>
        </w:rPr>
      </w:pPr>
    </w:p>
    <w:p w14:paraId="182591DE" w14:textId="21E8DD15" w:rsidR="00461C02" w:rsidRDefault="00461C02" w:rsidP="00461C02">
      <w:pPr>
        <w:pStyle w:val="ROMANOS"/>
        <w:tabs>
          <w:tab w:val="clear" w:pos="720"/>
          <w:tab w:val="left" w:pos="426"/>
        </w:tabs>
        <w:spacing w:after="0" w:line="240" w:lineRule="exact"/>
        <w:ind w:left="0" w:firstLine="0"/>
        <w:rPr>
          <w:rFonts w:asciiTheme="minorHAnsi" w:hAnsiTheme="minorHAnsi" w:cstheme="minorHAnsi"/>
          <w:b/>
          <w:sz w:val="20"/>
          <w:lang w:val="es-MX"/>
        </w:rPr>
      </w:pPr>
      <w:r w:rsidRPr="005F45A3">
        <w:rPr>
          <w:rFonts w:asciiTheme="minorHAnsi" w:hAnsiTheme="minorHAnsi" w:cstheme="minorHAnsi"/>
          <w:b/>
          <w:sz w:val="20"/>
          <w:lang w:val="es-MX"/>
        </w:rPr>
        <w:t xml:space="preserve">Construcciones en Proceso en Bienes Propios </w:t>
      </w:r>
    </w:p>
    <w:p w14:paraId="6EF5544D" w14:textId="54B0082E" w:rsidR="00097C29" w:rsidRDefault="00097C29" w:rsidP="00461C02">
      <w:pPr>
        <w:pStyle w:val="ROMANOS"/>
        <w:tabs>
          <w:tab w:val="clear" w:pos="720"/>
          <w:tab w:val="left" w:pos="426"/>
        </w:tabs>
        <w:spacing w:after="0" w:line="240" w:lineRule="exact"/>
        <w:ind w:left="0" w:firstLine="0"/>
        <w:rPr>
          <w:rFonts w:asciiTheme="minorHAnsi" w:hAnsiTheme="minorHAnsi" w:cstheme="minorHAnsi"/>
          <w:b/>
          <w:sz w:val="20"/>
          <w:lang w:val="es-MX"/>
        </w:rPr>
      </w:pPr>
    </w:p>
    <w:tbl>
      <w:tblPr>
        <w:tblW w:w="8930" w:type="dxa"/>
        <w:tblInd w:w="-5" w:type="dxa"/>
        <w:tblCellMar>
          <w:left w:w="70" w:type="dxa"/>
          <w:right w:w="70" w:type="dxa"/>
        </w:tblCellMar>
        <w:tblLook w:val="04A0" w:firstRow="1" w:lastRow="0" w:firstColumn="1" w:lastColumn="0" w:noHBand="0" w:noVBand="1"/>
      </w:tblPr>
      <w:tblGrid>
        <w:gridCol w:w="1400"/>
        <w:gridCol w:w="1460"/>
        <w:gridCol w:w="2952"/>
        <w:gridCol w:w="1559"/>
        <w:gridCol w:w="1559"/>
      </w:tblGrid>
      <w:tr w:rsidR="00097C29" w:rsidRPr="00097C29" w14:paraId="502C595D" w14:textId="77777777" w:rsidTr="001C4513">
        <w:trPr>
          <w:trHeight w:val="450"/>
        </w:trPr>
        <w:tc>
          <w:tcPr>
            <w:tcW w:w="140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123991B8" w14:textId="77777777" w:rsidR="00097C29" w:rsidRPr="00097C29" w:rsidRDefault="00097C29" w:rsidP="00097C29">
            <w:pPr>
              <w:spacing w:after="0" w:line="240" w:lineRule="auto"/>
              <w:jc w:val="center"/>
              <w:rPr>
                <w:rFonts w:eastAsia="Times New Roman" w:cs="Calibri"/>
                <w:b/>
                <w:bCs/>
                <w:color w:val="FFFFFF"/>
                <w:sz w:val="16"/>
                <w:szCs w:val="16"/>
                <w:lang w:eastAsia="es-MX"/>
              </w:rPr>
            </w:pPr>
            <w:r w:rsidRPr="00097C29">
              <w:rPr>
                <w:rFonts w:eastAsia="Times New Roman" w:cs="Calibri"/>
                <w:b/>
                <w:bCs/>
                <w:color w:val="FFFFFF"/>
                <w:sz w:val="16"/>
                <w:szCs w:val="16"/>
                <w:lang w:eastAsia="es-MX"/>
              </w:rPr>
              <w:t> </w:t>
            </w:r>
          </w:p>
        </w:tc>
        <w:tc>
          <w:tcPr>
            <w:tcW w:w="1460" w:type="dxa"/>
            <w:tcBorders>
              <w:top w:val="single" w:sz="4" w:space="0" w:color="auto"/>
              <w:left w:val="nil"/>
              <w:bottom w:val="single" w:sz="4" w:space="0" w:color="auto"/>
              <w:right w:val="single" w:sz="4" w:space="0" w:color="auto"/>
            </w:tcBorders>
            <w:shd w:val="clear" w:color="000000" w:fill="AB0033"/>
            <w:vAlign w:val="center"/>
            <w:hideMark/>
          </w:tcPr>
          <w:p w14:paraId="459801B5" w14:textId="77777777" w:rsidR="00097C29" w:rsidRPr="00097C29" w:rsidRDefault="00097C29" w:rsidP="00097C29">
            <w:pPr>
              <w:spacing w:after="0" w:line="240" w:lineRule="auto"/>
              <w:jc w:val="center"/>
              <w:rPr>
                <w:rFonts w:eastAsia="Times New Roman" w:cs="Calibri"/>
                <w:b/>
                <w:bCs/>
                <w:color w:val="FFFFFF"/>
                <w:sz w:val="16"/>
                <w:szCs w:val="16"/>
                <w:lang w:eastAsia="es-MX"/>
              </w:rPr>
            </w:pPr>
            <w:r w:rsidRPr="00097C29">
              <w:rPr>
                <w:rFonts w:eastAsia="Times New Roman" w:cs="Calibri"/>
                <w:b/>
                <w:bCs/>
                <w:color w:val="FFFFFF"/>
                <w:sz w:val="16"/>
                <w:szCs w:val="16"/>
                <w:lang w:eastAsia="es-MX"/>
              </w:rPr>
              <w:t>No. DE OBRAS</w:t>
            </w:r>
          </w:p>
        </w:tc>
        <w:tc>
          <w:tcPr>
            <w:tcW w:w="2952" w:type="dxa"/>
            <w:tcBorders>
              <w:top w:val="single" w:sz="4" w:space="0" w:color="auto"/>
              <w:left w:val="nil"/>
              <w:bottom w:val="single" w:sz="4" w:space="0" w:color="auto"/>
              <w:right w:val="single" w:sz="4" w:space="0" w:color="auto"/>
            </w:tcBorders>
            <w:shd w:val="clear" w:color="000000" w:fill="AB0033"/>
            <w:vAlign w:val="center"/>
            <w:hideMark/>
          </w:tcPr>
          <w:p w14:paraId="738649A1" w14:textId="77777777" w:rsidR="00097C29" w:rsidRPr="00097C29" w:rsidRDefault="00097C29" w:rsidP="00097C29">
            <w:pPr>
              <w:spacing w:after="0" w:line="240" w:lineRule="auto"/>
              <w:jc w:val="center"/>
              <w:rPr>
                <w:rFonts w:eastAsia="Times New Roman" w:cs="Calibri"/>
                <w:b/>
                <w:bCs/>
                <w:color w:val="FFFFFF"/>
                <w:sz w:val="16"/>
                <w:szCs w:val="16"/>
                <w:lang w:eastAsia="es-MX"/>
              </w:rPr>
            </w:pPr>
            <w:r w:rsidRPr="00097C29">
              <w:rPr>
                <w:rFonts w:eastAsia="Times New Roman" w:cs="Calibri"/>
                <w:b/>
                <w:bCs/>
                <w:color w:val="FFFFFF"/>
                <w:sz w:val="16"/>
                <w:szCs w:val="16"/>
                <w:lang w:eastAsia="es-MX"/>
              </w:rPr>
              <w:t>DEPENDENCIAS</w:t>
            </w:r>
          </w:p>
        </w:tc>
        <w:tc>
          <w:tcPr>
            <w:tcW w:w="1559" w:type="dxa"/>
            <w:tcBorders>
              <w:top w:val="single" w:sz="4" w:space="0" w:color="auto"/>
              <w:left w:val="nil"/>
              <w:bottom w:val="single" w:sz="4" w:space="0" w:color="auto"/>
              <w:right w:val="single" w:sz="4" w:space="0" w:color="auto"/>
            </w:tcBorders>
            <w:shd w:val="clear" w:color="000000" w:fill="AB0033"/>
            <w:vAlign w:val="center"/>
            <w:hideMark/>
          </w:tcPr>
          <w:p w14:paraId="01C38D45" w14:textId="77777777" w:rsidR="00097C29" w:rsidRPr="00097C29" w:rsidRDefault="00097C29" w:rsidP="00097C29">
            <w:pPr>
              <w:spacing w:after="0" w:line="240" w:lineRule="auto"/>
              <w:jc w:val="center"/>
              <w:rPr>
                <w:rFonts w:eastAsia="Times New Roman" w:cs="Calibri"/>
                <w:b/>
                <w:bCs/>
                <w:color w:val="FFFFFF"/>
                <w:sz w:val="16"/>
                <w:szCs w:val="16"/>
                <w:lang w:eastAsia="es-MX"/>
              </w:rPr>
            </w:pPr>
            <w:r w:rsidRPr="00097C29">
              <w:rPr>
                <w:rFonts w:eastAsia="Times New Roman" w:cs="Calibri"/>
                <w:b/>
                <w:bCs/>
                <w:color w:val="FFFFFF"/>
                <w:sz w:val="16"/>
                <w:szCs w:val="16"/>
                <w:lang w:eastAsia="es-MX"/>
              </w:rPr>
              <w:t xml:space="preserve">IMPORTE </w:t>
            </w:r>
          </w:p>
        </w:tc>
        <w:tc>
          <w:tcPr>
            <w:tcW w:w="1559" w:type="dxa"/>
            <w:tcBorders>
              <w:top w:val="single" w:sz="4" w:space="0" w:color="auto"/>
              <w:left w:val="nil"/>
              <w:bottom w:val="single" w:sz="4" w:space="0" w:color="auto"/>
              <w:right w:val="single" w:sz="4" w:space="0" w:color="auto"/>
            </w:tcBorders>
            <w:shd w:val="clear" w:color="000000" w:fill="AB0033"/>
            <w:vAlign w:val="center"/>
            <w:hideMark/>
          </w:tcPr>
          <w:p w14:paraId="460F3335" w14:textId="77777777" w:rsidR="00097C29" w:rsidRPr="00097C29" w:rsidRDefault="00097C29" w:rsidP="00097C29">
            <w:pPr>
              <w:spacing w:after="0" w:line="240" w:lineRule="auto"/>
              <w:jc w:val="center"/>
              <w:rPr>
                <w:rFonts w:eastAsia="Times New Roman" w:cs="Calibri"/>
                <w:b/>
                <w:bCs/>
                <w:color w:val="FFFFFF"/>
                <w:sz w:val="16"/>
                <w:szCs w:val="16"/>
                <w:lang w:eastAsia="es-MX"/>
              </w:rPr>
            </w:pPr>
            <w:r w:rsidRPr="00097C29">
              <w:rPr>
                <w:rFonts w:eastAsia="Times New Roman" w:cs="Calibri"/>
                <w:b/>
                <w:bCs/>
                <w:color w:val="FFFFFF"/>
                <w:sz w:val="16"/>
                <w:szCs w:val="16"/>
                <w:lang w:eastAsia="es-MX"/>
              </w:rPr>
              <w:t>TOTAL</w:t>
            </w:r>
          </w:p>
        </w:tc>
      </w:tr>
      <w:tr w:rsidR="00097C29" w:rsidRPr="00250D2A" w14:paraId="3ED19800" w14:textId="77777777" w:rsidTr="001C4513">
        <w:trPr>
          <w:trHeight w:val="465"/>
        </w:trPr>
        <w:tc>
          <w:tcPr>
            <w:tcW w:w="1400" w:type="dxa"/>
            <w:tcBorders>
              <w:top w:val="single" w:sz="4" w:space="0" w:color="auto"/>
              <w:left w:val="single" w:sz="4" w:space="0" w:color="auto"/>
              <w:right w:val="single" w:sz="4" w:space="0" w:color="auto"/>
            </w:tcBorders>
            <w:shd w:val="clear" w:color="auto" w:fill="auto"/>
            <w:vAlign w:val="center"/>
            <w:hideMark/>
          </w:tcPr>
          <w:p w14:paraId="506D1ED9" w14:textId="77777777" w:rsidR="00097C29" w:rsidRPr="00250D2A" w:rsidRDefault="00097C29" w:rsidP="00097C29">
            <w:pPr>
              <w:spacing w:after="0" w:line="240" w:lineRule="auto"/>
              <w:jc w:val="center"/>
              <w:rPr>
                <w:rFonts w:eastAsia="Times New Roman" w:cs="Calibri"/>
                <w:color w:val="000000"/>
                <w:sz w:val="15"/>
                <w:szCs w:val="15"/>
                <w:lang w:eastAsia="es-MX"/>
              </w:rPr>
            </w:pPr>
            <w:r w:rsidRPr="00250D2A">
              <w:rPr>
                <w:rFonts w:eastAsia="Times New Roman" w:cs="Calibri"/>
                <w:color w:val="000000"/>
                <w:sz w:val="15"/>
                <w:szCs w:val="15"/>
                <w:lang w:eastAsia="es-MX"/>
              </w:rPr>
              <w:t>1236</w:t>
            </w:r>
          </w:p>
        </w:tc>
        <w:tc>
          <w:tcPr>
            <w:tcW w:w="1460" w:type="dxa"/>
            <w:tcBorders>
              <w:top w:val="nil"/>
              <w:left w:val="nil"/>
              <w:bottom w:val="single" w:sz="4" w:space="0" w:color="auto"/>
              <w:right w:val="single" w:sz="4" w:space="0" w:color="auto"/>
            </w:tcBorders>
            <w:shd w:val="clear" w:color="auto" w:fill="auto"/>
            <w:vAlign w:val="center"/>
            <w:hideMark/>
          </w:tcPr>
          <w:p w14:paraId="0545516A" w14:textId="77777777" w:rsidR="00097C29" w:rsidRPr="00250D2A" w:rsidRDefault="00097C29" w:rsidP="00097C29">
            <w:pPr>
              <w:spacing w:after="0" w:line="240" w:lineRule="auto"/>
              <w:jc w:val="center"/>
              <w:rPr>
                <w:rFonts w:eastAsia="Times New Roman" w:cs="Calibri"/>
                <w:color w:val="000000"/>
                <w:sz w:val="15"/>
                <w:szCs w:val="15"/>
                <w:lang w:eastAsia="es-MX"/>
              </w:rPr>
            </w:pPr>
            <w:r w:rsidRPr="00250D2A">
              <w:rPr>
                <w:rFonts w:eastAsia="Times New Roman" w:cs="Calibri"/>
                <w:color w:val="000000"/>
                <w:sz w:val="15"/>
                <w:szCs w:val="15"/>
                <w:lang w:eastAsia="es-MX"/>
              </w:rPr>
              <w:t>1024</w:t>
            </w:r>
          </w:p>
        </w:tc>
        <w:tc>
          <w:tcPr>
            <w:tcW w:w="2952" w:type="dxa"/>
            <w:tcBorders>
              <w:top w:val="nil"/>
              <w:left w:val="nil"/>
              <w:bottom w:val="single" w:sz="4" w:space="0" w:color="auto"/>
              <w:right w:val="single" w:sz="4" w:space="0" w:color="auto"/>
            </w:tcBorders>
            <w:shd w:val="clear" w:color="auto" w:fill="auto"/>
            <w:vAlign w:val="center"/>
            <w:hideMark/>
          </w:tcPr>
          <w:p w14:paraId="4F50F62C" w14:textId="77777777" w:rsidR="00097C29" w:rsidRPr="00250D2A" w:rsidRDefault="00097C29" w:rsidP="00097C29">
            <w:pPr>
              <w:spacing w:after="0" w:line="240" w:lineRule="auto"/>
              <w:jc w:val="center"/>
              <w:rPr>
                <w:rFonts w:eastAsia="Times New Roman" w:cs="Calibri"/>
                <w:color w:val="000000"/>
                <w:sz w:val="15"/>
                <w:szCs w:val="15"/>
                <w:lang w:eastAsia="es-MX"/>
              </w:rPr>
            </w:pPr>
            <w:r w:rsidRPr="00250D2A">
              <w:rPr>
                <w:rFonts w:eastAsia="Times New Roman" w:cs="Calibri"/>
                <w:color w:val="000000"/>
                <w:sz w:val="15"/>
                <w:szCs w:val="15"/>
                <w:lang w:eastAsia="es-MX"/>
              </w:rPr>
              <w:t>Instituto Tamaulipeco de Infraestructura Física Educativa</w:t>
            </w:r>
          </w:p>
        </w:tc>
        <w:tc>
          <w:tcPr>
            <w:tcW w:w="1559" w:type="dxa"/>
            <w:tcBorders>
              <w:top w:val="nil"/>
              <w:left w:val="nil"/>
              <w:bottom w:val="single" w:sz="4" w:space="0" w:color="auto"/>
              <w:right w:val="single" w:sz="4" w:space="0" w:color="auto"/>
            </w:tcBorders>
            <w:shd w:val="clear" w:color="auto" w:fill="auto"/>
            <w:vAlign w:val="center"/>
            <w:hideMark/>
          </w:tcPr>
          <w:p w14:paraId="7000C555" w14:textId="77777777" w:rsidR="00097C29" w:rsidRPr="00250D2A" w:rsidRDefault="00097C29" w:rsidP="00097C29">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1,190,884,407</w:t>
            </w:r>
          </w:p>
        </w:tc>
        <w:tc>
          <w:tcPr>
            <w:tcW w:w="1559" w:type="dxa"/>
            <w:tcBorders>
              <w:top w:val="nil"/>
              <w:left w:val="nil"/>
              <w:bottom w:val="nil"/>
              <w:right w:val="single" w:sz="4" w:space="0" w:color="auto"/>
            </w:tcBorders>
            <w:shd w:val="clear" w:color="auto" w:fill="auto"/>
            <w:vAlign w:val="bottom"/>
            <w:hideMark/>
          </w:tcPr>
          <w:p w14:paraId="689F356D" w14:textId="77777777" w:rsidR="00097C29" w:rsidRPr="00250D2A" w:rsidRDefault="00097C29" w:rsidP="00097C29">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6,570,367,281</w:t>
            </w:r>
          </w:p>
        </w:tc>
      </w:tr>
      <w:tr w:rsidR="00097C29" w:rsidRPr="00250D2A" w14:paraId="7E9E54BC" w14:textId="77777777" w:rsidTr="001C4513">
        <w:trPr>
          <w:trHeight w:val="465"/>
        </w:trPr>
        <w:tc>
          <w:tcPr>
            <w:tcW w:w="1400" w:type="dxa"/>
            <w:tcBorders>
              <w:left w:val="single" w:sz="4" w:space="0" w:color="auto"/>
              <w:bottom w:val="single" w:sz="4" w:space="0" w:color="auto"/>
              <w:right w:val="single" w:sz="4" w:space="0" w:color="auto"/>
            </w:tcBorders>
            <w:shd w:val="clear" w:color="auto" w:fill="auto"/>
            <w:vAlign w:val="center"/>
            <w:hideMark/>
          </w:tcPr>
          <w:p w14:paraId="09C10614" w14:textId="77777777" w:rsidR="00097C29" w:rsidRPr="00250D2A" w:rsidRDefault="00097C29" w:rsidP="00097C29">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 </w:t>
            </w:r>
          </w:p>
        </w:tc>
        <w:tc>
          <w:tcPr>
            <w:tcW w:w="1460" w:type="dxa"/>
            <w:tcBorders>
              <w:top w:val="nil"/>
              <w:left w:val="nil"/>
              <w:bottom w:val="single" w:sz="4" w:space="0" w:color="auto"/>
              <w:right w:val="single" w:sz="4" w:space="0" w:color="auto"/>
            </w:tcBorders>
            <w:shd w:val="clear" w:color="auto" w:fill="auto"/>
            <w:vAlign w:val="center"/>
            <w:hideMark/>
          </w:tcPr>
          <w:p w14:paraId="4D12EB15" w14:textId="77777777" w:rsidR="00097C29" w:rsidRPr="00250D2A" w:rsidRDefault="00097C29" w:rsidP="00097C29">
            <w:pPr>
              <w:spacing w:after="0" w:line="240" w:lineRule="auto"/>
              <w:jc w:val="center"/>
              <w:rPr>
                <w:rFonts w:eastAsia="Times New Roman" w:cs="Calibri"/>
                <w:color w:val="000000"/>
                <w:sz w:val="15"/>
                <w:szCs w:val="15"/>
                <w:lang w:eastAsia="es-MX"/>
              </w:rPr>
            </w:pPr>
            <w:r w:rsidRPr="00250D2A">
              <w:rPr>
                <w:rFonts w:eastAsia="Times New Roman" w:cs="Calibri"/>
                <w:color w:val="000000"/>
                <w:sz w:val="15"/>
                <w:szCs w:val="15"/>
                <w:lang w:eastAsia="es-MX"/>
              </w:rPr>
              <w:t>474</w:t>
            </w:r>
          </w:p>
        </w:tc>
        <w:tc>
          <w:tcPr>
            <w:tcW w:w="2952" w:type="dxa"/>
            <w:tcBorders>
              <w:top w:val="nil"/>
              <w:left w:val="nil"/>
              <w:bottom w:val="single" w:sz="4" w:space="0" w:color="auto"/>
              <w:right w:val="single" w:sz="4" w:space="0" w:color="auto"/>
            </w:tcBorders>
            <w:shd w:val="clear" w:color="auto" w:fill="auto"/>
            <w:vAlign w:val="center"/>
            <w:hideMark/>
          </w:tcPr>
          <w:p w14:paraId="69D158D9" w14:textId="77777777" w:rsidR="00097C29" w:rsidRPr="00250D2A" w:rsidRDefault="00097C29" w:rsidP="00097C29">
            <w:pPr>
              <w:spacing w:after="0" w:line="240" w:lineRule="auto"/>
              <w:jc w:val="center"/>
              <w:rPr>
                <w:rFonts w:eastAsia="Times New Roman" w:cs="Calibri"/>
                <w:color w:val="000000"/>
                <w:sz w:val="15"/>
                <w:szCs w:val="15"/>
                <w:lang w:eastAsia="es-MX"/>
              </w:rPr>
            </w:pPr>
            <w:r w:rsidRPr="00250D2A">
              <w:rPr>
                <w:rFonts w:eastAsia="Times New Roman" w:cs="Calibri"/>
                <w:color w:val="000000"/>
                <w:sz w:val="15"/>
                <w:szCs w:val="15"/>
                <w:lang w:eastAsia="es-MX"/>
              </w:rPr>
              <w:t>Secretaría de Obras Públicas</w:t>
            </w:r>
          </w:p>
        </w:tc>
        <w:tc>
          <w:tcPr>
            <w:tcW w:w="1559" w:type="dxa"/>
            <w:tcBorders>
              <w:top w:val="nil"/>
              <w:left w:val="nil"/>
              <w:bottom w:val="single" w:sz="4" w:space="0" w:color="auto"/>
              <w:right w:val="single" w:sz="4" w:space="0" w:color="auto"/>
            </w:tcBorders>
            <w:shd w:val="clear" w:color="auto" w:fill="auto"/>
            <w:vAlign w:val="center"/>
            <w:hideMark/>
          </w:tcPr>
          <w:p w14:paraId="1F4A5CF8" w14:textId="77777777" w:rsidR="00097C29" w:rsidRPr="00250D2A" w:rsidRDefault="00097C29" w:rsidP="00097C29">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5,379,482,874</w:t>
            </w:r>
          </w:p>
        </w:tc>
        <w:tc>
          <w:tcPr>
            <w:tcW w:w="1559" w:type="dxa"/>
            <w:tcBorders>
              <w:top w:val="nil"/>
              <w:left w:val="nil"/>
              <w:bottom w:val="single" w:sz="4" w:space="0" w:color="auto"/>
              <w:right w:val="single" w:sz="4" w:space="0" w:color="auto"/>
            </w:tcBorders>
            <w:shd w:val="clear" w:color="auto" w:fill="auto"/>
            <w:vAlign w:val="center"/>
            <w:hideMark/>
          </w:tcPr>
          <w:p w14:paraId="02DD4B4C" w14:textId="77777777" w:rsidR="00097C29" w:rsidRPr="00250D2A" w:rsidRDefault="00097C29" w:rsidP="00097C29">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 </w:t>
            </w:r>
          </w:p>
        </w:tc>
      </w:tr>
    </w:tbl>
    <w:p w14:paraId="3A350427" w14:textId="1EED0D82" w:rsidR="00097C29" w:rsidRDefault="00097C29" w:rsidP="00461C02">
      <w:pPr>
        <w:pStyle w:val="ROMANOS"/>
        <w:tabs>
          <w:tab w:val="clear" w:pos="720"/>
          <w:tab w:val="left" w:pos="426"/>
        </w:tabs>
        <w:spacing w:after="0" w:line="240" w:lineRule="exact"/>
        <w:ind w:left="0" w:firstLine="0"/>
        <w:rPr>
          <w:rFonts w:asciiTheme="minorHAnsi" w:hAnsiTheme="minorHAnsi" w:cstheme="minorHAnsi"/>
          <w:b/>
          <w:sz w:val="20"/>
          <w:lang w:val="es-MX"/>
        </w:rPr>
      </w:pPr>
    </w:p>
    <w:p w14:paraId="1AFD92C9" w14:textId="77777777" w:rsidR="001C4513" w:rsidRDefault="001C4513" w:rsidP="00461C02">
      <w:pPr>
        <w:pStyle w:val="ROMANOS"/>
        <w:tabs>
          <w:tab w:val="clear" w:pos="720"/>
          <w:tab w:val="left" w:pos="426"/>
        </w:tabs>
        <w:spacing w:after="0" w:line="240" w:lineRule="exact"/>
        <w:ind w:left="0" w:firstLine="0"/>
        <w:rPr>
          <w:rFonts w:asciiTheme="minorHAnsi" w:hAnsiTheme="minorHAnsi" w:cstheme="minorHAnsi"/>
          <w:b/>
          <w:sz w:val="16"/>
          <w:lang w:val="es-MX"/>
        </w:rPr>
      </w:pPr>
    </w:p>
    <w:p w14:paraId="49B992F2" w14:textId="77777777" w:rsidR="00BE6B88" w:rsidRPr="005F45A3" w:rsidRDefault="00574F40" w:rsidP="00250D2A">
      <w:pPr>
        <w:spacing w:after="0"/>
        <w:rPr>
          <w:rFonts w:asciiTheme="minorHAnsi" w:hAnsiTheme="minorHAnsi" w:cstheme="minorHAnsi"/>
          <w:b/>
          <w:sz w:val="20"/>
          <w:lang w:val="es-ES" w:eastAsia="es-ES"/>
        </w:rPr>
      </w:pPr>
      <w:r w:rsidRPr="005F45A3">
        <w:rPr>
          <w:rFonts w:asciiTheme="minorHAnsi" w:hAnsiTheme="minorHAnsi" w:cstheme="minorHAnsi"/>
          <w:b/>
          <w:sz w:val="20"/>
          <w:lang w:val="es-ES" w:eastAsia="es-ES"/>
        </w:rPr>
        <w:t>Bienes Muebles</w:t>
      </w:r>
    </w:p>
    <w:p w14:paraId="6F472E0B" w14:textId="77777777" w:rsidR="00FE504A" w:rsidRPr="005F45A3" w:rsidRDefault="00FE504A" w:rsidP="00250D2A">
      <w:pPr>
        <w:spacing w:after="0"/>
        <w:rPr>
          <w:rFonts w:asciiTheme="minorHAnsi" w:hAnsiTheme="minorHAnsi" w:cstheme="minorHAnsi"/>
          <w:sz w:val="10"/>
          <w:szCs w:val="10"/>
          <w:lang w:val="es-ES" w:eastAsia="es-ES"/>
        </w:rPr>
      </w:pPr>
    </w:p>
    <w:p w14:paraId="18BE5DED" w14:textId="77777777" w:rsidR="00FF4F14" w:rsidRPr="005F45A3" w:rsidRDefault="001A00F8" w:rsidP="00250D2A">
      <w:pPr>
        <w:spacing w:after="0"/>
        <w:rPr>
          <w:rFonts w:asciiTheme="minorHAnsi" w:eastAsia="Times New Roman" w:hAnsiTheme="minorHAnsi" w:cstheme="minorHAnsi"/>
          <w:sz w:val="14"/>
          <w:szCs w:val="14"/>
          <w:lang w:eastAsia="es-ES"/>
        </w:rPr>
      </w:pPr>
      <w:r w:rsidRPr="005F45A3">
        <w:rPr>
          <w:rFonts w:asciiTheme="minorHAnsi" w:eastAsia="Times New Roman" w:hAnsiTheme="minorHAnsi" w:cstheme="minorHAnsi"/>
          <w:sz w:val="14"/>
          <w:szCs w:val="14"/>
          <w:lang w:eastAsia="es-ES"/>
        </w:rPr>
        <w:t>* Se</w:t>
      </w:r>
      <w:r w:rsidR="00294102" w:rsidRPr="005F45A3">
        <w:rPr>
          <w:rFonts w:asciiTheme="minorHAnsi" w:eastAsia="Times New Roman" w:hAnsiTheme="minorHAnsi" w:cstheme="minorHAnsi"/>
          <w:sz w:val="14"/>
          <w:szCs w:val="14"/>
          <w:lang w:eastAsia="es-ES"/>
        </w:rPr>
        <w:t xml:space="preserve"> aplican diferentes tasas de Depreciación según la clase asignada.</w:t>
      </w:r>
    </w:p>
    <w:p w14:paraId="7867F4B3" w14:textId="77777777" w:rsidR="008708D2" w:rsidRPr="005F45A3" w:rsidRDefault="008708D2" w:rsidP="00855796">
      <w:pPr>
        <w:spacing w:after="0"/>
        <w:rPr>
          <w:rFonts w:asciiTheme="minorHAnsi" w:eastAsia="Times New Roman" w:hAnsiTheme="minorHAnsi" w:cstheme="minorHAnsi"/>
          <w:sz w:val="14"/>
          <w:szCs w:val="14"/>
          <w:lang w:eastAsia="es-ES"/>
        </w:rPr>
      </w:pPr>
      <w:r w:rsidRPr="005F45A3">
        <w:rPr>
          <w:rFonts w:asciiTheme="minorHAnsi" w:eastAsia="Times New Roman" w:hAnsiTheme="minorHAnsi" w:cstheme="minorHAnsi"/>
          <w:sz w:val="14"/>
          <w:szCs w:val="14"/>
          <w:lang w:eastAsia="es-ES"/>
        </w:rPr>
        <w:t xml:space="preserve">         </w:t>
      </w:r>
    </w:p>
    <w:tbl>
      <w:tblPr>
        <w:tblW w:w="8926" w:type="dxa"/>
        <w:tblCellMar>
          <w:left w:w="70" w:type="dxa"/>
          <w:right w:w="70" w:type="dxa"/>
        </w:tblCellMar>
        <w:tblLook w:val="04A0" w:firstRow="1" w:lastRow="0" w:firstColumn="1" w:lastColumn="0" w:noHBand="0" w:noVBand="1"/>
      </w:tblPr>
      <w:tblGrid>
        <w:gridCol w:w="3539"/>
        <w:gridCol w:w="1418"/>
        <w:gridCol w:w="1559"/>
        <w:gridCol w:w="1276"/>
        <w:gridCol w:w="1134"/>
      </w:tblGrid>
      <w:tr w:rsidR="003F3036" w:rsidRPr="003F3036" w14:paraId="4E9620BD" w14:textId="77777777" w:rsidTr="001F3097">
        <w:trPr>
          <w:trHeight w:val="737"/>
        </w:trPr>
        <w:tc>
          <w:tcPr>
            <w:tcW w:w="3539"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34AC94D4" w14:textId="77777777" w:rsidR="003F3036" w:rsidRPr="003F3036" w:rsidRDefault="003F3036" w:rsidP="003F3036">
            <w:pPr>
              <w:spacing w:after="0" w:line="240" w:lineRule="auto"/>
              <w:jc w:val="center"/>
              <w:rPr>
                <w:rFonts w:eastAsia="Times New Roman" w:cs="Calibri"/>
                <w:b/>
                <w:bCs/>
                <w:color w:val="FFFFFF"/>
                <w:sz w:val="16"/>
                <w:szCs w:val="16"/>
                <w:lang w:eastAsia="es-MX"/>
              </w:rPr>
            </w:pPr>
            <w:r w:rsidRPr="003F3036">
              <w:rPr>
                <w:rFonts w:eastAsia="Times New Roman" w:cs="Calibri"/>
                <w:b/>
                <w:bCs/>
                <w:color w:val="FFFFFF"/>
                <w:sz w:val="16"/>
                <w:szCs w:val="16"/>
                <w:lang w:eastAsia="es-MX"/>
              </w:rPr>
              <w:t xml:space="preserve">Bienes Muebles </w:t>
            </w:r>
          </w:p>
        </w:tc>
        <w:tc>
          <w:tcPr>
            <w:tcW w:w="1418" w:type="dxa"/>
            <w:tcBorders>
              <w:top w:val="single" w:sz="4" w:space="0" w:color="auto"/>
              <w:left w:val="nil"/>
              <w:bottom w:val="single" w:sz="4" w:space="0" w:color="auto"/>
              <w:right w:val="single" w:sz="4" w:space="0" w:color="auto"/>
            </w:tcBorders>
            <w:shd w:val="clear" w:color="000000" w:fill="AB0033"/>
            <w:vAlign w:val="center"/>
            <w:hideMark/>
          </w:tcPr>
          <w:p w14:paraId="5BD66793" w14:textId="77777777" w:rsidR="003F3036" w:rsidRPr="003F3036" w:rsidRDefault="003F3036" w:rsidP="003F3036">
            <w:pPr>
              <w:spacing w:after="0" w:line="240" w:lineRule="auto"/>
              <w:jc w:val="center"/>
              <w:rPr>
                <w:rFonts w:eastAsia="Times New Roman" w:cs="Calibri"/>
                <w:b/>
                <w:bCs/>
                <w:color w:val="FFFFFF"/>
                <w:sz w:val="16"/>
                <w:szCs w:val="16"/>
                <w:lang w:eastAsia="es-MX"/>
              </w:rPr>
            </w:pPr>
            <w:r w:rsidRPr="003F3036">
              <w:rPr>
                <w:rFonts w:eastAsia="Times New Roman" w:cs="Calibri"/>
                <w:b/>
                <w:bCs/>
                <w:color w:val="FFFFFF"/>
                <w:sz w:val="16"/>
                <w:szCs w:val="16"/>
                <w:lang w:eastAsia="es-MX"/>
              </w:rPr>
              <w:t>Importe</w:t>
            </w:r>
          </w:p>
        </w:tc>
        <w:tc>
          <w:tcPr>
            <w:tcW w:w="1559" w:type="dxa"/>
            <w:tcBorders>
              <w:top w:val="single" w:sz="4" w:space="0" w:color="auto"/>
              <w:left w:val="nil"/>
              <w:bottom w:val="single" w:sz="4" w:space="0" w:color="auto"/>
              <w:right w:val="single" w:sz="4" w:space="0" w:color="auto"/>
            </w:tcBorders>
            <w:shd w:val="clear" w:color="000000" w:fill="AB0033"/>
            <w:vAlign w:val="center"/>
            <w:hideMark/>
          </w:tcPr>
          <w:p w14:paraId="4B505515" w14:textId="77777777" w:rsidR="003F3036" w:rsidRPr="003F3036" w:rsidRDefault="003F3036" w:rsidP="003F3036">
            <w:pPr>
              <w:spacing w:after="0" w:line="240" w:lineRule="auto"/>
              <w:jc w:val="center"/>
              <w:rPr>
                <w:rFonts w:eastAsia="Times New Roman" w:cs="Calibri"/>
                <w:b/>
                <w:bCs/>
                <w:color w:val="FFFFFF"/>
                <w:sz w:val="16"/>
                <w:szCs w:val="16"/>
                <w:lang w:eastAsia="es-MX"/>
              </w:rPr>
            </w:pPr>
            <w:r w:rsidRPr="003F3036">
              <w:rPr>
                <w:rFonts w:eastAsia="Times New Roman" w:cs="Calibri"/>
                <w:b/>
                <w:bCs/>
                <w:color w:val="FFFFFF"/>
                <w:sz w:val="16"/>
                <w:szCs w:val="16"/>
                <w:lang w:eastAsia="es-MX"/>
              </w:rPr>
              <w:t>Depreciación Acumulada al 31 de Diciembre de 2021</w:t>
            </w:r>
          </w:p>
        </w:tc>
        <w:tc>
          <w:tcPr>
            <w:tcW w:w="1276" w:type="dxa"/>
            <w:tcBorders>
              <w:top w:val="single" w:sz="4" w:space="0" w:color="auto"/>
              <w:left w:val="nil"/>
              <w:bottom w:val="single" w:sz="4" w:space="0" w:color="auto"/>
              <w:right w:val="single" w:sz="4" w:space="0" w:color="auto"/>
            </w:tcBorders>
            <w:shd w:val="clear" w:color="000000" w:fill="AB0033"/>
            <w:vAlign w:val="center"/>
            <w:hideMark/>
          </w:tcPr>
          <w:p w14:paraId="63DCE8EF" w14:textId="77777777" w:rsidR="003F3036" w:rsidRPr="003F3036" w:rsidRDefault="003F3036" w:rsidP="003F3036">
            <w:pPr>
              <w:spacing w:after="0" w:line="240" w:lineRule="auto"/>
              <w:jc w:val="center"/>
              <w:rPr>
                <w:rFonts w:eastAsia="Times New Roman" w:cs="Calibri"/>
                <w:b/>
                <w:bCs/>
                <w:color w:val="FFFFFF"/>
                <w:sz w:val="16"/>
                <w:szCs w:val="16"/>
                <w:lang w:eastAsia="es-MX"/>
              </w:rPr>
            </w:pPr>
            <w:r w:rsidRPr="003F3036">
              <w:rPr>
                <w:rFonts w:eastAsia="Times New Roman" w:cs="Calibri"/>
                <w:b/>
                <w:bCs/>
                <w:color w:val="FFFFFF"/>
                <w:sz w:val="16"/>
                <w:szCs w:val="16"/>
                <w:lang w:eastAsia="es-MX"/>
              </w:rPr>
              <w:t>Depreciación del Ejercicio</w:t>
            </w:r>
          </w:p>
        </w:tc>
        <w:tc>
          <w:tcPr>
            <w:tcW w:w="1134" w:type="dxa"/>
            <w:tcBorders>
              <w:top w:val="single" w:sz="4" w:space="0" w:color="auto"/>
              <w:left w:val="nil"/>
              <w:bottom w:val="single" w:sz="4" w:space="0" w:color="auto"/>
              <w:right w:val="single" w:sz="4" w:space="0" w:color="auto"/>
            </w:tcBorders>
            <w:shd w:val="clear" w:color="000000" w:fill="AB0033"/>
            <w:vAlign w:val="center"/>
            <w:hideMark/>
          </w:tcPr>
          <w:p w14:paraId="2CE0FEA7" w14:textId="77777777" w:rsidR="003F3036" w:rsidRPr="003F3036" w:rsidRDefault="003F3036" w:rsidP="003F3036">
            <w:pPr>
              <w:spacing w:after="0" w:line="240" w:lineRule="auto"/>
              <w:jc w:val="center"/>
              <w:rPr>
                <w:rFonts w:eastAsia="Times New Roman" w:cs="Calibri"/>
                <w:b/>
                <w:bCs/>
                <w:color w:val="FFFFFF"/>
                <w:sz w:val="16"/>
                <w:szCs w:val="16"/>
                <w:lang w:eastAsia="es-MX"/>
              </w:rPr>
            </w:pPr>
            <w:r w:rsidRPr="003F3036">
              <w:rPr>
                <w:rFonts w:eastAsia="Times New Roman" w:cs="Calibri"/>
                <w:b/>
                <w:bCs/>
                <w:color w:val="FFFFFF"/>
                <w:sz w:val="16"/>
                <w:szCs w:val="16"/>
                <w:lang w:eastAsia="es-MX"/>
              </w:rPr>
              <w:t xml:space="preserve">Tasa Anual de Depreciación </w:t>
            </w:r>
          </w:p>
        </w:tc>
      </w:tr>
      <w:tr w:rsidR="003F3036" w:rsidRPr="003F3036" w14:paraId="5A590916" w14:textId="77777777" w:rsidTr="001F3097">
        <w:trPr>
          <w:trHeight w:val="284"/>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072C4DB" w14:textId="77777777" w:rsidR="003F3036" w:rsidRPr="003F3036" w:rsidRDefault="003F3036" w:rsidP="003F3036">
            <w:pPr>
              <w:spacing w:after="0" w:line="240" w:lineRule="auto"/>
              <w:rPr>
                <w:rFonts w:eastAsia="Times New Roman" w:cs="Calibri"/>
                <w:color w:val="000000"/>
                <w:sz w:val="14"/>
                <w:szCs w:val="14"/>
                <w:lang w:eastAsia="es-MX"/>
              </w:rPr>
            </w:pPr>
            <w:r w:rsidRPr="003F3036">
              <w:rPr>
                <w:rFonts w:eastAsia="Times New Roman" w:cs="Calibri"/>
                <w:color w:val="000000"/>
                <w:sz w:val="14"/>
                <w:szCs w:val="14"/>
                <w:lang w:eastAsia="es-MX"/>
              </w:rPr>
              <w:t>Mobiliario y Equipo de Administración</w:t>
            </w:r>
          </w:p>
        </w:tc>
        <w:tc>
          <w:tcPr>
            <w:tcW w:w="1418" w:type="dxa"/>
            <w:tcBorders>
              <w:top w:val="nil"/>
              <w:left w:val="nil"/>
              <w:bottom w:val="single" w:sz="4" w:space="0" w:color="auto"/>
              <w:right w:val="single" w:sz="4" w:space="0" w:color="auto"/>
            </w:tcBorders>
            <w:shd w:val="clear" w:color="auto" w:fill="auto"/>
            <w:noWrap/>
            <w:vAlign w:val="center"/>
            <w:hideMark/>
          </w:tcPr>
          <w:p w14:paraId="7DF6E95C"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762,657,770</w:t>
            </w:r>
          </w:p>
        </w:tc>
        <w:tc>
          <w:tcPr>
            <w:tcW w:w="1559" w:type="dxa"/>
            <w:tcBorders>
              <w:top w:val="nil"/>
              <w:left w:val="nil"/>
              <w:bottom w:val="single" w:sz="4" w:space="0" w:color="auto"/>
              <w:right w:val="single" w:sz="4" w:space="0" w:color="auto"/>
            </w:tcBorders>
            <w:shd w:val="clear" w:color="auto" w:fill="auto"/>
            <w:noWrap/>
            <w:vAlign w:val="center"/>
            <w:hideMark/>
          </w:tcPr>
          <w:p w14:paraId="04636C88"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-662,840,003</w:t>
            </w:r>
          </w:p>
        </w:tc>
        <w:tc>
          <w:tcPr>
            <w:tcW w:w="1276" w:type="dxa"/>
            <w:tcBorders>
              <w:top w:val="nil"/>
              <w:left w:val="nil"/>
              <w:bottom w:val="single" w:sz="4" w:space="0" w:color="auto"/>
              <w:right w:val="single" w:sz="4" w:space="0" w:color="auto"/>
            </w:tcBorders>
            <w:shd w:val="clear" w:color="auto" w:fill="auto"/>
            <w:noWrap/>
            <w:vAlign w:val="center"/>
            <w:hideMark/>
          </w:tcPr>
          <w:p w14:paraId="7547457D"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108,786,738</w:t>
            </w:r>
          </w:p>
        </w:tc>
        <w:tc>
          <w:tcPr>
            <w:tcW w:w="1134" w:type="dxa"/>
            <w:tcBorders>
              <w:top w:val="nil"/>
              <w:left w:val="nil"/>
              <w:bottom w:val="single" w:sz="4" w:space="0" w:color="auto"/>
              <w:right w:val="single" w:sz="4" w:space="0" w:color="auto"/>
            </w:tcBorders>
            <w:shd w:val="clear" w:color="auto" w:fill="auto"/>
            <w:noWrap/>
            <w:vAlign w:val="center"/>
            <w:hideMark/>
          </w:tcPr>
          <w:p w14:paraId="4A41D36E" w14:textId="77777777" w:rsidR="003F3036" w:rsidRPr="003F3036" w:rsidRDefault="003F3036" w:rsidP="003F3036">
            <w:pPr>
              <w:spacing w:after="0" w:line="240" w:lineRule="auto"/>
              <w:jc w:val="center"/>
              <w:rPr>
                <w:rFonts w:eastAsia="Times New Roman" w:cs="Calibri"/>
                <w:color w:val="000000"/>
                <w:sz w:val="14"/>
                <w:szCs w:val="14"/>
                <w:lang w:eastAsia="es-MX"/>
              </w:rPr>
            </w:pPr>
            <w:r w:rsidRPr="003F3036">
              <w:rPr>
                <w:rFonts w:eastAsia="Times New Roman" w:cs="Calibri"/>
                <w:color w:val="000000"/>
                <w:sz w:val="14"/>
                <w:szCs w:val="14"/>
                <w:lang w:eastAsia="es-MX"/>
              </w:rPr>
              <w:t>10.00%</w:t>
            </w:r>
          </w:p>
        </w:tc>
      </w:tr>
      <w:tr w:rsidR="003F3036" w:rsidRPr="003F3036" w14:paraId="57B66198" w14:textId="77777777" w:rsidTr="001F3097">
        <w:trPr>
          <w:trHeight w:val="284"/>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4BE80F0" w14:textId="77777777" w:rsidR="003F3036" w:rsidRPr="003F3036" w:rsidRDefault="003F3036" w:rsidP="003F3036">
            <w:pPr>
              <w:spacing w:after="0" w:line="240" w:lineRule="auto"/>
              <w:rPr>
                <w:rFonts w:eastAsia="Times New Roman" w:cs="Calibri"/>
                <w:color w:val="000000"/>
                <w:sz w:val="14"/>
                <w:szCs w:val="14"/>
                <w:lang w:eastAsia="es-MX"/>
              </w:rPr>
            </w:pPr>
            <w:r w:rsidRPr="003F3036">
              <w:rPr>
                <w:rFonts w:eastAsia="Times New Roman" w:cs="Calibri"/>
                <w:color w:val="000000"/>
                <w:sz w:val="14"/>
                <w:szCs w:val="14"/>
                <w:lang w:eastAsia="es-MX"/>
              </w:rPr>
              <w:t>Mobiliario y Equipo Educacional y Recreativo</w:t>
            </w:r>
          </w:p>
        </w:tc>
        <w:tc>
          <w:tcPr>
            <w:tcW w:w="1418" w:type="dxa"/>
            <w:tcBorders>
              <w:top w:val="nil"/>
              <w:left w:val="nil"/>
              <w:bottom w:val="single" w:sz="4" w:space="0" w:color="auto"/>
              <w:right w:val="single" w:sz="4" w:space="0" w:color="auto"/>
            </w:tcBorders>
            <w:shd w:val="clear" w:color="auto" w:fill="auto"/>
            <w:noWrap/>
            <w:vAlign w:val="center"/>
            <w:hideMark/>
          </w:tcPr>
          <w:p w14:paraId="3B6538E6"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187,358,324</w:t>
            </w:r>
          </w:p>
        </w:tc>
        <w:tc>
          <w:tcPr>
            <w:tcW w:w="1559" w:type="dxa"/>
            <w:tcBorders>
              <w:top w:val="nil"/>
              <w:left w:val="nil"/>
              <w:bottom w:val="single" w:sz="4" w:space="0" w:color="auto"/>
              <w:right w:val="single" w:sz="4" w:space="0" w:color="auto"/>
            </w:tcBorders>
            <w:shd w:val="clear" w:color="auto" w:fill="auto"/>
            <w:noWrap/>
            <w:vAlign w:val="center"/>
            <w:hideMark/>
          </w:tcPr>
          <w:p w14:paraId="3544B4DC"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-187,644,856</w:t>
            </w:r>
          </w:p>
        </w:tc>
        <w:tc>
          <w:tcPr>
            <w:tcW w:w="1276" w:type="dxa"/>
            <w:tcBorders>
              <w:top w:val="nil"/>
              <w:left w:val="nil"/>
              <w:bottom w:val="single" w:sz="4" w:space="0" w:color="auto"/>
              <w:right w:val="single" w:sz="4" w:space="0" w:color="auto"/>
            </w:tcBorders>
            <w:shd w:val="clear" w:color="auto" w:fill="auto"/>
            <w:noWrap/>
            <w:vAlign w:val="center"/>
            <w:hideMark/>
          </w:tcPr>
          <w:p w14:paraId="27DB2594"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47,840,059</w:t>
            </w:r>
          </w:p>
        </w:tc>
        <w:tc>
          <w:tcPr>
            <w:tcW w:w="1134" w:type="dxa"/>
            <w:tcBorders>
              <w:top w:val="nil"/>
              <w:left w:val="nil"/>
              <w:bottom w:val="single" w:sz="4" w:space="0" w:color="auto"/>
              <w:right w:val="single" w:sz="4" w:space="0" w:color="auto"/>
            </w:tcBorders>
            <w:shd w:val="clear" w:color="auto" w:fill="auto"/>
            <w:noWrap/>
            <w:vAlign w:val="center"/>
            <w:hideMark/>
          </w:tcPr>
          <w:p w14:paraId="1D3D6773" w14:textId="77777777" w:rsidR="003F3036" w:rsidRPr="003F3036" w:rsidRDefault="003F3036" w:rsidP="003F3036">
            <w:pPr>
              <w:spacing w:after="0" w:line="240" w:lineRule="auto"/>
              <w:jc w:val="center"/>
              <w:rPr>
                <w:rFonts w:eastAsia="Times New Roman" w:cs="Calibri"/>
                <w:color w:val="000000"/>
                <w:sz w:val="14"/>
                <w:szCs w:val="14"/>
                <w:lang w:eastAsia="es-MX"/>
              </w:rPr>
            </w:pPr>
            <w:r w:rsidRPr="003F3036">
              <w:rPr>
                <w:rFonts w:eastAsia="Times New Roman" w:cs="Calibri"/>
                <w:color w:val="000000"/>
                <w:sz w:val="14"/>
                <w:szCs w:val="14"/>
                <w:lang w:eastAsia="es-MX"/>
              </w:rPr>
              <w:t>10.00%</w:t>
            </w:r>
          </w:p>
        </w:tc>
      </w:tr>
      <w:tr w:rsidR="003F3036" w:rsidRPr="003F3036" w14:paraId="33AD37BB" w14:textId="77777777" w:rsidTr="001F3097">
        <w:trPr>
          <w:trHeight w:val="284"/>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ACAF49D" w14:textId="77777777" w:rsidR="003F3036" w:rsidRPr="003F3036" w:rsidRDefault="003F3036" w:rsidP="003F3036">
            <w:pPr>
              <w:spacing w:after="0" w:line="240" w:lineRule="auto"/>
              <w:rPr>
                <w:rFonts w:eastAsia="Times New Roman" w:cs="Calibri"/>
                <w:color w:val="000000"/>
                <w:sz w:val="14"/>
                <w:szCs w:val="14"/>
                <w:lang w:eastAsia="es-MX"/>
              </w:rPr>
            </w:pPr>
            <w:r w:rsidRPr="003F3036">
              <w:rPr>
                <w:rFonts w:eastAsia="Times New Roman" w:cs="Calibri"/>
                <w:color w:val="000000"/>
                <w:sz w:val="14"/>
                <w:szCs w:val="14"/>
                <w:lang w:eastAsia="es-MX"/>
              </w:rPr>
              <w:t>Equipo e Instrumental Médico y de Laboratorio</w:t>
            </w:r>
          </w:p>
        </w:tc>
        <w:tc>
          <w:tcPr>
            <w:tcW w:w="1418" w:type="dxa"/>
            <w:tcBorders>
              <w:top w:val="nil"/>
              <w:left w:val="nil"/>
              <w:bottom w:val="single" w:sz="4" w:space="0" w:color="auto"/>
              <w:right w:val="single" w:sz="4" w:space="0" w:color="auto"/>
            </w:tcBorders>
            <w:shd w:val="clear" w:color="auto" w:fill="auto"/>
            <w:noWrap/>
            <w:vAlign w:val="center"/>
            <w:hideMark/>
          </w:tcPr>
          <w:p w14:paraId="2716F032"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28,936,726</w:t>
            </w:r>
          </w:p>
        </w:tc>
        <w:tc>
          <w:tcPr>
            <w:tcW w:w="1559" w:type="dxa"/>
            <w:tcBorders>
              <w:top w:val="nil"/>
              <w:left w:val="nil"/>
              <w:bottom w:val="single" w:sz="4" w:space="0" w:color="auto"/>
              <w:right w:val="single" w:sz="4" w:space="0" w:color="auto"/>
            </w:tcBorders>
            <w:shd w:val="clear" w:color="auto" w:fill="auto"/>
            <w:noWrap/>
            <w:vAlign w:val="center"/>
            <w:hideMark/>
          </w:tcPr>
          <w:p w14:paraId="36097ABE"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-45,016,840</w:t>
            </w:r>
          </w:p>
        </w:tc>
        <w:tc>
          <w:tcPr>
            <w:tcW w:w="1276" w:type="dxa"/>
            <w:tcBorders>
              <w:top w:val="nil"/>
              <w:left w:val="nil"/>
              <w:bottom w:val="single" w:sz="4" w:space="0" w:color="auto"/>
              <w:right w:val="single" w:sz="4" w:space="0" w:color="auto"/>
            </w:tcBorders>
            <w:shd w:val="clear" w:color="auto" w:fill="auto"/>
            <w:noWrap/>
            <w:vAlign w:val="center"/>
            <w:hideMark/>
          </w:tcPr>
          <w:p w14:paraId="24B696EE"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21,464,930</w:t>
            </w:r>
          </w:p>
        </w:tc>
        <w:tc>
          <w:tcPr>
            <w:tcW w:w="1134" w:type="dxa"/>
            <w:tcBorders>
              <w:top w:val="nil"/>
              <w:left w:val="nil"/>
              <w:bottom w:val="single" w:sz="4" w:space="0" w:color="auto"/>
              <w:right w:val="single" w:sz="4" w:space="0" w:color="auto"/>
            </w:tcBorders>
            <w:shd w:val="clear" w:color="auto" w:fill="auto"/>
            <w:noWrap/>
            <w:vAlign w:val="center"/>
            <w:hideMark/>
          </w:tcPr>
          <w:p w14:paraId="0BC8DC04" w14:textId="77777777" w:rsidR="003F3036" w:rsidRPr="003F3036" w:rsidRDefault="003F3036" w:rsidP="003F3036">
            <w:pPr>
              <w:spacing w:after="0" w:line="240" w:lineRule="auto"/>
              <w:jc w:val="center"/>
              <w:rPr>
                <w:rFonts w:eastAsia="Times New Roman" w:cs="Calibri"/>
                <w:color w:val="000000"/>
                <w:sz w:val="14"/>
                <w:szCs w:val="14"/>
                <w:lang w:eastAsia="es-MX"/>
              </w:rPr>
            </w:pPr>
            <w:r w:rsidRPr="003F3036">
              <w:rPr>
                <w:rFonts w:eastAsia="Times New Roman" w:cs="Calibri"/>
                <w:color w:val="000000"/>
                <w:sz w:val="14"/>
                <w:szCs w:val="14"/>
                <w:lang w:eastAsia="es-MX"/>
              </w:rPr>
              <w:t>*</w:t>
            </w:r>
          </w:p>
        </w:tc>
      </w:tr>
      <w:tr w:rsidR="003F3036" w:rsidRPr="003F3036" w14:paraId="0058F52C" w14:textId="77777777" w:rsidTr="001F3097">
        <w:trPr>
          <w:trHeight w:val="284"/>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73FD634" w14:textId="77777777" w:rsidR="003F3036" w:rsidRPr="003F3036" w:rsidRDefault="003F3036" w:rsidP="003F3036">
            <w:pPr>
              <w:spacing w:after="0" w:line="240" w:lineRule="auto"/>
              <w:rPr>
                <w:rFonts w:eastAsia="Times New Roman" w:cs="Calibri"/>
                <w:color w:val="000000"/>
                <w:sz w:val="14"/>
                <w:szCs w:val="14"/>
                <w:lang w:eastAsia="es-MX"/>
              </w:rPr>
            </w:pPr>
            <w:r w:rsidRPr="003F3036">
              <w:rPr>
                <w:rFonts w:eastAsia="Times New Roman" w:cs="Calibri"/>
                <w:color w:val="000000"/>
                <w:sz w:val="14"/>
                <w:szCs w:val="14"/>
                <w:lang w:eastAsia="es-MX"/>
              </w:rPr>
              <w:t>Equipo de Transporte</w:t>
            </w:r>
          </w:p>
        </w:tc>
        <w:tc>
          <w:tcPr>
            <w:tcW w:w="1418" w:type="dxa"/>
            <w:tcBorders>
              <w:top w:val="nil"/>
              <w:left w:val="nil"/>
              <w:bottom w:val="single" w:sz="4" w:space="0" w:color="auto"/>
              <w:right w:val="single" w:sz="4" w:space="0" w:color="auto"/>
            </w:tcBorders>
            <w:shd w:val="clear" w:color="auto" w:fill="auto"/>
            <w:noWrap/>
            <w:vAlign w:val="center"/>
            <w:hideMark/>
          </w:tcPr>
          <w:p w14:paraId="0709577F"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1,791,546,313</w:t>
            </w:r>
          </w:p>
        </w:tc>
        <w:tc>
          <w:tcPr>
            <w:tcW w:w="1559" w:type="dxa"/>
            <w:tcBorders>
              <w:top w:val="nil"/>
              <w:left w:val="nil"/>
              <w:bottom w:val="single" w:sz="4" w:space="0" w:color="auto"/>
              <w:right w:val="single" w:sz="4" w:space="0" w:color="auto"/>
            </w:tcBorders>
            <w:shd w:val="clear" w:color="auto" w:fill="auto"/>
            <w:noWrap/>
            <w:vAlign w:val="center"/>
            <w:hideMark/>
          </w:tcPr>
          <w:p w14:paraId="0C6E4502"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-1,178,512,835</w:t>
            </w:r>
          </w:p>
        </w:tc>
        <w:tc>
          <w:tcPr>
            <w:tcW w:w="1276" w:type="dxa"/>
            <w:tcBorders>
              <w:top w:val="nil"/>
              <w:left w:val="nil"/>
              <w:bottom w:val="single" w:sz="4" w:space="0" w:color="auto"/>
              <w:right w:val="single" w:sz="4" w:space="0" w:color="auto"/>
            </w:tcBorders>
            <w:shd w:val="clear" w:color="auto" w:fill="auto"/>
            <w:noWrap/>
            <w:vAlign w:val="center"/>
            <w:hideMark/>
          </w:tcPr>
          <w:p w14:paraId="7D5A1518"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52,505,682</w:t>
            </w:r>
          </w:p>
        </w:tc>
        <w:tc>
          <w:tcPr>
            <w:tcW w:w="1134" w:type="dxa"/>
            <w:tcBorders>
              <w:top w:val="nil"/>
              <w:left w:val="nil"/>
              <w:bottom w:val="single" w:sz="4" w:space="0" w:color="auto"/>
              <w:right w:val="single" w:sz="4" w:space="0" w:color="auto"/>
            </w:tcBorders>
            <w:shd w:val="clear" w:color="auto" w:fill="auto"/>
            <w:noWrap/>
            <w:vAlign w:val="center"/>
            <w:hideMark/>
          </w:tcPr>
          <w:p w14:paraId="03E842D7" w14:textId="77777777" w:rsidR="003F3036" w:rsidRPr="003F3036" w:rsidRDefault="003F3036" w:rsidP="003F3036">
            <w:pPr>
              <w:spacing w:after="0" w:line="240" w:lineRule="auto"/>
              <w:jc w:val="center"/>
              <w:rPr>
                <w:rFonts w:eastAsia="Times New Roman" w:cs="Calibri"/>
                <w:color w:val="000000"/>
                <w:sz w:val="14"/>
                <w:szCs w:val="14"/>
                <w:lang w:eastAsia="es-MX"/>
              </w:rPr>
            </w:pPr>
            <w:r w:rsidRPr="003F3036">
              <w:rPr>
                <w:rFonts w:eastAsia="Times New Roman" w:cs="Calibri"/>
                <w:color w:val="000000"/>
                <w:sz w:val="14"/>
                <w:szCs w:val="14"/>
                <w:lang w:eastAsia="es-MX"/>
              </w:rPr>
              <w:t>*</w:t>
            </w:r>
          </w:p>
        </w:tc>
      </w:tr>
      <w:tr w:rsidR="003F3036" w:rsidRPr="003F3036" w14:paraId="6ED81B0E" w14:textId="77777777" w:rsidTr="001F3097">
        <w:trPr>
          <w:trHeight w:val="284"/>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FC23BE6" w14:textId="77777777" w:rsidR="003F3036" w:rsidRPr="003F3036" w:rsidRDefault="003F3036" w:rsidP="003F3036">
            <w:pPr>
              <w:spacing w:after="0" w:line="240" w:lineRule="auto"/>
              <w:rPr>
                <w:rFonts w:eastAsia="Times New Roman" w:cs="Calibri"/>
                <w:color w:val="000000"/>
                <w:sz w:val="14"/>
                <w:szCs w:val="14"/>
                <w:lang w:eastAsia="es-MX"/>
              </w:rPr>
            </w:pPr>
            <w:r w:rsidRPr="003F3036">
              <w:rPr>
                <w:rFonts w:eastAsia="Times New Roman" w:cs="Calibri"/>
                <w:color w:val="000000"/>
                <w:sz w:val="14"/>
                <w:szCs w:val="14"/>
                <w:lang w:eastAsia="es-MX"/>
              </w:rPr>
              <w:t>Equipo de Defensa y Seguridad</w:t>
            </w:r>
          </w:p>
        </w:tc>
        <w:tc>
          <w:tcPr>
            <w:tcW w:w="1418" w:type="dxa"/>
            <w:tcBorders>
              <w:top w:val="nil"/>
              <w:left w:val="nil"/>
              <w:bottom w:val="single" w:sz="4" w:space="0" w:color="auto"/>
              <w:right w:val="single" w:sz="4" w:space="0" w:color="auto"/>
            </w:tcBorders>
            <w:shd w:val="clear" w:color="auto" w:fill="auto"/>
            <w:noWrap/>
            <w:vAlign w:val="center"/>
            <w:hideMark/>
          </w:tcPr>
          <w:p w14:paraId="0980D920"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238,948,065</w:t>
            </w:r>
          </w:p>
        </w:tc>
        <w:tc>
          <w:tcPr>
            <w:tcW w:w="1559" w:type="dxa"/>
            <w:tcBorders>
              <w:top w:val="nil"/>
              <w:left w:val="nil"/>
              <w:bottom w:val="single" w:sz="4" w:space="0" w:color="auto"/>
              <w:right w:val="single" w:sz="4" w:space="0" w:color="auto"/>
            </w:tcBorders>
            <w:shd w:val="clear" w:color="auto" w:fill="auto"/>
            <w:noWrap/>
            <w:vAlign w:val="center"/>
            <w:hideMark/>
          </w:tcPr>
          <w:p w14:paraId="2F165826"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-215,282,523</w:t>
            </w:r>
          </w:p>
        </w:tc>
        <w:tc>
          <w:tcPr>
            <w:tcW w:w="1276" w:type="dxa"/>
            <w:tcBorders>
              <w:top w:val="nil"/>
              <w:left w:val="nil"/>
              <w:bottom w:val="single" w:sz="4" w:space="0" w:color="auto"/>
              <w:right w:val="single" w:sz="4" w:space="0" w:color="auto"/>
            </w:tcBorders>
            <w:shd w:val="clear" w:color="auto" w:fill="auto"/>
            <w:noWrap/>
            <w:vAlign w:val="center"/>
            <w:hideMark/>
          </w:tcPr>
          <w:p w14:paraId="07407423"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10,000,970</w:t>
            </w:r>
          </w:p>
        </w:tc>
        <w:tc>
          <w:tcPr>
            <w:tcW w:w="1134" w:type="dxa"/>
            <w:tcBorders>
              <w:top w:val="nil"/>
              <w:left w:val="nil"/>
              <w:bottom w:val="single" w:sz="4" w:space="0" w:color="auto"/>
              <w:right w:val="single" w:sz="4" w:space="0" w:color="auto"/>
            </w:tcBorders>
            <w:shd w:val="clear" w:color="auto" w:fill="auto"/>
            <w:noWrap/>
            <w:vAlign w:val="center"/>
            <w:hideMark/>
          </w:tcPr>
          <w:p w14:paraId="4EB41D62" w14:textId="77777777" w:rsidR="003F3036" w:rsidRPr="003F3036" w:rsidRDefault="003F3036" w:rsidP="003F3036">
            <w:pPr>
              <w:spacing w:after="0" w:line="240" w:lineRule="auto"/>
              <w:jc w:val="center"/>
              <w:rPr>
                <w:rFonts w:eastAsia="Times New Roman" w:cs="Calibri"/>
                <w:color w:val="000000"/>
                <w:sz w:val="14"/>
                <w:szCs w:val="14"/>
                <w:lang w:eastAsia="es-MX"/>
              </w:rPr>
            </w:pPr>
            <w:r w:rsidRPr="003F3036">
              <w:rPr>
                <w:rFonts w:eastAsia="Times New Roman" w:cs="Calibri"/>
                <w:color w:val="000000"/>
                <w:sz w:val="14"/>
                <w:szCs w:val="14"/>
                <w:lang w:eastAsia="es-MX"/>
              </w:rPr>
              <w:t>25.00%</w:t>
            </w:r>
          </w:p>
        </w:tc>
      </w:tr>
      <w:tr w:rsidR="003F3036" w:rsidRPr="003F3036" w14:paraId="02DD1E9E" w14:textId="77777777" w:rsidTr="001F3097">
        <w:trPr>
          <w:trHeight w:val="284"/>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392DBD9" w14:textId="77777777" w:rsidR="003F3036" w:rsidRPr="003F3036" w:rsidRDefault="003F3036" w:rsidP="003F3036">
            <w:pPr>
              <w:spacing w:after="0" w:line="240" w:lineRule="auto"/>
              <w:rPr>
                <w:rFonts w:eastAsia="Times New Roman" w:cs="Calibri"/>
                <w:color w:val="000000"/>
                <w:sz w:val="14"/>
                <w:szCs w:val="14"/>
                <w:lang w:eastAsia="es-MX"/>
              </w:rPr>
            </w:pPr>
            <w:r w:rsidRPr="003F3036">
              <w:rPr>
                <w:rFonts w:eastAsia="Times New Roman" w:cs="Calibri"/>
                <w:color w:val="000000"/>
                <w:sz w:val="14"/>
                <w:szCs w:val="14"/>
                <w:lang w:eastAsia="es-MX"/>
              </w:rPr>
              <w:t>Maquinaria, Otros Equipos y Herramientas</w:t>
            </w:r>
          </w:p>
        </w:tc>
        <w:tc>
          <w:tcPr>
            <w:tcW w:w="1418" w:type="dxa"/>
            <w:tcBorders>
              <w:top w:val="nil"/>
              <w:left w:val="nil"/>
              <w:bottom w:val="single" w:sz="4" w:space="0" w:color="auto"/>
              <w:right w:val="single" w:sz="4" w:space="0" w:color="auto"/>
            </w:tcBorders>
            <w:shd w:val="clear" w:color="auto" w:fill="auto"/>
            <w:noWrap/>
            <w:vAlign w:val="center"/>
            <w:hideMark/>
          </w:tcPr>
          <w:p w14:paraId="64090619"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582,801,951</w:t>
            </w:r>
          </w:p>
        </w:tc>
        <w:tc>
          <w:tcPr>
            <w:tcW w:w="1559" w:type="dxa"/>
            <w:tcBorders>
              <w:top w:val="nil"/>
              <w:left w:val="nil"/>
              <w:bottom w:val="single" w:sz="4" w:space="0" w:color="auto"/>
              <w:right w:val="single" w:sz="4" w:space="0" w:color="auto"/>
            </w:tcBorders>
            <w:shd w:val="clear" w:color="auto" w:fill="auto"/>
            <w:noWrap/>
            <w:vAlign w:val="center"/>
            <w:hideMark/>
          </w:tcPr>
          <w:p w14:paraId="493BC712"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-311,411,220</w:t>
            </w:r>
          </w:p>
        </w:tc>
        <w:tc>
          <w:tcPr>
            <w:tcW w:w="1276" w:type="dxa"/>
            <w:tcBorders>
              <w:top w:val="nil"/>
              <w:left w:val="nil"/>
              <w:bottom w:val="single" w:sz="4" w:space="0" w:color="auto"/>
              <w:right w:val="single" w:sz="4" w:space="0" w:color="auto"/>
            </w:tcBorders>
            <w:shd w:val="clear" w:color="auto" w:fill="auto"/>
            <w:noWrap/>
            <w:vAlign w:val="center"/>
            <w:hideMark/>
          </w:tcPr>
          <w:p w14:paraId="1550DD27"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88,172,892</w:t>
            </w:r>
          </w:p>
        </w:tc>
        <w:tc>
          <w:tcPr>
            <w:tcW w:w="1134" w:type="dxa"/>
            <w:tcBorders>
              <w:top w:val="nil"/>
              <w:left w:val="nil"/>
              <w:bottom w:val="single" w:sz="4" w:space="0" w:color="auto"/>
              <w:right w:val="single" w:sz="4" w:space="0" w:color="auto"/>
            </w:tcBorders>
            <w:shd w:val="clear" w:color="auto" w:fill="auto"/>
            <w:noWrap/>
            <w:vAlign w:val="center"/>
            <w:hideMark/>
          </w:tcPr>
          <w:p w14:paraId="5A40CBF3" w14:textId="77777777" w:rsidR="003F3036" w:rsidRPr="003F3036" w:rsidRDefault="003F3036" w:rsidP="003F3036">
            <w:pPr>
              <w:spacing w:after="0" w:line="240" w:lineRule="auto"/>
              <w:jc w:val="center"/>
              <w:rPr>
                <w:rFonts w:eastAsia="Times New Roman" w:cs="Calibri"/>
                <w:color w:val="000000"/>
                <w:sz w:val="14"/>
                <w:szCs w:val="14"/>
                <w:lang w:eastAsia="es-MX"/>
              </w:rPr>
            </w:pPr>
            <w:r w:rsidRPr="003F3036">
              <w:rPr>
                <w:rFonts w:eastAsia="Times New Roman" w:cs="Calibri"/>
                <w:color w:val="000000"/>
                <w:sz w:val="14"/>
                <w:szCs w:val="14"/>
                <w:lang w:eastAsia="es-MX"/>
              </w:rPr>
              <w:t>*</w:t>
            </w:r>
          </w:p>
        </w:tc>
      </w:tr>
      <w:tr w:rsidR="003F3036" w:rsidRPr="003F3036" w14:paraId="7716AD4F" w14:textId="77777777" w:rsidTr="001F3097">
        <w:trPr>
          <w:trHeight w:val="284"/>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7EC581B" w14:textId="77777777" w:rsidR="003F3036" w:rsidRPr="003F3036" w:rsidRDefault="003F3036" w:rsidP="003F3036">
            <w:pPr>
              <w:spacing w:after="0" w:line="240" w:lineRule="auto"/>
              <w:rPr>
                <w:rFonts w:eastAsia="Times New Roman" w:cs="Calibri"/>
                <w:color w:val="000000"/>
                <w:sz w:val="14"/>
                <w:szCs w:val="14"/>
                <w:lang w:eastAsia="es-MX"/>
              </w:rPr>
            </w:pPr>
            <w:r w:rsidRPr="003F3036">
              <w:rPr>
                <w:rFonts w:eastAsia="Times New Roman" w:cs="Calibri"/>
                <w:color w:val="000000"/>
                <w:sz w:val="14"/>
                <w:szCs w:val="14"/>
                <w:lang w:eastAsia="es-MX"/>
              </w:rPr>
              <w:t>Colecciones, Obras de Arte y Objetos Valiosos</w:t>
            </w:r>
          </w:p>
        </w:tc>
        <w:tc>
          <w:tcPr>
            <w:tcW w:w="1418" w:type="dxa"/>
            <w:tcBorders>
              <w:top w:val="nil"/>
              <w:left w:val="nil"/>
              <w:bottom w:val="single" w:sz="4" w:space="0" w:color="auto"/>
              <w:right w:val="single" w:sz="4" w:space="0" w:color="auto"/>
            </w:tcBorders>
            <w:shd w:val="clear" w:color="auto" w:fill="auto"/>
            <w:noWrap/>
            <w:vAlign w:val="center"/>
            <w:hideMark/>
          </w:tcPr>
          <w:p w14:paraId="40FCF34E"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17,097,057</w:t>
            </w:r>
          </w:p>
        </w:tc>
        <w:tc>
          <w:tcPr>
            <w:tcW w:w="1559" w:type="dxa"/>
            <w:tcBorders>
              <w:top w:val="nil"/>
              <w:left w:val="nil"/>
              <w:bottom w:val="single" w:sz="4" w:space="0" w:color="auto"/>
              <w:right w:val="single" w:sz="4" w:space="0" w:color="auto"/>
            </w:tcBorders>
            <w:shd w:val="clear" w:color="auto" w:fill="auto"/>
            <w:noWrap/>
            <w:vAlign w:val="center"/>
            <w:hideMark/>
          </w:tcPr>
          <w:p w14:paraId="430ECCAE"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CF04C8"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F730C5" w14:textId="77777777" w:rsidR="003F3036" w:rsidRPr="003F3036" w:rsidRDefault="003F3036" w:rsidP="003F3036">
            <w:pPr>
              <w:spacing w:after="0" w:line="240" w:lineRule="auto"/>
              <w:jc w:val="center"/>
              <w:rPr>
                <w:rFonts w:eastAsia="Times New Roman" w:cs="Calibri"/>
                <w:color w:val="000000"/>
                <w:sz w:val="14"/>
                <w:szCs w:val="14"/>
                <w:lang w:eastAsia="es-MX"/>
              </w:rPr>
            </w:pPr>
            <w:r w:rsidRPr="003F3036">
              <w:rPr>
                <w:rFonts w:eastAsia="Times New Roman" w:cs="Calibri"/>
                <w:color w:val="000000"/>
                <w:sz w:val="14"/>
                <w:szCs w:val="14"/>
                <w:lang w:eastAsia="es-MX"/>
              </w:rPr>
              <w:t>0.00%</w:t>
            </w:r>
          </w:p>
        </w:tc>
      </w:tr>
      <w:tr w:rsidR="003F3036" w:rsidRPr="003F3036" w14:paraId="17E8CE26" w14:textId="77777777" w:rsidTr="001F3097">
        <w:trPr>
          <w:trHeight w:val="284"/>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C03B54C" w14:textId="77777777" w:rsidR="003F3036" w:rsidRPr="003F3036" w:rsidRDefault="003F3036" w:rsidP="003F3036">
            <w:pPr>
              <w:spacing w:after="0" w:line="240" w:lineRule="auto"/>
              <w:rPr>
                <w:rFonts w:eastAsia="Times New Roman" w:cs="Calibri"/>
                <w:color w:val="000000"/>
                <w:sz w:val="14"/>
                <w:szCs w:val="14"/>
                <w:lang w:eastAsia="es-MX"/>
              </w:rPr>
            </w:pPr>
            <w:r w:rsidRPr="003F3036">
              <w:rPr>
                <w:rFonts w:eastAsia="Times New Roman" w:cs="Calibri"/>
                <w:color w:val="000000"/>
                <w:sz w:val="14"/>
                <w:szCs w:val="14"/>
                <w:lang w:eastAsia="es-MX"/>
              </w:rPr>
              <w:t>Activos Biológicos</w:t>
            </w:r>
          </w:p>
        </w:tc>
        <w:tc>
          <w:tcPr>
            <w:tcW w:w="1418" w:type="dxa"/>
            <w:tcBorders>
              <w:top w:val="nil"/>
              <w:left w:val="nil"/>
              <w:bottom w:val="single" w:sz="4" w:space="0" w:color="auto"/>
              <w:right w:val="single" w:sz="4" w:space="0" w:color="auto"/>
            </w:tcBorders>
            <w:shd w:val="clear" w:color="auto" w:fill="auto"/>
            <w:noWrap/>
            <w:vAlign w:val="center"/>
            <w:hideMark/>
          </w:tcPr>
          <w:p w14:paraId="754EF95A"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2,499,860</w:t>
            </w:r>
          </w:p>
        </w:tc>
        <w:tc>
          <w:tcPr>
            <w:tcW w:w="1559" w:type="dxa"/>
            <w:tcBorders>
              <w:top w:val="nil"/>
              <w:left w:val="nil"/>
              <w:bottom w:val="single" w:sz="4" w:space="0" w:color="auto"/>
              <w:right w:val="single" w:sz="4" w:space="0" w:color="auto"/>
            </w:tcBorders>
            <w:shd w:val="clear" w:color="auto" w:fill="auto"/>
            <w:noWrap/>
            <w:vAlign w:val="center"/>
            <w:hideMark/>
          </w:tcPr>
          <w:p w14:paraId="71C0DC3E"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ECE1BC1"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0B7DE1" w14:textId="77777777" w:rsidR="003F3036" w:rsidRPr="003F3036" w:rsidRDefault="003F3036" w:rsidP="003F3036">
            <w:pPr>
              <w:spacing w:after="0" w:line="240" w:lineRule="auto"/>
              <w:jc w:val="center"/>
              <w:rPr>
                <w:rFonts w:eastAsia="Times New Roman" w:cs="Calibri"/>
                <w:color w:val="000000"/>
                <w:sz w:val="14"/>
                <w:szCs w:val="14"/>
                <w:lang w:eastAsia="es-MX"/>
              </w:rPr>
            </w:pPr>
            <w:r w:rsidRPr="003F3036">
              <w:rPr>
                <w:rFonts w:eastAsia="Times New Roman" w:cs="Calibri"/>
                <w:color w:val="000000"/>
                <w:sz w:val="14"/>
                <w:szCs w:val="14"/>
                <w:lang w:eastAsia="es-MX"/>
              </w:rPr>
              <w:t>0.00%</w:t>
            </w:r>
          </w:p>
        </w:tc>
      </w:tr>
      <w:tr w:rsidR="003F3036" w:rsidRPr="003F3036" w14:paraId="50FEA51B" w14:textId="77777777" w:rsidTr="001F3097">
        <w:trPr>
          <w:trHeight w:val="313"/>
        </w:trPr>
        <w:tc>
          <w:tcPr>
            <w:tcW w:w="3539" w:type="dxa"/>
            <w:tcBorders>
              <w:top w:val="nil"/>
              <w:left w:val="single" w:sz="4" w:space="0" w:color="auto"/>
              <w:bottom w:val="single" w:sz="4" w:space="0" w:color="auto"/>
              <w:right w:val="single" w:sz="4" w:space="0" w:color="auto"/>
            </w:tcBorders>
            <w:shd w:val="clear" w:color="000000" w:fill="AB0033"/>
            <w:vAlign w:val="center"/>
            <w:hideMark/>
          </w:tcPr>
          <w:p w14:paraId="59393E20" w14:textId="77777777" w:rsidR="003F3036" w:rsidRPr="003F3036" w:rsidRDefault="003F3036" w:rsidP="003F3036">
            <w:pPr>
              <w:spacing w:after="0" w:line="240" w:lineRule="auto"/>
              <w:jc w:val="center"/>
              <w:rPr>
                <w:rFonts w:eastAsia="Times New Roman" w:cs="Calibri"/>
                <w:b/>
                <w:bCs/>
                <w:color w:val="FFFFFF"/>
                <w:sz w:val="16"/>
                <w:szCs w:val="16"/>
                <w:lang w:eastAsia="es-MX"/>
              </w:rPr>
            </w:pPr>
            <w:r w:rsidRPr="003F3036">
              <w:rPr>
                <w:rFonts w:eastAsia="Times New Roman" w:cs="Calibri"/>
                <w:b/>
                <w:bCs/>
                <w:color w:val="FFFFFF"/>
                <w:sz w:val="16"/>
                <w:szCs w:val="16"/>
                <w:lang w:eastAsia="es-MX"/>
              </w:rPr>
              <w:t>Fideicomisos</w:t>
            </w:r>
          </w:p>
        </w:tc>
        <w:tc>
          <w:tcPr>
            <w:tcW w:w="1418" w:type="dxa"/>
            <w:tcBorders>
              <w:top w:val="nil"/>
              <w:left w:val="nil"/>
              <w:bottom w:val="single" w:sz="4" w:space="0" w:color="auto"/>
              <w:right w:val="single" w:sz="4" w:space="0" w:color="auto"/>
            </w:tcBorders>
            <w:shd w:val="clear" w:color="000000" w:fill="AB0033"/>
            <w:vAlign w:val="center"/>
            <w:hideMark/>
          </w:tcPr>
          <w:p w14:paraId="041145EB" w14:textId="77777777" w:rsidR="003F3036" w:rsidRPr="003F3036" w:rsidRDefault="003F3036" w:rsidP="003F3036">
            <w:pPr>
              <w:spacing w:after="0" w:line="240" w:lineRule="auto"/>
              <w:jc w:val="center"/>
              <w:rPr>
                <w:rFonts w:eastAsia="Times New Roman" w:cs="Calibri"/>
                <w:b/>
                <w:bCs/>
                <w:color w:val="FFFFFF"/>
                <w:sz w:val="16"/>
                <w:szCs w:val="16"/>
                <w:lang w:eastAsia="es-MX"/>
              </w:rPr>
            </w:pPr>
            <w:r w:rsidRPr="003F3036">
              <w:rPr>
                <w:rFonts w:eastAsia="Times New Roman" w:cs="Calibri"/>
                <w:b/>
                <w:bCs/>
                <w:color w:val="FFFFFF"/>
                <w:sz w:val="16"/>
                <w:szCs w:val="16"/>
                <w:lang w:eastAsia="es-MX"/>
              </w:rPr>
              <w:t> </w:t>
            </w:r>
          </w:p>
        </w:tc>
        <w:tc>
          <w:tcPr>
            <w:tcW w:w="1559" w:type="dxa"/>
            <w:tcBorders>
              <w:top w:val="nil"/>
              <w:left w:val="nil"/>
              <w:bottom w:val="single" w:sz="4" w:space="0" w:color="auto"/>
              <w:right w:val="single" w:sz="4" w:space="0" w:color="auto"/>
            </w:tcBorders>
            <w:shd w:val="clear" w:color="000000" w:fill="AB0033"/>
            <w:vAlign w:val="center"/>
            <w:hideMark/>
          </w:tcPr>
          <w:p w14:paraId="25B3F841" w14:textId="77777777" w:rsidR="003F3036" w:rsidRPr="003F3036" w:rsidRDefault="003F3036" w:rsidP="003F3036">
            <w:pPr>
              <w:spacing w:after="0" w:line="240" w:lineRule="auto"/>
              <w:jc w:val="center"/>
              <w:rPr>
                <w:rFonts w:eastAsia="Times New Roman" w:cs="Calibri"/>
                <w:b/>
                <w:bCs/>
                <w:color w:val="FFFFFF"/>
                <w:sz w:val="16"/>
                <w:szCs w:val="16"/>
                <w:lang w:eastAsia="es-MX"/>
              </w:rPr>
            </w:pPr>
            <w:r w:rsidRPr="003F3036">
              <w:rPr>
                <w:rFonts w:eastAsia="Times New Roman" w:cs="Calibri"/>
                <w:b/>
                <w:bCs/>
                <w:color w:val="FFFFFF"/>
                <w:sz w:val="16"/>
                <w:szCs w:val="16"/>
                <w:lang w:eastAsia="es-MX"/>
              </w:rPr>
              <w:t> </w:t>
            </w:r>
          </w:p>
        </w:tc>
        <w:tc>
          <w:tcPr>
            <w:tcW w:w="1276" w:type="dxa"/>
            <w:tcBorders>
              <w:top w:val="nil"/>
              <w:left w:val="nil"/>
              <w:bottom w:val="single" w:sz="4" w:space="0" w:color="auto"/>
              <w:right w:val="single" w:sz="4" w:space="0" w:color="auto"/>
            </w:tcBorders>
            <w:shd w:val="clear" w:color="000000" w:fill="AB0033"/>
            <w:vAlign w:val="center"/>
            <w:hideMark/>
          </w:tcPr>
          <w:p w14:paraId="04478BB7" w14:textId="77777777" w:rsidR="003F3036" w:rsidRPr="003F3036" w:rsidRDefault="003F3036" w:rsidP="003F3036">
            <w:pPr>
              <w:spacing w:after="0" w:line="240" w:lineRule="auto"/>
              <w:jc w:val="center"/>
              <w:rPr>
                <w:rFonts w:eastAsia="Times New Roman" w:cs="Calibri"/>
                <w:b/>
                <w:bCs/>
                <w:color w:val="FFFFFF"/>
                <w:sz w:val="16"/>
                <w:szCs w:val="16"/>
                <w:lang w:eastAsia="es-MX"/>
              </w:rPr>
            </w:pPr>
            <w:r w:rsidRPr="003F3036">
              <w:rPr>
                <w:rFonts w:eastAsia="Times New Roman" w:cs="Calibri"/>
                <w:b/>
                <w:bCs/>
                <w:color w:val="FFFFFF"/>
                <w:sz w:val="16"/>
                <w:szCs w:val="16"/>
                <w:lang w:eastAsia="es-MX"/>
              </w:rPr>
              <w:t> </w:t>
            </w:r>
          </w:p>
        </w:tc>
        <w:tc>
          <w:tcPr>
            <w:tcW w:w="1134" w:type="dxa"/>
            <w:tcBorders>
              <w:top w:val="nil"/>
              <w:left w:val="nil"/>
              <w:bottom w:val="single" w:sz="4" w:space="0" w:color="auto"/>
              <w:right w:val="single" w:sz="4" w:space="0" w:color="auto"/>
            </w:tcBorders>
            <w:shd w:val="clear" w:color="000000" w:fill="AB0033"/>
            <w:vAlign w:val="center"/>
            <w:hideMark/>
          </w:tcPr>
          <w:p w14:paraId="47C7A480" w14:textId="77777777" w:rsidR="003F3036" w:rsidRPr="003F3036" w:rsidRDefault="003F3036" w:rsidP="003F3036">
            <w:pPr>
              <w:spacing w:after="0" w:line="240" w:lineRule="auto"/>
              <w:jc w:val="center"/>
              <w:rPr>
                <w:rFonts w:eastAsia="Times New Roman" w:cs="Calibri"/>
                <w:b/>
                <w:bCs/>
                <w:color w:val="FFFFFF"/>
                <w:sz w:val="16"/>
                <w:szCs w:val="16"/>
                <w:lang w:eastAsia="es-MX"/>
              </w:rPr>
            </w:pPr>
            <w:r w:rsidRPr="003F3036">
              <w:rPr>
                <w:rFonts w:eastAsia="Times New Roman" w:cs="Calibri"/>
                <w:b/>
                <w:bCs/>
                <w:color w:val="FFFFFF"/>
                <w:sz w:val="16"/>
                <w:szCs w:val="16"/>
                <w:lang w:eastAsia="es-MX"/>
              </w:rPr>
              <w:t> </w:t>
            </w:r>
          </w:p>
        </w:tc>
      </w:tr>
      <w:tr w:rsidR="003F3036" w:rsidRPr="003F3036" w14:paraId="4165CED0" w14:textId="77777777" w:rsidTr="001F3097">
        <w:trPr>
          <w:trHeight w:val="284"/>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410D825" w14:textId="77777777" w:rsidR="003F3036" w:rsidRPr="003F3036" w:rsidRDefault="003F3036" w:rsidP="003F3036">
            <w:pPr>
              <w:spacing w:after="0" w:line="240" w:lineRule="auto"/>
              <w:rPr>
                <w:rFonts w:eastAsia="Times New Roman" w:cs="Calibri"/>
                <w:color w:val="000000"/>
                <w:sz w:val="14"/>
                <w:szCs w:val="14"/>
                <w:lang w:eastAsia="es-MX"/>
              </w:rPr>
            </w:pPr>
            <w:r w:rsidRPr="003F3036">
              <w:rPr>
                <w:rFonts w:eastAsia="Times New Roman" w:cs="Calibri"/>
                <w:color w:val="000000"/>
                <w:sz w:val="14"/>
                <w:szCs w:val="14"/>
                <w:lang w:eastAsia="es-MX"/>
              </w:rPr>
              <w:t>Mobiliario y Equipo de Administración</w:t>
            </w:r>
          </w:p>
        </w:tc>
        <w:tc>
          <w:tcPr>
            <w:tcW w:w="1418" w:type="dxa"/>
            <w:tcBorders>
              <w:top w:val="nil"/>
              <w:left w:val="nil"/>
              <w:bottom w:val="single" w:sz="4" w:space="0" w:color="auto"/>
              <w:right w:val="single" w:sz="4" w:space="0" w:color="auto"/>
            </w:tcBorders>
            <w:shd w:val="clear" w:color="auto" w:fill="auto"/>
            <w:noWrap/>
            <w:vAlign w:val="center"/>
            <w:hideMark/>
          </w:tcPr>
          <w:p w14:paraId="2540ED64"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8,555,222</w:t>
            </w:r>
          </w:p>
        </w:tc>
        <w:tc>
          <w:tcPr>
            <w:tcW w:w="1559" w:type="dxa"/>
            <w:tcBorders>
              <w:top w:val="nil"/>
              <w:left w:val="nil"/>
              <w:bottom w:val="single" w:sz="4" w:space="0" w:color="auto"/>
              <w:right w:val="single" w:sz="4" w:space="0" w:color="auto"/>
            </w:tcBorders>
            <w:shd w:val="clear" w:color="auto" w:fill="auto"/>
            <w:noWrap/>
            <w:vAlign w:val="center"/>
            <w:hideMark/>
          </w:tcPr>
          <w:p w14:paraId="46DFE906"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-10,479,955</w:t>
            </w:r>
          </w:p>
        </w:tc>
        <w:tc>
          <w:tcPr>
            <w:tcW w:w="1276" w:type="dxa"/>
            <w:tcBorders>
              <w:top w:val="nil"/>
              <w:left w:val="nil"/>
              <w:bottom w:val="single" w:sz="4" w:space="0" w:color="auto"/>
              <w:right w:val="single" w:sz="4" w:space="0" w:color="auto"/>
            </w:tcBorders>
            <w:shd w:val="clear" w:color="auto" w:fill="auto"/>
            <w:noWrap/>
            <w:vAlign w:val="center"/>
            <w:hideMark/>
          </w:tcPr>
          <w:p w14:paraId="16FB60E7"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-1,110,357</w:t>
            </w:r>
          </w:p>
        </w:tc>
        <w:tc>
          <w:tcPr>
            <w:tcW w:w="1134" w:type="dxa"/>
            <w:tcBorders>
              <w:top w:val="nil"/>
              <w:left w:val="nil"/>
              <w:bottom w:val="single" w:sz="4" w:space="0" w:color="auto"/>
              <w:right w:val="single" w:sz="4" w:space="0" w:color="auto"/>
            </w:tcBorders>
            <w:shd w:val="clear" w:color="auto" w:fill="auto"/>
            <w:noWrap/>
            <w:vAlign w:val="center"/>
            <w:hideMark/>
          </w:tcPr>
          <w:p w14:paraId="44C1299A" w14:textId="77777777" w:rsidR="003F3036" w:rsidRPr="003F3036" w:rsidRDefault="003F3036" w:rsidP="003F3036">
            <w:pPr>
              <w:spacing w:after="0" w:line="240" w:lineRule="auto"/>
              <w:jc w:val="center"/>
              <w:rPr>
                <w:rFonts w:eastAsia="Times New Roman" w:cs="Calibri"/>
                <w:color w:val="000000"/>
                <w:sz w:val="14"/>
                <w:szCs w:val="14"/>
                <w:lang w:eastAsia="es-MX"/>
              </w:rPr>
            </w:pPr>
            <w:r w:rsidRPr="003F3036">
              <w:rPr>
                <w:rFonts w:eastAsia="Times New Roman" w:cs="Calibri"/>
                <w:color w:val="000000"/>
                <w:sz w:val="14"/>
                <w:szCs w:val="14"/>
                <w:lang w:eastAsia="es-MX"/>
              </w:rPr>
              <w:t>10.00%</w:t>
            </w:r>
          </w:p>
        </w:tc>
      </w:tr>
      <w:tr w:rsidR="003F3036" w:rsidRPr="003F3036" w14:paraId="7D2925AF" w14:textId="77777777" w:rsidTr="001F3097">
        <w:trPr>
          <w:trHeight w:val="284"/>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9BBE18B" w14:textId="77777777" w:rsidR="003F3036" w:rsidRPr="003F3036" w:rsidRDefault="003F3036" w:rsidP="003F3036">
            <w:pPr>
              <w:spacing w:after="0" w:line="240" w:lineRule="auto"/>
              <w:rPr>
                <w:rFonts w:eastAsia="Times New Roman" w:cs="Calibri"/>
                <w:color w:val="000000"/>
                <w:sz w:val="14"/>
                <w:szCs w:val="14"/>
                <w:lang w:eastAsia="es-MX"/>
              </w:rPr>
            </w:pPr>
            <w:r w:rsidRPr="003F3036">
              <w:rPr>
                <w:rFonts w:eastAsia="Times New Roman" w:cs="Calibri"/>
                <w:color w:val="000000"/>
                <w:sz w:val="14"/>
                <w:szCs w:val="14"/>
                <w:lang w:eastAsia="es-MX"/>
              </w:rPr>
              <w:t>Equipo Educacional y Recreativo</w:t>
            </w:r>
          </w:p>
        </w:tc>
        <w:tc>
          <w:tcPr>
            <w:tcW w:w="1418" w:type="dxa"/>
            <w:tcBorders>
              <w:top w:val="nil"/>
              <w:left w:val="nil"/>
              <w:bottom w:val="single" w:sz="4" w:space="0" w:color="auto"/>
              <w:right w:val="single" w:sz="4" w:space="0" w:color="auto"/>
            </w:tcBorders>
            <w:shd w:val="clear" w:color="auto" w:fill="auto"/>
            <w:noWrap/>
            <w:vAlign w:val="center"/>
            <w:hideMark/>
          </w:tcPr>
          <w:p w14:paraId="37C8857C"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0</w:t>
            </w:r>
          </w:p>
        </w:tc>
        <w:tc>
          <w:tcPr>
            <w:tcW w:w="1559" w:type="dxa"/>
            <w:tcBorders>
              <w:top w:val="nil"/>
              <w:left w:val="nil"/>
              <w:bottom w:val="single" w:sz="4" w:space="0" w:color="auto"/>
              <w:right w:val="single" w:sz="4" w:space="0" w:color="auto"/>
            </w:tcBorders>
            <w:shd w:val="clear" w:color="auto" w:fill="auto"/>
            <w:noWrap/>
            <w:vAlign w:val="center"/>
            <w:hideMark/>
          </w:tcPr>
          <w:p w14:paraId="22B5C6C8"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297AD3D"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DDDB0B" w14:textId="77777777" w:rsidR="003F3036" w:rsidRPr="003F3036" w:rsidRDefault="003F3036" w:rsidP="003F3036">
            <w:pPr>
              <w:spacing w:after="0" w:line="240" w:lineRule="auto"/>
              <w:jc w:val="center"/>
              <w:rPr>
                <w:rFonts w:eastAsia="Times New Roman" w:cs="Calibri"/>
                <w:color w:val="000000"/>
                <w:sz w:val="14"/>
                <w:szCs w:val="14"/>
                <w:lang w:eastAsia="es-MX"/>
              </w:rPr>
            </w:pPr>
            <w:r w:rsidRPr="003F3036">
              <w:rPr>
                <w:rFonts w:eastAsia="Times New Roman" w:cs="Calibri"/>
                <w:color w:val="000000"/>
                <w:sz w:val="14"/>
                <w:szCs w:val="14"/>
                <w:lang w:eastAsia="es-MX"/>
              </w:rPr>
              <w:t>10.00%</w:t>
            </w:r>
          </w:p>
        </w:tc>
      </w:tr>
      <w:tr w:rsidR="003F3036" w:rsidRPr="003F3036" w14:paraId="286B21A0" w14:textId="77777777" w:rsidTr="001F3097">
        <w:trPr>
          <w:trHeight w:val="284"/>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E97B1F9" w14:textId="77777777" w:rsidR="003F3036" w:rsidRPr="003F3036" w:rsidRDefault="003F3036" w:rsidP="003F3036">
            <w:pPr>
              <w:spacing w:after="0" w:line="240" w:lineRule="auto"/>
              <w:rPr>
                <w:rFonts w:eastAsia="Times New Roman" w:cs="Calibri"/>
                <w:color w:val="000000"/>
                <w:sz w:val="14"/>
                <w:szCs w:val="14"/>
                <w:lang w:eastAsia="es-MX"/>
              </w:rPr>
            </w:pPr>
            <w:r w:rsidRPr="003F3036">
              <w:rPr>
                <w:rFonts w:eastAsia="Times New Roman" w:cs="Calibri"/>
                <w:color w:val="000000"/>
                <w:sz w:val="14"/>
                <w:szCs w:val="14"/>
                <w:lang w:eastAsia="es-MX"/>
              </w:rPr>
              <w:t>Equipo de Transporte</w:t>
            </w:r>
          </w:p>
        </w:tc>
        <w:tc>
          <w:tcPr>
            <w:tcW w:w="1418" w:type="dxa"/>
            <w:tcBorders>
              <w:top w:val="nil"/>
              <w:left w:val="nil"/>
              <w:bottom w:val="single" w:sz="4" w:space="0" w:color="auto"/>
              <w:right w:val="single" w:sz="4" w:space="0" w:color="auto"/>
            </w:tcBorders>
            <w:shd w:val="clear" w:color="auto" w:fill="auto"/>
            <w:noWrap/>
            <w:vAlign w:val="center"/>
            <w:hideMark/>
          </w:tcPr>
          <w:p w14:paraId="0C9359A1"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7,201,835</w:t>
            </w:r>
          </w:p>
        </w:tc>
        <w:tc>
          <w:tcPr>
            <w:tcW w:w="1559" w:type="dxa"/>
            <w:tcBorders>
              <w:top w:val="nil"/>
              <w:left w:val="nil"/>
              <w:bottom w:val="single" w:sz="4" w:space="0" w:color="auto"/>
              <w:right w:val="single" w:sz="4" w:space="0" w:color="auto"/>
            </w:tcBorders>
            <w:shd w:val="clear" w:color="auto" w:fill="auto"/>
            <w:noWrap/>
            <w:vAlign w:val="center"/>
            <w:hideMark/>
          </w:tcPr>
          <w:p w14:paraId="0BE2237F"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D7886D7"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-513,372</w:t>
            </w:r>
          </w:p>
        </w:tc>
        <w:tc>
          <w:tcPr>
            <w:tcW w:w="1134" w:type="dxa"/>
            <w:tcBorders>
              <w:top w:val="nil"/>
              <w:left w:val="nil"/>
              <w:bottom w:val="single" w:sz="4" w:space="0" w:color="auto"/>
              <w:right w:val="single" w:sz="4" w:space="0" w:color="auto"/>
            </w:tcBorders>
            <w:shd w:val="clear" w:color="auto" w:fill="auto"/>
            <w:noWrap/>
            <w:vAlign w:val="center"/>
            <w:hideMark/>
          </w:tcPr>
          <w:p w14:paraId="13D9DFCB" w14:textId="77777777" w:rsidR="003F3036" w:rsidRPr="003F3036" w:rsidRDefault="003F3036" w:rsidP="003F3036">
            <w:pPr>
              <w:spacing w:after="0" w:line="240" w:lineRule="auto"/>
              <w:jc w:val="center"/>
              <w:rPr>
                <w:rFonts w:eastAsia="Times New Roman" w:cs="Calibri"/>
                <w:color w:val="000000"/>
                <w:sz w:val="14"/>
                <w:szCs w:val="14"/>
                <w:lang w:eastAsia="es-MX"/>
              </w:rPr>
            </w:pPr>
            <w:r w:rsidRPr="003F3036">
              <w:rPr>
                <w:rFonts w:eastAsia="Times New Roman" w:cs="Calibri"/>
                <w:color w:val="000000"/>
                <w:sz w:val="14"/>
                <w:szCs w:val="14"/>
                <w:lang w:eastAsia="es-MX"/>
              </w:rPr>
              <w:t>*</w:t>
            </w:r>
          </w:p>
        </w:tc>
      </w:tr>
      <w:tr w:rsidR="003F3036" w:rsidRPr="003F3036" w14:paraId="050EAE95" w14:textId="77777777" w:rsidTr="001F3097">
        <w:trPr>
          <w:trHeight w:val="284"/>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0F5B76A" w14:textId="77777777" w:rsidR="003F3036" w:rsidRPr="003F3036" w:rsidRDefault="003F3036" w:rsidP="003F3036">
            <w:pPr>
              <w:spacing w:after="0" w:line="240" w:lineRule="auto"/>
              <w:rPr>
                <w:rFonts w:eastAsia="Times New Roman" w:cs="Calibri"/>
                <w:color w:val="000000"/>
                <w:sz w:val="14"/>
                <w:szCs w:val="14"/>
                <w:lang w:eastAsia="es-MX"/>
              </w:rPr>
            </w:pPr>
            <w:r w:rsidRPr="003F3036">
              <w:rPr>
                <w:rFonts w:eastAsia="Times New Roman" w:cs="Calibri"/>
                <w:color w:val="000000"/>
                <w:sz w:val="14"/>
                <w:szCs w:val="14"/>
                <w:lang w:eastAsia="es-MX"/>
              </w:rPr>
              <w:t>Maquinaria, Otros Equipos y Herramientas</w:t>
            </w:r>
          </w:p>
        </w:tc>
        <w:tc>
          <w:tcPr>
            <w:tcW w:w="1418" w:type="dxa"/>
            <w:tcBorders>
              <w:top w:val="nil"/>
              <w:left w:val="nil"/>
              <w:bottom w:val="single" w:sz="4" w:space="0" w:color="auto"/>
              <w:right w:val="single" w:sz="4" w:space="0" w:color="auto"/>
            </w:tcBorders>
            <w:shd w:val="clear" w:color="auto" w:fill="auto"/>
            <w:noWrap/>
            <w:vAlign w:val="center"/>
            <w:hideMark/>
          </w:tcPr>
          <w:p w14:paraId="5D8A3180" w14:textId="5AE9C014" w:rsidR="003F3036" w:rsidRPr="003F3036" w:rsidRDefault="003F3036" w:rsidP="00C34A0D">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24,969,54</w:t>
            </w:r>
            <w:r w:rsidR="00C34A0D">
              <w:rPr>
                <w:rFonts w:eastAsia="Times New Roman" w:cs="Calibri"/>
                <w:color w:val="000000"/>
                <w:sz w:val="14"/>
                <w:szCs w:val="14"/>
                <w:lang w:eastAsia="es-MX"/>
              </w:rPr>
              <w:t>5</w:t>
            </w:r>
          </w:p>
        </w:tc>
        <w:tc>
          <w:tcPr>
            <w:tcW w:w="1559" w:type="dxa"/>
            <w:tcBorders>
              <w:top w:val="nil"/>
              <w:left w:val="nil"/>
              <w:bottom w:val="single" w:sz="4" w:space="0" w:color="auto"/>
              <w:right w:val="single" w:sz="4" w:space="0" w:color="auto"/>
            </w:tcBorders>
            <w:shd w:val="clear" w:color="auto" w:fill="auto"/>
            <w:noWrap/>
            <w:vAlign w:val="center"/>
            <w:hideMark/>
          </w:tcPr>
          <w:p w14:paraId="1999ED18"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-7,640,087</w:t>
            </w:r>
          </w:p>
        </w:tc>
        <w:tc>
          <w:tcPr>
            <w:tcW w:w="1276" w:type="dxa"/>
            <w:tcBorders>
              <w:top w:val="nil"/>
              <w:left w:val="nil"/>
              <w:bottom w:val="single" w:sz="4" w:space="0" w:color="auto"/>
              <w:right w:val="single" w:sz="4" w:space="0" w:color="auto"/>
            </w:tcBorders>
            <w:shd w:val="clear" w:color="auto" w:fill="auto"/>
            <w:noWrap/>
            <w:vAlign w:val="center"/>
            <w:hideMark/>
          </w:tcPr>
          <w:p w14:paraId="41297348" w14:textId="77777777" w:rsidR="003F3036" w:rsidRPr="003F3036" w:rsidRDefault="003F3036" w:rsidP="003F3036">
            <w:pPr>
              <w:spacing w:after="0" w:line="240" w:lineRule="auto"/>
              <w:jc w:val="right"/>
              <w:rPr>
                <w:rFonts w:eastAsia="Times New Roman" w:cs="Calibri"/>
                <w:color w:val="000000"/>
                <w:sz w:val="14"/>
                <w:szCs w:val="14"/>
                <w:lang w:eastAsia="es-MX"/>
              </w:rPr>
            </w:pPr>
            <w:r w:rsidRPr="003F3036">
              <w:rPr>
                <w:rFonts w:eastAsia="Times New Roman" w:cs="Calibri"/>
                <w:color w:val="000000"/>
                <w:sz w:val="14"/>
                <w:szCs w:val="14"/>
                <w:lang w:eastAsia="es-MX"/>
              </w:rPr>
              <w:t>-3,489,548</w:t>
            </w:r>
          </w:p>
        </w:tc>
        <w:tc>
          <w:tcPr>
            <w:tcW w:w="1134" w:type="dxa"/>
            <w:tcBorders>
              <w:top w:val="nil"/>
              <w:left w:val="nil"/>
              <w:bottom w:val="single" w:sz="4" w:space="0" w:color="auto"/>
              <w:right w:val="single" w:sz="4" w:space="0" w:color="auto"/>
            </w:tcBorders>
            <w:shd w:val="clear" w:color="auto" w:fill="auto"/>
            <w:noWrap/>
            <w:vAlign w:val="center"/>
            <w:hideMark/>
          </w:tcPr>
          <w:p w14:paraId="6E386885" w14:textId="77777777" w:rsidR="003F3036" w:rsidRPr="003F3036" w:rsidRDefault="003F3036" w:rsidP="003F3036">
            <w:pPr>
              <w:spacing w:after="0" w:line="240" w:lineRule="auto"/>
              <w:jc w:val="center"/>
              <w:rPr>
                <w:rFonts w:eastAsia="Times New Roman" w:cs="Calibri"/>
                <w:color w:val="000000"/>
                <w:sz w:val="14"/>
                <w:szCs w:val="14"/>
                <w:lang w:eastAsia="es-MX"/>
              </w:rPr>
            </w:pPr>
            <w:r w:rsidRPr="003F3036">
              <w:rPr>
                <w:rFonts w:eastAsia="Times New Roman" w:cs="Calibri"/>
                <w:color w:val="000000"/>
                <w:sz w:val="14"/>
                <w:szCs w:val="14"/>
                <w:lang w:eastAsia="es-MX"/>
              </w:rPr>
              <w:t>*</w:t>
            </w:r>
          </w:p>
        </w:tc>
      </w:tr>
      <w:tr w:rsidR="003F3036" w:rsidRPr="003F3036" w14:paraId="3F769DD8" w14:textId="77777777" w:rsidTr="001F3097">
        <w:trPr>
          <w:trHeight w:val="313"/>
        </w:trPr>
        <w:tc>
          <w:tcPr>
            <w:tcW w:w="3539" w:type="dxa"/>
            <w:tcBorders>
              <w:top w:val="nil"/>
              <w:left w:val="single" w:sz="4" w:space="0" w:color="auto"/>
              <w:bottom w:val="single" w:sz="4" w:space="0" w:color="auto"/>
              <w:right w:val="single" w:sz="4" w:space="0" w:color="auto"/>
            </w:tcBorders>
            <w:shd w:val="clear" w:color="000000" w:fill="DDC9A3"/>
            <w:vAlign w:val="center"/>
            <w:hideMark/>
          </w:tcPr>
          <w:p w14:paraId="1F4C2BC6" w14:textId="77777777" w:rsidR="003F3036" w:rsidRPr="003F3036" w:rsidRDefault="003F3036" w:rsidP="003F3036">
            <w:pPr>
              <w:spacing w:after="0" w:line="240" w:lineRule="auto"/>
              <w:jc w:val="center"/>
              <w:rPr>
                <w:rFonts w:eastAsia="Times New Roman" w:cs="Calibri"/>
                <w:b/>
                <w:bCs/>
                <w:color w:val="000000"/>
                <w:sz w:val="14"/>
                <w:szCs w:val="14"/>
                <w:lang w:eastAsia="es-MX"/>
              </w:rPr>
            </w:pPr>
            <w:r w:rsidRPr="003F3036">
              <w:rPr>
                <w:rFonts w:eastAsia="Times New Roman" w:cs="Calibri"/>
                <w:b/>
                <w:bCs/>
                <w:color w:val="000000"/>
                <w:sz w:val="14"/>
                <w:szCs w:val="14"/>
                <w:lang w:eastAsia="es-MX"/>
              </w:rPr>
              <w:t>TOTAL</w:t>
            </w:r>
          </w:p>
        </w:tc>
        <w:tc>
          <w:tcPr>
            <w:tcW w:w="1418" w:type="dxa"/>
            <w:tcBorders>
              <w:top w:val="nil"/>
              <w:left w:val="nil"/>
              <w:bottom w:val="single" w:sz="4" w:space="0" w:color="auto"/>
              <w:right w:val="single" w:sz="4" w:space="0" w:color="auto"/>
            </w:tcBorders>
            <w:shd w:val="clear" w:color="000000" w:fill="DDC9A3"/>
            <w:vAlign w:val="center"/>
            <w:hideMark/>
          </w:tcPr>
          <w:p w14:paraId="483813C3" w14:textId="77777777" w:rsidR="003F3036" w:rsidRPr="003F3036" w:rsidRDefault="003F3036" w:rsidP="003F3036">
            <w:pPr>
              <w:spacing w:after="0" w:line="240" w:lineRule="auto"/>
              <w:jc w:val="right"/>
              <w:rPr>
                <w:rFonts w:eastAsia="Times New Roman" w:cs="Calibri"/>
                <w:b/>
                <w:bCs/>
                <w:color w:val="000000"/>
                <w:sz w:val="14"/>
                <w:szCs w:val="14"/>
                <w:lang w:eastAsia="es-MX"/>
              </w:rPr>
            </w:pPr>
            <w:r w:rsidRPr="003F3036">
              <w:rPr>
                <w:rFonts w:eastAsia="Times New Roman" w:cs="Calibri"/>
                <w:b/>
                <w:bCs/>
                <w:color w:val="000000"/>
                <w:sz w:val="14"/>
                <w:szCs w:val="14"/>
                <w:lang w:eastAsia="es-MX"/>
              </w:rPr>
              <w:t>3,652,572,668</w:t>
            </w:r>
          </w:p>
        </w:tc>
        <w:tc>
          <w:tcPr>
            <w:tcW w:w="1559" w:type="dxa"/>
            <w:tcBorders>
              <w:top w:val="nil"/>
              <w:left w:val="nil"/>
              <w:bottom w:val="single" w:sz="4" w:space="0" w:color="auto"/>
              <w:right w:val="single" w:sz="4" w:space="0" w:color="auto"/>
            </w:tcBorders>
            <w:shd w:val="clear" w:color="000000" w:fill="DDC9A3"/>
            <w:vAlign w:val="center"/>
            <w:hideMark/>
          </w:tcPr>
          <w:p w14:paraId="2A5AE899" w14:textId="77777777" w:rsidR="003F3036" w:rsidRPr="003F3036" w:rsidRDefault="003F3036" w:rsidP="003F3036">
            <w:pPr>
              <w:spacing w:after="0" w:line="240" w:lineRule="auto"/>
              <w:jc w:val="right"/>
              <w:rPr>
                <w:rFonts w:eastAsia="Times New Roman" w:cs="Calibri"/>
                <w:b/>
                <w:bCs/>
                <w:color w:val="000000"/>
                <w:sz w:val="14"/>
                <w:szCs w:val="14"/>
                <w:lang w:eastAsia="es-MX"/>
              </w:rPr>
            </w:pPr>
            <w:r w:rsidRPr="003F3036">
              <w:rPr>
                <w:rFonts w:eastAsia="Times New Roman" w:cs="Calibri"/>
                <w:b/>
                <w:bCs/>
                <w:color w:val="000000"/>
                <w:sz w:val="14"/>
                <w:szCs w:val="14"/>
                <w:lang w:eastAsia="es-MX"/>
              </w:rPr>
              <w:t>-2,618,828,319</w:t>
            </w:r>
          </w:p>
        </w:tc>
        <w:tc>
          <w:tcPr>
            <w:tcW w:w="1276" w:type="dxa"/>
            <w:tcBorders>
              <w:top w:val="nil"/>
              <w:left w:val="nil"/>
              <w:bottom w:val="single" w:sz="4" w:space="0" w:color="auto"/>
              <w:right w:val="single" w:sz="4" w:space="0" w:color="auto"/>
            </w:tcBorders>
            <w:shd w:val="clear" w:color="000000" w:fill="DDC9A3"/>
            <w:vAlign w:val="center"/>
            <w:hideMark/>
          </w:tcPr>
          <w:p w14:paraId="7C99F75E" w14:textId="77777777" w:rsidR="003F3036" w:rsidRPr="003F3036" w:rsidRDefault="003F3036" w:rsidP="003F3036">
            <w:pPr>
              <w:spacing w:after="0" w:line="240" w:lineRule="auto"/>
              <w:jc w:val="right"/>
              <w:rPr>
                <w:rFonts w:eastAsia="Times New Roman" w:cs="Calibri"/>
                <w:b/>
                <w:bCs/>
                <w:color w:val="000000"/>
                <w:sz w:val="14"/>
                <w:szCs w:val="14"/>
                <w:lang w:eastAsia="es-MX"/>
              </w:rPr>
            </w:pPr>
            <w:r w:rsidRPr="003F3036">
              <w:rPr>
                <w:rFonts w:eastAsia="Times New Roman" w:cs="Calibri"/>
                <w:b/>
                <w:bCs/>
                <w:color w:val="000000"/>
                <w:sz w:val="14"/>
                <w:szCs w:val="14"/>
                <w:lang w:eastAsia="es-MX"/>
              </w:rPr>
              <w:t>323,657,994</w:t>
            </w:r>
          </w:p>
        </w:tc>
        <w:tc>
          <w:tcPr>
            <w:tcW w:w="1134" w:type="dxa"/>
            <w:tcBorders>
              <w:top w:val="nil"/>
              <w:left w:val="nil"/>
              <w:bottom w:val="single" w:sz="4" w:space="0" w:color="auto"/>
              <w:right w:val="single" w:sz="4" w:space="0" w:color="auto"/>
            </w:tcBorders>
            <w:shd w:val="clear" w:color="000000" w:fill="DDC9A3"/>
            <w:vAlign w:val="center"/>
            <w:hideMark/>
          </w:tcPr>
          <w:p w14:paraId="39B3BD6C" w14:textId="77777777" w:rsidR="003F3036" w:rsidRPr="003F3036" w:rsidRDefault="003F3036" w:rsidP="003F3036">
            <w:pPr>
              <w:spacing w:after="0" w:line="240" w:lineRule="auto"/>
              <w:jc w:val="right"/>
              <w:rPr>
                <w:rFonts w:eastAsia="Times New Roman" w:cs="Calibri"/>
                <w:b/>
                <w:bCs/>
                <w:color w:val="000000"/>
                <w:sz w:val="14"/>
                <w:szCs w:val="14"/>
                <w:lang w:eastAsia="es-MX"/>
              </w:rPr>
            </w:pPr>
            <w:r w:rsidRPr="003F3036">
              <w:rPr>
                <w:rFonts w:eastAsia="Times New Roman" w:cs="Calibri"/>
                <w:b/>
                <w:bCs/>
                <w:color w:val="000000"/>
                <w:sz w:val="14"/>
                <w:szCs w:val="14"/>
                <w:lang w:eastAsia="es-MX"/>
              </w:rPr>
              <w:t> </w:t>
            </w:r>
          </w:p>
        </w:tc>
      </w:tr>
    </w:tbl>
    <w:p w14:paraId="71C2134D" w14:textId="540FACE0" w:rsidR="00713775" w:rsidRPr="005F45A3" w:rsidRDefault="008708D2" w:rsidP="00855796">
      <w:pPr>
        <w:spacing w:after="0"/>
        <w:rPr>
          <w:rFonts w:asciiTheme="minorHAnsi" w:eastAsia="Times New Roman" w:hAnsiTheme="minorHAnsi" w:cstheme="minorHAnsi"/>
          <w:sz w:val="14"/>
          <w:szCs w:val="14"/>
          <w:lang w:eastAsia="es-ES"/>
        </w:rPr>
      </w:pPr>
      <w:r w:rsidRPr="005F45A3">
        <w:rPr>
          <w:rFonts w:asciiTheme="minorHAnsi" w:eastAsia="Times New Roman" w:hAnsiTheme="minorHAnsi" w:cstheme="minorHAnsi"/>
          <w:sz w:val="14"/>
          <w:szCs w:val="14"/>
          <w:lang w:eastAsia="es-ES"/>
        </w:rPr>
        <w:t xml:space="preserve">         </w:t>
      </w:r>
    </w:p>
    <w:p w14:paraId="71EA9D46" w14:textId="77777777" w:rsidR="00FB3ABB" w:rsidRDefault="00FB3ABB" w:rsidP="000A692A">
      <w:pPr>
        <w:spacing w:after="0"/>
        <w:rPr>
          <w:rFonts w:asciiTheme="minorHAnsi" w:eastAsia="Times New Roman" w:hAnsiTheme="minorHAnsi" w:cstheme="minorHAnsi"/>
          <w:b/>
          <w:sz w:val="18"/>
          <w:szCs w:val="18"/>
          <w:lang w:eastAsia="es-ES"/>
        </w:rPr>
      </w:pPr>
    </w:p>
    <w:p w14:paraId="3EE350A0" w14:textId="46F2F695" w:rsidR="005F7BE2" w:rsidRPr="00686668" w:rsidRDefault="005B4FE6" w:rsidP="000A692A">
      <w:pPr>
        <w:spacing w:after="0"/>
        <w:rPr>
          <w:rFonts w:asciiTheme="minorHAnsi" w:eastAsia="Times New Roman" w:hAnsiTheme="minorHAnsi" w:cstheme="minorHAnsi"/>
          <w:b/>
          <w:sz w:val="20"/>
          <w:szCs w:val="18"/>
          <w:lang w:eastAsia="es-ES"/>
        </w:rPr>
      </w:pPr>
      <w:r w:rsidRPr="00686668">
        <w:rPr>
          <w:rFonts w:asciiTheme="minorHAnsi" w:eastAsia="Times New Roman" w:hAnsiTheme="minorHAnsi" w:cstheme="minorHAnsi"/>
          <w:b/>
          <w:sz w:val="20"/>
          <w:szCs w:val="18"/>
          <w:lang w:eastAsia="es-ES"/>
        </w:rPr>
        <w:t>Activos Intangibles</w:t>
      </w:r>
    </w:p>
    <w:p w14:paraId="4597D36A" w14:textId="77777777" w:rsidR="000A692A" w:rsidRPr="005F45A3" w:rsidRDefault="000A692A" w:rsidP="000A692A">
      <w:pPr>
        <w:spacing w:after="0"/>
        <w:rPr>
          <w:rFonts w:asciiTheme="minorHAnsi" w:eastAsia="Times New Roman" w:hAnsiTheme="minorHAnsi" w:cstheme="minorHAnsi"/>
          <w:b/>
          <w:sz w:val="18"/>
          <w:szCs w:val="18"/>
          <w:lang w:eastAsia="es-ES"/>
        </w:rPr>
      </w:pPr>
    </w:p>
    <w:tbl>
      <w:tblPr>
        <w:tblW w:w="8464" w:type="dxa"/>
        <w:tblCellMar>
          <w:left w:w="70" w:type="dxa"/>
          <w:right w:w="70" w:type="dxa"/>
        </w:tblCellMar>
        <w:tblLook w:val="04A0" w:firstRow="1" w:lastRow="0" w:firstColumn="1" w:lastColumn="0" w:noHBand="0" w:noVBand="1"/>
      </w:tblPr>
      <w:tblGrid>
        <w:gridCol w:w="3360"/>
        <w:gridCol w:w="1455"/>
        <w:gridCol w:w="1489"/>
        <w:gridCol w:w="1100"/>
        <w:gridCol w:w="1060"/>
      </w:tblGrid>
      <w:tr w:rsidR="003F3036" w:rsidRPr="003F3036" w14:paraId="2769CA25" w14:textId="77777777" w:rsidTr="001F3097">
        <w:trPr>
          <w:trHeight w:val="794"/>
        </w:trPr>
        <w:tc>
          <w:tcPr>
            <w:tcW w:w="336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4E76543F" w14:textId="77777777" w:rsidR="003F3036" w:rsidRPr="003F3036" w:rsidRDefault="003F3036" w:rsidP="003F3036">
            <w:pPr>
              <w:spacing w:after="0" w:line="240" w:lineRule="auto"/>
              <w:jc w:val="center"/>
              <w:rPr>
                <w:rFonts w:asciiTheme="minorHAnsi" w:eastAsia="Times New Roman" w:hAnsiTheme="minorHAnsi" w:cstheme="minorHAnsi"/>
                <w:b/>
                <w:bCs/>
                <w:color w:val="FFFFFF"/>
                <w:sz w:val="16"/>
                <w:szCs w:val="16"/>
                <w:lang w:eastAsia="es-MX"/>
              </w:rPr>
            </w:pPr>
            <w:r w:rsidRPr="003F3036">
              <w:rPr>
                <w:rFonts w:asciiTheme="minorHAnsi" w:eastAsia="Times New Roman" w:hAnsiTheme="minorHAnsi" w:cstheme="minorHAnsi"/>
                <w:b/>
                <w:bCs/>
                <w:color w:val="FFFFFF"/>
                <w:sz w:val="16"/>
                <w:szCs w:val="16"/>
                <w:lang w:eastAsia="es-MX"/>
              </w:rPr>
              <w:t xml:space="preserve">Activos Intangibles </w:t>
            </w:r>
          </w:p>
        </w:tc>
        <w:tc>
          <w:tcPr>
            <w:tcW w:w="1455" w:type="dxa"/>
            <w:tcBorders>
              <w:top w:val="single" w:sz="4" w:space="0" w:color="auto"/>
              <w:left w:val="nil"/>
              <w:bottom w:val="single" w:sz="4" w:space="0" w:color="auto"/>
              <w:right w:val="single" w:sz="4" w:space="0" w:color="auto"/>
            </w:tcBorders>
            <w:shd w:val="clear" w:color="000000" w:fill="AB0033"/>
            <w:vAlign w:val="center"/>
            <w:hideMark/>
          </w:tcPr>
          <w:p w14:paraId="2C8AD0AD" w14:textId="77777777" w:rsidR="003F3036" w:rsidRPr="003F3036" w:rsidRDefault="003F3036" w:rsidP="003F3036">
            <w:pPr>
              <w:spacing w:after="0" w:line="240" w:lineRule="auto"/>
              <w:jc w:val="center"/>
              <w:rPr>
                <w:rFonts w:asciiTheme="minorHAnsi" w:eastAsia="Times New Roman" w:hAnsiTheme="minorHAnsi" w:cstheme="minorHAnsi"/>
                <w:b/>
                <w:bCs/>
                <w:color w:val="FFFFFF"/>
                <w:sz w:val="16"/>
                <w:szCs w:val="16"/>
                <w:lang w:eastAsia="es-MX"/>
              </w:rPr>
            </w:pPr>
            <w:r w:rsidRPr="003F3036">
              <w:rPr>
                <w:rFonts w:asciiTheme="minorHAnsi" w:eastAsia="Times New Roman" w:hAnsiTheme="minorHAnsi" w:cstheme="minorHAnsi"/>
                <w:b/>
                <w:bCs/>
                <w:color w:val="FFFFFF"/>
                <w:sz w:val="16"/>
                <w:szCs w:val="16"/>
                <w:lang w:eastAsia="es-MX"/>
              </w:rPr>
              <w:t>Importe</w:t>
            </w:r>
          </w:p>
        </w:tc>
        <w:tc>
          <w:tcPr>
            <w:tcW w:w="1489" w:type="dxa"/>
            <w:tcBorders>
              <w:top w:val="single" w:sz="4" w:space="0" w:color="auto"/>
              <w:left w:val="nil"/>
              <w:bottom w:val="single" w:sz="4" w:space="0" w:color="auto"/>
              <w:right w:val="single" w:sz="4" w:space="0" w:color="auto"/>
            </w:tcBorders>
            <w:shd w:val="clear" w:color="000000" w:fill="AB0033"/>
            <w:vAlign w:val="center"/>
            <w:hideMark/>
          </w:tcPr>
          <w:p w14:paraId="647443E1" w14:textId="77777777" w:rsidR="003F3036" w:rsidRPr="003F3036" w:rsidRDefault="003F3036" w:rsidP="003F3036">
            <w:pPr>
              <w:spacing w:after="0" w:line="240" w:lineRule="auto"/>
              <w:jc w:val="center"/>
              <w:rPr>
                <w:rFonts w:asciiTheme="minorHAnsi" w:eastAsia="Times New Roman" w:hAnsiTheme="minorHAnsi" w:cstheme="minorHAnsi"/>
                <w:b/>
                <w:bCs/>
                <w:color w:val="FFFFFF"/>
                <w:sz w:val="16"/>
                <w:szCs w:val="16"/>
                <w:lang w:eastAsia="es-MX"/>
              </w:rPr>
            </w:pPr>
            <w:r w:rsidRPr="003F3036">
              <w:rPr>
                <w:rFonts w:asciiTheme="minorHAnsi" w:eastAsia="Times New Roman" w:hAnsiTheme="minorHAnsi" w:cstheme="minorHAnsi"/>
                <w:b/>
                <w:bCs/>
                <w:color w:val="FFFFFF"/>
                <w:sz w:val="16"/>
                <w:szCs w:val="16"/>
                <w:lang w:eastAsia="es-MX"/>
              </w:rPr>
              <w:t>Depreciación Acumulada al 31 de Diciembre de 2021</w:t>
            </w:r>
          </w:p>
        </w:tc>
        <w:tc>
          <w:tcPr>
            <w:tcW w:w="1100" w:type="dxa"/>
            <w:tcBorders>
              <w:top w:val="single" w:sz="4" w:space="0" w:color="auto"/>
              <w:left w:val="nil"/>
              <w:bottom w:val="single" w:sz="4" w:space="0" w:color="auto"/>
              <w:right w:val="single" w:sz="4" w:space="0" w:color="auto"/>
            </w:tcBorders>
            <w:shd w:val="clear" w:color="000000" w:fill="AB0033"/>
            <w:vAlign w:val="center"/>
            <w:hideMark/>
          </w:tcPr>
          <w:p w14:paraId="5B5CF012" w14:textId="77777777" w:rsidR="003F3036" w:rsidRPr="003F3036" w:rsidRDefault="003F3036" w:rsidP="003F3036">
            <w:pPr>
              <w:spacing w:after="0" w:line="240" w:lineRule="auto"/>
              <w:jc w:val="center"/>
              <w:rPr>
                <w:rFonts w:asciiTheme="minorHAnsi" w:eastAsia="Times New Roman" w:hAnsiTheme="minorHAnsi" w:cstheme="minorHAnsi"/>
                <w:b/>
                <w:bCs/>
                <w:color w:val="FFFFFF"/>
                <w:sz w:val="16"/>
                <w:szCs w:val="16"/>
                <w:lang w:eastAsia="es-MX"/>
              </w:rPr>
            </w:pPr>
            <w:r w:rsidRPr="003F3036">
              <w:rPr>
                <w:rFonts w:asciiTheme="minorHAnsi" w:eastAsia="Times New Roman" w:hAnsiTheme="minorHAnsi" w:cstheme="minorHAnsi"/>
                <w:b/>
                <w:bCs/>
                <w:color w:val="FFFFFF"/>
                <w:sz w:val="16"/>
                <w:szCs w:val="16"/>
                <w:lang w:eastAsia="es-MX"/>
              </w:rPr>
              <w:t>Depreciación del Ejercicio</w:t>
            </w:r>
          </w:p>
        </w:tc>
        <w:tc>
          <w:tcPr>
            <w:tcW w:w="1060" w:type="dxa"/>
            <w:tcBorders>
              <w:top w:val="single" w:sz="4" w:space="0" w:color="auto"/>
              <w:left w:val="nil"/>
              <w:bottom w:val="single" w:sz="4" w:space="0" w:color="auto"/>
              <w:right w:val="single" w:sz="4" w:space="0" w:color="auto"/>
            </w:tcBorders>
            <w:shd w:val="clear" w:color="000000" w:fill="AB0033"/>
            <w:vAlign w:val="center"/>
            <w:hideMark/>
          </w:tcPr>
          <w:p w14:paraId="1772BA82" w14:textId="77777777" w:rsidR="003F3036" w:rsidRPr="003F3036" w:rsidRDefault="003F3036" w:rsidP="003F3036">
            <w:pPr>
              <w:spacing w:after="0" w:line="240" w:lineRule="auto"/>
              <w:jc w:val="center"/>
              <w:rPr>
                <w:rFonts w:asciiTheme="minorHAnsi" w:eastAsia="Times New Roman" w:hAnsiTheme="minorHAnsi" w:cstheme="minorHAnsi"/>
                <w:b/>
                <w:bCs/>
                <w:color w:val="FFFFFF"/>
                <w:sz w:val="16"/>
                <w:szCs w:val="16"/>
                <w:lang w:eastAsia="es-MX"/>
              </w:rPr>
            </w:pPr>
            <w:r w:rsidRPr="003F3036">
              <w:rPr>
                <w:rFonts w:asciiTheme="minorHAnsi" w:eastAsia="Times New Roman" w:hAnsiTheme="minorHAnsi" w:cstheme="minorHAnsi"/>
                <w:b/>
                <w:bCs/>
                <w:color w:val="FFFFFF"/>
                <w:sz w:val="16"/>
                <w:szCs w:val="16"/>
                <w:lang w:eastAsia="es-MX"/>
              </w:rPr>
              <w:t xml:space="preserve">Tasa Anual de Depreciación </w:t>
            </w:r>
          </w:p>
        </w:tc>
      </w:tr>
      <w:tr w:rsidR="003F3036" w:rsidRPr="001C4513" w14:paraId="70008137" w14:textId="77777777" w:rsidTr="001C4513">
        <w:trPr>
          <w:trHeight w:val="29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207CBAC5" w14:textId="77777777" w:rsidR="003F3036" w:rsidRPr="001C4513" w:rsidRDefault="003F3036" w:rsidP="003F3036">
            <w:pPr>
              <w:spacing w:after="0" w:line="240" w:lineRule="auto"/>
              <w:jc w:val="both"/>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Software</w:t>
            </w:r>
          </w:p>
        </w:tc>
        <w:tc>
          <w:tcPr>
            <w:tcW w:w="1455" w:type="dxa"/>
            <w:tcBorders>
              <w:top w:val="nil"/>
              <w:left w:val="nil"/>
              <w:bottom w:val="single" w:sz="4" w:space="0" w:color="auto"/>
              <w:right w:val="single" w:sz="4" w:space="0" w:color="auto"/>
            </w:tcBorders>
            <w:shd w:val="clear" w:color="auto" w:fill="auto"/>
            <w:vAlign w:val="center"/>
            <w:hideMark/>
          </w:tcPr>
          <w:p w14:paraId="6C15DC6C" w14:textId="77777777" w:rsidR="003F3036" w:rsidRPr="001C4513" w:rsidRDefault="003F3036" w:rsidP="003F3036">
            <w:pPr>
              <w:spacing w:after="0" w:line="240" w:lineRule="auto"/>
              <w:jc w:val="right"/>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153,404,361</w:t>
            </w:r>
          </w:p>
        </w:tc>
        <w:tc>
          <w:tcPr>
            <w:tcW w:w="1489" w:type="dxa"/>
            <w:tcBorders>
              <w:top w:val="nil"/>
              <w:left w:val="nil"/>
              <w:bottom w:val="single" w:sz="4" w:space="0" w:color="auto"/>
              <w:right w:val="single" w:sz="4" w:space="0" w:color="auto"/>
            </w:tcBorders>
            <w:shd w:val="clear" w:color="auto" w:fill="auto"/>
            <w:vAlign w:val="center"/>
            <w:hideMark/>
          </w:tcPr>
          <w:p w14:paraId="1DB618AB" w14:textId="77777777" w:rsidR="003F3036" w:rsidRPr="001C4513" w:rsidRDefault="003F3036" w:rsidP="003F3036">
            <w:pPr>
              <w:spacing w:after="0" w:line="240" w:lineRule="auto"/>
              <w:jc w:val="right"/>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-110,750,674</w:t>
            </w:r>
          </w:p>
        </w:tc>
        <w:tc>
          <w:tcPr>
            <w:tcW w:w="1100" w:type="dxa"/>
            <w:tcBorders>
              <w:top w:val="nil"/>
              <w:left w:val="nil"/>
              <w:bottom w:val="single" w:sz="4" w:space="0" w:color="auto"/>
              <w:right w:val="single" w:sz="4" w:space="0" w:color="auto"/>
            </w:tcBorders>
            <w:shd w:val="clear" w:color="auto" w:fill="auto"/>
            <w:vAlign w:val="center"/>
            <w:hideMark/>
          </w:tcPr>
          <w:p w14:paraId="6DDD0E4B" w14:textId="77777777" w:rsidR="003F3036" w:rsidRPr="001C4513" w:rsidRDefault="003F3036" w:rsidP="003F3036">
            <w:pPr>
              <w:spacing w:after="0" w:line="240" w:lineRule="auto"/>
              <w:jc w:val="right"/>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-28,961,466</w:t>
            </w:r>
          </w:p>
        </w:tc>
        <w:tc>
          <w:tcPr>
            <w:tcW w:w="1060" w:type="dxa"/>
            <w:tcBorders>
              <w:top w:val="nil"/>
              <w:left w:val="nil"/>
              <w:bottom w:val="single" w:sz="4" w:space="0" w:color="auto"/>
              <w:right w:val="single" w:sz="4" w:space="0" w:color="auto"/>
            </w:tcBorders>
            <w:shd w:val="clear" w:color="auto" w:fill="auto"/>
            <w:noWrap/>
            <w:vAlign w:val="center"/>
            <w:hideMark/>
          </w:tcPr>
          <w:p w14:paraId="547A3999" w14:textId="77777777" w:rsidR="003F3036" w:rsidRPr="001C4513" w:rsidRDefault="003F3036" w:rsidP="003F3036">
            <w:pPr>
              <w:spacing w:after="0" w:line="240" w:lineRule="auto"/>
              <w:jc w:val="center"/>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w:t>
            </w:r>
          </w:p>
        </w:tc>
      </w:tr>
      <w:tr w:rsidR="003F3036" w:rsidRPr="001C4513" w14:paraId="0784A76B" w14:textId="77777777" w:rsidTr="001C4513">
        <w:trPr>
          <w:trHeight w:val="29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5E6A04A1" w14:textId="77777777" w:rsidR="003F3036" w:rsidRPr="001C4513" w:rsidRDefault="003F3036" w:rsidP="003F3036">
            <w:pPr>
              <w:spacing w:after="0" w:line="240" w:lineRule="auto"/>
              <w:jc w:val="both"/>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Patentes Marcas y Derechos</w:t>
            </w:r>
          </w:p>
        </w:tc>
        <w:tc>
          <w:tcPr>
            <w:tcW w:w="1455" w:type="dxa"/>
            <w:tcBorders>
              <w:top w:val="nil"/>
              <w:left w:val="nil"/>
              <w:bottom w:val="single" w:sz="4" w:space="0" w:color="auto"/>
              <w:right w:val="single" w:sz="4" w:space="0" w:color="auto"/>
            </w:tcBorders>
            <w:shd w:val="clear" w:color="auto" w:fill="auto"/>
            <w:vAlign w:val="center"/>
            <w:hideMark/>
          </w:tcPr>
          <w:p w14:paraId="244072D3" w14:textId="77777777" w:rsidR="003F3036" w:rsidRPr="001C4513" w:rsidRDefault="003F3036" w:rsidP="003F3036">
            <w:pPr>
              <w:spacing w:after="0" w:line="240" w:lineRule="auto"/>
              <w:jc w:val="right"/>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5,702</w:t>
            </w:r>
          </w:p>
        </w:tc>
        <w:tc>
          <w:tcPr>
            <w:tcW w:w="1489" w:type="dxa"/>
            <w:tcBorders>
              <w:top w:val="nil"/>
              <w:left w:val="nil"/>
              <w:bottom w:val="single" w:sz="4" w:space="0" w:color="auto"/>
              <w:right w:val="single" w:sz="4" w:space="0" w:color="auto"/>
            </w:tcBorders>
            <w:shd w:val="clear" w:color="auto" w:fill="auto"/>
            <w:vAlign w:val="center"/>
            <w:hideMark/>
          </w:tcPr>
          <w:p w14:paraId="5781D66D" w14:textId="77777777" w:rsidR="003F3036" w:rsidRPr="001C4513" w:rsidRDefault="003F3036" w:rsidP="003F3036">
            <w:pPr>
              <w:spacing w:after="0" w:line="240" w:lineRule="auto"/>
              <w:jc w:val="right"/>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-1,307</w:t>
            </w:r>
          </w:p>
        </w:tc>
        <w:tc>
          <w:tcPr>
            <w:tcW w:w="1100" w:type="dxa"/>
            <w:tcBorders>
              <w:top w:val="nil"/>
              <w:left w:val="nil"/>
              <w:bottom w:val="single" w:sz="4" w:space="0" w:color="auto"/>
              <w:right w:val="single" w:sz="4" w:space="0" w:color="auto"/>
            </w:tcBorders>
            <w:shd w:val="clear" w:color="auto" w:fill="auto"/>
            <w:vAlign w:val="center"/>
            <w:hideMark/>
          </w:tcPr>
          <w:p w14:paraId="2B0C0245" w14:textId="77777777" w:rsidR="003F3036" w:rsidRPr="001C4513" w:rsidRDefault="003F3036" w:rsidP="003F3036">
            <w:pPr>
              <w:spacing w:after="0" w:line="240" w:lineRule="auto"/>
              <w:jc w:val="right"/>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-475</w:t>
            </w:r>
          </w:p>
        </w:tc>
        <w:tc>
          <w:tcPr>
            <w:tcW w:w="1060" w:type="dxa"/>
            <w:tcBorders>
              <w:top w:val="nil"/>
              <w:left w:val="nil"/>
              <w:bottom w:val="single" w:sz="4" w:space="0" w:color="auto"/>
              <w:right w:val="single" w:sz="4" w:space="0" w:color="auto"/>
            </w:tcBorders>
            <w:shd w:val="clear" w:color="auto" w:fill="auto"/>
            <w:noWrap/>
            <w:vAlign w:val="center"/>
            <w:hideMark/>
          </w:tcPr>
          <w:p w14:paraId="06BFCF69" w14:textId="77777777" w:rsidR="003F3036" w:rsidRPr="001C4513" w:rsidRDefault="003F3036" w:rsidP="003F3036">
            <w:pPr>
              <w:spacing w:after="0" w:line="240" w:lineRule="auto"/>
              <w:jc w:val="center"/>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w:t>
            </w:r>
          </w:p>
        </w:tc>
      </w:tr>
      <w:tr w:rsidR="003F3036" w:rsidRPr="001C4513" w14:paraId="21B60388" w14:textId="77777777" w:rsidTr="001C4513">
        <w:trPr>
          <w:trHeight w:val="29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07177729" w14:textId="77777777" w:rsidR="003F3036" w:rsidRPr="001C4513" w:rsidRDefault="003F3036" w:rsidP="003F3036">
            <w:pPr>
              <w:spacing w:after="0" w:line="240" w:lineRule="auto"/>
              <w:jc w:val="both"/>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Licencia</w:t>
            </w:r>
          </w:p>
        </w:tc>
        <w:tc>
          <w:tcPr>
            <w:tcW w:w="1455" w:type="dxa"/>
            <w:tcBorders>
              <w:top w:val="nil"/>
              <w:left w:val="nil"/>
              <w:bottom w:val="single" w:sz="4" w:space="0" w:color="auto"/>
              <w:right w:val="single" w:sz="4" w:space="0" w:color="auto"/>
            </w:tcBorders>
            <w:shd w:val="clear" w:color="auto" w:fill="auto"/>
            <w:vAlign w:val="center"/>
            <w:hideMark/>
          </w:tcPr>
          <w:p w14:paraId="2A4317B8" w14:textId="77777777" w:rsidR="003F3036" w:rsidRPr="001C4513" w:rsidRDefault="003F3036" w:rsidP="003F3036">
            <w:pPr>
              <w:spacing w:after="0" w:line="240" w:lineRule="auto"/>
              <w:jc w:val="right"/>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90,808,473</w:t>
            </w:r>
          </w:p>
        </w:tc>
        <w:tc>
          <w:tcPr>
            <w:tcW w:w="1489" w:type="dxa"/>
            <w:tcBorders>
              <w:top w:val="nil"/>
              <w:left w:val="nil"/>
              <w:bottom w:val="single" w:sz="4" w:space="0" w:color="auto"/>
              <w:right w:val="single" w:sz="4" w:space="0" w:color="auto"/>
            </w:tcBorders>
            <w:shd w:val="clear" w:color="auto" w:fill="auto"/>
            <w:vAlign w:val="center"/>
            <w:hideMark/>
          </w:tcPr>
          <w:p w14:paraId="6AF1ADAE" w14:textId="77777777" w:rsidR="003F3036" w:rsidRPr="001C4513" w:rsidRDefault="003F3036" w:rsidP="003F3036">
            <w:pPr>
              <w:spacing w:after="0" w:line="240" w:lineRule="auto"/>
              <w:jc w:val="right"/>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-113,134,815</w:t>
            </w:r>
          </w:p>
        </w:tc>
        <w:tc>
          <w:tcPr>
            <w:tcW w:w="1100" w:type="dxa"/>
            <w:tcBorders>
              <w:top w:val="nil"/>
              <w:left w:val="nil"/>
              <w:bottom w:val="single" w:sz="4" w:space="0" w:color="auto"/>
              <w:right w:val="single" w:sz="4" w:space="0" w:color="auto"/>
            </w:tcBorders>
            <w:shd w:val="clear" w:color="auto" w:fill="auto"/>
            <w:vAlign w:val="center"/>
            <w:hideMark/>
          </w:tcPr>
          <w:p w14:paraId="54A0E31F" w14:textId="77777777" w:rsidR="003F3036" w:rsidRPr="001C4513" w:rsidRDefault="003F3036" w:rsidP="003F3036">
            <w:pPr>
              <w:spacing w:after="0" w:line="240" w:lineRule="auto"/>
              <w:jc w:val="right"/>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26,572,141</w:t>
            </w:r>
          </w:p>
        </w:tc>
        <w:tc>
          <w:tcPr>
            <w:tcW w:w="1060" w:type="dxa"/>
            <w:tcBorders>
              <w:top w:val="nil"/>
              <w:left w:val="nil"/>
              <w:bottom w:val="single" w:sz="4" w:space="0" w:color="auto"/>
              <w:right w:val="single" w:sz="4" w:space="0" w:color="auto"/>
            </w:tcBorders>
            <w:shd w:val="clear" w:color="auto" w:fill="auto"/>
            <w:noWrap/>
            <w:vAlign w:val="center"/>
            <w:hideMark/>
          </w:tcPr>
          <w:p w14:paraId="3B36004B" w14:textId="77777777" w:rsidR="003F3036" w:rsidRPr="001C4513" w:rsidRDefault="003F3036" w:rsidP="003F3036">
            <w:pPr>
              <w:spacing w:after="0" w:line="240" w:lineRule="auto"/>
              <w:jc w:val="center"/>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w:t>
            </w:r>
          </w:p>
        </w:tc>
      </w:tr>
      <w:tr w:rsidR="003F3036" w:rsidRPr="001C4513" w14:paraId="61EC8AD7" w14:textId="77777777" w:rsidTr="001C4513">
        <w:trPr>
          <w:trHeight w:val="29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5EB23A6B" w14:textId="77777777" w:rsidR="003F3036" w:rsidRPr="001C4513" w:rsidRDefault="003F3036" w:rsidP="003F3036">
            <w:pPr>
              <w:spacing w:after="0" w:line="240" w:lineRule="auto"/>
              <w:jc w:val="both"/>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Otros Activos Intangibles</w:t>
            </w:r>
          </w:p>
        </w:tc>
        <w:tc>
          <w:tcPr>
            <w:tcW w:w="1455" w:type="dxa"/>
            <w:tcBorders>
              <w:top w:val="nil"/>
              <w:left w:val="nil"/>
              <w:bottom w:val="single" w:sz="4" w:space="0" w:color="auto"/>
              <w:right w:val="single" w:sz="4" w:space="0" w:color="auto"/>
            </w:tcBorders>
            <w:shd w:val="clear" w:color="auto" w:fill="auto"/>
            <w:vAlign w:val="center"/>
            <w:hideMark/>
          </w:tcPr>
          <w:p w14:paraId="7677F5AE" w14:textId="77777777" w:rsidR="003F3036" w:rsidRPr="001C4513" w:rsidRDefault="003F3036" w:rsidP="003F3036">
            <w:pPr>
              <w:spacing w:after="0" w:line="240" w:lineRule="auto"/>
              <w:jc w:val="right"/>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427,964</w:t>
            </w:r>
          </w:p>
        </w:tc>
        <w:tc>
          <w:tcPr>
            <w:tcW w:w="1489" w:type="dxa"/>
            <w:tcBorders>
              <w:top w:val="nil"/>
              <w:left w:val="nil"/>
              <w:bottom w:val="single" w:sz="4" w:space="0" w:color="auto"/>
              <w:right w:val="single" w:sz="4" w:space="0" w:color="auto"/>
            </w:tcBorders>
            <w:shd w:val="clear" w:color="auto" w:fill="auto"/>
            <w:vAlign w:val="center"/>
            <w:hideMark/>
          </w:tcPr>
          <w:p w14:paraId="73191A1B" w14:textId="77777777" w:rsidR="003F3036" w:rsidRPr="001C4513" w:rsidRDefault="003F3036" w:rsidP="003F3036">
            <w:pPr>
              <w:spacing w:after="0" w:line="240" w:lineRule="auto"/>
              <w:jc w:val="right"/>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-428,439</w:t>
            </w:r>
          </w:p>
        </w:tc>
        <w:tc>
          <w:tcPr>
            <w:tcW w:w="1100" w:type="dxa"/>
            <w:tcBorders>
              <w:top w:val="nil"/>
              <w:left w:val="nil"/>
              <w:bottom w:val="single" w:sz="4" w:space="0" w:color="auto"/>
              <w:right w:val="single" w:sz="4" w:space="0" w:color="auto"/>
            </w:tcBorders>
            <w:shd w:val="clear" w:color="auto" w:fill="auto"/>
            <w:vAlign w:val="center"/>
            <w:hideMark/>
          </w:tcPr>
          <w:p w14:paraId="250B6E6E" w14:textId="77777777" w:rsidR="003F3036" w:rsidRPr="001C4513" w:rsidRDefault="003F3036" w:rsidP="003F3036">
            <w:pPr>
              <w:spacing w:after="0" w:line="240" w:lineRule="auto"/>
              <w:jc w:val="right"/>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 </w:t>
            </w:r>
          </w:p>
        </w:tc>
        <w:tc>
          <w:tcPr>
            <w:tcW w:w="1060" w:type="dxa"/>
            <w:tcBorders>
              <w:top w:val="nil"/>
              <w:left w:val="nil"/>
              <w:bottom w:val="single" w:sz="4" w:space="0" w:color="auto"/>
              <w:right w:val="single" w:sz="4" w:space="0" w:color="auto"/>
            </w:tcBorders>
            <w:shd w:val="clear" w:color="auto" w:fill="auto"/>
            <w:noWrap/>
            <w:vAlign w:val="center"/>
            <w:hideMark/>
          </w:tcPr>
          <w:p w14:paraId="429825BD" w14:textId="77777777" w:rsidR="003F3036" w:rsidRPr="001C4513" w:rsidRDefault="003F3036" w:rsidP="003F3036">
            <w:pPr>
              <w:spacing w:after="0" w:line="240" w:lineRule="auto"/>
              <w:jc w:val="center"/>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w:t>
            </w:r>
          </w:p>
        </w:tc>
      </w:tr>
      <w:tr w:rsidR="003F3036" w:rsidRPr="001C4513" w14:paraId="1837834A" w14:textId="77777777" w:rsidTr="001F3097">
        <w:trPr>
          <w:trHeight w:val="284"/>
        </w:trPr>
        <w:tc>
          <w:tcPr>
            <w:tcW w:w="3360" w:type="dxa"/>
            <w:tcBorders>
              <w:top w:val="nil"/>
              <w:left w:val="single" w:sz="4" w:space="0" w:color="auto"/>
              <w:bottom w:val="single" w:sz="4" w:space="0" w:color="auto"/>
              <w:right w:val="single" w:sz="4" w:space="0" w:color="auto"/>
            </w:tcBorders>
            <w:shd w:val="clear" w:color="000000" w:fill="AB0033"/>
            <w:vAlign w:val="center"/>
            <w:hideMark/>
          </w:tcPr>
          <w:p w14:paraId="4A974960" w14:textId="77777777" w:rsidR="003F3036" w:rsidRPr="001C4513" w:rsidRDefault="003F3036" w:rsidP="003F3036">
            <w:pPr>
              <w:spacing w:after="0" w:line="240" w:lineRule="auto"/>
              <w:jc w:val="center"/>
              <w:rPr>
                <w:rFonts w:asciiTheme="minorHAnsi" w:eastAsia="Times New Roman" w:hAnsiTheme="minorHAnsi" w:cstheme="minorHAnsi"/>
                <w:b/>
                <w:bCs/>
                <w:color w:val="FFFFFF"/>
                <w:sz w:val="14"/>
                <w:szCs w:val="14"/>
                <w:lang w:eastAsia="es-MX"/>
              </w:rPr>
            </w:pPr>
            <w:r w:rsidRPr="001C4513">
              <w:rPr>
                <w:rFonts w:asciiTheme="minorHAnsi" w:eastAsia="Times New Roman" w:hAnsiTheme="minorHAnsi" w:cstheme="minorHAnsi"/>
                <w:b/>
                <w:bCs/>
                <w:color w:val="FFFFFF"/>
                <w:sz w:val="14"/>
                <w:szCs w:val="14"/>
                <w:lang w:eastAsia="es-MX"/>
              </w:rPr>
              <w:t>Fideicomisos</w:t>
            </w:r>
          </w:p>
        </w:tc>
        <w:tc>
          <w:tcPr>
            <w:tcW w:w="1455" w:type="dxa"/>
            <w:tcBorders>
              <w:top w:val="nil"/>
              <w:left w:val="nil"/>
              <w:bottom w:val="single" w:sz="4" w:space="0" w:color="auto"/>
              <w:right w:val="single" w:sz="4" w:space="0" w:color="auto"/>
            </w:tcBorders>
            <w:shd w:val="clear" w:color="000000" w:fill="AB0033"/>
            <w:vAlign w:val="center"/>
            <w:hideMark/>
          </w:tcPr>
          <w:p w14:paraId="28E6B79A" w14:textId="77777777" w:rsidR="003F3036" w:rsidRPr="001C4513" w:rsidRDefault="003F3036" w:rsidP="003F3036">
            <w:pPr>
              <w:spacing w:after="0" w:line="240" w:lineRule="auto"/>
              <w:jc w:val="center"/>
              <w:rPr>
                <w:rFonts w:asciiTheme="minorHAnsi" w:eastAsia="Times New Roman" w:hAnsiTheme="minorHAnsi" w:cstheme="minorHAnsi"/>
                <w:b/>
                <w:bCs/>
                <w:color w:val="FFFFFF"/>
                <w:sz w:val="14"/>
                <w:szCs w:val="14"/>
                <w:lang w:eastAsia="es-MX"/>
              </w:rPr>
            </w:pPr>
            <w:r w:rsidRPr="001C4513">
              <w:rPr>
                <w:rFonts w:asciiTheme="minorHAnsi" w:eastAsia="Times New Roman" w:hAnsiTheme="minorHAnsi" w:cstheme="minorHAnsi"/>
                <w:b/>
                <w:bCs/>
                <w:color w:val="FFFFFF"/>
                <w:sz w:val="14"/>
                <w:szCs w:val="14"/>
                <w:lang w:eastAsia="es-MX"/>
              </w:rPr>
              <w:t> </w:t>
            </w:r>
          </w:p>
        </w:tc>
        <w:tc>
          <w:tcPr>
            <w:tcW w:w="1489" w:type="dxa"/>
            <w:tcBorders>
              <w:top w:val="nil"/>
              <w:left w:val="nil"/>
              <w:bottom w:val="single" w:sz="4" w:space="0" w:color="auto"/>
              <w:right w:val="single" w:sz="4" w:space="0" w:color="auto"/>
            </w:tcBorders>
            <w:shd w:val="clear" w:color="000000" w:fill="AB0033"/>
            <w:vAlign w:val="center"/>
            <w:hideMark/>
          </w:tcPr>
          <w:p w14:paraId="361E4C9D" w14:textId="77777777" w:rsidR="003F3036" w:rsidRPr="001C4513" w:rsidRDefault="003F3036" w:rsidP="003F3036">
            <w:pPr>
              <w:spacing w:after="0" w:line="240" w:lineRule="auto"/>
              <w:jc w:val="center"/>
              <w:rPr>
                <w:rFonts w:asciiTheme="minorHAnsi" w:eastAsia="Times New Roman" w:hAnsiTheme="minorHAnsi" w:cstheme="minorHAnsi"/>
                <w:b/>
                <w:bCs/>
                <w:color w:val="FFFFFF"/>
                <w:sz w:val="14"/>
                <w:szCs w:val="14"/>
                <w:lang w:eastAsia="es-MX"/>
              </w:rPr>
            </w:pPr>
            <w:r w:rsidRPr="001C4513">
              <w:rPr>
                <w:rFonts w:asciiTheme="minorHAnsi" w:eastAsia="Times New Roman" w:hAnsiTheme="minorHAnsi" w:cstheme="minorHAnsi"/>
                <w:b/>
                <w:bCs/>
                <w:color w:val="FFFFFF"/>
                <w:sz w:val="14"/>
                <w:szCs w:val="14"/>
                <w:lang w:eastAsia="es-MX"/>
              </w:rPr>
              <w:t> </w:t>
            </w:r>
          </w:p>
        </w:tc>
        <w:tc>
          <w:tcPr>
            <w:tcW w:w="1100" w:type="dxa"/>
            <w:tcBorders>
              <w:top w:val="nil"/>
              <w:left w:val="nil"/>
              <w:bottom w:val="single" w:sz="4" w:space="0" w:color="auto"/>
              <w:right w:val="single" w:sz="4" w:space="0" w:color="auto"/>
            </w:tcBorders>
            <w:shd w:val="clear" w:color="000000" w:fill="AB0033"/>
            <w:vAlign w:val="center"/>
            <w:hideMark/>
          </w:tcPr>
          <w:p w14:paraId="436DE951" w14:textId="77777777" w:rsidR="003F3036" w:rsidRPr="001C4513" w:rsidRDefault="003F3036" w:rsidP="003F3036">
            <w:pPr>
              <w:spacing w:after="0" w:line="240" w:lineRule="auto"/>
              <w:jc w:val="center"/>
              <w:rPr>
                <w:rFonts w:asciiTheme="minorHAnsi" w:eastAsia="Times New Roman" w:hAnsiTheme="minorHAnsi" w:cstheme="minorHAnsi"/>
                <w:b/>
                <w:bCs/>
                <w:color w:val="FFFFFF"/>
                <w:sz w:val="14"/>
                <w:szCs w:val="14"/>
                <w:lang w:eastAsia="es-MX"/>
              </w:rPr>
            </w:pPr>
            <w:r w:rsidRPr="001C4513">
              <w:rPr>
                <w:rFonts w:asciiTheme="minorHAnsi" w:eastAsia="Times New Roman" w:hAnsiTheme="minorHAnsi" w:cstheme="minorHAnsi"/>
                <w:b/>
                <w:bCs/>
                <w:color w:val="FFFFFF"/>
                <w:sz w:val="14"/>
                <w:szCs w:val="14"/>
                <w:lang w:eastAsia="es-MX"/>
              </w:rPr>
              <w:t> </w:t>
            </w:r>
          </w:p>
        </w:tc>
        <w:tc>
          <w:tcPr>
            <w:tcW w:w="1060" w:type="dxa"/>
            <w:tcBorders>
              <w:top w:val="nil"/>
              <w:left w:val="nil"/>
              <w:bottom w:val="single" w:sz="4" w:space="0" w:color="auto"/>
              <w:right w:val="single" w:sz="4" w:space="0" w:color="auto"/>
            </w:tcBorders>
            <w:shd w:val="clear" w:color="000000" w:fill="AB0033"/>
            <w:vAlign w:val="center"/>
            <w:hideMark/>
          </w:tcPr>
          <w:p w14:paraId="6A9CB0CC" w14:textId="77777777" w:rsidR="003F3036" w:rsidRPr="001C4513" w:rsidRDefault="003F3036" w:rsidP="003F3036">
            <w:pPr>
              <w:spacing w:after="0" w:line="240" w:lineRule="auto"/>
              <w:jc w:val="center"/>
              <w:rPr>
                <w:rFonts w:asciiTheme="minorHAnsi" w:eastAsia="Times New Roman" w:hAnsiTheme="minorHAnsi" w:cstheme="minorHAnsi"/>
                <w:b/>
                <w:bCs/>
                <w:color w:val="FFFFFF"/>
                <w:sz w:val="14"/>
                <w:szCs w:val="14"/>
                <w:lang w:eastAsia="es-MX"/>
              </w:rPr>
            </w:pPr>
            <w:r w:rsidRPr="001C4513">
              <w:rPr>
                <w:rFonts w:asciiTheme="minorHAnsi" w:eastAsia="Times New Roman" w:hAnsiTheme="minorHAnsi" w:cstheme="minorHAnsi"/>
                <w:b/>
                <w:bCs/>
                <w:color w:val="FFFFFF"/>
                <w:sz w:val="14"/>
                <w:szCs w:val="14"/>
                <w:lang w:eastAsia="es-MX"/>
              </w:rPr>
              <w:t> </w:t>
            </w:r>
          </w:p>
        </w:tc>
      </w:tr>
      <w:tr w:rsidR="003F3036" w:rsidRPr="001C4513" w14:paraId="56BD8411" w14:textId="77777777" w:rsidTr="001C4513">
        <w:trPr>
          <w:trHeight w:val="29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24B4670E" w14:textId="77777777" w:rsidR="003F3036" w:rsidRPr="001C4513" w:rsidRDefault="003F3036" w:rsidP="003F3036">
            <w:pPr>
              <w:spacing w:after="0" w:line="240" w:lineRule="auto"/>
              <w:jc w:val="both"/>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Software</w:t>
            </w:r>
          </w:p>
        </w:tc>
        <w:tc>
          <w:tcPr>
            <w:tcW w:w="1455" w:type="dxa"/>
            <w:tcBorders>
              <w:top w:val="nil"/>
              <w:left w:val="nil"/>
              <w:bottom w:val="single" w:sz="4" w:space="0" w:color="auto"/>
              <w:right w:val="single" w:sz="4" w:space="0" w:color="auto"/>
            </w:tcBorders>
            <w:shd w:val="clear" w:color="auto" w:fill="auto"/>
            <w:vAlign w:val="center"/>
            <w:hideMark/>
          </w:tcPr>
          <w:p w14:paraId="37E24E44" w14:textId="77777777" w:rsidR="003F3036" w:rsidRPr="001C4513" w:rsidRDefault="003F3036" w:rsidP="003F3036">
            <w:pPr>
              <w:spacing w:after="0" w:line="240" w:lineRule="auto"/>
              <w:jc w:val="right"/>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12,254,806</w:t>
            </w:r>
          </w:p>
        </w:tc>
        <w:tc>
          <w:tcPr>
            <w:tcW w:w="1489" w:type="dxa"/>
            <w:tcBorders>
              <w:top w:val="nil"/>
              <w:left w:val="nil"/>
              <w:bottom w:val="single" w:sz="4" w:space="0" w:color="auto"/>
              <w:right w:val="single" w:sz="4" w:space="0" w:color="auto"/>
            </w:tcBorders>
            <w:shd w:val="clear" w:color="auto" w:fill="auto"/>
            <w:vAlign w:val="center"/>
            <w:hideMark/>
          </w:tcPr>
          <w:p w14:paraId="7FE159CC" w14:textId="77777777" w:rsidR="003F3036" w:rsidRPr="001C4513" w:rsidRDefault="003F3036" w:rsidP="003F3036">
            <w:pPr>
              <w:spacing w:after="0" w:line="240" w:lineRule="auto"/>
              <w:jc w:val="right"/>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-1,617,297</w:t>
            </w:r>
          </w:p>
        </w:tc>
        <w:tc>
          <w:tcPr>
            <w:tcW w:w="1100" w:type="dxa"/>
            <w:tcBorders>
              <w:top w:val="nil"/>
              <w:left w:val="nil"/>
              <w:bottom w:val="single" w:sz="4" w:space="0" w:color="auto"/>
              <w:right w:val="single" w:sz="4" w:space="0" w:color="auto"/>
            </w:tcBorders>
            <w:shd w:val="clear" w:color="auto" w:fill="auto"/>
            <w:vAlign w:val="center"/>
            <w:hideMark/>
          </w:tcPr>
          <w:p w14:paraId="033ED1D0" w14:textId="77777777" w:rsidR="003F3036" w:rsidRPr="001C4513" w:rsidRDefault="003F3036" w:rsidP="003F3036">
            <w:pPr>
              <w:spacing w:after="0" w:line="240" w:lineRule="auto"/>
              <w:jc w:val="right"/>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-1,057,409</w:t>
            </w:r>
          </w:p>
        </w:tc>
        <w:tc>
          <w:tcPr>
            <w:tcW w:w="1060" w:type="dxa"/>
            <w:tcBorders>
              <w:top w:val="nil"/>
              <w:left w:val="nil"/>
              <w:bottom w:val="single" w:sz="4" w:space="0" w:color="auto"/>
              <w:right w:val="single" w:sz="4" w:space="0" w:color="auto"/>
            </w:tcBorders>
            <w:shd w:val="clear" w:color="auto" w:fill="auto"/>
            <w:vAlign w:val="center"/>
            <w:hideMark/>
          </w:tcPr>
          <w:p w14:paraId="1C03BEDA" w14:textId="77777777" w:rsidR="003F3036" w:rsidRPr="001C4513" w:rsidRDefault="003F3036" w:rsidP="003F3036">
            <w:pPr>
              <w:spacing w:after="0" w:line="240" w:lineRule="auto"/>
              <w:jc w:val="center"/>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w:t>
            </w:r>
          </w:p>
        </w:tc>
      </w:tr>
      <w:tr w:rsidR="003F3036" w:rsidRPr="001C4513" w14:paraId="29125A0A" w14:textId="77777777" w:rsidTr="001C4513">
        <w:trPr>
          <w:trHeight w:val="29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3F806CF9" w14:textId="77777777" w:rsidR="003F3036" w:rsidRPr="001C4513" w:rsidRDefault="003F3036" w:rsidP="003F3036">
            <w:pPr>
              <w:spacing w:after="0" w:line="240" w:lineRule="auto"/>
              <w:jc w:val="both"/>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Licencia</w:t>
            </w:r>
          </w:p>
        </w:tc>
        <w:tc>
          <w:tcPr>
            <w:tcW w:w="1455" w:type="dxa"/>
            <w:tcBorders>
              <w:top w:val="nil"/>
              <w:left w:val="nil"/>
              <w:bottom w:val="single" w:sz="4" w:space="0" w:color="auto"/>
              <w:right w:val="single" w:sz="4" w:space="0" w:color="auto"/>
            </w:tcBorders>
            <w:shd w:val="clear" w:color="auto" w:fill="auto"/>
            <w:vAlign w:val="center"/>
            <w:hideMark/>
          </w:tcPr>
          <w:p w14:paraId="3CE15C68" w14:textId="77777777" w:rsidR="003F3036" w:rsidRPr="001C4513" w:rsidRDefault="003F3036" w:rsidP="003F3036">
            <w:pPr>
              <w:spacing w:after="0" w:line="240" w:lineRule="auto"/>
              <w:jc w:val="right"/>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52,500</w:t>
            </w:r>
          </w:p>
        </w:tc>
        <w:tc>
          <w:tcPr>
            <w:tcW w:w="1489" w:type="dxa"/>
            <w:tcBorders>
              <w:top w:val="nil"/>
              <w:left w:val="nil"/>
              <w:bottom w:val="single" w:sz="4" w:space="0" w:color="auto"/>
              <w:right w:val="single" w:sz="4" w:space="0" w:color="auto"/>
            </w:tcBorders>
            <w:shd w:val="clear" w:color="auto" w:fill="auto"/>
            <w:vAlign w:val="center"/>
            <w:hideMark/>
          </w:tcPr>
          <w:p w14:paraId="2CA2D45B" w14:textId="77777777" w:rsidR="003F3036" w:rsidRPr="001C4513" w:rsidRDefault="003F3036" w:rsidP="003F3036">
            <w:pPr>
              <w:spacing w:after="0" w:line="240" w:lineRule="auto"/>
              <w:jc w:val="right"/>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 </w:t>
            </w:r>
          </w:p>
        </w:tc>
        <w:tc>
          <w:tcPr>
            <w:tcW w:w="1100" w:type="dxa"/>
            <w:tcBorders>
              <w:top w:val="nil"/>
              <w:left w:val="nil"/>
              <w:bottom w:val="single" w:sz="4" w:space="0" w:color="auto"/>
              <w:right w:val="single" w:sz="4" w:space="0" w:color="auto"/>
            </w:tcBorders>
            <w:shd w:val="clear" w:color="auto" w:fill="auto"/>
            <w:vAlign w:val="center"/>
            <w:hideMark/>
          </w:tcPr>
          <w:p w14:paraId="7DB960FA" w14:textId="77777777" w:rsidR="003F3036" w:rsidRPr="001C4513" w:rsidRDefault="003F3036" w:rsidP="003F3036">
            <w:pPr>
              <w:spacing w:after="0" w:line="240" w:lineRule="auto"/>
              <w:jc w:val="right"/>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 </w:t>
            </w:r>
          </w:p>
        </w:tc>
        <w:tc>
          <w:tcPr>
            <w:tcW w:w="1060" w:type="dxa"/>
            <w:tcBorders>
              <w:top w:val="nil"/>
              <w:left w:val="nil"/>
              <w:bottom w:val="single" w:sz="4" w:space="0" w:color="auto"/>
              <w:right w:val="single" w:sz="4" w:space="0" w:color="auto"/>
            </w:tcBorders>
            <w:shd w:val="clear" w:color="auto" w:fill="auto"/>
            <w:vAlign w:val="center"/>
            <w:hideMark/>
          </w:tcPr>
          <w:p w14:paraId="4BCA4052" w14:textId="77777777" w:rsidR="003F3036" w:rsidRPr="001C4513" w:rsidRDefault="003F3036" w:rsidP="003F3036">
            <w:pPr>
              <w:spacing w:after="0" w:line="240" w:lineRule="auto"/>
              <w:jc w:val="center"/>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w:t>
            </w:r>
          </w:p>
        </w:tc>
      </w:tr>
      <w:tr w:rsidR="003F3036" w:rsidRPr="001C4513" w14:paraId="23D67F33" w14:textId="77777777" w:rsidTr="001C4513">
        <w:trPr>
          <w:trHeight w:val="29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4014F9B7" w14:textId="77777777" w:rsidR="003F3036" w:rsidRPr="001C4513" w:rsidRDefault="003F3036" w:rsidP="003F3036">
            <w:pPr>
              <w:spacing w:after="0" w:line="240" w:lineRule="auto"/>
              <w:jc w:val="both"/>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Concesiones y Franquicias</w:t>
            </w:r>
          </w:p>
        </w:tc>
        <w:tc>
          <w:tcPr>
            <w:tcW w:w="1455" w:type="dxa"/>
            <w:tcBorders>
              <w:top w:val="nil"/>
              <w:left w:val="nil"/>
              <w:bottom w:val="single" w:sz="4" w:space="0" w:color="auto"/>
              <w:right w:val="single" w:sz="4" w:space="0" w:color="auto"/>
            </w:tcBorders>
            <w:shd w:val="clear" w:color="auto" w:fill="auto"/>
            <w:vAlign w:val="center"/>
            <w:hideMark/>
          </w:tcPr>
          <w:p w14:paraId="7FBCB147" w14:textId="77777777" w:rsidR="003F3036" w:rsidRPr="001C4513" w:rsidRDefault="003F3036" w:rsidP="003F3036">
            <w:pPr>
              <w:spacing w:after="0" w:line="240" w:lineRule="auto"/>
              <w:jc w:val="right"/>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467,533,916</w:t>
            </w:r>
          </w:p>
        </w:tc>
        <w:tc>
          <w:tcPr>
            <w:tcW w:w="1489" w:type="dxa"/>
            <w:tcBorders>
              <w:top w:val="nil"/>
              <w:left w:val="nil"/>
              <w:bottom w:val="single" w:sz="4" w:space="0" w:color="auto"/>
              <w:right w:val="single" w:sz="4" w:space="0" w:color="auto"/>
            </w:tcBorders>
            <w:shd w:val="clear" w:color="auto" w:fill="auto"/>
            <w:vAlign w:val="center"/>
            <w:hideMark/>
          </w:tcPr>
          <w:p w14:paraId="04E9DBCB" w14:textId="77777777" w:rsidR="003F3036" w:rsidRPr="001C4513" w:rsidRDefault="003F3036" w:rsidP="003F3036">
            <w:pPr>
              <w:spacing w:after="0" w:line="240" w:lineRule="auto"/>
              <w:jc w:val="right"/>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-402,390,957</w:t>
            </w:r>
          </w:p>
        </w:tc>
        <w:tc>
          <w:tcPr>
            <w:tcW w:w="1100" w:type="dxa"/>
            <w:tcBorders>
              <w:top w:val="nil"/>
              <w:left w:val="nil"/>
              <w:bottom w:val="single" w:sz="4" w:space="0" w:color="auto"/>
              <w:right w:val="single" w:sz="4" w:space="0" w:color="auto"/>
            </w:tcBorders>
            <w:shd w:val="clear" w:color="auto" w:fill="auto"/>
            <w:vAlign w:val="center"/>
            <w:hideMark/>
          </w:tcPr>
          <w:p w14:paraId="1AA1BCE9" w14:textId="77777777" w:rsidR="003F3036" w:rsidRPr="001C4513" w:rsidRDefault="003F3036" w:rsidP="003F3036">
            <w:pPr>
              <w:spacing w:after="0" w:line="240" w:lineRule="auto"/>
              <w:jc w:val="right"/>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-15,584,460</w:t>
            </w:r>
          </w:p>
        </w:tc>
        <w:tc>
          <w:tcPr>
            <w:tcW w:w="1060" w:type="dxa"/>
            <w:tcBorders>
              <w:top w:val="nil"/>
              <w:left w:val="nil"/>
              <w:bottom w:val="single" w:sz="4" w:space="0" w:color="auto"/>
              <w:right w:val="single" w:sz="4" w:space="0" w:color="auto"/>
            </w:tcBorders>
            <w:shd w:val="clear" w:color="auto" w:fill="auto"/>
            <w:vAlign w:val="center"/>
            <w:hideMark/>
          </w:tcPr>
          <w:p w14:paraId="49D8F908" w14:textId="77777777" w:rsidR="003F3036" w:rsidRPr="001C4513" w:rsidRDefault="003F3036" w:rsidP="003F3036">
            <w:pPr>
              <w:spacing w:after="0" w:line="240" w:lineRule="auto"/>
              <w:jc w:val="center"/>
              <w:rPr>
                <w:rFonts w:asciiTheme="minorHAnsi" w:eastAsia="Times New Roman" w:hAnsiTheme="minorHAnsi" w:cstheme="minorHAnsi"/>
                <w:color w:val="000000"/>
                <w:sz w:val="14"/>
                <w:szCs w:val="14"/>
                <w:lang w:eastAsia="es-MX"/>
              </w:rPr>
            </w:pPr>
            <w:r w:rsidRPr="001C4513">
              <w:rPr>
                <w:rFonts w:asciiTheme="minorHAnsi" w:eastAsia="Times New Roman" w:hAnsiTheme="minorHAnsi" w:cstheme="minorHAnsi"/>
                <w:color w:val="000000"/>
                <w:sz w:val="14"/>
                <w:szCs w:val="14"/>
                <w:lang w:eastAsia="es-MX"/>
              </w:rPr>
              <w:t>*</w:t>
            </w:r>
          </w:p>
        </w:tc>
      </w:tr>
      <w:tr w:rsidR="003F3036" w:rsidRPr="001C4513" w14:paraId="3BF6AEDA" w14:textId="77777777" w:rsidTr="001F3097">
        <w:trPr>
          <w:trHeight w:val="284"/>
        </w:trPr>
        <w:tc>
          <w:tcPr>
            <w:tcW w:w="3360" w:type="dxa"/>
            <w:tcBorders>
              <w:top w:val="nil"/>
              <w:left w:val="single" w:sz="4" w:space="0" w:color="auto"/>
              <w:bottom w:val="single" w:sz="4" w:space="0" w:color="auto"/>
              <w:right w:val="single" w:sz="4" w:space="0" w:color="auto"/>
            </w:tcBorders>
            <w:shd w:val="clear" w:color="000000" w:fill="DDC9A3"/>
            <w:vAlign w:val="center"/>
            <w:hideMark/>
          </w:tcPr>
          <w:p w14:paraId="76DA9274" w14:textId="77777777" w:rsidR="003F3036" w:rsidRPr="001C4513" w:rsidRDefault="003F3036" w:rsidP="003F3036">
            <w:pPr>
              <w:spacing w:after="0" w:line="240" w:lineRule="auto"/>
              <w:jc w:val="center"/>
              <w:rPr>
                <w:rFonts w:asciiTheme="minorHAnsi" w:eastAsia="Times New Roman" w:hAnsiTheme="minorHAnsi" w:cstheme="minorHAnsi"/>
                <w:b/>
                <w:bCs/>
                <w:color w:val="000000"/>
                <w:sz w:val="14"/>
                <w:szCs w:val="14"/>
                <w:lang w:eastAsia="es-MX"/>
              </w:rPr>
            </w:pPr>
            <w:r w:rsidRPr="001C4513">
              <w:rPr>
                <w:rFonts w:asciiTheme="minorHAnsi" w:eastAsia="Times New Roman" w:hAnsiTheme="minorHAnsi" w:cstheme="minorHAnsi"/>
                <w:b/>
                <w:bCs/>
                <w:color w:val="000000"/>
                <w:sz w:val="14"/>
                <w:szCs w:val="14"/>
                <w:lang w:eastAsia="es-MX"/>
              </w:rPr>
              <w:t>TOTAL</w:t>
            </w:r>
          </w:p>
        </w:tc>
        <w:tc>
          <w:tcPr>
            <w:tcW w:w="1455" w:type="dxa"/>
            <w:tcBorders>
              <w:top w:val="nil"/>
              <w:left w:val="nil"/>
              <w:bottom w:val="single" w:sz="4" w:space="0" w:color="auto"/>
              <w:right w:val="single" w:sz="4" w:space="0" w:color="auto"/>
            </w:tcBorders>
            <w:shd w:val="clear" w:color="000000" w:fill="DDC9A3"/>
            <w:vAlign w:val="center"/>
            <w:hideMark/>
          </w:tcPr>
          <w:p w14:paraId="3A315E8F" w14:textId="77777777" w:rsidR="003F3036" w:rsidRPr="001C4513" w:rsidRDefault="003F3036" w:rsidP="003F3036">
            <w:pPr>
              <w:spacing w:after="0" w:line="240" w:lineRule="auto"/>
              <w:jc w:val="right"/>
              <w:rPr>
                <w:rFonts w:asciiTheme="minorHAnsi" w:eastAsia="Times New Roman" w:hAnsiTheme="minorHAnsi" w:cstheme="minorHAnsi"/>
                <w:b/>
                <w:bCs/>
                <w:color w:val="000000"/>
                <w:sz w:val="14"/>
                <w:szCs w:val="14"/>
                <w:lang w:eastAsia="es-MX"/>
              </w:rPr>
            </w:pPr>
            <w:r w:rsidRPr="001C4513">
              <w:rPr>
                <w:rFonts w:asciiTheme="minorHAnsi" w:eastAsia="Times New Roman" w:hAnsiTheme="minorHAnsi" w:cstheme="minorHAnsi"/>
                <w:b/>
                <w:bCs/>
                <w:color w:val="000000"/>
                <w:sz w:val="14"/>
                <w:szCs w:val="14"/>
                <w:lang w:eastAsia="es-MX"/>
              </w:rPr>
              <w:t>724,487,722</w:t>
            </w:r>
          </w:p>
        </w:tc>
        <w:tc>
          <w:tcPr>
            <w:tcW w:w="1489" w:type="dxa"/>
            <w:tcBorders>
              <w:top w:val="nil"/>
              <w:left w:val="nil"/>
              <w:bottom w:val="single" w:sz="4" w:space="0" w:color="auto"/>
              <w:right w:val="single" w:sz="4" w:space="0" w:color="auto"/>
            </w:tcBorders>
            <w:shd w:val="clear" w:color="000000" w:fill="DDC9A3"/>
            <w:vAlign w:val="center"/>
            <w:hideMark/>
          </w:tcPr>
          <w:p w14:paraId="13055584" w14:textId="77777777" w:rsidR="003F3036" w:rsidRPr="001C4513" w:rsidRDefault="003F3036" w:rsidP="003F3036">
            <w:pPr>
              <w:spacing w:after="0" w:line="240" w:lineRule="auto"/>
              <w:jc w:val="right"/>
              <w:rPr>
                <w:rFonts w:asciiTheme="minorHAnsi" w:eastAsia="Times New Roman" w:hAnsiTheme="minorHAnsi" w:cstheme="minorHAnsi"/>
                <w:b/>
                <w:bCs/>
                <w:color w:val="000000"/>
                <w:sz w:val="14"/>
                <w:szCs w:val="14"/>
                <w:lang w:eastAsia="es-MX"/>
              </w:rPr>
            </w:pPr>
            <w:r w:rsidRPr="001C4513">
              <w:rPr>
                <w:rFonts w:asciiTheme="minorHAnsi" w:eastAsia="Times New Roman" w:hAnsiTheme="minorHAnsi" w:cstheme="minorHAnsi"/>
                <w:b/>
                <w:bCs/>
                <w:color w:val="000000"/>
                <w:sz w:val="14"/>
                <w:szCs w:val="14"/>
                <w:lang w:eastAsia="es-MX"/>
              </w:rPr>
              <w:t>-628,323,489</w:t>
            </w:r>
          </w:p>
        </w:tc>
        <w:tc>
          <w:tcPr>
            <w:tcW w:w="1100" w:type="dxa"/>
            <w:tcBorders>
              <w:top w:val="nil"/>
              <w:left w:val="nil"/>
              <w:bottom w:val="single" w:sz="4" w:space="0" w:color="auto"/>
              <w:right w:val="single" w:sz="4" w:space="0" w:color="auto"/>
            </w:tcBorders>
            <w:shd w:val="clear" w:color="000000" w:fill="DDC9A3"/>
            <w:vAlign w:val="center"/>
            <w:hideMark/>
          </w:tcPr>
          <w:p w14:paraId="4EAE59F5" w14:textId="77777777" w:rsidR="003F3036" w:rsidRPr="001C4513" w:rsidRDefault="003F3036" w:rsidP="003F3036">
            <w:pPr>
              <w:spacing w:after="0" w:line="240" w:lineRule="auto"/>
              <w:jc w:val="right"/>
              <w:rPr>
                <w:rFonts w:asciiTheme="minorHAnsi" w:eastAsia="Times New Roman" w:hAnsiTheme="minorHAnsi" w:cstheme="minorHAnsi"/>
                <w:b/>
                <w:bCs/>
                <w:color w:val="000000"/>
                <w:sz w:val="14"/>
                <w:szCs w:val="14"/>
                <w:lang w:eastAsia="es-MX"/>
              </w:rPr>
            </w:pPr>
            <w:r w:rsidRPr="001C4513">
              <w:rPr>
                <w:rFonts w:asciiTheme="minorHAnsi" w:eastAsia="Times New Roman" w:hAnsiTheme="minorHAnsi" w:cstheme="minorHAnsi"/>
                <w:b/>
                <w:bCs/>
                <w:color w:val="000000"/>
                <w:sz w:val="14"/>
                <w:szCs w:val="14"/>
                <w:lang w:eastAsia="es-MX"/>
              </w:rPr>
              <w:t>-19,031,669</w:t>
            </w:r>
          </w:p>
        </w:tc>
        <w:tc>
          <w:tcPr>
            <w:tcW w:w="1060" w:type="dxa"/>
            <w:tcBorders>
              <w:top w:val="nil"/>
              <w:left w:val="nil"/>
              <w:bottom w:val="single" w:sz="4" w:space="0" w:color="auto"/>
              <w:right w:val="single" w:sz="4" w:space="0" w:color="auto"/>
            </w:tcBorders>
            <w:shd w:val="clear" w:color="000000" w:fill="DDC9A3"/>
            <w:vAlign w:val="center"/>
            <w:hideMark/>
          </w:tcPr>
          <w:p w14:paraId="11BDDDE7" w14:textId="77777777" w:rsidR="003F3036" w:rsidRPr="001C4513" w:rsidRDefault="003F3036" w:rsidP="003F3036">
            <w:pPr>
              <w:spacing w:after="0" w:line="240" w:lineRule="auto"/>
              <w:jc w:val="right"/>
              <w:rPr>
                <w:rFonts w:asciiTheme="minorHAnsi" w:eastAsia="Times New Roman" w:hAnsiTheme="minorHAnsi" w:cstheme="minorHAnsi"/>
                <w:b/>
                <w:bCs/>
                <w:color w:val="000000"/>
                <w:sz w:val="14"/>
                <w:szCs w:val="14"/>
                <w:lang w:eastAsia="es-MX"/>
              </w:rPr>
            </w:pPr>
            <w:r w:rsidRPr="001C4513">
              <w:rPr>
                <w:rFonts w:asciiTheme="minorHAnsi" w:eastAsia="Times New Roman" w:hAnsiTheme="minorHAnsi" w:cstheme="minorHAnsi"/>
                <w:b/>
                <w:bCs/>
                <w:color w:val="000000"/>
                <w:sz w:val="14"/>
                <w:szCs w:val="14"/>
                <w:lang w:eastAsia="es-MX"/>
              </w:rPr>
              <w:t> </w:t>
            </w:r>
          </w:p>
        </w:tc>
      </w:tr>
    </w:tbl>
    <w:p w14:paraId="7FCC3C86" w14:textId="77777777" w:rsidR="008708D2" w:rsidRPr="005F45A3" w:rsidRDefault="00587F1E" w:rsidP="00B4706F">
      <w:pPr>
        <w:spacing w:after="0" w:line="240" w:lineRule="auto"/>
        <w:jc w:val="both"/>
        <w:rPr>
          <w:rFonts w:asciiTheme="minorHAnsi" w:hAnsiTheme="minorHAnsi" w:cstheme="minorHAnsi"/>
          <w:sz w:val="16"/>
          <w:szCs w:val="16"/>
          <w:lang w:val="es-ES" w:eastAsia="es-ES"/>
        </w:rPr>
      </w:pPr>
      <w:r w:rsidRPr="005F45A3">
        <w:rPr>
          <w:rFonts w:asciiTheme="minorHAnsi" w:hAnsiTheme="minorHAnsi" w:cstheme="minorHAnsi"/>
          <w:sz w:val="16"/>
          <w:szCs w:val="16"/>
          <w:lang w:val="es-ES" w:eastAsia="es-ES"/>
        </w:rPr>
        <w:t xml:space="preserve">  </w:t>
      </w:r>
    </w:p>
    <w:p w14:paraId="7B1898E4" w14:textId="77777777" w:rsidR="0082143F" w:rsidRPr="005F45A3" w:rsidRDefault="00B4706F" w:rsidP="00283828">
      <w:pPr>
        <w:spacing w:after="0" w:line="240" w:lineRule="auto"/>
        <w:jc w:val="both"/>
        <w:rPr>
          <w:rFonts w:asciiTheme="minorHAnsi" w:eastAsia="Times New Roman" w:hAnsiTheme="minorHAnsi" w:cstheme="minorHAnsi"/>
          <w:sz w:val="14"/>
          <w:szCs w:val="14"/>
          <w:lang w:eastAsia="es-ES"/>
        </w:rPr>
      </w:pPr>
      <w:r w:rsidRPr="005F45A3">
        <w:rPr>
          <w:rFonts w:asciiTheme="minorHAnsi" w:eastAsia="Times New Roman" w:hAnsiTheme="minorHAnsi" w:cstheme="minorHAnsi"/>
          <w:sz w:val="14"/>
          <w:szCs w:val="14"/>
          <w:lang w:eastAsia="es-ES"/>
        </w:rPr>
        <w:t>*La columna de depreciación acumulada incluye los cargos por depreciación de los Activos Intangibles otorgados en comodato, los cuales se registran en la Partida de Otros Activos No Circulantes del Estado de Situación Financiera</w:t>
      </w:r>
    </w:p>
    <w:p w14:paraId="79AE63B4" w14:textId="77777777" w:rsidR="00B4706F" w:rsidRPr="005F45A3" w:rsidRDefault="004352F1" w:rsidP="00283828">
      <w:pPr>
        <w:spacing w:after="0" w:line="240" w:lineRule="auto"/>
        <w:jc w:val="both"/>
        <w:rPr>
          <w:rFonts w:asciiTheme="minorHAnsi" w:eastAsia="Times New Roman" w:hAnsiTheme="minorHAnsi" w:cstheme="minorHAnsi"/>
          <w:sz w:val="14"/>
          <w:szCs w:val="14"/>
          <w:lang w:eastAsia="es-ES"/>
        </w:rPr>
      </w:pPr>
      <w:r w:rsidRPr="005F45A3">
        <w:rPr>
          <w:rFonts w:asciiTheme="minorHAnsi" w:eastAsia="Times New Roman" w:hAnsiTheme="minorHAnsi" w:cstheme="minorHAnsi"/>
          <w:sz w:val="14"/>
          <w:szCs w:val="14"/>
          <w:lang w:eastAsia="es-ES"/>
        </w:rPr>
        <w:t>*</w:t>
      </w:r>
      <w:r w:rsidR="00B4706F" w:rsidRPr="005F45A3">
        <w:rPr>
          <w:rFonts w:asciiTheme="minorHAnsi" w:eastAsia="Times New Roman" w:hAnsiTheme="minorHAnsi" w:cstheme="minorHAnsi"/>
          <w:sz w:val="14"/>
          <w:szCs w:val="14"/>
          <w:lang w:eastAsia="es-ES"/>
        </w:rPr>
        <w:t xml:space="preserve">Las tasas </w:t>
      </w:r>
      <w:r w:rsidRPr="005F45A3">
        <w:rPr>
          <w:rFonts w:asciiTheme="minorHAnsi" w:eastAsia="Times New Roman" w:hAnsiTheme="minorHAnsi" w:cstheme="minorHAnsi"/>
          <w:sz w:val="14"/>
          <w:szCs w:val="14"/>
          <w:lang w:eastAsia="es-ES"/>
        </w:rPr>
        <w:t>exactas de depreciación se enlistan en las notas de gestión administrativa ya que están dadas por clase de activo.</w:t>
      </w:r>
    </w:p>
    <w:p w14:paraId="634B9364" w14:textId="77777777" w:rsidR="00AA297A" w:rsidRDefault="00AA297A" w:rsidP="00283828">
      <w:pPr>
        <w:spacing w:after="0" w:line="240" w:lineRule="auto"/>
        <w:jc w:val="both"/>
        <w:rPr>
          <w:rFonts w:asciiTheme="minorHAnsi" w:eastAsia="Times New Roman" w:hAnsiTheme="minorHAnsi" w:cstheme="minorHAnsi"/>
          <w:sz w:val="18"/>
          <w:szCs w:val="18"/>
          <w:lang w:eastAsia="es-ES"/>
        </w:rPr>
      </w:pPr>
    </w:p>
    <w:p w14:paraId="3233DA6A" w14:textId="07FB0328" w:rsidR="0082143F" w:rsidRPr="00B46E26" w:rsidRDefault="00B46E26" w:rsidP="00283828">
      <w:pPr>
        <w:spacing w:after="0" w:line="240" w:lineRule="auto"/>
        <w:jc w:val="both"/>
        <w:rPr>
          <w:rFonts w:asciiTheme="minorHAnsi" w:eastAsia="Times New Roman" w:hAnsiTheme="minorHAnsi" w:cstheme="minorHAnsi"/>
          <w:sz w:val="18"/>
          <w:szCs w:val="18"/>
          <w:lang w:eastAsia="es-ES"/>
        </w:rPr>
      </w:pPr>
      <w:r w:rsidRPr="00B46E26">
        <w:rPr>
          <w:rFonts w:asciiTheme="minorHAnsi" w:eastAsia="Times New Roman" w:hAnsiTheme="minorHAnsi" w:cstheme="minorHAnsi"/>
          <w:sz w:val="18"/>
          <w:szCs w:val="18"/>
          <w:lang w:eastAsia="es-ES"/>
        </w:rPr>
        <w:t>El rubro más significativo de Concesiones</w:t>
      </w:r>
      <w:r w:rsidR="00AA297A">
        <w:rPr>
          <w:rFonts w:asciiTheme="minorHAnsi" w:eastAsia="Times New Roman" w:hAnsiTheme="minorHAnsi" w:cstheme="minorHAnsi"/>
          <w:sz w:val="18"/>
          <w:szCs w:val="18"/>
          <w:lang w:eastAsia="es-ES"/>
        </w:rPr>
        <w:t xml:space="preserve"> corresponde a la inversión inicial de la construcción del Puente Internacional Nuevo Laredo III en base a la concesión otorgada el 30 de julio de 1996 al Gobierno Federal a través de la Secretaría de Comunicaciones y Transportes para construir, operar, explotar, conservar y mantener el puente internacional.</w:t>
      </w:r>
    </w:p>
    <w:p w14:paraId="6FD1D05C" w14:textId="77777777" w:rsidR="00B46E26" w:rsidRPr="005F45A3" w:rsidRDefault="00B46E26" w:rsidP="00283828">
      <w:pPr>
        <w:spacing w:after="0" w:line="240" w:lineRule="auto"/>
        <w:jc w:val="both"/>
        <w:rPr>
          <w:rFonts w:asciiTheme="minorHAnsi" w:eastAsia="Times New Roman" w:hAnsiTheme="minorHAnsi" w:cstheme="minorHAnsi"/>
          <w:sz w:val="28"/>
          <w:szCs w:val="18"/>
          <w:lang w:eastAsia="es-ES"/>
        </w:rPr>
      </w:pPr>
    </w:p>
    <w:p w14:paraId="7ADC2DC5" w14:textId="77777777" w:rsidR="004352F1" w:rsidRPr="00686668" w:rsidRDefault="004352F1" w:rsidP="00250D2A">
      <w:pPr>
        <w:pStyle w:val="Texto"/>
        <w:spacing w:after="0" w:line="240" w:lineRule="exact"/>
        <w:ind w:hanging="4"/>
        <w:rPr>
          <w:rFonts w:asciiTheme="minorHAnsi" w:hAnsiTheme="minorHAnsi" w:cstheme="minorHAnsi"/>
          <w:b/>
          <w:sz w:val="20"/>
          <w:szCs w:val="18"/>
          <w:lang w:val="es-MX"/>
        </w:rPr>
      </w:pPr>
      <w:r w:rsidRPr="00686668">
        <w:rPr>
          <w:rFonts w:asciiTheme="minorHAnsi" w:hAnsiTheme="minorHAnsi" w:cstheme="minorHAnsi"/>
          <w:b/>
          <w:sz w:val="20"/>
          <w:szCs w:val="18"/>
          <w:lang w:val="es-MX"/>
        </w:rPr>
        <w:t>Activo Diferido</w:t>
      </w:r>
    </w:p>
    <w:p w14:paraId="6BD4CCC9" w14:textId="77777777" w:rsidR="00421CDA" w:rsidRPr="005F45A3" w:rsidRDefault="00421CDA" w:rsidP="004352F1">
      <w:pPr>
        <w:pStyle w:val="Texto"/>
        <w:spacing w:after="0" w:line="240" w:lineRule="exact"/>
        <w:ind w:left="288" w:firstLine="360"/>
        <w:rPr>
          <w:rFonts w:asciiTheme="minorHAnsi" w:hAnsiTheme="minorHAnsi" w:cstheme="minorHAnsi"/>
          <w:szCs w:val="18"/>
          <w:lang w:val="es-MX"/>
        </w:rPr>
      </w:pPr>
    </w:p>
    <w:p w14:paraId="5DC11C5A" w14:textId="5F6D6E50" w:rsidR="00B4706F" w:rsidRPr="00823B51" w:rsidRDefault="00872D46" w:rsidP="00B46FFA">
      <w:pPr>
        <w:pStyle w:val="Prrafodelista"/>
        <w:numPr>
          <w:ilvl w:val="0"/>
          <w:numId w:val="26"/>
        </w:numPr>
        <w:spacing w:after="0" w:line="240" w:lineRule="auto"/>
        <w:ind w:left="284" w:hanging="284"/>
        <w:rPr>
          <w:rFonts w:asciiTheme="minorHAnsi" w:eastAsia="Times New Roman" w:hAnsiTheme="minorHAnsi" w:cstheme="minorHAnsi"/>
          <w:sz w:val="18"/>
          <w:szCs w:val="18"/>
          <w:lang w:eastAsia="es-ES"/>
        </w:rPr>
      </w:pPr>
      <w:r w:rsidRPr="00823B51">
        <w:rPr>
          <w:rFonts w:asciiTheme="minorHAnsi" w:eastAsia="Times New Roman" w:hAnsiTheme="minorHAnsi" w:cstheme="minorHAnsi"/>
          <w:sz w:val="18"/>
          <w:szCs w:val="18"/>
          <w:lang w:eastAsia="es-ES"/>
        </w:rPr>
        <w:t>El saldo del Activo Diferido se compone de:</w:t>
      </w:r>
    </w:p>
    <w:p w14:paraId="546980BC" w14:textId="77777777" w:rsidR="00713775" w:rsidRPr="005F45A3" w:rsidRDefault="00713775" w:rsidP="00713775">
      <w:pPr>
        <w:spacing w:after="0" w:line="240" w:lineRule="auto"/>
        <w:rPr>
          <w:rFonts w:asciiTheme="minorHAnsi" w:eastAsia="Times New Roman" w:hAnsiTheme="minorHAnsi" w:cstheme="minorHAnsi"/>
          <w:sz w:val="18"/>
          <w:szCs w:val="18"/>
          <w:lang w:eastAsia="es-ES"/>
        </w:rPr>
      </w:pPr>
    </w:p>
    <w:tbl>
      <w:tblPr>
        <w:tblW w:w="6382" w:type="dxa"/>
        <w:tblCellMar>
          <w:left w:w="70" w:type="dxa"/>
          <w:right w:w="70" w:type="dxa"/>
        </w:tblCellMar>
        <w:tblLook w:val="04A0" w:firstRow="1" w:lastRow="0" w:firstColumn="1" w:lastColumn="0" w:noHBand="0" w:noVBand="1"/>
      </w:tblPr>
      <w:tblGrid>
        <w:gridCol w:w="4390"/>
        <w:gridCol w:w="1992"/>
      </w:tblGrid>
      <w:tr w:rsidR="005D4A9A" w:rsidRPr="005D4A9A" w14:paraId="1C67C46C" w14:textId="77777777" w:rsidTr="001F3097">
        <w:trPr>
          <w:trHeight w:val="300"/>
        </w:trPr>
        <w:tc>
          <w:tcPr>
            <w:tcW w:w="439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4566D4FD" w14:textId="77777777" w:rsidR="005D4A9A" w:rsidRPr="005D4A9A" w:rsidRDefault="005D4A9A" w:rsidP="005D4A9A">
            <w:pPr>
              <w:spacing w:after="0" w:line="240" w:lineRule="auto"/>
              <w:jc w:val="center"/>
              <w:rPr>
                <w:rFonts w:eastAsia="Times New Roman" w:cs="Calibri"/>
                <w:b/>
                <w:bCs/>
                <w:color w:val="FFFFFF"/>
                <w:sz w:val="16"/>
                <w:szCs w:val="16"/>
                <w:lang w:eastAsia="es-MX"/>
              </w:rPr>
            </w:pPr>
            <w:r w:rsidRPr="005D4A9A">
              <w:rPr>
                <w:rFonts w:eastAsia="Times New Roman" w:cs="Calibri"/>
                <w:b/>
                <w:bCs/>
                <w:color w:val="FFFFFF"/>
                <w:sz w:val="16"/>
                <w:szCs w:val="16"/>
                <w:lang w:eastAsia="es-MX"/>
              </w:rPr>
              <w:t>Activos Diferidos</w:t>
            </w:r>
          </w:p>
        </w:tc>
        <w:tc>
          <w:tcPr>
            <w:tcW w:w="1992" w:type="dxa"/>
            <w:tcBorders>
              <w:top w:val="single" w:sz="4" w:space="0" w:color="auto"/>
              <w:left w:val="nil"/>
              <w:bottom w:val="single" w:sz="4" w:space="0" w:color="auto"/>
              <w:right w:val="single" w:sz="4" w:space="0" w:color="auto"/>
            </w:tcBorders>
            <w:shd w:val="clear" w:color="000000" w:fill="AB0033"/>
            <w:vAlign w:val="center"/>
            <w:hideMark/>
          </w:tcPr>
          <w:p w14:paraId="1505D923" w14:textId="77777777" w:rsidR="005D4A9A" w:rsidRPr="005D4A9A" w:rsidRDefault="005D4A9A" w:rsidP="005D4A9A">
            <w:pPr>
              <w:spacing w:after="0" w:line="240" w:lineRule="auto"/>
              <w:jc w:val="center"/>
              <w:rPr>
                <w:rFonts w:eastAsia="Times New Roman" w:cs="Calibri"/>
                <w:b/>
                <w:bCs/>
                <w:color w:val="FFFFFF"/>
                <w:sz w:val="16"/>
                <w:szCs w:val="16"/>
                <w:lang w:eastAsia="es-MX"/>
              </w:rPr>
            </w:pPr>
            <w:r w:rsidRPr="005D4A9A">
              <w:rPr>
                <w:rFonts w:eastAsia="Times New Roman" w:cs="Calibri"/>
                <w:b/>
                <w:bCs/>
                <w:color w:val="FFFFFF"/>
                <w:sz w:val="16"/>
                <w:szCs w:val="16"/>
                <w:lang w:eastAsia="es-MX"/>
              </w:rPr>
              <w:t>Importe</w:t>
            </w:r>
          </w:p>
        </w:tc>
      </w:tr>
      <w:tr w:rsidR="005D4A9A" w:rsidRPr="00250D2A" w14:paraId="772DD00D" w14:textId="77777777" w:rsidTr="001F3097">
        <w:trPr>
          <w:trHeight w:val="35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53E71942" w14:textId="77777777" w:rsidR="005D4A9A" w:rsidRPr="00250D2A" w:rsidRDefault="005D4A9A" w:rsidP="005D4A9A">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Crédito  6'000 MDP Fid. No. 904 ISN Banorte</w:t>
            </w:r>
          </w:p>
        </w:tc>
        <w:tc>
          <w:tcPr>
            <w:tcW w:w="1992" w:type="dxa"/>
            <w:tcBorders>
              <w:top w:val="nil"/>
              <w:left w:val="nil"/>
              <w:bottom w:val="single" w:sz="4" w:space="0" w:color="auto"/>
              <w:right w:val="single" w:sz="4" w:space="0" w:color="auto"/>
            </w:tcBorders>
            <w:shd w:val="clear" w:color="auto" w:fill="auto"/>
            <w:noWrap/>
            <w:vAlign w:val="center"/>
            <w:hideMark/>
          </w:tcPr>
          <w:p w14:paraId="63C0D164" w14:textId="77777777" w:rsidR="005D4A9A" w:rsidRPr="00250D2A" w:rsidRDefault="005D4A9A" w:rsidP="005D4A9A">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5,198,734,305</w:t>
            </w:r>
          </w:p>
        </w:tc>
      </w:tr>
      <w:tr w:rsidR="005D4A9A" w:rsidRPr="00250D2A" w14:paraId="02484610" w14:textId="77777777" w:rsidTr="001F3097">
        <w:trPr>
          <w:trHeight w:val="35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3393840D" w14:textId="77777777" w:rsidR="005D4A9A" w:rsidRPr="00250D2A" w:rsidRDefault="005D4A9A" w:rsidP="005D4A9A">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Crédito  1'500  MDP Bancomer</w:t>
            </w:r>
          </w:p>
        </w:tc>
        <w:tc>
          <w:tcPr>
            <w:tcW w:w="1992" w:type="dxa"/>
            <w:tcBorders>
              <w:top w:val="nil"/>
              <w:left w:val="nil"/>
              <w:bottom w:val="single" w:sz="4" w:space="0" w:color="auto"/>
              <w:right w:val="single" w:sz="4" w:space="0" w:color="auto"/>
            </w:tcBorders>
            <w:shd w:val="clear" w:color="auto" w:fill="auto"/>
            <w:noWrap/>
            <w:vAlign w:val="center"/>
            <w:hideMark/>
          </w:tcPr>
          <w:p w14:paraId="3D3DADFB" w14:textId="77777777" w:rsidR="005D4A9A" w:rsidRPr="00250D2A" w:rsidRDefault="005D4A9A" w:rsidP="005D4A9A">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1,161,124,118</w:t>
            </w:r>
          </w:p>
        </w:tc>
      </w:tr>
      <w:tr w:rsidR="005D4A9A" w:rsidRPr="00250D2A" w14:paraId="6667E7C0" w14:textId="77777777" w:rsidTr="001F3097">
        <w:trPr>
          <w:trHeight w:val="35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29B4790E" w14:textId="77777777" w:rsidR="005D4A9A" w:rsidRPr="00250D2A" w:rsidRDefault="005D4A9A" w:rsidP="005D4A9A">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Crédito  1'000  MDP Bancomer</w:t>
            </w:r>
          </w:p>
        </w:tc>
        <w:tc>
          <w:tcPr>
            <w:tcW w:w="1992" w:type="dxa"/>
            <w:tcBorders>
              <w:top w:val="nil"/>
              <w:left w:val="nil"/>
              <w:bottom w:val="single" w:sz="4" w:space="0" w:color="auto"/>
              <w:right w:val="single" w:sz="4" w:space="0" w:color="auto"/>
            </w:tcBorders>
            <w:shd w:val="clear" w:color="auto" w:fill="auto"/>
            <w:noWrap/>
            <w:vAlign w:val="center"/>
            <w:hideMark/>
          </w:tcPr>
          <w:p w14:paraId="0B94CC22" w14:textId="77777777" w:rsidR="005D4A9A" w:rsidRPr="00250D2A" w:rsidRDefault="005D4A9A" w:rsidP="005D4A9A">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389,194,155</w:t>
            </w:r>
          </w:p>
        </w:tc>
      </w:tr>
      <w:tr w:rsidR="005D4A9A" w:rsidRPr="00250D2A" w14:paraId="03C2128B" w14:textId="77777777" w:rsidTr="001F3097">
        <w:trPr>
          <w:trHeight w:val="35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3B32A1D1" w14:textId="77777777" w:rsidR="005D4A9A" w:rsidRPr="00250D2A" w:rsidRDefault="005D4A9A" w:rsidP="005D4A9A">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Fideicomiso FITABEC</w:t>
            </w:r>
          </w:p>
        </w:tc>
        <w:tc>
          <w:tcPr>
            <w:tcW w:w="1992" w:type="dxa"/>
            <w:tcBorders>
              <w:top w:val="nil"/>
              <w:left w:val="nil"/>
              <w:bottom w:val="single" w:sz="4" w:space="0" w:color="auto"/>
              <w:right w:val="single" w:sz="4" w:space="0" w:color="auto"/>
            </w:tcBorders>
            <w:shd w:val="clear" w:color="auto" w:fill="auto"/>
            <w:noWrap/>
            <w:vAlign w:val="center"/>
            <w:hideMark/>
          </w:tcPr>
          <w:p w14:paraId="2076AC70" w14:textId="77777777" w:rsidR="005D4A9A" w:rsidRPr="00250D2A" w:rsidRDefault="005D4A9A" w:rsidP="005D4A9A">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96,877,012</w:t>
            </w:r>
          </w:p>
        </w:tc>
      </w:tr>
      <w:tr w:rsidR="005D4A9A" w:rsidRPr="00250D2A" w14:paraId="7E642BCA" w14:textId="77777777" w:rsidTr="001F3097">
        <w:trPr>
          <w:trHeight w:val="35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474E0768" w14:textId="77777777" w:rsidR="005D4A9A" w:rsidRPr="00250D2A" w:rsidRDefault="005D4A9A" w:rsidP="005D4A9A">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Crédito 187 MDP Banobras (Bono Cupón Cero)</w:t>
            </w:r>
          </w:p>
        </w:tc>
        <w:tc>
          <w:tcPr>
            <w:tcW w:w="1992" w:type="dxa"/>
            <w:tcBorders>
              <w:top w:val="nil"/>
              <w:left w:val="nil"/>
              <w:bottom w:val="single" w:sz="4" w:space="0" w:color="auto"/>
              <w:right w:val="single" w:sz="4" w:space="0" w:color="auto"/>
            </w:tcBorders>
            <w:shd w:val="clear" w:color="auto" w:fill="auto"/>
            <w:noWrap/>
            <w:vAlign w:val="center"/>
            <w:hideMark/>
          </w:tcPr>
          <w:p w14:paraId="177F015E" w14:textId="77777777" w:rsidR="005D4A9A" w:rsidRPr="00250D2A" w:rsidRDefault="005D4A9A" w:rsidP="005D4A9A">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 xml:space="preserve">                                96,804,480 </w:t>
            </w:r>
          </w:p>
        </w:tc>
      </w:tr>
      <w:tr w:rsidR="005D4A9A" w:rsidRPr="00250D2A" w14:paraId="45C37A96" w14:textId="77777777" w:rsidTr="001F3097">
        <w:trPr>
          <w:trHeight w:val="35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63F0F0DF" w14:textId="77777777" w:rsidR="005D4A9A" w:rsidRPr="00250D2A" w:rsidRDefault="005D4A9A" w:rsidP="005D4A9A">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Crédito 183 MDP Banobras (Bono Cupón Cero)</w:t>
            </w:r>
          </w:p>
        </w:tc>
        <w:tc>
          <w:tcPr>
            <w:tcW w:w="1992" w:type="dxa"/>
            <w:tcBorders>
              <w:top w:val="nil"/>
              <w:left w:val="nil"/>
              <w:bottom w:val="single" w:sz="4" w:space="0" w:color="auto"/>
              <w:right w:val="single" w:sz="4" w:space="0" w:color="auto"/>
            </w:tcBorders>
            <w:shd w:val="clear" w:color="auto" w:fill="auto"/>
            <w:noWrap/>
            <w:vAlign w:val="center"/>
            <w:hideMark/>
          </w:tcPr>
          <w:p w14:paraId="2D558B08" w14:textId="77777777" w:rsidR="005D4A9A" w:rsidRPr="00250D2A" w:rsidRDefault="005D4A9A" w:rsidP="005D4A9A">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84,929,337</w:t>
            </w:r>
          </w:p>
        </w:tc>
      </w:tr>
      <w:tr w:rsidR="005D4A9A" w:rsidRPr="00250D2A" w14:paraId="27556FE6" w14:textId="77777777" w:rsidTr="001F3097">
        <w:trPr>
          <w:trHeight w:val="35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7742ADAC" w14:textId="77777777" w:rsidR="005D4A9A" w:rsidRPr="00250D2A" w:rsidRDefault="005D4A9A" w:rsidP="005D4A9A">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Fideicomiso Fondo M. Reynosa y Río Bravo.</w:t>
            </w:r>
          </w:p>
        </w:tc>
        <w:tc>
          <w:tcPr>
            <w:tcW w:w="1992" w:type="dxa"/>
            <w:tcBorders>
              <w:top w:val="nil"/>
              <w:left w:val="nil"/>
              <w:bottom w:val="single" w:sz="4" w:space="0" w:color="auto"/>
              <w:right w:val="single" w:sz="4" w:space="0" w:color="auto"/>
            </w:tcBorders>
            <w:shd w:val="clear" w:color="auto" w:fill="auto"/>
            <w:noWrap/>
            <w:vAlign w:val="center"/>
            <w:hideMark/>
          </w:tcPr>
          <w:p w14:paraId="540D8FE0" w14:textId="77777777" w:rsidR="005D4A9A" w:rsidRPr="00250D2A" w:rsidRDefault="005D4A9A" w:rsidP="005D4A9A">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1,473,911</w:t>
            </w:r>
          </w:p>
        </w:tc>
      </w:tr>
      <w:tr w:rsidR="005D4A9A" w:rsidRPr="00250D2A" w14:paraId="1221FA88" w14:textId="77777777" w:rsidTr="001F3097">
        <w:trPr>
          <w:trHeight w:val="35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3B29722" w14:textId="77777777" w:rsidR="005D4A9A" w:rsidRPr="00250D2A" w:rsidRDefault="005D4A9A" w:rsidP="005D4A9A">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Fideicomiso Fdo. M Matamoros</w:t>
            </w:r>
          </w:p>
        </w:tc>
        <w:tc>
          <w:tcPr>
            <w:tcW w:w="1992" w:type="dxa"/>
            <w:tcBorders>
              <w:top w:val="nil"/>
              <w:left w:val="nil"/>
              <w:bottom w:val="single" w:sz="4" w:space="0" w:color="auto"/>
              <w:right w:val="single" w:sz="4" w:space="0" w:color="auto"/>
            </w:tcBorders>
            <w:shd w:val="clear" w:color="auto" w:fill="auto"/>
            <w:noWrap/>
            <w:vAlign w:val="center"/>
            <w:hideMark/>
          </w:tcPr>
          <w:p w14:paraId="455CBF41" w14:textId="77777777" w:rsidR="005D4A9A" w:rsidRPr="00250D2A" w:rsidRDefault="005D4A9A" w:rsidP="005D4A9A">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1,289,672</w:t>
            </w:r>
          </w:p>
        </w:tc>
      </w:tr>
      <w:tr w:rsidR="005D4A9A" w:rsidRPr="005D4A9A" w14:paraId="1D6A1012" w14:textId="77777777" w:rsidTr="001F3097">
        <w:trPr>
          <w:trHeight w:val="290"/>
        </w:trPr>
        <w:tc>
          <w:tcPr>
            <w:tcW w:w="4390" w:type="dxa"/>
            <w:tcBorders>
              <w:top w:val="nil"/>
              <w:left w:val="single" w:sz="4" w:space="0" w:color="auto"/>
              <w:bottom w:val="single" w:sz="4" w:space="0" w:color="auto"/>
              <w:right w:val="single" w:sz="4" w:space="0" w:color="auto"/>
            </w:tcBorders>
            <w:shd w:val="clear" w:color="000000" w:fill="DDC9A3"/>
            <w:vAlign w:val="center"/>
            <w:hideMark/>
          </w:tcPr>
          <w:p w14:paraId="3C94E5AF" w14:textId="77777777" w:rsidR="005D4A9A" w:rsidRPr="005D4A9A" w:rsidRDefault="005D4A9A" w:rsidP="005D4A9A">
            <w:pPr>
              <w:spacing w:after="0" w:line="240" w:lineRule="auto"/>
              <w:jc w:val="center"/>
              <w:rPr>
                <w:rFonts w:eastAsia="Times New Roman" w:cs="Calibri"/>
                <w:b/>
                <w:bCs/>
                <w:color w:val="000000"/>
                <w:sz w:val="14"/>
                <w:szCs w:val="14"/>
                <w:lang w:eastAsia="es-MX"/>
              </w:rPr>
            </w:pPr>
            <w:r w:rsidRPr="005D4A9A">
              <w:rPr>
                <w:rFonts w:eastAsia="Times New Roman" w:cs="Calibri"/>
                <w:b/>
                <w:bCs/>
                <w:color w:val="000000"/>
                <w:sz w:val="14"/>
                <w:szCs w:val="14"/>
                <w:lang w:eastAsia="es-MX"/>
              </w:rPr>
              <w:t>Total</w:t>
            </w:r>
          </w:p>
        </w:tc>
        <w:tc>
          <w:tcPr>
            <w:tcW w:w="1992" w:type="dxa"/>
            <w:tcBorders>
              <w:top w:val="nil"/>
              <w:left w:val="nil"/>
              <w:bottom w:val="single" w:sz="4" w:space="0" w:color="auto"/>
              <w:right w:val="single" w:sz="4" w:space="0" w:color="auto"/>
            </w:tcBorders>
            <w:shd w:val="clear" w:color="000000" w:fill="DDC9A3"/>
            <w:vAlign w:val="center"/>
            <w:hideMark/>
          </w:tcPr>
          <w:p w14:paraId="373C3FD8" w14:textId="77777777" w:rsidR="005D4A9A" w:rsidRPr="005D4A9A" w:rsidRDefault="005D4A9A" w:rsidP="005D4A9A">
            <w:pPr>
              <w:spacing w:after="0" w:line="240" w:lineRule="auto"/>
              <w:jc w:val="right"/>
              <w:rPr>
                <w:rFonts w:eastAsia="Times New Roman" w:cs="Calibri"/>
                <w:b/>
                <w:bCs/>
                <w:color w:val="000000"/>
                <w:sz w:val="14"/>
                <w:szCs w:val="14"/>
                <w:lang w:eastAsia="es-MX"/>
              </w:rPr>
            </w:pPr>
            <w:r w:rsidRPr="005D4A9A">
              <w:rPr>
                <w:rFonts w:eastAsia="Times New Roman" w:cs="Calibri"/>
                <w:b/>
                <w:bCs/>
                <w:color w:val="000000"/>
                <w:sz w:val="14"/>
                <w:szCs w:val="14"/>
                <w:lang w:eastAsia="es-MX"/>
              </w:rPr>
              <w:t>7,030,426,990</w:t>
            </w:r>
          </w:p>
        </w:tc>
      </w:tr>
    </w:tbl>
    <w:p w14:paraId="7A2752A0" w14:textId="77777777" w:rsidR="00713775" w:rsidRPr="005F45A3" w:rsidRDefault="00713775" w:rsidP="00713775">
      <w:pPr>
        <w:spacing w:after="0" w:line="240" w:lineRule="auto"/>
        <w:rPr>
          <w:rFonts w:asciiTheme="minorHAnsi" w:eastAsia="Times New Roman" w:hAnsiTheme="minorHAnsi" w:cstheme="minorHAnsi"/>
          <w:sz w:val="18"/>
          <w:szCs w:val="18"/>
          <w:lang w:eastAsia="es-ES"/>
        </w:rPr>
      </w:pPr>
    </w:p>
    <w:p w14:paraId="64EFA259" w14:textId="15FB7DBB" w:rsidR="00D953E3" w:rsidRPr="005F45A3" w:rsidRDefault="00872D46" w:rsidP="00D953E3">
      <w:pPr>
        <w:pStyle w:val="ROMANOS"/>
        <w:tabs>
          <w:tab w:val="clear" w:pos="720"/>
          <w:tab w:val="left" w:pos="284"/>
        </w:tabs>
        <w:spacing w:after="0" w:line="240" w:lineRule="exact"/>
        <w:ind w:left="0" w:firstLine="0"/>
        <w:rPr>
          <w:rFonts w:asciiTheme="minorHAnsi" w:hAnsiTheme="minorHAnsi" w:cstheme="minorHAnsi"/>
          <w:lang w:val="es-MX"/>
        </w:rPr>
      </w:pPr>
      <w:r w:rsidRPr="005F45A3">
        <w:rPr>
          <w:rFonts w:asciiTheme="minorHAnsi" w:hAnsiTheme="minorHAnsi" w:cstheme="minorHAnsi"/>
          <w:lang w:val="es-MX"/>
        </w:rPr>
        <w:t xml:space="preserve">Dentro </w:t>
      </w:r>
      <w:r w:rsidR="00D953E3" w:rsidRPr="005F45A3">
        <w:rPr>
          <w:rFonts w:asciiTheme="minorHAnsi" w:hAnsiTheme="minorHAnsi" w:cstheme="minorHAnsi"/>
          <w:lang w:val="es-MX"/>
        </w:rPr>
        <w:t>de este total, la cantidad de $</w:t>
      </w:r>
      <w:r w:rsidR="00713775" w:rsidRPr="005F45A3">
        <w:rPr>
          <w:rFonts w:asciiTheme="minorHAnsi" w:hAnsiTheme="minorHAnsi" w:cstheme="minorHAnsi"/>
          <w:lang w:val="es-MX"/>
        </w:rPr>
        <w:t>6,</w:t>
      </w:r>
      <w:r w:rsidR="005D4A9A">
        <w:rPr>
          <w:rFonts w:asciiTheme="minorHAnsi" w:hAnsiTheme="minorHAnsi" w:cstheme="minorHAnsi"/>
          <w:lang w:val="es-MX"/>
        </w:rPr>
        <w:t>749,052,578</w:t>
      </w:r>
      <w:r w:rsidR="00713775" w:rsidRPr="005F45A3">
        <w:rPr>
          <w:rFonts w:asciiTheme="minorHAnsi" w:hAnsiTheme="minorHAnsi" w:cstheme="minorHAnsi"/>
          <w:lang w:val="es-MX"/>
        </w:rPr>
        <w:t>,</w:t>
      </w:r>
      <w:r w:rsidR="00D953E3" w:rsidRPr="005F45A3">
        <w:rPr>
          <w:rFonts w:asciiTheme="minorHAnsi" w:hAnsiTheme="minorHAnsi" w:cstheme="minorHAnsi"/>
          <w:lang w:val="es-MX"/>
        </w:rPr>
        <w:t xml:space="preserve"> corresponde al registro que se acumuló debido al  criterio utilizado anterior a la aplicación de la Ley General de Contabilidad Gubernamental,  el cual tenía el propósito de reflejar el compromiso contraído y que los recursos de la  Deuda Pública se identificaran y ejercieran en acciones de Obra Pública, por lo cual se venían utilizando la cuenta “Capital Obra Pública Financiada”, como cuenta complementaria de Activo  y al realizarse el pago de las obligaciones se utilizaba simultáneamente con la de Pasivo No Circulante (Documentos por Pagar a Largo Plazo), ya que con las nueva disposición de Ley esa cuenta no pudo ser reclasificada a ninguna otra cuenta del Catálogo de Cuentas del Consejo Nac</w:t>
      </w:r>
      <w:r w:rsidR="000B5805">
        <w:rPr>
          <w:rFonts w:asciiTheme="minorHAnsi" w:hAnsiTheme="minorHAnsi" w:cstheme="minorHAnsi"/>
          <w:lang w:val="es-MX"/>
        </w:rPr>
        <w:t>ional de Armonización Contable y se dejó en la cuenta de Activo Diferido.</w:t>
      </w:r>
    </w:p>
    <w:p w14:paraId="1078346B" w14:textId="77777777" w:rsidR="00D07703" w:rsidRPr="005F45A3" w:rsidRDefault="00D07703" w:rsidP="00D953E3">
      <w:pPr>
        <w:pStyle w:val="ROMANOS"/>
        <w:tabs>
          <w:tab w:val="clear" w:pos="720"/>
          <w:tab w:val="left" w:pos="284"/>
        </w:tabs>
        <w:spacing w:after="0" w:line="240" w:lineRule="exact"/>
        <w:ind w:left="0" w:firstLine="0"/>
        <w:rPr>
          <w:rFonts w:asciiTheme="minorHAnsi" w:hAnsiTheme="minorHAnsi" w:cstheme="minorHAnsi"/>
          <w:lang w:val="es-MX"/>
        </w:rPr>
      </w:pPr>
    </w:p>
    <w:p w14:paraId="58342CF0" w14:textId="4B13A0C3" w:rsidR="00872D46" w:rsidRPr="005F45A3" w:rsidRDefault="00D953E3" w:rsidP="00D953E3">
      <w:pPr>
        <w:spacing w:after="0" w:line="240" w:lineRule="auto"/>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Se incluye también en este Rubro el Activo Diferido de Fideicomisos por $</w:t>
      </w:r>
      <w:r w:rsidR="00D536BD">
        <w:rPr>
          <w:rFonts w:asciiTheme="minorHAnsi" w:eastAsia="Times New Roman" w:hAnsiTheme="minorHAnsi" w:cstheme="minorHAnsi"/>
          <w:sz w:val="18"/>
          <w:szCs w:val="18"/>
          <w:lang w:eastAsia="es-ES"/>
        </w:rPr>
        <w:t>99,640,594</w:t>
      </w:r>
      <w:r w:rsidR="00F055B7" w:rsidRPr="005F45A3">
        <w:rPr>
          <w:rFonts w:asciiTheme="minorHAnsi" w:eastAsia="Times New Roman" w:hAnsiTheme="minorHAnsi" w:cstheme="minorHAnsi"/>
          <w:sz w:val="18"/>
          <w:szCs w:val="18"/>
          <w:lang w:eastAsia="es-ES"/>
        </w:rPr>
        <w:t>, básicamente integrado por el Fideicomiso del Instituto Tamaulipeco de Becas, Estímulos y Créditos Educativos con la cantidad de $</w:t>
      </w:r>
      <w:r w:rsidR="00D536BD">
        <w:rPr>
          <w:rFonts w:asciiTheme="minorHAnsi" w:eastAsia="Times New Roman" w:hAnsiTheme="minorHAnsi" w:cstheme="minorHAnsi"/>
          <w:sz w:val="18"/>
          <w:szCs w:val="18"/>
          <w:lang w:eastAsia="es-ES"/>
        </w:rPr>
        <w:t>96,877,012</w:t>
      </w:r>
      <w:r w:rsidR="00AA297A">
        <w:rPr>
          <w:rFonts w:asciiTheme="minorHAnsi" w:eastAsia="Times New Roman" w:hAnsiTheme="minorHAnsi" w:cstheme="minorHAnsi"/>
          <w:sz w:val="18"/>
          <w:szCs w:val="18"/>
          <w:lang w:eastAsia="es-ES"/>
        </w:rPr>
        <w:t xml:space="preserve">, correspondiente a créditos educativos a largo plazo a la comunidad estudiantil. </w:t>
      </w:r>
    </w:p>
    <w:p w14:paraId="64ACCFA6" w14:textId="77777777" w:rsidR="00D97E57" w:rsidRPr="005F45A3" w:rsidRDefault="00D97E57" w:rsidP="00D953E3">
      <w:pPr>
        <w:spacing w:after="0" w:line="240" w:lineRule="auto"/>
        <w:jc w:val="both"/>
        <w:rPr>
          <w:rFonts w:asciiTheme="minorHAnsi" w:eastAsia="Times New Roman" w:hAnsiTheme="minorHAnsi" w:cstheme="minorHAnsi"/>
          <w:sz w:val="18"/>
          <w:szCs w:val="18"/>
          <w:lang w:eastAsia="es-ES"/>
        </w:rPr>
      </w:pPr>
    </w:p>
    <w:p w14:paraId="54A6F2B0" w14:textId="75F32FF8" w:rsidR="00D51F6E" w:rsidRPr="005F45A3" w:rsidRDefault="000F5346" w:rsidP="00D953E3">
      <w:pPr>
        <w:spacing w:after="0" w:line="240" w:lineRule="auto"/>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Con la finalidad de ir aplicando las amortizaciones de los créditos correspondientes al registro acumulado antes referido p</w:t>
      </w:r>
      <w:r w:rsidR="00B80336" w:rsidRPr="005F45A3">
        <w:rPr>
          <w:rFonts w:asciiTheme="minorHAnsi" w:eastAsia="Times New Roman" w:hAnsiTheme="minorHAnsi" w:cstheme="minorHAnsi"/>
          <w:sz w:val="18"/>
          <w:szCs w:val="18"/>
          <w:lang w:eastAsia="es-ES"/>
        </w:rPr>
        <w:t xml:space="preserve">ara </w:t>
      </w:r>
      <w:r w:rsidRPr="005F45A3">
        <w:rPr>
          <w:rFonts w:asciiTheme="minorHAnsi" w:eastAsia="Times New Roman" w:hAnsiTheme="minorHAnsi" w:cstheme="minorHAnsi"/>
          <w:sz w:val="18"/>
          <w:szCs w:val="18"/>
          <w:lang w:eastAsia="es-ES"/>
        </w:rPr>
        <w:t>el</w:t>
      </w:r>
      <w:r w:rsidR="00B80336" w:rsidRPr="005F45A3">
        <w:rPr>
          <w:rFonts w:asciiTheme="minorHAnsi" w:eastAsia="Times New Roman" w:hAnsiTheme="minorHAnsi" w:cstheme="minorHAnsi"/>
          <w:sz w:val="18"/>
          <w:szCs w:val="18"/>
          <w:lang w:eastAsia="es-ES"/>
        </w:rPr>
        <w:t xml:space="preserve"> cierre de</w:t>
      </w:r>
      <w:r w:rsidRPr="005F45A3">
        <w:rPr>
          <w:rFonts w:asciiTheme="minorHAnsi" w:eastAsia="Times New Roman" w:hAnsiTheme="minorHAnsi" w:cstheme="minorHAnsi"/>
          <w:sz w:val="18"/>
          <w:szCs w:val="18"/>
          <w:lang w:eastAsia="es-ES"/>
        </w:rPr>
        <w:t xml:space="preserve"> cada</w:t>
      </w:r>
      <w:r w:rsidR="00B80336" w:rsidRPr="005F45A3">
        <w:rPr>
          <w:rFonts w:asciiTheme="minorHAnsi" w:eastAsia="Times New Roman" w:hAnsiTheme="minorHAnsi" w:cstheme="minorHAnsi"/>
          <w:sz w:val="18"/>
          <w:szCs w:val="18"/>
          <w:lang w:eastAsia="es-ES"/>
        </w:rPr>
        <w:t xml:space="preserve"> ejercicio se</w:t>
      </w:r>
      <w:r w:rsidRPr="005F45A3">
        <w:rPr>
          <w:rFonts w:asciiTheme="minorHAnsi" w:eastAsia="Times New Roman" w:hAnsiTheme="minorHAnsi" w:cstheme="minorHAnsi"/>
          <w:sz w:val="18"/>
          <w:szCs w:val="18"/>
          <w:lang w:eastAsia="es-ES"/>
        </w:rPr>
        <w:t xml:space="preserve"> </w:t>
      </w:r>
      <w:r w:rsidR="00D51F6E" w:rsidRPr="005F45A3">
        <w:rPr>
          <w:rFonts w:asciiTheme="minorHAnsi" w:eastAsia="Times New Roman" w:hAnsiTheme="minorHAnsi" w:cstheme="minorHAnsi"/>
          <w:sz w:val="18"/>
          <w:szCs w:val="18"/>
          <w:lang w:eastAsia="es-ES"/>
        </w:rPr>
        <w:t>determinó aplicar</w:t>
      </w:r>
      <w:r w:rsidR="00B80336" w:rsidRPr="005F45A3">
        <w:rPr>
          <w:rFonts w:asciiTheme="minorHAnsi" w:eastAsia="Times New Roman" w:hAnsiTheme="minorHAnsi" w:cstheme="minorHAnsi"/>
          <w:sz w:val="18"/>
          <w:szCs w:val="18"/>
          <w:lang w:eastAsia="es-ES"/>
        </w:rPr>
        <w:t xml:space="preserve"> al saldo de esta cuenta la cantidad correspondiente a la amortización </w:t>
      </w:r>
      <w:r w:rsidR="00A57461">
        <w:rPr>
          <w:rFonts w:asciiTheme="minorHAnsi" w:eastAsia="Times New Roman" w:hAnsiTheme="minorHAnsi" w:cstheme="minorHAnsi"/>
          <w:sz w:val="18"/>
          <w:szCs w:val="18"/>
          <w:lang w:eastAsia="es-ES"/>
        </w:rPr>
        <w:t xml:space="preserve">anual </w:t>
      </w:r>
      <w:r w:rsidR="00D51F6E" w:rsidRPr="005F45A3">
        <w:rPr>
          <w:rFonts w:asciiTheme="minorHAnsi" w:eastAsia="Times New Roman" w:hAnsiTheme="minorHAnsi" w:cstheme="minorHAnsi"/>
          <w:sz w:val="18"/>
          <w:szCs w:val="18"/>
          <w:lang w:eastAsia="es-ES"/>
        </w:rPr>
        <w:t>de los créditos de</w:t>
      </w:r>
      <w:r w:rsidR="00C941D7" w:rsidRPr="005F45A3">
        <w:rPr>
          <w:rFonts w:asciiTheme="minorHAnsi" w:eastAsia="Times New Roman" w:hAnsiTheme="minorHAnsi" w:cstheme="minorHAnsi"/>
          <w:sz w:val="18"/>
          <w:szCs w:val="18"/>
          <w:lang w:eastAsia="es-ES"/>
        </w:rPr>
        <w:t xml:space="preserve"> Banorte 6</w:t>
      </w:r>
      <w:r w:rsidR="003F1AD8" w:rsidRPr="005F45A3">
        <w:rPr>
          <w:rFonts w:asciiTheme="minorHAnsi" w:eastAsia="Times New Roman" w:hAnsiTheme="minorHAnsi" w:cstheme="minorHAnsi"/>
          <w:sz w:val="18"/>
          <w:szCs w:val="18"/>
          <w:lang w:eastAsia="es-ES"/>
        </w:rPr>
        <w:t>,</w:t>
      </w:r>
      <w:r w:rsidR="00C941D7" w:rsidRPr="005F45A3">
        <w:rPr>
          <w:rFonts w:asciiTheme="minorHAnsi" w:eastAsia="Times New Roman" w:hAnsiTheme="minorHAnsi" w:cstheme="minorHAnsi"/>
          <w:sz w:val="18"/>
          <w:szCs w:val="18"/>
          <w:lang w:eastAsia="es-ES"/>
        </w:rPr>
        <w:t>000 MDP, Bancomer 1</w:t>
      </w:r>
      <w:r w:rsidR="003F1AD8" w:rsidRPr="005F45A3">
        <w:rPr>
          <w:rFonts w:asciiTheme="minorHAnsi" w:eastAsia="Times New Roman" w:hAnsiTheme="minorHAnsi" w:cstheme="minorHAnsi"/>
          <w:sz w:val="18"/>
          <w:szCs w:val="18"/>
          <w:lang w:eastAsia="es-ES"/>
        </w:rPr>
        <w:t>,</w:t>
      </w:r>
      <w:r w:rsidR="00C941D7" w:rsidRPr="005F45A3">
        <w:rPr>
          <w:rFonts w:asciiTheme="minorHAnsi" w:eastAsia="Times New Roman" w:hAnsiTheme="minorHAnsi" w:cstheme="minorHAnsi"/>
          <w:sz w:val="18"/>
          <w:szCs w:val="18"/>
          <w:lang w:eastAsia="es-ES"/>
        </w:rPr>
        <w:t>500 MDP, y Bancomer 1</w:t>
      </w:r>
      <w:r w:rsidR="003F1AD8" w:rsidRPr="005F45A3">
        <w:rPr>
          <w:rFonts w:asciiTheme="minorHAnsi" w:eastAsia="Times New Roman" w:hAnsiTheme="minorHAnsi" w:cstheme="minorHAnsi"/>
          <w:sz w:val="18"/>
          <w:szCs w:val="18"/>
          <w:lang w:eastAsia="es-ES"/>
        </w:rPr>
        <w:t>,</w:t>
      </w:r>
      <w:r w:rsidR="00C941D7" w:rsidRPr="005F45A3">
        <w:rPr>
          <w:rFonts w:asciiTheme="minorHAnsi" w:eastAsia="Times New Roman" w:hAnsiTheme="minorHAnsi" w:cstheme="minorHAnsi"/>
          <w:sz w:val="18"/>
          <w:szCs w:val="18"/>
          <w:lang w:eastAsia="es-ES"/>
        </w:rPr>
        <w:t>000 MDP</w:t>
      </w:r>
      <w:r w:rsidR="00D51F6E" w:rsidRPr="005F45A3">
        <w:rPr>
          <w:rFonts w:asciiTheme="minorHAnsi" w:eastAsia="Times New Roman" w:hAnsiTheme="minorHAnsi" w:cstheme="minorHAnsi"/>
          <w:sz w:val="18"/>
          <w:szCs w:val="18"/>
          <w:lang w:eastAsia="es-ES"/>
        </w:rPr>
        <w:t>, además</w:t>
      </w:r>
      <w:r w:rsidRPr="005F45A3">
        <w:rPr>
          <w:rFonts w:asciiTheme="minorHAnsi" w:eastAsia="Times New Roman" w:hAnsiTheme="minorHAnsi" w:cstheme="minorHAnsi"/>
          <w:sz w:val="18"/>
          <w:szCs w:val="18"/>
          <w:lang w:eastAsia="es-ES"/>
        </w:rPr>
        <w:t xml:space="preserve"> de disminuir</w:t>
      </w:r>
      <w:r w:rsidR="00C941D7" w:rsidRPr="005F45A3">
        <w:rPr>
          <w:rFonts w:asciiTheme="minorHAnsi" w:eastAsia="Times New Roman" w:hAnsiTheme="minorHAnsi" w:cstheme="minorHAnsi"/>
          <w:sz w:val="18"/>
          <w:szCs w:val="18"/>
          <w:lang w:eastAsia="es-ES"/>
        </w:rPr>
        <w:t xml:space="preserve"> el saldo por el reconocimiento de los inmuebles adquiridos en los periodos 2005-2010</w:t>
      </w:r>
      <w:r w:rsidR="00D51F6E" w:rsidRPr="005F45A3">
        <w:rPr>
          <w:rFonts w:asciiTheme="minorHAnsi" w:eastAsia="Times New Roman" w:hAnsiTheme="minorHAnsi" w:cstheme="minorHAnsi"/>
          <w:sz w:val="18"/>
          <w:szCs w:val="18"/>
          <w:lang w:eastAsia="es-ES"/>
        </w:rPr>
        <w:t>.</w:t>
      </w:r>
      <w:r w:rsidR="00B80336" w:rsidRPr="005F45A3">
        <w:rPr>
          <w:rFonts w:asciiTheme="minorHAnsi" w:eastAsia="Times New Roman" w:hAnsiTheme="minorHAnsi" w:cstheme="minorHAnsi"/>
          <w:sz w:val="18"/>
          <w:szCs w:val="18"/>
          <w:lang w:eastAsia="es-ES"/>
        </w:rPr>
        <w:t xml:space="preserve"> </w:t>
      </w:r>
    </w:p>
    <w:p w14:paraId="23B92C8C" w14:textId="77777777" w:rsidR="00D51F6E" w:rsidRPr="005F45A3" w:rsidRDefault="00D51F6E" w:rsidP="00D953E3">
      <w:pPr>
        <w:spacing w:after="0" w:line="240" w:lineRule="auto"/>
        <w:jc w:val="both"/>
        <w:rPr>
          <w:rFonts w:asciiTheme="minorHAnsi" w:eastAsia="Times New Roman" w:hAnsiTheme="minorHAnsi" w:cstheme="minorHAnsi"/>
          <w:sz w:val="18"/>
          <w:szCs w:val="18"/>
          <w:lang w:eastAsia="es-ES"/>
        </w:rPr>
      </w:pPr>
    </w:p>
    <w:p w14:paraId="11EEABD6" w14:textId="4C07E4B4" w:rsidR="00B80336" w:rsidRPr="005F45A3" w:rsidRDefault="00D51F6E" w:rsidP="00D953E3">
      <w:pPr>
        <w:spacing w:after="0" w:line="240" w:lineRule="auto"/>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L</w:t>
      </w:r>
      <w:r w:rsidR="00B80336" w:rsidRPr="005F45A3">
        <w:rPr>
          <w:rFonts w:asciiTheme="minorHAnsi" w:eastAsia="Times New Roman" w:hAnsiTheme="minorHAnsi" w:cstheme="minorHAnsi"/>
          <w:sz w:val="18"/>
          <w:szCs w:val="18"/>
          <w:lang w:eastAsia="es-ES"/>
        </w:rPr>
        <w:t xml:space="preserve">os saldos de los créditos </w:t>
      </w:r>
      <w:r w:rsidR="00A57461">
        <w:rPr>
          <w:rFonts w:asciiTheme="minorHAnsi" w:eastAsia="Times New Roman" w:hAnsiTheme="minorHAnsi" w:cstheme="minorHAnsi"/>
          <w:sz w:val="18"/>
          <w:szCs w:val="18"/>
          <w:lang w:eastAsia="es-ES"/>
        </w:rPr>
        <w:t xml:space="preserve">de Banobras por 183 mdp y Banobras por 187 mdp  </w:t>
      </w:r>
      <w:r w:rsidR="00B80336" w:rsidRPr="005F45A3">
        <w:rPr>
          <w:rFonts w:asciiTheme="minorHAnsi" w:eastAsia="Times New Roman" w:hAnsiTheme="minorHAnsi" w:cstheme="minorHAnsi"/>
          <w:sz w:val="18"/>
          <w:szCs w:val="18"/>
          <w:lang w:eastAsia="es-ES"/>
        </w:rPr>
        <w:t xml:space="preserve">denominados Bono Cupón Cero, se disminuyen cada trimestre según </w:t>
      </w:r>
      <w:r w:rsidRPr="005F45A3">
        <w:rPr>
          <w:rFonts w:asciiTheme="minorHAnsi" w:eastAsia="Times New Roman" w:hAnsiTheme="minorHAnsi" w:cstheme="minorHAnsi"/>
          <w:sz w:val="18"/>
          <w:szCs w:val="18"/>
          <w:lang w:eastAsia="es-ES"/>
        </w:rPr>
        <w:t>la información enviada por la</w:t>
      </w:r>
      <w:r w:rsidR="00D1125C" w:rsidRPr="005F45A3">
        <w:rPr>
          <w:rFonts w:asciiTheme="minorHAnsi" w:eastAsia="Times New Roman" w:hAnsiTheme="minorHAnsi" w:cstheme="minorHAnsi"/>
          <w:sz w:val="18"/>
          <w:szCs w:val="18"/>
          <w:lang w:eastAsia="es-ES"/>
        </w:rPr>
        <w:t xml:space="preserve"> Unidad</w:t>
      </w:r>
      <w:r w:rsidR="00B80336" w:rsidRPr="005F45A3">
        <w:rPr>
          <w:rFonts w:asciiTheme="minorHAnsi" w:eastAsia="Times New Roman" w:hAnsiTheme="minorHAnsi" w:cstheme="minorHAnsi"/>
          <w:sz w:val="18"/>
          <w:szCs w:val="18"/>
          <w:lang w:eastAsia="es-ES"/>
        </w:rPr>
        <w:t xml:space="preserve"> de Coordinación de Entidades Federativas de la S.H.C.P. </w:t>
      </w:r>
      <w:r w:rsidRPr="005F45A3">
        <w:rPr>
          <w:rFonts w:asciiTheme="minorHAnsi" w:eastAsia="Times New Roman" w:hAnsiTheme="minorHAnsi" w:cstheme="minorHAnsi"/>
          <w:sz w:val="18"/>
          <w:szCs w:val="18"/>
          <w:lang w:eastAsia="es-ES"/>
        </w:rPr>
        <w:t>del Banco Nacional de Obras y Servicios S.N.C.(BANOBRAS), que en su carácter de Fiduciario del Fideicomiso 2186</w:t>
      </w:r>
      <w:r w:rsidR="00232887">
        <w:rPr>
          <w:rFonts w:asciiTheme="minorHAnsi" w:eastAsia="Times New Roman" w:hAnsiTheme="minorHAnsi" w:cstheme="minorHAnsi"/>
          <w:sz w:val="18"/>
          <w:szCs w:val="18"/>
          <w:lang w:eastAsia="es-ES"/>
        </w:rPr>
        <w:t xml:space="preserve">, </w:t>
      </w:r>
      <w:r w:rsidRPr="005F45A3">
        <w:rPr>
          <w:rFonts w:asciiTheme="minorHAnsi" w:eastAsia="Times New Roman" w:hAnsiTheme="minorHAnsi" w:cstheme="minorHAnsi"/>
          <w:sz w:val="18"/>
          <w:szCs w:val="18"/>
          <w:lang w:eastAsia="es-ES"/>
        </w:rPr>
        <w:t>Fondo de Reconstrucción para Entidades Federativas (FONREC) y de  acuerdo al contrato del Fideicomiso emite el informe de Derechos Fideicomisarios para el Gobierno de Tamaulipas con el valor nominal correspondiente.</w:t>
      </w:r>
    </w:p>
    <w:p w14:paraId="0C42F455" w14:textId="77777777" w:rsidR="00D953E3" w:rsidRDefault="00D953E3" w:rsidP="00D953E3">
      <w:pPr>
        <w:spacing w:after="0" w:line="240" w:lineRule="auto"/>
        <w:jc w:val="both"/>
        <w:rPr>
          <w:rFonts w:asciiTheme="minorHAnsi" w:eastAsia="Times New Roman" w:hAnsiTheme="minorHAnsi" w:cstheme="minorHAnsi"/>
          <w:sz w:val="18"/>
          <w:szCs w:val="18"/>
          <w:lang w:eastAsia="es-ES"/>
        </w:rPr>
      </w:pPr>
    </w:p>
    <w:p w14:paraId="42F638FF" w14:textId="77777777" w:rsidR="00AB2EFC" w:rsidRPr="005F45A3" w:rsidRDefault="00AB2EFC" w:rsidP="00D953E3">
      <w:pPr>
        <w:spacing w:after="0" w:line="240" w:lineRule="auto"/>
        <w:jc w:val="both"/>
        <w:rPr>
          <w:rFonts w:asciiTheme="minorHAnsi" w:eastAsia="Times New Roman" w:hAnsiTheme="minorHAnsi" w:cstheme="minorHAnsi"/>
          <w:sz w:val="18"/>
          <w:szCs w:val="18"/>
          <w:lang w:eastAsia="es-ES"/>
        </w:rPr>
      </w:pPr>
    </w:p>
    <w:p w14:paraId="7FA40E35" w14:textId="77777777" w:rsidR="00D953E3" w:rsidRPr="00686668" w:rsidRDefault="00D953E3" w:rsidP="003D7ABC">
      <w:pPr>
        <w:pStyle w:val="Texto"/>
        <w:spacing w:after="0" w:line="240" w:lineRule="exact"/>
        <w:ind w:left="-142" w:firstLine="142"/>
        <w:rPr>
          <w:rFonts w:asciiTheme="minorHAnsi" w:hAnsiTheme="minorHAnsi" w:cstheme="minorHAnsi"/>
          <w:b/>
          <w:sz w:val="20"/>
          <w:szCs w:val="18"/>
          <w:lang w:val="es-MX"/>
        </w:rPr>
      </w:pPr>
      <w:r w:rsidRPr="00686668">
        <w:rPr>
          <w:rFonts w:asciiTheme="minorHAnsi" w:hAnsiTheme="minorHAnsi" w:cstheme="minorHAnsi"/>
          <w:b/>
          <w:sz w:val="20"/>
          <w:szCs w:val="18"/>
          <w:lang w:val="es-MX"/>
        </w:rPr>
        <w:t xml:space="preserve">Estimaciones y Deterioros </w:t>
      </w:r>
    </w:p>
    <w:p w14:paraId="53C20356" w14:textId="77777777" w:rsidR="00D953E3" w:rsidRPr="005F45A3" w:rsidRDefault="00D953E3" w:rsidP="00D953E3">
      <w:pPr>
        <w:pStyle w:val="Texto"/>
        <w:spacing w:after="0" w:line="240" w:lineRule="exact"/>
        <w:ind w:left="288" w:firstLine="360"/>
        <w:rPr>
          <w:rFonts w:asciiTheme="minorHAnsi" w:hAnsiTheme="minorHAnsi" w:cstheme="minorHAnsi"/>
          <w:szCs w:val="18"/>
          <w:lang w:val="es-MX"/>
        </w:rPr>
      </w:pPr>
    </w:p>
    <w:p w14:paraId="5506CC4A" w14:textId="78D183AF" w:rsidR="00D953E3" w:rsidRPr="005F45A3" w:rsidRDefault="00D953E3" w:rsidP="00B46FFA">
      <w:pPr>
        <w:pStyle w:val="Texto"/>
        <w:numPr>
          <w:ilvl w:val="0"/>
          <w:numId w:val="26"/>
        </w:numPr>
        <w:spacing w:after="0" w:line="240" w:lineRule="exact"/>
        <w:ind w:left="284"/>
        <w:rPr>
          <w:rFonts w:asciiTheme="minorHAnsi" w:hAnsiTheme="minorHAnsi" w:cstheme="minorHAnsi"/>
          <w:szCs w:val="18"/>
          <w:lang w:val="es-MX"/>
        </w:rPr>
      </w:pPr>
      <w:r w:rsidRPr="005F45A3">
        <w:rPr>
          <w:rFonts w:asciiTheme="minorHAnsi" w:hAnsiTheme="minorHAnsi" w:cstheme="minorHAnsi"/>
          <w:szCs w:val="18"/>
          <w:lang w:val="es-MX"/>
        </w:rPr>
        <w:t xml:space="preserve">Estimación de cuentas incobrables: </w:t>
      </w:r>
      <w:r w:rsidR="00250D2A">
        <w:rPr>
          <w:rFonts w:asciiTheme="minorHAnsi" w:hAnsiTheme="minorHAnsi" w:cstheme="minorHAnsi"/>
          <w:szCs w:val="18"/>
          <w:lang w:val="es-MX"/>
        </w:rPr>
        <w:t xml:space="preserve">    </w:t>
      </w:r>
      <w:r w:rsidRPr="005F45A3">
        <w:rPr>
          <w:rFonts w:asciiTheme="minorHAnsi" w:hAnsiTheme="minorHAnsi" w:cstheme="minorHAnsi"/>
          <w:szCs w:val="18"/>
          <w:lang w:val="es-MX"/>
        </w:rPr>
        <w:t xml:space="preserve"> </w:t>
      </w:r>
      <w:r w:rsidRPr="00363D97">
        <w:rPr>
          <w:rFonts w:asciiTheme="minorHAnsi" w:hAnsiTheme="minorHAnsi" w:cstheme="minorHAnsi"/>
          <w:b/>
          <w:szCs w:val="18"/>
          <w:lang w:val="es-MX"/>
        </w:rPr>
        <w:t>No Aplica</w:t>
      </w:r>
      <w:r w:rsidRPr="005F45A3">
        <w:rPr>
          <w:rFonts w:asciiTheme="minorHAnsi" w:hAnsiTheme="minorHAnsi" w:cstheme="minorHAnsi"/>
          <w:szCs w:val="18"/>
          <w:lang w:val="es-MX"/>
        </w:rPr>
        <w:t xml:space="preserve"> </w:t>
      </w:r>
    </w:p>
    <w:p w14:paraId="00D808C1" w14:textId="77777777" w:rsidR="00D953E3" w:rsidRPr="005F45A3" w:rsidRDefault="00D953E3" w:rsidP="00D953E3">
      <w:pPr>
        <w:pStyle w:val="Texto"/>
        <w:spacing w:after="0" w:line="240" w:lineRule="exact"/>
        <w:ind w:left="720" w:firstLine="0"/>
        <w:rPr>
          <w:rFonts w:asciiTheme="minorHAnsi" w:hAnsiTheme="minorHAnsi" w:cstheme="minorHAnsi"/>
          <w:szCs w:val="18"/>
          <w:lang w:val="es-MX"/>
        </w:rPr>
      </w:pPr>
    </w:p>
    <w:p w14:paraId="7AD48DBB" w14:textId="04152014" w:rsidR="00D953E3" w:rsidRPr="005F45A3" w:rsidRDefault="00D953E3" w:rsidP="00335E76">
      <w:pPr>
        <w:pStyle w:val="Texto"/>
        <w:spacing w:after="0" w:line="240" w:lineRule="exact"/>
        <w:ind w:left="360" w:hanging="76"/>
        <w:rPr>
          <w:rFonts w:asciiTheme="minorHAnsi" w:hAnsiTheme="minorHAnsi" w:cstheme="minorHAnsi"/>
          <w:szCs w:val="18"/>
          <w:lang w:val="es-MX"/>
        </w:rPr>
      </w:pPr>
      <w:r w:rsidRPr="005F45A3">
        <w:rPr>
          <w:rFonts w:asciiTheme="minorHAnsi" w:hAnsiTheme="minorHAnsi" w:cstheme="minorHAnsi"/>
          <w:szCs w:val="18"/>
          <w:lang w:val="es-MX"/>
        </w:rPr>
        <w:t xml:space="preserve">Estimación de Inventarios:          </w:t>
      </w:r>
      <w:r w:rsidR="00250D2A" w:rsidRPr="00363D97">
        <w:rPr>
          <w:rFonts w:asciiTheme="minorHAnsi" w:hAnsiTheme="minorHAnsi" w:cstheme="minorHAnsi"/>
          <w:b/>
          <w:szCs w:val="18"/>
          <w:lang w:val="es-MX"/>
        </w:rPr>
        <w:t xml:space="preserve">     </w:t>
      </w:r>
      <w:r w:rsidRPr="00363D97">
        <w:rPr>
          <w:rFonts w:asciiTheme="minorHAnsi" w:hAnsiTheme="minorHAnsi" w:cstheme="minorHAnsi"/>
          <w:b/>
          <w:szCs w:val="18"/>
          <w:lang w:val="es-MX"/>
        </w:rPr>
        <w:t xml:space="preserve">      No Aplica</w:t>
      </w:r>
    </w:p>
    <w:p w14:paraId="474E32EC" w14:textId="77777777" w:rsidR="00872D46" w:rsidRPr="005F45A3" w:rsidRDefault="00872D46" w:rsidP="0082143F">
      <w:pPr>
        <w:spacing w:after="0" w:line="240" w:lineRule="auto"/>
        <w:rPr>
          <w:rFonts w:asciiTheme="minorHAnsi" w:eastAsia="Times New Roman" w:hAnsiTheme="minorHAnsi" w:cstheme="minorHAnsi"/>
          <w:sz w:val="18"/>
          <w:szCs w:val="18"/>
          <w:lang w:eastAsia="es-ES"/>
        </w:rPr>
      </w:pPr>
    </w:p>
    <w:p w14:paraId="1E047402" w14:textId="77777777" w:rsidR="00D953E3" w:rsidRPr="005F45A3" w:rsidRDefault="00D51F6E" w:rsidP="00BF16E8">
      <w:pPr>
        <w:pStyle w:val="ROMANOS"/>
        <w:spacing w:after="0" w:line="276" w:lineRule="auto"/>
        <w:ind w:left="0" w:firstLine="0"/>
        <w:rPr>
          <w:rFonts w:asciiTheme="minorHAnsi" w:hAnsiTheme="minorHAnsi" w:cstheme="minorHAnsi"/>
          <w:lang w:val="es-MX"/>
        </w:rPr>
      </w:pPr>
      <w:r w:rsidRPr="005F45A3">
        <w:rPr>
          <w:rFonts w:asciiTheme="minorHAnsi" w:hAnsiTheme="minorHAnsi" w:cstheme="minorHAnsi"/>
          <w:lang w:val="es-MX"/>
        </w:rPr>
        <w:t xml:space="preserve">El </w:t>
      </w:r>
      <w:r w:rsidR="00D953E3" w:rsidRPr="005F45A3">
        <w:rPr>
          <w:rFonts w:asciiTheme="minorHAnsi" w:hAnsiTheme="minorHAnsi" w:cstheme="minorHAnsi"/>
          <w:lang w:val="es-MX"/>
        </w:rPr>
        <w:t>Deterioro de activos biológicos en la tabla de depreciación y amortización aprobada por el Consejo de Armonización del Estado de Tamaulipas no se considera aplicar tasas de deterioro para los activos biológicos.</w:t>
      </w:r>
    </w:p>
    <w:p w14:paraId="2BE33643" w14:textId="77777777" w:rsidR="00D97E57" w:rsidRPr="005F45A3" w:rsidRDefault="00D97E57" w:rsidP="00A80AAF">
      <w:pPr>
        <w:spacing w:after="0"/>
        <w:rPr>
          <w:rFonts w:asciiTheme="minorHAnsi" w:eastAsia="Times New Roman" w:hAnsiTheme="minorHAnsi" w:cstheme="minorHAnsi"/>
          <w:sz w:val="10"/>
          <w:szCs w:val="18"/>
          <w:lang w:eastAsia="es-ES"/>
        </w:rPr>
      </w:pPr>
    </w:p>
    <w:p w14:paraId="46A57165" w14:textId="77777777" w:rsidR="00541CA4" w:rsidRPr="00686668" w:rsidRDefault="00541CA4" w:rsidP="003D7ABC">
      <w:pPr>
        <w:pStyle w:val="Texto"/>
        <w:spacing w:after="0" w:line="240" w:lineRule="exact"/>
        <w:ind w:firstLine="0"/>
        <w:rPr>
          <w:rFonts w:asciiTheme="minorHAnsi" w:hAnsiTheme="minorHAnsi" w:cstheme="minorHAnsi"/>
          <w:b/>
          <w:sz w:val="20"/>
          <w:szCs w:val="18"/>
          <w:lang w:val="es-MX"/>
        </w:rPr>
      </w:pPr>
      <w:r w:rsidRPr="00686668">
        <w:rPr>
          <w:rFonts w:asciiTheme="minorHAnsi" w:hAnsiTheme="minorHAnsi" w:cstheme="minorHAnsi"/>
          <w:b/>
          <w:sz w:val="20"/>
          <w:szCs w:val="18"/>
          <w:lang w:val="es-MX"/>
        </w:rPr>
        <w:t xml:space="preserve">Otros Activos </w:t>
      </w:r>
    </w:p>
    <w:p w14:paraId="53FC0D5A" w14:textId="77777777" w:rsidR="00857BC8" w:rsidRPr="005F45A3" w:rsidRDefault="00857BC8" w:rsidP="00BD16CD">
      <w:pPr>
        <w:pStyle w:val="Texto"/>
        <w:shd w:val="clear" w:color="auto" w:fill="FFFFFF" w:themeFill="background1"/>
        <w:spacing w:after="0" w:line="240" w:lineRule="exact"/>
        <w:ind w:left="288" w:firstLine="360"/>
        <w:rPr>
          <w:rFonts w:asciiTheme="minorHAnsi" w:hAnsiTheme="minorHAnsi" w:cstheme="minorHAnsi"/>
          <w:b/>
          <w:color w:val="000000" w:themeColor="text1"/>
          <w:sz w:val="14"/>
          <w:szCs w:val="18"/>
          <w:lang w:val="es-MX"/>
        </w:rPr>
      </w:pPr>
    </w:p>
    <w:p w14:paraId="00656FEC" w14:textId="412C0EFA" w:rsidR="00C57258" w:rsidRDefault="00C914D2" w:rsidP="00B46FFA">
      <w:pPr>
        <w:pStyle w:val="Texto"/>
        <w:numPr>
          <w:ilvl w:val="0"/>
          <w:numId w:val="26"/>
        </w:numPr>
        <w:shd w:val="clear" w:color="auto" w:fill="FFFFFF" w:themeFill="background1"/>
        <w:spacing w:after="0" w:line="276" w:lineRule="auto"/>
        <w:ind w:left="284"/>
        <w:rPr>
          <w:rFonts w:asciiTheme="minorHAnsi" w:hAnsiTheme="minorHAnsi" w:cstheme="minorHAnsi"/>
          <w:szCs w:val="18"/>
          <w:lang w:val="es-MX"/>
        </w:rPr>
      </w:pPr>
      <w:r w:rsidRPr="00335E76">
        <w:rPr>
          <w:rFonts w:asciiTheme="minorHAnsi" w:hAnsiTheme="minorHAnsi" w:cstheme="minorHAnsi"/>
          <w:szCs w:val="18"/>
          <w:lang w:val="es-MX"/>
        </w:rPr>
        <w:t xml:space="preserve">En la cuenta de Bienes en Comodato </w:t>
      </w:r>
      <w:r w:rsidR="00A57461">
        <w:rPr>
          <w:rFonts w:asciiTheme="minorHAnsi" w:hAnsiTheme="minorHAnsi" w:cstheme="minorHAnsi"/>
          <w:szCs w:val="18"/>
          <w:lang w:val="es-MX"/>
        </w:rPr>
        <w:t xml:space="preserve">se </w:t>
      </w:r>
      <w:r w:rsidRPr="00335E76">
        <w:rPr>
          <w:rFonts w:asciiTheme="minorHAnsi" w:hAnsiTheme="minorHAnsi" w:cstheme="minorHAnsi"/>
          <w:szCs w:val="18"/>
          <w:lang w:val="es-MX"/>
        </w:rPr>
        <w:t xml:space="preserve">tuvo un </w:t>
      </w:r>
      <w:r w:rsidR="000A692A" w:rsidRPr="00335E76">
        <w:rPr>
          <w:rFonts w:asciiTheme="minorHAnsi" w:hAnsiTheme="minorHAnsi" w:cstheme="minorHAnsi"/>
          <w:szCs w:val="18"/>
          <w:lang w:val="es-MX"/>
        </w:rPr>
        <w:t>de</w:t>
      </w:r>
      <w:r w:rsidR="00581FEB">
        <w:rPr>
          <w:rFonts w:asciiTheme="minorHAnsi" w:hAnsiTheme="minorHAnsi" w:cstheme="minorHAnsi"/>
          <w:szCs w:val="18"/>
          <w:lang w:val="es-MX"/>
        </w:rPr>
        <w:t>cremento acumulado</w:t>
      </w:r>
      <w:r w:rsidR="001162CD">
        <w:rPr>
          <w:rFonts w:asciiTheme="minorHAnsi" w:hAnsiTheme="minorHAnsi" w:cstheme="minorHAnsi"/>
          <w:szCs w:val="18"/>
          <w:lang w:val="es-MX"/>
        </w:rPr>
        <w:t xml:space="preserve"> en el ejercicio</w:t>
      </w:r>
      <w:r w:rsidRPr="00335E76">
        <w:rPr>
          <w:rFonts w:asciiTheme="minorHAnsi" w:hAnsiTheme="minorHAnsi" w:cstheme="minorHAnsi"/>
          <w:szCs w:val="18"/>
          <w:lang w:val="es-MX"/>
        </w:rPr>
        <w:t xml:space="preserve"> por un total de $</w:t>
      </w:r>
      <w:r w:rsidR="00581FEB">
        <w:rPr>
          <w:rFonts w:asciiTheme="minorHAnsi" w:hAnsiTheme="minorHAnsi" w:cstheme="minorHAnsi"/>
          <w:szCs w:val="18"/>
          <w:lang w:val="es-MX"/>
        </w:rPr>
        <w:t>7,364,598 principalmente por la baja de comodatos de equipo de transporte que se habían otorgado a diferentes organismos, entre los movimientos registrados se incluyen bajas de equipo de cómputo, equipo médico y de laboratorio</w:t>
      </w:r>
      <w:r w:rsidR="00581FEB">
        <w:rPr>
          <w:rFonts w:ascii="DIN Pro Regular" w:hAnsi="DIN Pro Regular" w:cs="DIN Pro Regular"/>
          <w:b/>
          <w:sz w:val="12"/>
          <w:szCs w:val="18"/>
        </w:rPr>
        <w:t xml:space="preserve">, </w:t>
      </w:r>
      <w:r w:rsidR="00C57258">
        <w:rPr>
          <w:rFonts w:asciiTheme="minorHAnsi" w:hAnsiTheme="minorHAnsi" w:cstheme="minorHAnsi"/>
          <w:szCs w:val="18"/>
          <w:lang w:val="es-MX"/>
        </w:rPr>
        <w:t>entre otros.</w:t>
      </w:r>
    </w:p>
    <w:p w14:paraId="299AE128" w14:textId="77777777" w:rsidR="00C57258" w:rsidRDefault="00C57258" w:rsidP="00C57258">
      <w:pPr>
        <w:pStyle w:val="Texto"/>
        <w:shd w:val="clear" w:color="auto" w:fill="FFFFFF" w:themeFill="background1"/>
        <w:spacing w:after="0" w:line="276" w:lineRule="auto"/>
        <w:ind w:left="284" w:firstLine="0"/>
        <w:rPr>
          <w:rFonts w:asciiTheme="minorHAnsi" w:hAnsiTheme="minorHAnsi" w:cstheme="minorHAnsi"/>
          <w:szCs w:val="18"/>
          <w:lang w:val="es-MX"/>
        </w:rPr>
      </w:pPr>
    </w:p>
    <w:tbl>
      <w:tblPr>
        <w:tblW w:w="5813" w:type="dxa"/>
        <w:tblInd w:w="-5" w:type="dxa"/>
        <w:tblCellMar>
          <w:left w:w="70" w:type="dxa"/>
          <w:right w:w="70" w:type="dxa"/>
        </w:tblCellMar>
        <w:tblLook w:val="04A0" w:firstRow="1" w:lastRow="0" w:firstColumn="1" w:lastColumn="0" w:noHBand="0" w:noVBand="1"/>
      </w:tblPr>
      <w:tblGrid>
        <w:gridCol w:w="4111"/>
        <w:gridCol w:w="1702"/>
      </w:tblGrid>
      <w:tr w:rsidR="00C57258" w:rsidRPr="00C57258" w14:paraId="45D81B35" w14:textId="77777777" w:rsidTr="00363D97">
        <w:trPr>
          <w:trHeight w:val="290"/>
        </w:trPr>
        <w:tc>
          <w:tcPr>
            <w:tcW w:w="4111"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5A3F053A" w14:textId="77777777" w:rsidR="00C57258" w:rsidRPr="00C57258" w:rsidRDefault="00C57258" w:rsidP="00C57258">
            <w:pPr>
              <w:spacing w:after="0" w:line="240" w:lineRule="auto"/>
              <w:jc w:val="center"/>
              <w:rPr>
                <w:rFonts w:ascii="Helvetica" w:eastAsia="Times New Roman" w:hAnsi="Helvetica" w:cs="Calibri"/>
                <w:b/>
                <w:bCs/>
                <w:color w:val="FFFFFF"/>
                <w:sz w:val="14"/>
                <w:szCs w:val="14"/>
                <w:lang w:eastAsia="es-MX"/>
              </w:rPr>
            </w:pPr>
            <w:r w:rsidRPr="00C57258">
              <w:rPr>
                <w:rFonts w:ascii="Helvetica" w:eastAsia="Times New Roman" w:hAnsi="Helvetica" w:cs="Calibri"/>
                <w:b/>
                <w:bCs/>
                <w:color w:val="FFFFFF"/>
                <w:sz w:val="14"/>
                <w:szCs w:val="14"/>
                <w:lang w:eastAsia="es-MX"/>
              </w:rPr>
              <w:t>BIENES EN COMODATO</w:t>
            </w:r>
          </w:p>
        </w:tc>
        <w:tc>
          <w:tcPr>
            <w:tcW w:w="1702" w:type="dxa"/>
            <w:tcBorders>
              <w:top w:val="single" w:sz="4" w:space="0" w:color="auto"/>
              <w:left w:val="nil"/>
              <w:bottom w:val="single" w:sz="4" w:space="0" w:color="auto"/>
              <w:right w:val="single" w:sz="4" w:space="0" w:color="auto"/>
            </w:tcBorders>
            <w:shd w:val="clear" w:color="000000" w:fill="AB0033"/>
            <w:vAlign w:val="center"/>
            <w:hideMark/>
          </w:tcPr>
          <w:p w14:paraId="3EB877C8" w14:textId="77777777" w:rsidR="00C57258" w:rsidRPr="00C57258" w:rsidRDefault="00C57258" w:rsidP="00C57258">
            <w:pPr>
              <w:spacing w:after="0" w:line="240" w:lineRule="auto"/>
              <w:jc w:val="center"/>
              <w:rPr>
                <w:rFonts w:ascii="Helvetica" w:eastAsia="Times New Roman" w:hAnsi="Helvetica" w:cs="Calibri"/>
                <w:b/>
                <w:bCs/>
                <w:color w:val="FFFFFF"/>
                <w:sz w:val="14"/>
                <w:szCs w:val="14"/>
                <w:lang w:eastAsia="es-MX"/>
              </w:rPr>
            </w:pPr>
            <w:r w:rsidRPr="00C57258">
              <w:rPr>
                <w:rFonts w:ascii="Helvetica" w:eastAsia="Times New Roman" w:hAnsi="Helvetica" w:cs="Calibri"/>
                <w:b/>
                <w:bCs/>
                <w:color w:val="FFFFFF"/>
                <w:sz w:val="14"/>
                <w:szCs w:val="14"/>
                <w:lang w:eastAsia="es-MX"/>
              </w:rPr>
              <w:t>Importe</w:t>
            </w:r>
          </w:p>
        </w:tc>
      </w:tr>
      <w:tr w:rsidR="00F46E2A" w:rsidRPr="00F46E2A" w14:paraId="6D2B0C2F" w14:textId="77777777" w:rsidTr="00363D97">
        <w:trPr>
          <w:trHeight w:val="29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0E989B25" w14:textId="77777777" w:rsidR="00C57258" w:rsidRPr="00F46E2A" w:rsidRDefault="00C57258" w:rsidP="00C57258">
            <w:pPr>
              <w:spacing w:after="0" w:line="240" w:lineRule="auto"/>
              <w:rPr>
                <w:rFonts w:eastAsia="Times New Roman" w:cs="Calibri"/>
                <w:sz w:val="14"/>
                <w:szCs w:val="14"/>
                <w:lang w:eastAsia="es-MX"/>
              </w:rPr>
            </w:pPr>
            <w:r w:rsidRPr="00F46E2A">
              <w:rPr>
                <w:rFonts w:eastAsia="Times New Roman" w:cs="Calibri"/>
                <w:sz w:val="14"/>
                <w:szCs w:val="14"/>
                <w:lang w:eastAsia="es-MX"/>
              </w:rPr>
              <w:t>Mobiliario y Equipo de Administración</w:t>
            </w:r>
          </w:p>
        </w:tc>
        <w:tc>
          <w:tcPr>
            <w:tcW w:w="1702" w:type="dxa"/>
            <w:tcBorders>
              <w:top w:val="nil"/>
              <w:left w:val="nil"/>
              <w:bottom w:val="single" w:sz="4" w:space="0" w:color="auto"/>
              <w:right w:val="single" w:sz="4" w:space="0" w:color="auto"/>
            </w:tcBorders>
            <w:shd w:val="clear" w:color="auto" w:fill="auto"/>
            <w:noWrap/>
            <w:vAlign w:val="center"/>
            <w:hideMark/>
          </w:tcPr>
          <w:p w14:paraId="0F849A95" w14:textId="77777777" w:rsidR="00C57258" w:rsidRPr="00C34A0D" w:rsidRDefault="00C57258" w:rsidP="00C57258">
            <w:pPr>
              <w:spacing w:after="0" w:line="240" w:lineRule="auto"/>
              <w:jc w:val="right"/>
              <w:rPr>
                <w:rFonts w:asciiTheme="minorHAnsi" w:eastAsia="Times New Roman" w:hAnsiTheme="minorHAnsi" w:cstheme="minorHAnsi"/>
                <w:sz w:val="14"/>
                <w:szCs w:val="14"/>
                <w:lang w:eastAsia="es-MX"/>
              </w:rPr>
            </w:pPr>
            <w:r w:rsidRPr="00C34A0D">
              <w:rPr>
                <w:rFonts w:asciiTheme="minorHAnsi" w:eastAsia="Times New Roman" w:hAnsiTheme="minorHAnsi" w:cstheme="minorHAnsi"/>
                <w:sz w:val="14"/>
                <w:szCs w:val="14"/>
                <w:lang w:eastAsia="es-MX"/>
              </w:rPr>
              <w:t>20,190,442</w:t>
            </w:r>
          </w:p>
        </w:tc>
      </w:tr>
      <w:tr w:rsidR="00F46E2A" w:rsidRPr="00F46E2A" w14:paraId="3BB9A5A8" w14:textId="77777777" w:rsidTr="00363D97">
        <w:trPr>
          <w:trHeight w:val="29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77F60E9" w14:textId="77777777" w:rsidR="00C57258" w:rsidRPr="00F46E2A" w:rsidRDefault="00C57258" w:rsidP="00C57258">
            <w:pPr>
              <w:spacing w:after="0" w:line="240" w:lineRule="auto"/>
              <w:rPr>
                <w:rFonts w:eastAsia="Times New Roman" w:cs="Calibri"/>
                <w:sz w:val="14"/>
                <w:szCs w:val="14"/>
                <w:lang w:eastAsia="es-MX"/>
              </w:rPr>
            </w:pPr>
            <w:r w:rsidRPr="00F46E2A">
              <w:rPr>
                <w:rFonts w:eastAsia="Times New Roman" w:cs="Calibri"/>
                <w:sz w:val="14"/>
                <w:szCs w:val="14"/>
                <w:lang w:eastAsia="es-MX"/>
              </w:rPr>
              <w:t>Mobiliario y Equipo Educacional y Recreativo</w:t>
            </w:r>
          </w:p>
        </w:tc>
        <w:tc>
          <w:tcPr>
            <w:tcW w:w="1702" w:type="dxa"/>
            <w:tcBorders>
              <w:top w:val="nil"/>
              <w:left w:val="nil"/>
              <w:bottom w:val="single" w:sz="4" w:space="0" w:color="auto"/>
              <w:right w:val="single" w:sz="4" w:space="0" w:color="auto"/>
            </w:tcBorders>
            <w:shd w:val="clear" w:color="auto" w:fill="auto"/>
            <w:noWrap/>
            <w:vAlign w:val="center"/>
            <w:hideMark/>
          </w:tcPr>
          <w:p w14:paraId="5CB58B9B" w14:textId="77777777" w:rsidR="00C57258" w:rsidRPr="00C34A0D" w:rsidRDefault="00C57258" w:rsidP="00C57258">
            <w:pPr>
              <w:spacing w:after="0" w:line="240" w:lineRule="auto"/>
              <w:jc w:val="right"/>
              <w:rPr>
                <w:rFonts w:asciiTheme="minorHAnsi" w:eastAsia="Times New Roman" w:hAnsiTheme="minorHAnsi" w:cstheme="minorHAnsi"/>
                <w:sz w:val="14"/>
                <w:szCs w:val="14"/>
                <w:lang w:eastAsia="es-MX"/>
              </w:rPr>
            </w:pPr>
            <w:r w:rsidRPr="00C34A0D">
              <w:rPr>
                <w:rFonts w:asciiTheme="minorHAnsi" w:eastAsia="Times New Roman" w:hAnsiTheme="minorHAnsi" w:cstheme="minorHAnsi"/>
                <w:sz w:val="14"/>
                <w:szCs w:val="14"/>
                <w:lang w:eastAsia="es-MX"/>
              </w:rPr>
              <w:t>16,496,482</w:t>
            </w:r>
          </w:p>
        </w:tc>
      </w:tr>
      <w:tr w:rsidR="00F46E2A" w:rsidRPr="00F46E2A" w14:paraId="3AB62D6D" w14:textId="77777777" w:rsidTr="00363D97">
        <w:trPr>
          <w:trHeight w:val="29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C14EA88" w14:textId="77777777" w:rsidR="00C57258" w:rsidRPr="00F46E2A" w:rsidRDefault="00C57258" w:rsidP="00C57258">
            <w:pPr>
              <w:spacing w:after="0" w:line="240" w:lineRule="auto"/>
              <w:rPr>
                <w:rFonts w:eastAsia="Times New Roman" w:cs="Calibri"/>
                <w:sz w:val="14"/>
                <w:szCs w:val="14"/>
                <w:lang w:eastAsia="es-MX"/>
              </w:rPr>
            </w:pPr>
            <w:r w:rsidRPr="00F46E2A">
              <w:rPr>
                <w:rFonts w:eastAsia="Times New Roman" w:cs="Calibri"/>
                <w:sz w:val="14"/>
                <w:szCs w:val="14"/>
                <w:lang w:eastAsia="es-MX"/>
              </w:rPr>
              <w:t>Equipo e Instrumental Médico y de Laboratorio</w:t>
            </w:r>
          </w:p>
        </w:tc>
        <w:tc>
          <w:tcPr>
            <w:tcW w:w="1702" w:type="dxa"/>
            <w:tcBorders>
              <w:top w:val="nil"/>
              <w:left w:val="nil"/>
              <w:bottom w:val="single" w:sz="4" w:space="0" w:color="auto"/>
              <w:right w:val="single" w:sz="4" w:space="0" w:color="auto"/>
            </w:tcBorders>
            <w:shd w:val="clear" w:color="auto" w:fill="auto"/>
            <w:noWrap/>
            <w:vAlign w:val="center"/>
            <w:hideMark/>
          </w:tcPr>
          <w:p w14:paraId="29764EB5" w14:textId="77777777" w:rsidR="00C57258" w:rsidRPr="00C34A0D" w:rsidRDefault="00C57258" w:rsidP="00C57258">
            <w:pPr>
              <w:spacing w:after="0" w:line="240" w:lineRule="auto"/>
              <w:jc w:val="right"/>
              <w:rPr>
                <w:rFonts w:asciiTheme="minorHAnsi" w:eastAsia="Times New Roman" w:hAnsiTheme="minorHAnsi" w:cstheme="minorHAnsi"/>
                <w:sz w:val="14"/>
                <w:szCs w:val="14"/>
                <w:lang w:eastAsia="es-MX"/>
              </w:rPr>
            </w:pPr>
            <w:r w:rsidRPr="00C34A0D">
              <w:rPr>
                <w:rFonts w:asciiTheme="minorHAnsi" w:eastAsia="Times New Roman" w:hAnsiTheme="minorHAnsi" w:cstheme="minorHAnsi"/>
                <w:sz w:val="14"/>
                <w:szCs w:val="14"/>
                <w:lang w:eastAsia="es-MX"/>
              </w:rPr>
              <w:t>3,033,052</w:t>
            </w:r>
          </w:p>
        </w:tc>
      </w:tr>
      <w:tr w:rsidR="00F46E2A" w:rsidRPr="00F46E2A" w14:paraId="4444AD2F" w14:textId="77777777" w:rsidTr="00363D97">
        <w:trPr>
          <w:trHeight w:val="29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9F986DC" w14:textId="77777777" w:rsidR="00C57258" w:rsidRPr="00F46E2A" w:rsidRDefault="00C57258" w:rsidP="00C57258">
            <w:pPr>
              <w:spacing w:after="0" w:line="240" w:lineRule="auto"/>
              <w:rPr>
                <w:rFonts w:eastAsia="Times New Roman" w:cs="Calibri"/>
                <w:sz w:val="14"/>
                <w:szCs w:val="14"/>
                <w:lang w:eastAsia="es-MX"/>
              </w:rPr>
            </w:pPr>
            <w:r w:rsidRPr="00F46E2A">
              <w:rPr>
                <w:rFonts w:eastAsia="Times New Roman" w:cs="Calibri"/>
                <w:sz w:val="14"/>
                <w:szCs w:val="14"/>
                <w:lang w:eastAsia="es-MX"/>
              </w:rPr>
              <w:t>Equipo de Transporte</w:t>
            </w:r>
          </w:p>
        </w:tc>
        <w:tc>
          <w:tcPr>
            <w:tcW w:w="1702" w:type="dxa"/>
            <w:tcBorders>
              <w:top w:val="nil"/>
              <w:left w:val="nil"/>
              <w:bottom w:val="single" w:sz="4" w:space="0" w:color="auto"/>
              <w:right w:val="single" w:sz="4" w:space="0" w:color="auto"/>
            </w:tcBorders>
            <w:shd w:val="clear" w:color="auto" w:fill="auto"/>
            <w:noWrap/>
            <w:vAlign w:val="center"/>
            <w:hideMark/>
          </w:tcPr>
          <w:p w14:paraId="74B7A513" w14:textId="77777777" w:rsidR="00C57258" w:rsidRPr="00C34A0D" w:rsidRDefault="00C57258" w:rsidP="00C57258">
            <w:pPr>
              <w:spacing w:after="0" w:line="240" w:lineRule="auto"/>
              <w:jc w:val="right"/>
              <w:rPr>
                <w:rFonts w:asciiTheme="minorHAnsi" w:eastAsia="Times New Roman" w:hAnsiTheme="minorHAnsi" w:cstheme="minorHAnsi"/>
                <w:sz w:val="14"/>
                <w:szCs w:val="14"/>
                <w:lang w:eastAsia="es-MX"/>
              </w:rPr>
            </w:pPr>
            <w:r w:rsidRPr="00C34A0D">
              <w:rPr>
                <w:rFonts w:asciiTheme="minorHAnsi" w:eastAsia="Times New Roman" w:hAnsiTheme="minorHAnsi" w:cstheme="minorHAnsi"/>
                <w:sz w:val="14"/>
                <w:szCs w:val="14"/>
                <w:lang w:eastAsia="es-MX"/>
              </w:rPr>
              <w:t>45,829,014</w:t>
            </w:r>
          </w:p>
        </w:tc>
      </w:tr>
      <w:tr w:rsidR="00F46E2A" w:rsidRPr="00F46E2A" w14:paraId="36E0C1C0" w14:textId="77777777" w:rsidTr="00363D97">
        <w:trPr>
          <w:trHeight w:val="29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9B4B17A" w14:textId="77777777" w:rsidR="00C57258" w:rsidRPr="00F46E2A" w:rsidRDefault="00C57258" w:rsidP="00C57258">
            <w:pPr>
              <w:spacing w:after="0" w:line="240" w:lineRule="auto"/>
              <w:rPr>
                <w:rFonts w:eastAsia="Times New Roman" w:cs="Calibri"/>
                <w:sz w:val="14"/>
                <w:szCs w:val="14"/>
                <w:lang w:eastAsia="es-MX"/>
              </w:rPr>
            </w:pPr>
            <w:r w:rsidRPr="00F46E2A">
              <w:rPr>
                <w:rFonts w:eastAsia="Times New Roman" w:cs="Calibri"/>
                <w:sz w:val="14"/>
                <w:szCs w:val="14"/>
                <w:lang w:eastAsia="es-MX"/>
              </w:rPr>
              <w:t>Maquinaria, Otros Equipos y Herramientas</w:t>
            </w:r>
          </w:p>
        </w:tc>
        <w:tc>
          <w:tcPr>
            <w:tcW w:w="1702" w:type="dxa"/>
            <w:tcBorders>
              <w:top w:val="nil"/>
              <w:left w:val="nil"/>
              <w:bottom w:val="single" w:sz="4" w:space="0" w:color="auto"/>
              <w:right w:val="single" w:sz="4" w:space="0" w:color="auto"/>
            </w:tcBorders>
            <w:shd w:val="clear" w:color="auto" w:fill="auto"/>
            <w:noWrap/>
            <w:vAlign w:val="center"/>
            <w:hideMark/>
          </w:tcPr>
          <w:p w14:paraId="44096126" w14:textId="77777777" w:rsidR="00C57258" w:rsidRPr="00C34A0D" w:rsidRDefault="00C57258" w:rsidP="00C57258">
            <w:pPr>
              <w:spacing w:after="0" w:line="240" w:lineRule="auto"/>
              <w:jc w:val="right"/>
              <w:rPr>
                <w:rFonts w:asciiTheme="minorHAnsi" w:eastAsia="Times New Roman" w:hAnsiTheme="minorHAnsi" w:cstheme="minorHAnsi"/>
                <w:sz w:val="14"/>
                <w:szCs w:val="14"/>
                <w:lang w:eastAsia="es-MX"/>
              </w:rPr>
            </w:pPr>
            <w:r w:rsidRPr="00C34A0D">
              <w:rPr>
                <w:rFonts w:asciiTheme="minorHAnsi" w:eastAsia="Times New Roman" w:hAnsiTheme="minorHAnsi" w:cstheme="minorHAnsi"/>
                <w:sz w:val="14"/>
                <w:szCs w:val="14"/>
                <w:lang w:eastAsia="es-MX"/>
              </w:rPr>
              <w:t>17,341,844</w:t>
            </w:r>
          </w:p>
        </w:tc>
      </w:tr>
      <w:tr w:rsidR="00F46E2A" w:rsidRPr="00F46E2A" w14:paraId="71E43C2A" w14:textId="77777777" w:rsidTr="00363D97">
        <w:trPr>
          <w:trHeight w:val="29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775BF82" w14:textId="77777777" w:rsidR="00C57258" w:rsidRPr="00F46E2A" w:rsidRDefault="00C57258" w:rsidP="00C57258">
            <w:pPr>
              <w:spacing w:after="0" w:line="240" w:lineRule="auto"/>
              <w:jc w:val="both"/>
              <w:rPr>
                <w:rFonts w:eastAsia="Times New Roman" w:cs="Calibri"/>
                <w:sz w:val="14"/>
                <w:szCs w:val="14"/>
                <w:lang w:eastAsia="es-MX"/>
              </w:rPr>
            </w:pPr>
            <w:r w:rsidRPr="00F46E2A">
              <w:rPr>
                <w:rFonts w:eastAsia="Times New Roman" w:cs="Calibri"/>
                <w:sz w:val="14"/>
                <w:szCs w:val="14"/>
                <w:lang w:eastAsia="es-MX"/>
              </w:rPr>
              <w:t>Software</w:t>
            </w:r>
          </w:p>
        </w:tc>
        <w:tc>
          <w:tcPr>
            <w:tcW w:w="1702" w:type="dxa"/>
            <w:tcBorders>
              <w:top w:val="nil"/>
              <w:left w:val="nil"/>
              <w:bottom w:val="single" w:sz="4" w:space="0" w:color="auto"/>
              <w:right w:val="single" w:sz="4" w:space="0" w:color="auto"/>
            </w:tcBorders>
            <w:shd w:val="clear" w:color="auto" w:fill="auto"/>
            <w:noWrap/>
            <w:vAlign w:val="center"/>
            <w:hideMark/>
          </w:tcPr>
          <w:p w14:paraId="2B40D97C" w14:textId="549BCAE0" w:rsidR="00C57258" w:rsidRPr="00C34A0D" w:rsidRDefault="00C34A0D" w:rsidP="00C57258">
            <w:pPr>
              <w:spacing w:after="0" w:line="240" w:lineRule="auto"/>
              <w:jc w:val="right"/>
              <w:rPr>
                <w:rFonts w:asciiTheme="minorHAnsi" w:eastAsia="Times New Roman" w:hAnsiTheme="minorHAnsi" w:cstheme="minorHAnsi"/>
                <w:sz w:val="14"/>
                <w:szCs w:val="14"/>
                <w:lang w:eastAsia="es-MX"/>
              </w:rPr>
            </w:pPr>
            <w:r w:rsidRPr="00C34A0D">
              <w:rPr>
                <w:rFonts w:asciiTheme="minorHAnsi" w:eastAsia="Times New Roman" w:hAnsiTheme="minorHAnsi" w:cstheme="minorHAnsi"/>
                <w:sz w:val="14"/>
                <w:szCs w:val="14"/>
                <w:lang w:eastAsia="es-MX"/>
              </w:rPr>
              <w:t>14,407,369</w:t>
            </w:r>
          </w:p>
        </w:tc>
      </w:tr>
      <w:tr w:rsidR="00F46E2A" w:rsidRPr="00F46E2A" w14:paraId="29138205" w14:textId="77777777" w:rsidTr="00363D97">
        <w:trPr>
          <w:trHeight w:val="29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BE51A75" w14:textId="77777777" w:rsidR="00C57258" w:rsidRPr="00F46E2A" w:rsidRDefault="00C57258" w:rsidP="00C57258">
            <w:pPr>
              <w:spacing w:after="0" w:line="240" w:lineRule="auto"/>
              <w:jc w:val="both"/>
              <w:rPr>
                <w:rFonts w:eastAsia="Times New Roman" w:cs="Calibri"/>
                <w:sz w:val="14"/>
                <w:szCs w:val="14"/>
                <w:lang w:eastAsia="es-MX"/>
              </w:rPr>
            </w:pPr>
            <w:r w:rsidRPr="00F46E2A">
              <w:rPr>
                <w:rFonts w:eastAsia="Times New Roman" w:cs="Calibri"/>
                <w:sz w:val="14"/>
                <w:szCs w:val="14"/>
                <w:lang w:eastAsia="es-MX"/>
              </w:rPr>
              <w:t>Terrenos</w:t>
            </w:r>
          </w:p>
        </w:tc>
        <w:tc>
          <w:tcPr>
            <w:tcW w:w="1702" w:type="dxa"/>
            <w:tcBorders>
              <w:top w:val="nil"/>
              <w:left w:val="nil"/>
              <w:bottom w:val="single" w:sz="4" w:space="0" w:color="auto"/>
              <w:right w:val="single" w:sz="4" w:space="0" w:color="auto"/>
            </w:tcBorders>
            <w:shd w:val="clear" w:color="auto" w:fill="auto"/>
            <w:noWrap/>
            <w:vAlign w:val="center"/>
            <w:hideMark/>
          </w:tcPr>
          <w:p w14:paraId="7F34D670" w14:textId="77777777" w:rsidR="00C57258" w:rsidRPr="00C34A0D" w:rsidRDefault="00C57258" w:rsidP="00C57258">
            <w:pPr>
              <w:spacing w:after="0" w:line="240" w:lineRule="auto"/>
              <w:jc w:val="right"/>
              <w:rPr>
                <w:rFonts w:asciiTheme="minorHAnsi" w:eastAsia="Times New Roman" w:hAnsiTheme="minorHAnsi" w:cstheme="minorHAnsi"/>
                <w:sz w:val="14"/>
                <w:szCs w:val="14"/>
                <w:lang w:eastAsia="es-MX"/>
              </w:rPr>
            </w:pPr>
            <w:r w:rsidRPr="00C34A0D">
              <w:rPr>
                <w:rFonts w:asciiTheme="minorHAnsi" w:eastAsia="Times New Roman" w:hAnsiTheme="minorHAnsi" w:cstheme="minorHAnsi"/>
                <w:sz w:val="14"/>
                <w:szCs w:val="14"/>
                <w:lang w:eastAsia="es-MX"/>
              </w:rPr>
              <w:t>6,174,000</w:t>
            </w:r>
          </w:p>
        </w:tc>
      </w:tr>
      <w:tr w:rsidR="00F46E2A" w:rsidRPr="00F46E2A" w14:paraId="490974CE" w14:textId="77777777" w:rsidTr="00F46E2A">
        <w:trPr>
          <w:trHeight w:val="29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C6FD30E" w14:textId="77777777" w:rsidR="00C57258" w:rsidRPr="00F46E2A" w:rsidRDefault="00C57258" w:rsidP="00C57258">
            <w:pPr>
              <w:spacing w:after="0" w:line="240" w:lineRule="auto"/>
              <w:jc w:val="both"/>
              <w:rPr>
                <w:rFonts w:eastAsia="Times New Roman" w:cs="Calibri"/>
                <w:sz w:val="14"/>
                <w:szCs w:val="14"/>
                <w:lang w:eastAsia="es-MX"/>
              </w:rPr>
            </w:pPr>
            <w:r w:rsidRPr="00F46E2A">
              <w:rPr>
                <w:rFonts w:eastAsia="Times New Roman" w:cs="Calibri"/>
                <w:sz w:val="14"/>
                <w:szCs w:val="14"/>
                <w:lang w:eastAsia="es-MX"/>
              </w:rPr>
              <w:t>Edificios No Habitacionales</w:t>
            </w:r>
          </w:p>
        </w:tc>
        <w:tc>
          <w:tcPr>
            <w:tcW w:w="1702" w:type="dxa"/>
            <w:tcBorders>
              <w:top w:val="nil"/>
              <w:left w:val="nil"/>
              <w:bottom w:val="single" w:sz="4" w:space="0" w:color="auto"/>
              <w:right w:val="single" w:sz="4" w:space="0" w:color="auto"/>
            </w:tcBorders>
            <w:shd w:val="clear" w:color="auto" w:fill="auto"/>
            <w:noWrap/>
            <w:vAlign w:val="center"/>
            <w:hideMark/>
          </w:tcPr>
          <w:p w14:paraId="1900A6BE" w14:textId="77777777" w:rsidR="00C57258" w:rsidRPr="00C34A0D" w:rsidRDefault="00C57258" w:rsidP="00C57258">
            <w:pPr>
              <w:spacing w:after="0" w:line="240" w:lineRule="auto"/>
              <w:jc w:val="right"/>
              <w:rPr>
                <w:rFonts w:asciiTheme="minorHAnsi" w:eastAsia="Times New Roman" w:hAnsiTheme="minorHAnsi" w:cstheme="minorHAnsi"/>
                <w:sz w:val="14"/>
                <w:szCs w:val="14"/>
                <w:lang w:eastAsia="es-MX"/>
              </w:rPr>
            </w:pPr>
            <w:r w:rsidRPr="00C34A0D">
              <w:rPr>
                <w:rFonts w:asciiTheme="minorHAnsi" w:eastAsia="Times New Roman" w:hAnsiTheme="minorHAnsi" w:cstheme="minorHAnsi"/>
                <w:sz w:val="14"/>
                <w:szCs w:val="14"/>
                <w:lang w:eastAsia="es-MX"/>
              </w:rPr>
              <w:t>8,779,000</w:t>
            </w:r>
          </w:p>
        </w:tc>
      </w:tr>
      <w:tr w:rsidR="00C57258" w:rsidRPr="00C57258" w14:paraId="27E8D0B1" w14:textId="77777777" w:rsidTr="00F46E2A">
        <w:trPr>
          <w:trHeight w:val="290"/>
        </w:trPr>
        <w:tc>
          <w:tcPr>
            <w:tcW w:w="4111" w:type="dxa"/>
            <w:tcBorders>
              <w:top w:val="single" w:sz="4" w:space="0" w:color="auto"/>
              <w:left w:val="single" w:sz="4" w:space="0" w:color="auto"/>
              <w:bottom w:val="single" w:sz="4" w:space="0" w:color="auto"/>
              <w:right w:val="single" w:sz="4" w:space="0" w:color="auto"/>
            </w:tcBorders>
            <w:shd w:val="clear" w:color="000000" w:fill="DDC9A3"/>
            <w:vAlign w:val="center"/>
            <w:hideMark/>
          </w:tcPr>
          <w:p w14:paraId="0AD2DC01" w14:textId="77777777" w:rsidR="00C57258" w:rsidRPr="00C57258" w:rsidRDefault="00C57258" w:rsidP="00C57258">
            <w:pPr>
              <w:spacing w:after="0" w:line="240" w:lineRule="auto"/>
              <w:jc w:val="center"/>
              <w:rPr>
                <w:rFonts w:ascii="DINPro-Regular" w:eastAsia="Times New Roman" w:hAnsi="DINPro-Regular" w:cs="Calibri"/>
                <w:b/>
                <w:bCs/>
                <w:color w:val="000000"/>
                <w:sz w:val="14"/>
                <w:szCs w:val="14"/>
                <w:lang w:eastAsia="es-MX"/>
              </w:rPr>
            </w:pPr>
            <w:r w:rsidRPr="00C57258">
              <w:rPr>
                <w:rFonts w:ascii="DINPro-Regular" w:eastAsia="Times New Roman" w:hAnsi="DINPro-Regular" w:cs="Calibri"/>
                <w:b/>
                <w:bCs/>
                <w:color w:val="000000"/>
                <w:sz w:val="14"/>
                <w:szCs w:val="14"/>
                <w:lang w:eastAsia="es-MX"/>
              </w:rPr>
              <w:t>Total</w:t>
            </w:r>
          </w:p>
        </w:tc>
        <w:tc>
          <w:tcPr>
            <w:tcW w:w="1702" w:type="dxa"/>
            <w:tcBorders>
              <w:top w:val="single" w:sz="4" w:space="0" w:color="auto"/>
              <w:left w:val="nil"/>
              <w:bottom w:val="single" w:sz="4" w:space="0" w:color="auto"/>
              <w:right w:val="single" w:sz="4" w:space="0" w:color="auto"/>
            </w:tcBorders>
            <w:shd w:val="clear" w:color="000000" w:fill="DDC9A3"/>
            <w:vAlign w:val="center"/>
            <w:hideMark/>
          </w:tcPr>
          <w:p w14:paraId="564ECBAF" w14:textId="77777777" w:rsidR="00C57258" w:rsidRPr="00C34A0D" w:rsidRDefault="00C57258" w:rsidP="00C57258">
            <w:pPr>
              <w:spacing w:after="0" w:line="240" w:lineRule="auto"/>
              <w:jc w:val="right"/>
              <w:rPr>
                <w:rFonts w:asciiTheme="minorHAnsi" w:eastAsia="Times New Roman" w:hAnsiTheme="minorHAnsi" w:cstheme="minorHAnsi"/>
                <w:b/>
                <w:bCs/>
                <w:color w:val="000000"/>
                <w:sz w:val="14"/>
                <w:szCs w:val="14"/>
                <w:lang w:eastAsia="es-MX"/>
              </w:rPr>
            </w:pPr>
            <w:r w:rsidRPr="00C34A0D">
              <w:rPr>
                <w:rFonts w:asciiTheme="minorHAnsi" w:eastAsia="Times New Roman" w:hAnsiTheme="minorHAnsi" w:cstheme="minorHAnsi"/>
                <w:b/>
                <w:bCs/>
                <w:color w:val="000000"/>
                <w:sz w:val="14"/>
                <w:szCs w:val="14"/>
                <w:lang w:eastAsia="es-MX"/>
              </w:rPr>
              <w:t>132,251,203</w:t>
            </w:r>
          </w:p>
        </w:tc>
      </w:tr>
    </w:tbl>
    <w:p w14:paraId="1B989045" w14:textId="77777777" w:rsidR="00C57258" w:rsidRPr="00C57258" w:rsidRDefault="00C57258" w:rsidP="00C57258">
      <w:pPr>
        <w:pStyle w:val="Texto"/>
        <w:shd w:val="clear" w:color="auto" w:fill="FFFFFF" w:themeFill="background1"/>
        <w:spacing w:after="0" w:line="276" w:lineRule="auto"/>
        <w:ind w:left="284" w:firstLine="0"/>
        <w:rPr>
          <w:rFonts w:asciiTheme="minorHAnsi" w:hAnsiTheme="minorHAnsi" w:cstheme="minorHAnsi"/>
          <w:szCs w:val="18"/>
          <w:lang w:val="es-MX"/>
        </w:rPr>
      </w:pPr>
    </w:p>
    <w:p w14:paraId="6554ED2A" w14:textId="77777777" w:rsidR="00056BDD" w:rsidRPr="0050250A" w:rsidRDefault="00056BDD" w:rsidP="000A692A">
      <w:pPr>
        <w:pStyle w:val="Texto"/>
        <w:spacing w:after="0" w:line="200" w:lineRule="exact"/>
        <w:ind w:firstLine="0"/>
        <w:rPr>
          <w:rFonts w:ascii="DIN Pro Regular" w:hAnsi="DIN Pro Regular" w:cs="DIN Pro Regular"/>
          <w:b/>
          <w:sz w:val="12"/>
          <w:szCs w:val="18"/>
        </w:rPr>
      </w:pPr>
    </w:p>
    <w:p w14:paraId="44D7A599" w14:textId="77777777" w:rsidR="00857BC8" w:rsidRPr="00686668" w:rsidRDefault="00857BC8" w:rsidP="003D7ABC">
      <w:pPr>
        <w:pStyle w:val="Texto"/>
        <w:spacing w:after="0" w:line="240" w:lineRule="exact"/>
        <w:ind w:firstLine="0"/>
        <w:rPr>
          <w:rFonts w:asciiTheme="minorHAnsi" w:hAnsiTheme="minorHAnsi" w:cstheme="minorHAnsi"/>
          <w:b/>
          <w:sz w:val="20"/>
        </w:rPr>
      </w:pPr>
      <w:r w:rsidRPr="00686668">
        <w:rPr>
          <w:rFonts w:asciiTheme="minorHAnsi" w:hAnsiTheme="minorHAnsi" w:cstheme="minorHAnsi"/>
          <w:b/>
          <w:sz w:val="20"/>
        </w:rPr>
        <w:t>Pasivo</w:t>
      </w:r>
    </w:p>
    <w:p w14:paraId="061B600B" w14:textId="77777777" w:rsidR="00056BDD" w:rsidRPr="005F45A3" w:rsidRDefault="00056BDD" w:rsidP="003D7ABC">
      <w:pPr>
        <w:pStyle w:val="Texto"/>
        <w:spacing w:after="0" w:line="240" w:lineRule="exact"/>
        <w:ind w:firstLine="0"/>
        <w:rPr>
          <w:rFonts w:asciiTheme="minorHAnsi" w:hAnsiTheme="minorHAnsi" w:cstheme="minorHAnsi"/>
          <w:b/>
          <w:sz w:val="20"/>
          <w:szCs w:val="18"/>
        </w:rPr>
      </w:pPr>
    </w:p>
    <w:p w14:paraId="1FF8B68D" w14:textId="77777777" w:rsidR="005425A9" w:rsidRPr="005F45A3" w:rsidRDefault="005425A9" w:rsidP="005425A9">
      <w:pPr>
        <w:pStyle w:val="Texto"/>
        <w:spacing w:after="0" w:line="276" w:lineRule="auto"/>
        <w:ind w:left="360" w:firstLine="0"/>
        <w:rPr>
          <w:rFonts w:asciiTheme="minorHAnsi" w:hAnsiTheme="minorHAnsi" w:cstheme="minorHAnsi"/>
          <w:sz w:val="12"/>
          <w:szCs w:val="18"/>
          <w:lang w:val="es-MX"/>
        </w:rPr>
      </w:pPr>
    </w:p>
    <w:p w14:paraId="2B9D35C4" w14:textId="48DCE653" w:rsidR="00C94957" w:rsidRPr="00C94957" w:rsidRDefault="005264EA" w:rsidP="00B46FFA">
      <w:pPr>
        <w:pStyle w:val="Texto"/>
        <w:numPr>
          <w:ilvl w:val="0"/>
          <w:numId w:val="21"/>
        </w:numPr>
        <w:spacing w:after="0" w:line="240" w:lineRule="exact"/>
        <w:ind w:left="284" w:hanging="284"/>
        <w:rPr>
          <w:rFonts w:asciiTheme="minorHAnsi" w:hAnsiTheme="minorHAnsi" w:cstheme="minorHAnsi"/>
          <w:b/>
          <w:szCs w:val="18"/>
          <w:lang w:val="es-MX"/>
        </w:rPr>
      </w:pPr>
      <w:r w:rsidRPr="005F45A3">
        <w:rPr>
          <w:rFonts w:asciiTheme="minorHAnsi" w:hAnsiTheme="minorHAnsi" w:cstheme="minorHAnsi"/>
          <w:b/>
          <w:szCs w:val="18"/>
          <w:lang w:val="es-MX"/>
        </w:rPr>
        <w:t>Cuentas por Pagar a Corto P</w:t>
      </w:r>
      <w:r w:rsidR="00CD2E5C">
        <w:rPr>
          <w:rFonts w:asciiTheme="minorHAnsi" w:hAnsiTheme="minorHAnsi" w:cstheme="minorHAnsi"/>
          <w:b/>
          <w:szCs w:val="18"/>
          <w:lang w:val="es-MX"/>
        </w:rPr>
        <w:t>l</w:t>
      </w:r>
      <w:r w:rsidRPr="005F45A3">
        <w:rPr>
          <w:rFonts w:asciiTheme="minorHAnsi" w:hAnsiTheme="minorHAnsi" w:cstheme="minorHAnsi"/>
          <w:b/>
          <w:szCs w:val="18"/>
          <w:lang w:val="es-MX"/>
        </w:rPr>
        <w:t>azo</w:t>
      </w:r>
    </w:p>
    <w:p w14:paraId="757F43FE" w14:textId="77777777" w:rsidR="0050250A" w:rsidRPr="005F45A3" w:rsidRDefault="0050250A" w:rsidP="005264EA">
      <w:pPr>
        <w:pStyle w:val="Texto"/>
        <w:spacing w:after="0" w:line="240" w:lineRule="exact"/>
        <w:rPr>
          <w:rFonts w:asciiTheme="minorHAnsi" w:hAnsiTheme="minorHAnsi" w:cstheme="minorHAnsi"/>
          <w:b/>
          <w:sz w:val="20"/>
          <w:szCs w:val="18"/>
        </w:rPr>
      </w:pPr>
    </w:p>
    <w:tbl>
      <w:tblPr>
        <w:tblW w:w="9639" w:type="dxa"/>
        <w:tblCellMar>
          <w:left w:w="70" w:type="dxa"/>
          <w:right w:w="70" w:type="dxa"/>
        </w:tblCellMar>
        <w:tblLook w:val="04A0" w:firstRow="1" w:lastRow="0" w:firstColumn="1" w:lastColumn="0" w:noHBand="0" w:noVBand="1"/>
      </w:tblPr>
      <w:tblGrid>
        <w:gridCol w:w="3560"/>
        <w:gridCol w:w="1255"/>
        <w:gridCol w:w="1276"/>
        <w:gridCol w:w="1134"/>
        <w:gridCol w:w="1134"/>
        <w:gridCol w:w="1280"/>
      </w:tblGrid>
      <w:tr w:rsidR="00E428AC" w:rsidRPr="00E428AC" w14:paraId="3E6F427A" w14:textId="77777777" w:rsidTr="008E2E08">
        <w:trPr>
          <w:trHeight w:val="500"/>
        </w:trPr>
        <w:tc>
          <w:tcPr>
            <w:tcW w:w="356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2AA17514" w14:textId="77777777" w:rsidR="00E428AC" w:rsidRPr="00E428AC" w:rsidRDefault="00E428AC" w:rsidP="00E428AC">
            <w:pPr>
              <w:spacing w:after="0" w:line="240" w:lineRule="auto"/>
              <w:jc w:val="center"/>
              <w:rPr>
                <w:rFonts w:eastAsia="Times New Roman" w:cs="Calibri"/>
                <w:b/>
                <w:bCs/>
                <w:color w:val="FFFFFF"/>
                <w:sz w:val="16"/>
                <w:szCs w:val="16"/>
                <w:lang w:eastAsia="es-MX"/>
              </w:rPr>
            </w:pPr>
            <w:r w:rsidRPr="00E428AC">
              <w:rPr>
                <w:rFonts w:eastAsia="Times New Roman" w:cs="Calibri"/>
                <w:b/>
                <w:bCs/>
                <w:color w:val="FFFFFF"/>
                <w:sz w:val="16"/>
                <w:szCs w:val="16"/>
                <w:lang w:eastAsia="es-MX"/>
              </w:rPr>
              <w:t>Descripción de la Cuenta</w:t>
            </w:r>
          </w:p>
        </w:tc>
        <w:tc>
          <w:tcPr>
            <w:tcW w:w="1255" w:type="dxa"/>
            <w:tcBorders>
              <w:top w:val="single" w:sz="4" w:space="0" w:color="auto"/>
              <w:left w:val="nil"/>
              <w:bottom w:val="single" w:sz="4" w:space="0" w:color="auto"/>
              <w:right w:val="single" w:sz="4" w:space="0" w:color="auto"/>
            </w:tcBorders>
            <w:shd w:val="clear" w:color="000000" w:fill="AB0033"/>
            <w:vAlign w:val="center"/>
            <w:hideMark/>
          </w:tcPr>
          <w:p w14:paraId="0F155C22" w14:textId="77777777" w:rsidR="00E428AC" w:rsidRPr="00E428AC" w:rsidRDefault="00E428AC" w:rsidP="00E428AC">
            <w:pPr>
              <w:spacing w:after="0" w:line="240" w:lineRule="auto"/>
              <w:jc w:val="center"/>
              <w:rPr>
                <w:rFonts w:eastAsia="Times New Roman" w:cs="Calibri"/>
                <w:b/>
                <w:bCs/>
                <w:color w:val="FFFFFF"/>
                <w:sz w:val="16"/>
                <w:szCs w:val="16"/>
                <w:lang w:eastAsia="es-MX"/>
              </w:rPr>
            </w:pPr>
            <w:r w:rsidRPr="00E428AC">
              <w:rPr>
                <w:rFonts w:eastAsia="Times New Roman" w:cs="Calibri"/>
                <w:b/>
                <w:bCs/>
                <w:color w:val="FFFFFF"/>
                <w:sz w:val="16"/>
                <w:szCs w:val="16"/>
                <w:lang w:eastAsia="es-MX"/>
              </w:rPr>
              <w:t>90 Días</w:t>
            </w:r>
          </w:p>
        </w:tc>
        <w:tc>
          <w:tcPr>
            <w:tcW w:w="1276" w:type="dxa"/>
            <w:tcBorders>
              <w:top w:val="single" w:sz="4" w:space="0" w:color="auto"/>
              <w:left w:val="nil"/>
              <w:bottom w:val="single" w:sz="4" w:space="0" w:color="auto"/>
              <w:right w:val="single" w:sz="4" w:space="0" w:color="auto"/>
            </w:tcBorders>
            <w:shd w:val="clear" w:color="000000" w:fill="AB0033"/>
            <w:vAlign w:val="center"/>
            <w:hideMark/>
          </w:tcPr>
          <w:p w14:paraId="417C2BFD" w14:textId="77777777" w:rsidR="00E428AC" w:rsidRPr="00E428AC" w:rsidRDefault="00E428AC" w:rsidP="00E428AC">
            <w:pPr>
              <w:spacing w:after="0" w:line="240" w:lineRule="auto"/>
              <w:jc w:val="center"/>
              <w:rPr>
                <w:rFonts w:eastAsia="Times New Roman" w:cs="Calibri"/>
                <w:b/>
                <w:bCs/>
                <w:color w:val="FFFFFF"/>
                <w:sz w:val="16"/>
                <w:szCs w:val="16"/>
                <w:lang w:eastAsia="es-MX"/>
              </w:rPr>
            </w:pPr>
            <w:r w:rsidRPr="00E428AC">
              <w:rPr>
                <w:rFonts w:eastAsia="Times New Roman" w:cs="Calibri"/>
                <w:b/>
                <w:bCs/>
                <w:color w:val="FFFFFF"/>
                <w:sz w:val="16"/>
                <w:szCs w:val="16"/>
                <w:lang w:eastAsia="es-MX"/>
              </w:rPr>
              <w:t>180 Días</w:t>
            </w:r>
          </w:p>
        </w:tc>
        <w:tc>
          <w:tcPr>
            <w:tcW w:w="1134" w:type="dxa"/>
            <w:tcBorders>
              <w:top w:val="single" w:sz="4" w:space="0" w:color="auto"/>
              <w:left w:val="nil"/>
              <w:bottom w:val="single" w:sz="4" w:space="0" w:color="auto"/>
              <w:right w:val="single" w:sz="4" w:space="0" w:color="auto"/>
            </w:tcBorders>
            <w:shd w:val="clear" w:color="000000" w:fill="AB0033"/>
            <w:vAlign w:val="center"/>
            <w:hideMark/>
          </w:tcPr>
          <w:p w14:paraId="53B0661F" w14:textId="77777777" w:rsidR="00E428AC" w:rsidRPr="00E428AC" w:rsidRDefault="00E428AC" w:rsidP="00E428AC">
            <w:pPr>
              <w:spacing w:after="0" w:line="240" w:lineRule="auto"/>
              <w:jc w:val="center"/>
              <w:rPr>
                <w:rFonts w:eastAsia="Times New Roman" w:cs="Calibri"/>
                <w:b/>
                <w:bCs/>
                <w:color w:val="FFFFFF"/>
                <w:sz w:val="16"/>
                <w:szCs w:val="16"/>
                <w:lang w:eastAsia="es-MX"/>
              </w:rPr>
            </w:pPr>
            <w:r w:rsidRPr="00E428AC">
              <w:rPr>
                <w:rFonts w:eastAsia="Times New Roman" w:cs="Calibri"/>
                <w:b/>
                <w:bCs/>
                <w:color w:val="FFFFFF"/>
                <w:sz w:val="16"/>
                <w:szCs w:val="16"/>
                <w:lang w:eastAsia="es-MX"/>
              </w:rPr>
              <w:t>Menor a 365 Días</w:t>
            </w:r>
          </w:p>
        </w:tc>
        <w:tc>
          <w:tcPr>
            <w:tcW w:w="1134" w:type="dxa"/>
            <w:tcBorders>
              <w:top w:val="single" w:sz="4" w:space="0" w:color="auto"/>
              <w:left w:val="nil"/>
              <w:bottom w:val="single" w:sz="4" w:space="0" w:color="auto"/>
              <w:right w:val="single" w:sz="4" w:space="0" w:color="auto"/>
            </w:tcBorders>
            <w:shd w:val="clear" w:color="000000" w:fill="AB0033"/>
            <w:vAlign w:val="center"/>
            <w:hideMark/>
          </w:tcPr>
          <w:p w14:paraId="314A8B9A" w14:textId="77777777" w:rsidR="00E428AC" w:rsidRPr="00E428AC" w:rsidRDefault="00E428AC" w:rsidP="00E428AC">
            <w:pPr>
              <w:spacing w:after="0" w:line="240" w:lineRule="auto"/>
              <w:jc w:val="center"/>
              <w:rPr>
                <w:rFonts w:eastAsia="Times New Roman" w:cs="Calibri"/>
                <w:b/>
                <w:bCs/>
                <w:color w:val="FFFFFF"/>
                <w:sz w:val="16"/>
                <w:szCs w:val="16"/>
                <w:lang w:eastAsia="es-MX"/>
              </w:rPr>
            </w:pPr>
            <w:r w:rsidRPr="00E428AC">
              <w:rPr>
                <w:rFonts w:eastAsia="Times New Roman" w:cs="Calibri"/>
                <w:b/>
                <w:bCs/>
                <w:color w:val="FFFFFF"/>
                <w:sz w:val="16"/>
                <w:szCs w:val="16"/>
                <w:lang w:eastAsia="es-MX"/>
              </w:rPr>
              <w:t>Mayor a 365 Días</w:t>
            </w:r>
          </w:p>
        </w:tc>
        <w:tc>
          <w:tcPr>
            <w:tcW w:w="1280" w:type="dxa"/>
            <w:tcBorders>
              <w:top w:val="single" w:sz="4" w:space="0" w:color="auto"/>
              <w:left w:val="nil"/>
              <w:bottom w:val="single" w:sz="4" w:space="0" w:color="auto"/>
              <w:right w:val="single" w:sz="4" w:space="0" w:color="auto"/>
            </w:tcBorders>
            <w:shd w:val="clear" w:color="000000" w:fill="AB0033"/>
            <w:vAlign w:val="center"/>
            <w:hideMark/>
          </w:tcPr>
          <w:p w14:paraId="13DA72B5" w14:textId="77777777" w:rsidR="00E428AC" w:rsidRPr="00E428AC" w:rsidRDefault="00E428AC" w:rsidP="00E428AC">
            <w:pPr>
              <w:spacing w:after="0" w:line="240" w:lineRule="auto"/>
              <w:jc w:val="center"/>
              <w:rPr>
                <w:rFonts w:eastAsia="Times New Roman" w:cs="Calibri"/>
                <w:b/>
                <w:bCs/>
                <w:color w:val="FFFFFF"/>
                <w:sz w:val="16"/>
                <w:szCs w:val="16"/>
                <w:lang w:eastAsia="es-MX"/>
              </w:rPr>
            </w:pPr>
            <w:r w:rsidRPr="00E428AC">
              <w:rPr>
                <w:rFonts w:eastAsia="Times New Roman" w:cs="Calibri"/>
                <w:b/>
                <w:bCs/>
                <w:color w:val="FFFFFF"/>
                <w:sz w:val="16"/>
                <w:szCs w:val="16"/>
                <w:lang w:eastAsia="es-MX"/>
              </w:rPr>
              <w:t>Importe</w:t>
            </w:r>
          </w:p>
        </w:tc>
      </w:tr>
      <w:tr w:rsidR="00F46E2A" w:rsidRPr="00F46E2A" w14:paraId="6A5D1102" w14:textId="77777777" w:rsidTr="008E2E08">
        <w:trPr>
          <w:trHeight w:val="253"/>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4D56090D" w14:textId="77777777" w:rsidR="00E428AC" w:rsidRPr="00F46E2A" w:rsidRDefault="00E428AC" w:rsidP="00E428AC">
            <w:pPr>
              <w:spacing w:after="0" w:line="240" w:lineRule="auto"/>
              <w:jc w:val="both"/>
              <w:rPr>
                <w:rFonts w:eastAsia="Times New Roman" w:cs="Calibri"/>
                <w:sz w:val="14"/>
                <w:szCs w:val="14"/>
                <w:lang w:eastAsia="es-MX"/>
              </w:rPr>
            </w:pPr>
            <w:r w:rsidRPr="00F46E2A">
              <w:rPr>
                <w:rFonts w:eastAsia="Times New Roman" w:cs="Calibri"/>
                <w:sz w:val="14"/>
                <w:szCs w:val="14"/>
                <w:lang w:eastAsia="es-MX"/>
              </w:rPr>
              <w:t>Servicios por Pagar FONE</w:t>
            </w:r>
          </w:p>
        </w:tc>
        <w:tc>
          <w:tcPr>
            <w:tcW w:w="1255" w:type="dxa"/>
            <w:tcBorders>
              <w:top w:val="nil"/>
              <w:left w:val="nil"/>
              <w:bottom w:val="single" w:sz="4" w:space="0" w:color="auto"/>
              <w:right w:val="single" w:sz="4" w:space="0" w:color="auto"/>
            </w:tcBorders>
            <w:shd w:val="clear" w:color="auto" w:fill="auto"/>
            <w:vAlign w:val="center"/>
            <w:hideMark/>
          </w:tcPr>
          <w:p w14:paraId="78A6238B"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0</w:t>
            </w:r>
          </w:p>
        </w:tc>
        <w:tc>
          <w:tcPr>
            <w:tcW w:w="1276" w:type="dxa"/>
            <w:tcBorders>
              <w:top w:val="nil"/>
              <w:left w:val="nil"/>
              <w:bottom w:val="single" w:sz="4" w:space="0" w:color="auto"/>
              <w:right w:val="single" w:sz="4" w:space="0" w:color="auto"/>
            </w:tcBorders>
            <w:shd w:val="clear" w:color="auto" w:fill="auto"/>
            <w:vAlign w:val="center"/>
            <w:hideMark/>
          </w:tcPr>
          <w:p w14:paraId="18AE73F3"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0</w:t>
            </w:r>
          </w:p>
        </w:tc>
        <w:tc>
          <w:tcPr>
            <w:tcW w:w="1134" w:type="dxa"/>
            <w:tcBorders>
              <w:top w:val="nil"/>
              <w:left w:val="nil"/>
              <w:bottom w:val="single" w:sz="4" w:space="0" w:color="auto"/>
              <w:right w:val="single" w:sz="4" w:space="0" w:color="auto"/>
            </w:tcBorders>
            <w:shd w:val="clear" w:color="auto" w:fill="auto"/>
            <w:vAlign w:val="center"/>
            <w:hideMark/>
          </w:tcPr>
          <w:p w14:paraId="77A2ECD8"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0</w:t>
            </w:r>
          </w:p>
        </w:tc>
        <w:tc>
          <w:tcPr>
            <w:tcW w:w="1134" w:type="dxa"/>
            <w:tcBorders>
              <w:top w:val="nil"/>
              <w:left w:val="nil"/>
              <w:bottom w:val="single" w:sz="4" w:space="0" w:color="auto"/>
              <w:right w:val="single" w:sz="4" w:space="0" w:color="auto"/>
            </w:tcBorders>
            <w:shd w:val="clear" w:color="auto" w:fill="auto"/>
            <w:vAlign w:val="center"/>
            <w:hideMark/>
          </w:tcPr>
          <w:p w14:paraId="406503D1"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0</w:t>
            </w:r>
          </w:p>
        </w:tc>
        <w:tc>
          <w:tcPr>
            <w:tcW w:w="1280" w:type="dxa"/>
            <w:tcBorders>
              <w:top w:val="nil"/>
              <w:left w:val="nil"/>
              <w:bottom w:val="single" w:sz="4" w:space="0" w:color="auto"/>
              <w:right w:val="single" w:sz="4" w:space="0" w:color="auto"/>
            </w:tcBorders>
            <w:shd w:val="clear" w:color="auto" w:fill="auto"/>
            <w:vAlign w:val="center"/>
            <w:hideMark/>
          </w:tcPr>
          <w:p w14:paraId="7E5051BF"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0</w:t>
            </w:r>
          </w:p>
        </w:tc>
      </w:tr>
      <w:tr w:rsidR="00F46E2A" w:rsidRPr="00F46E2A" w14:paraId="07BE0970" w14:textId="77777777" w:rsidTr="008E2E08">
        <w:trPr>
          <w:trHeight w:val="253"/>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0F62670D" w14:textId="77777777" w:rsidR="00E428AC" w:rsidRPr="00F46E2A" w:rsidRDefault="00E428AC" w:rsidP="00E428AC">
            <w:pPr>
              <w:spacing w:after="0" w:line="240" w:lineRule="auto"/>
              <w:jc w:val="both"/>
              <w:rPr>
                <w:rFonts w:eastAsia="Times New Roman" w:cs="Calibri"/>
                <w:sz w:val="14"/>
                <w:szCs w:val="14"/>
                <w:lang w:eastAsia="es-MX"/>
              </w:rPr>
            </w:pPr>
            <w:r w:rsidRPr="00F46E2A">
              <w:rPr>
                <w:rFonts w:eastAsia="Times New Roman" w:cs="Calibri"/>
                <w:sz w:val="14"/>
                <w:szCs w:val="14"/>
                <w:lang w:eastAsia="es-MX"/>
              </w:rPr>
              <w:t>Proveedores por Pagar a Corto Plazo</w:t>
            </w:r>
          </w:p>
        </w:tc>
        <w:tc>
          <w:tcPr>
            <w:tcW w:w="1255" w:type="dxa"/>
            <w:tcBorders>
              <w:top w:val="nil"/>
              <w:left w:val="nil"/>
              <w:bottom w:val="single" w:sz="4" w:space="0" w:color="auto"/>
              <w:right w:val="single" w:sz="4" w:space="0" w:color="auto"/>
            </w:tcBorders>
            <w:shd w:val="clear" w:color="auto" w:fill="auto"/>
            <w:vAlign w:val="center"/>
            <w:hideMark/>
          </w:tcPr>
          <w:p w14:paraId="4D1811B9"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157,707,925</w:t>
            </w:r>
          </w:p>
        </w:tc>
        <w:tc>
          <w:tcPr>
            <w:tcW w:w="1276" w:type="dxa"/>
            <w:tcBorders>
              <w:top w:val="nil"/>
              <w:left w:val="nil"/>
              <w:bottom w:val="single" w:sz="4" w:space="0" w:color="auto"/>
              <w:right w:val="single" w:sz="4" w:space="0" w:color="auto"/>
            </w:tcBorders>
            <w:shd w:val="clear" w:color="auto" w:fill="auto"/>
            <w:vAlign w:val="center"/>
            <w:hideMark/>
          </w:tcPr>
          <w:p w14:paraId="2F6CC24C"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72,372,541</w:t>
            </w:r>
          </w:p>
        </w:tc>
        <w:tc>
          <w:tcPr>
            <w:tcW w:w="1134" w:type="dxa"/>
            <w:tcBorders>
              <w:top w:val="nil"/>
              <w:left w:val="nil"/>
              <w:bottom w:val="single" w:sz="4" w:space="0" w:color="auto"/>
              <w:right w:val="single" w:sz="4" w:space="0" w:color="auto"/>
            </w:tcBorders>
            <w:shd w:val="clear" w:color="auto" w:fill="auto"/>
            <w:vAlign w:val="center"/>
            <w:hideMark/>
          </w:tcPr>
          <w:p w14:paraId="7A669A26"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18,369,114</w:t>
            </w:r>
          </w:p>
        </w:tc>
        <w:tc>
          <w:tcPr>
            <w:tcW w:w="1134" w:type="dxa"/>
            <w:tcBorders>
              <w:top w:val="nil"/>
              <w:left w:val="nil"/>
              <w:bottom w:val="single" w:sz="4" w:space="0" w:color="auto"/>
              <w:right w:val="single" w:sz="4" w:space="0" w:color="auto"/>
            </w:tcBorders>
            <w:shd w:val="clear" w:color="auto" w:fill="auto"/>
            <w:vAlign w:val="center"/>
            <w:hideMark/>
          </w:tcPr>
          <w:p w14:paraId="4D349B04"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135,844,334</w:t>
            </w:r>
          </w:p>
        </w:tc>
        <w:tc>
          <w:tcPr>
            <w:tcW w:w="1280" w:type="dxa"/>
            <w:tcBorders>
              <w:top w:val="nil"/>
              <w:left w:val="nil"/>
              <w:bottom w:val="single" w:sz="4" w:space="0" w:color="auto"/>
              <w:right w:val="single" w:sz="4" w:space="0" w:color="auto"/>
            </w:tcBorders>
            <w:shd w:val="clear" w:color="auto" w:fill="auto"/>
            <w:vAlign w:val="center"/>
            <w:hideMark/>
          </w:tcPr>
          <w:p w14:paraId="762BC1FD"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384,293,914</w:t>
            </w:r>
          </w:p>
        </w:tc>
      </w:tr>
      <w:tr w:rsidR="00F46E2A" w:rsidRPr="00F46E2A" w14:paraId="52DAE0CD" w14:textId="77777777" w:rsidTr="008E2E08">
        <w:trPr>
          <w:trHeight w:val="253"/>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207CD15A" w14:textId="77777777" w:rsidR="00E428AC" w:rsidRPr="00F46E2A" w:rsidRDefault="00E428AC" w:rsidP="00E428AC">
            <w:pPr>
              <w:spacing w:after="0" w:line="240" w:lineRule="auto"/>
              <w:jc w:val="both"/>
              <w:rPr>
                <w:rFonts w:eastAsia="Times New Roman" w:cs="Calibri"/>
                <w:sz w:val="14"/>
                <w:szCs w:val="14"/>
                <w:lang w:eastAsia="es-MX"/>
              </w:rPr>
            </w:pPr>
            <w:r w:rsidRPr="00F46E2A">
              <w:rPr>
                <w:rFonts w:eastAsia="Times New Roman" w:cs="Calibri"/>
                <w:sz w:val="14"/>
                <w:szCs w:val="14"/>
                <w:lang w:eastAsia="es-MX"/>
              </w:rPr>
              <w:t>Contratistas por Obras Públicas por Pagar a Corto Plazo</w:t>
            </w:r>
          </w:p>
        </w:tc>
        <w:tc>
          <w:tcPr>
            <w:tcW w:w="1255" w:type="dxa"/>
            <w:tcBorders>
              <w:top w:val="nil"/>
              <w:left w:val="nil"/>
              <w:bottom w:val="single" w:sz="4" w:space="0" w:color="auto"/>
              <w:right w:val="single" w:sz="4" w:space="0" w:color="auto"/>
            </w:tcBorders>
            <w:shd w:val="clear" w:color="auto" w:fill="auto"/>
            <w:vAlign w:val="center"/>
            <w:hideMark/>
          </w:tcPr>
          <w:p w14:paraId="6F781DFE"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0</w:t>
            </w:r>
          </w:p>
        </w:tc>
        <w:tc>
          <w:tcPr>
            <w:tcW w:w="1276" w:type="dxa"/>
            <w:tcBorders>
              <w:top w:val="nil"/>
              <w:left w:val="nil"/>
              <w:bottom w:val="single" w:sz="4" w:space="0" w:color="auto"/>
              <w:right w:val="single" w:sz="4" w:space="0" w:color="auto"/>
            </w:tcBorders>
            <w:shd w:val="clear" w:color="auto" w:fill="auto"/>
            <w:vAlign w:val="center"/>
            <w:hideMark/>
          </w:tcPr>
          <w:p w14:paraId="6E23913B"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0</w:t>
            </w:r>
          </w:p>
        </w:tc>
        <w:tc>
          <w:tcPr>
            <w:tcW w:w="1134" w:type="dxa"/>
            <w:tcBorders>
              <w:top w:val="nil"/>
              <w:left w:val="nil"/>
              <w:bottom w:val="single" w:sz="4" w:space="0" w:color="auto"/>
              <w:right w:val="single" w:sz="4" w:space="0" w:color="auto"/>
            </w:tcBorders>
            <w:shd w:val="clear" w:color="auto" w:fill="auto"/>
            <w:vAlign w:val="center"/>
            <w:hideMark/>
          </w:tcPr>
          <w:p w14:paraId="65877D4A"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0</w:t>
            </w:r>
          </w:p>
        </w:tc>
        <w:tc>
          <w:tcPr>
            <w:tcW w:w="1134" w:type="dxa"/>
            <w:tcBorders>
              <w:top w:val="nil"/>
              <w:left w:val="nil"/>
              <w:bottom w:val="single" w:sz="4" w:space="0" w:color="auto"/>
              <w:right w:val="single" w:sz="4" w:space="0" w:color="auto"/>
            </w:tcBorders>
            <w:shd w:val="clear" w:color="auto" w:fill="auto"/>
            <w:vAlign w:val="center"/>
            <w:hideMark/>
          </w:tcPr>
          <w:p w14:paraId="19DE7FA3"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188,225</w:t>
            </w:r>
          </w:p>
        </w:tc>
        <w:tc>
          <w:tcPr>
            <w:tcW w:w="1280" w:type="dxa"/>
            <w:tcBorders>
              <w:top w:val="nil"/>
              <w:left w:val="nil"/>
              <w:bottom w:val="single" w:sz="4" w:space="0" w:color="auto"/>
              <w:right w:val="single" w:sz="4" w:space="0" w:color="auto"/>
            </w:tcBorders>
            <w:shd w:val="clear" w:color="auto" w:fill="auto"/>
            <w:vAlign w:val="center"/>
            <w:hideMark/>
          </w:tcPr>
          <w:p w14:paraId="07D35E72"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188,225</w:t>
            </w:r>
          </w:p>
        </w:tc>
      </w:tr>
      <w:tr w:rsidR="00F46E2A" w:rsidRPr="00F46E2A" w14:paraId="0C1B24A5" w14:textId="77777777" w:rsidTr="008E2E08">
        <w:trPr>
          <w:trHeight w:val="253"/>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31EF0AD0" w14:textId="77777777" w:rsidR="00E428AC" w:rsidRPr="00F46E2A" w:rsidRDefault="00E428AC" w:rsidP="00E428AC">
            <w:pPr>
              <w:spacing w:after="0" w:line="240" w:lineRule="auto"/>
              <w:jc w:val="both"/>
              <w:rPr>
                <w:rFonts w:eastAsia="Times New Roman" w:cs="Calibri"/>
                <w:sz w:val="14"/>
                <w:szCs w:val="14"/>
                <w:lang w:eastAsia="es-MX"/>
              </w:rPr>
            </w:pPr>
            <w:r w:rsidRPr="00F46E2A">
              <w:rPr>
                <w:rFonts w:eastAsia="Times New Roman" w:cs="Calibri"/>
                <w:sz w:val="14"/>
                <w:szCs w:val="14"/>
                <w:lang w:eastAsia="es-MX"/>
              </w:rPr>
              <w:t>Participaciones y Aportaciones por Pagar a Corto Plazo</w:t>
            </w:r>
          </w:p>
        </w:tc>
        <w:tc>
          <w:tcPr>
            <w:tcW w:w="1255" w:type="dxa"/>
            <w:tcBorders>
              <w:top w:val="nil"/>
              <w:left w:val="nil"/>
              <w:bottom w:val="single" w:sz="4" w:space="0" w:color="auto"/>
              <w:right w:val="single" w:sz="4" w:space="0" w:color="auto"/>
            </w:tcBorders>
            <w:shd w:val="clear" w:color="auto" w:fill="auto"/>
            <w:vAlign w:val="center"/>
            <w:hideMark/>
          </w:tcPr>
          <w:p w14:paraId="3A7EAE72"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452,581,720</w:t>
            </w:r>
          </w:p>
        </w:tc>
        <w:tc>
          <w:tcPr>
            <w:tcW w:w="1276" w:type="dxa"/>
            <w:tcBorders>
              <w:top w:val="nil"/>
              <w:left w:val="nil"/>
              <w:bottom w:val="single" w:sz="4" w:space="0" w:color="auto"/>
              <w:right w:val="single" w:sz="4" w:space="0" w:color="auto"/>
            </w:tcBorders>
            <w:shd w:val="clear" w:color="auto" w:fill="auto"/>
            <w:vAlign w:val="center"/>
            <w:hideMark/>
          </w:tcPr>
          <w:p w14:paraId="28F71FEF"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0</w:t>
            </w:r>
          </w:p>
        </w:tc>
        <w:tc>
          <w:tcPr>
            <w:tcW w:w="1134" w:type="dxa"/>
            <w:tcBorders>
              <w:top w:val="nil"/>
              <w:left w:val="nil"/>
              <w:bottom w:val="single" w:sz="4" w:space="0" w:color="auto"/>
              <w:right w:val="single" w:sz="4" w:space="0" w:color="auto"/>
            </w:tcBorders>
            <w:shd w:val="clear" w:color="auto" w:fill="auto"/>
            <w:vAlign w:val="center"/>
            <w:hideMark/>
          </w:tcPr>
          <w:p w14:paraId="2B90E978"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0</w:t>
            </w:r>
          </w:p>
        </w:tc>
        <w:tc>
          <w:tcPr>
            <w:tcW w:w="1134" w:type="dxa"/>
            <w:tcBorders>
              <w:top w:val="nil"/>
              <w:left w:val="nil"/>
              <w:bottom w:val="single" w:sz="4" w:space="0" w:color="auto"/>
              <w:right w:val="single" w:sz="4" w:space="0" w:color="auto"/>
            </w:tcBorders>
            <w:shd w:val="clear" w:color="auto" w:fill="auto"/>
            <w:vAlign w:val="center"/>
            <w:hideMark/>
          </w:tcPr>
          <w:p w14:paraId="71596BAB"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0</w:t>
            </w:r>
          </w:p>
        </w:tc>
        <w:tc>
          <w:tcPr>
            <w:tcW w:w="1280" w:type="dxa"/>
            <w:tcBorders>
              <w:top w:val="nil"/>
              <w:left w:val="nil"/>
              <w:bottom w:val="single" w:sz="4" w:space="0" w:color="auto"/>
              <w:right w:val="single" w:sz="4" w:space="0" w:color="auto"/>
            </w:tcBorders>
            <w:shd w:val="clear" w:color="auto" w:fill="auto"/>
            <w:vAlign w:val="center"/>
            <w:hideMark/>
          </w:tcPr>
          <w:p w14:paraId="0E847F7A"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452,581,720</w:t>
            </w:r>
          </w:p>
        </w:tc>
      </w:tr>
      <w:tr w:rsidR="00F46E2A" w:rsidRPr="00F46E2A" w14:paraId="2E09F88D" w14:textId="77777777" w:rsidTr="008E2E08">
        <w:trPr>
          <w:trHeight w:val="253"/>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08597FB3" w14:textId="77777777" w:rsidR="00E428AC" w:rsidRPr="00F46E2A" w:rsidRDefault="00E428AC" w:rsidP="00E428AC">
            <w:pPr>
              <w:spacing w:after="0" w:line="240" w:lineRule="auto"/>
              <w:jc w:val="both"/>
              <w:rPr>
                <w:rFonts w:eastAsia="Times New Roman" w:cs="Calibri"/>
                <w:sz w:val="14"/>
                <w:szCs w:val="14"/>
                <w:lang w:eastAsia="es-MX"/>
              </w:rPr>
            </w:pPr>
            <w:r w:rsidRPr="00F46E2A">
              <w:rPr>
                <w:rFonts w:eastAsia="Times New Roman" w:cs="Calibri"/>
                <w:sz w:val="14"/>
                <w:szCs w:val="14"/>
                <w:lang w:eastAsia="es-MX"/>
              </w:rPr>
              <w:t>Transferencia Otorgadas por Pagar a Corto Plazo</w:t>
            </w:r>
          </w:p>
        </w:tc>
        <w:tc>
          <w:tcPr>
            <w:tcW w:w="1255" w:type="dxa"/>
            <w:tcBorders>
              <w:top w:val="nil"/>
              <w:left w:val="nil"/>
              <w:bottom w:val="single" w:sz="4" w:space="0" w:color="auto"/>
              <w:right w:val="single" w:sz="4" w:space="0" w:color="auto"/>
            </w:tcBorders>
            <w:shd w:val="clear" w:color="auto" w:fill="auto"/>
            <w:vAlign w:val="center"/>
            <w:hideMark/>
          </w:tcPr>
          <w:p w14:paraId="6C849A84"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743,792</w:t>
            </w:r>
          </w:p>
        </w:tc>
        <w:tc>
          <w:tcPr>
            <w:tcW w:w="1276" w:type="dxa"/>
            <w:tcBorders>
              <w:top w:val="nil"/>
              <w:left w:val="nil"/>
              <w:bottom w:val="single" w:sz="4" w:space="0" w:color="auto"/>
              <w:right w:val="single" w:sz="4" w:space="0" w:color="auto"/>
            </w:tcBorders>
            <w:shd w:val="clear" w:color="auto" w:fill="auto"/>
            <w:vAlign w:val="center"/>
            <w:hideMark/>
          </w:tcPr>
          <w:p w14:paraId="3628A567"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0</w:t>
            </w:r>
          </w:p>
        </w:tc>
        <w:tc>
          <w:tcPr>
            <w:tcW w:w="1134" w:type="dxa"/>
            <w:tcBorders>
              <w:top w:val="nil"/>
              <w:left w:val="nil"/>
              <w:bottom w:val="single" w:sz="4" w:space="0" w:color="auto"/>
              <w:right w:val="single" w:sz="4" w:space="0" w:color="auto"/>
            </w:tcBorders>
            <w:shd w:val="clear" w:color="auto" w:fill="auto"/>
            <w:vAlign w:val="center"/>
            <w:hideMark/>
          </w:tcPr>
          <w:p w14:paraId="505E262D"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0</w:t>
            </w:r>
          </w:p>
        </w:tc>
        <w:tc>
          <w:tcPr>
            <w:tcW w:w="1134" w:type="dxa"/>
            <w:tcBorders>
              <w:top w:val="nil"/>
              <w:left w:val="nil"/>
              <w:bottom w:val="single" w:sz="4" w:space="0" w:color="auto"/>
              <w:right w:val="single" w:sz="4" w:space="0" w:color="auto"/>
            </w:tcBorders>
            <w:shd w:val="clear" w:color="auto" w:fill="auto"/>
            <w:vAlign w:val="center"/>
            <w:hideMark/>
          </w:tcPr>
          <w:p w14:paraId="46EB6A4F"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0</w:t>
            </w:r>
          </w:p>
        </w:tc>
        <w:tc>
          <w:tcPr>
            <w:tcW w:w="1280" w:type="dxa"/>
            <w:tcBorders>
              <w:top w:val="nil"/>
              <w:left w:val="nil"/>
              <w:bottom w:val="single" w:sz="4" w:space="0" w:color="auto"/>
              <w:right w:val="single" w:sz="4" w:space="0" w:color="auto"/>
            </w:tcBorders>
            <w:shd w:val="clear" w:color="auto" w:fill="auto"/>
            <w:vAlign w:val="center"/>
            <w:hideMark/>
          </w:tcPr>
          <w:p w14:paraId="505A29FF"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743,792</w:t>
            </w:r>
          </w:p>
        </w:tc>
      </w:tr>
      <w:tr w:rsidR="00F46E2A" w:rsidRPr="00F46E2A" w14:paraId="0004A844" w14:textId="77777777" w:rsidTr="008E2E08">
        <w:trPr>
          <w:trHeight w:val="253"/>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4F90F5B0" w14:textId="77777777" w:rsidR="00E428AC" w:rsidRPr="00F46E2A" w:rsidRDefault="00E428AC" w:rsidP="00E428AC">
            <w:pPr>
              <w:spacing w:after="0" w:line="240" w:lineRule="auto"/>
              <w:jc w:val="both"/>
              <w:rPr>
                <w:rFonts w:eastAsia="Times New Roman" w:cs="Calibri"/>
                <w:sz w:val="14"/>
                <w:szCs w:val="14"/>
                <w:lang w:eastAsia="es-MX"/>
              </w:rPr>
            </w:pPr>
            <w:r w:rsidRPr="00F46E2A">
              <w:rPr>
                <w:rFonts w:eastAsia="Times New Roman" w:cs="Calibri"/>
                <w:sz w:val="14"/>
                <w:szCs w:val="14"/>
                <w:lang w:eastAsia="es-MX"/>
              </w:rPr>
              <w:t>Retenciones y Contribuciones por Pagar a Corto Plazo</w:t>
            </w:r>
          </w:p>
        </w:tc>
        <w:tc>
          <w:tcPr>
            <w:tcW w:w="1255" w:type="dxa"/>
            <w:tcBorders>
              <w:top w:val="nil"/>
              <w:left w:val="nil"/>
              <w:bottom w:val="single" w:sz="4" w:space="0" w:color="auto"/>
              <w:right w:val="single" w:sz="4" w:space="0" w:color="auto"/>
            </w:tcBorders>
            <w:shd w:val="clear" w:color="auto" w:fill="auto"/>
            <w:vAlign w:val="center"/>
            <w:hideMark/>
          </w:tcPr>
          <w:p w14:paraId="072E512F"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335,307,326</w:t>
            </w:r>
          </w:p>
        </w:tc>
        <w:tc>
          <w:tcPr>
            <w:tcW w:w="1276" w:type="dxa"/>
            <w:tcBorders>
              <w:top w:val="nil"/>
              <w:left w:val="nil"/>
              <w:bottom w:val="single" w:sz="4" w:space="0" w:color="auto"/>
              <w:right w:val="single" w:sz="4" w:space="0" w:color="auto"/>
            </w:tcBorders>
            <w:shd w:val="clear" w:color="auto" w:fill="auto"/>
            <w:vAlign w:val="center"/>
            <w:hideMark/>
          </w:tcPr>
          <w:p w14:paraId="16ED2F4D"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5,121,049</w:t>
            </w:r>
          </w:p>
        </w:tc>
        <w:tc>
          <w:tcPr>
            <w:tcW w:w="1134" w:type="dxa"/>
            <w:tcBorders>
              <w:top w:val="nil"/>
              <w:left w:val="nil"/>
              <w:bottom w:val="single" w:sz="4" w:space="0" w:color="auto"/>
              <w:right w:val="single" w:sz="4" w:space="0" w:color="auto"/>
            </w:tcBorders>
            <w:shd w:val="clear" w:color="auto" w:fill="auto"/>
            <w:vAlign w:val="center"/>
            <w:hideMark/>
          </w:tcPr>
          <w:p w14:paraId="243C4B6E"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756,266</w:t>
            </w:r>
          </w:p>
        </w:tc>
        <w:tc>
          <w:tcPr>
            <w:tcW w:w="1134" w:type="dxa"/>
            <w:tcBorders>
              <w:top w:val="nil"/>
              <w:left w:val="nil"/>
              <w:bottom w:val="single" w:sz="4" w:space="0" w:color="auto"/>
              <w:right w:val="single" w:sz="4" w:space="0" w:color="auto"/>
            </w:tcBorders>
            <w:shd w:val="clear" w:color="auto" w:fill="auto"/>
            <w:vAlign w:val="center"/>
            <w:hideMark/>
          </w:tcPr>
          <w:p w14:paraId="3826861D"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142,196,546</w:t>
            </w:r>
          </w:p>
        </w:tc>
        <w:tc>
          <w:tcPr>
            <w:tcW w:w="1280" w:type="dxa"/>
            <w:tcBorders>
              <w:top w:val="nil"/>
              <w:left w:val="nil"/>
              <w:bottom w:val="single" w:sz="4" w:space="0" w:color="auto"/>
              <w:right w:val="single" w:sz="4" w:space="0" w:color="auto"/>
            </w:tcBorders>
            <w:shd w:val="clear" w:color="auto" w:fill="auto"/>
            <w:vAlign w:val="center"/>
            <w:hideMark/>
          </w:tcPr>
          <w:p w14:paraId="38F3E77E"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483,381,187</w:t>
            </w:r>
          </w:p>
        </w:tc>
      </w:tr>
      <w:tr w:rsidR="00F46E2A" w:rsidRPr="00F46E2A" w14:paraId="57607E82" w14:textId="77777777" w:rsidTr="008E2E08">
        <w:trPr>
          <w:trHeight w:val="253"/>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4DB7E3DC" w14:textId="77777777" w:rsidR="00E428AC" w:rsidRPr="00F46E2A" w:rsidRDefault="00E428AC" w:rsidP="00E428AC">
            <w:pPr>
              <w:spacing w:after="0" w:line="240" w:lineRule="auto"/>
              <w:jc w:val="both"/>
              <w:rPr>
                <w:rFonts w:eastAsia="Times New Roman" w:cs="Calibri"/>
                <w:sz w:val="14"/>
                <w:szCs w:val="14"/>
                <w:lang w:eastAsia="es-MX"/>
              </w:rPr>
            </w:pPr>
            <w:r w:rsidRPr="00F46E2A">
              <w:rPr>
                <w:rFonts w:eastAsia="Times New Roman" w:cs="Calibri"/>
                <w:sz w:val="14"/>
                <w:szCs w:val="14"/>
                <w:lang w:eastAsia="es-MX"/>
              </w:rPr>
              <w:t>Devoluciones de la Ley de Ingresos por Pagar a Corto Plazo</w:t>
            </w:r>
          </w:p>
        </w:tc>
        <w:tc>
          <w:tcPr>
            <w:tcW w:w="1255" w:type="dxa"/>
            <w:tcBorders>
              <w:top w:val="nil"/>
              <w:left w:val="nil"/>
              <w:bottom w:val="single" w:sz="4" w:space="0" w:color="auto"/>
              <w:right w:val="single" w:sz="4" w:space="0" w:color="auto"/>
            </w:tcBorders>
            <w:shd w:val="clear" w:color="auto" w:fill="auto"/>
            <w:vAlign w:val="center"/>
            <w:hideMark/>
          </w:tcPr>
          <w:p w14:paraId="22AD60BE"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0</w:t>
            </w:r>
          </w:p>
        </w:tc>
        <w:tc>
          <w:tcPr>
            <w:tcW w:w="1276" w:type="dxa"/>
            <w:tcBorders>
              <w:top w:val="nil"/>
              <w:left w:val="nil"/>
              <w:bottom w:val="single" w:sz="4" w:space="0" w:color="auto"/>
              <w:right w:val="single" w:sz="4" w:space="0" w:color="auto"/>
            </w:tcBorders>
            <w:shd w:val="clear" w:color="auto" w:fill="auto"/>
            <w:vAlign w:val="center"/>
            <w:hideMark/>
          </w:tcPr>
          <w:p w14:paraId="706516FD"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0</w:t>
            </w:r>
          </w:p>
        </w:tc>
        <w:tc>
          <w:tcPr>
            <w:tcW w:w="1134" w:type="dxa"/>
            <w:tcBorders>
              <w:top w:val="nil"/>
              <w:left w:val="nil"/>
              <w:bottom w:val="single" w:sz="4" w:space="0" w:color="auto"/>
              <w:right w:val="single" w:sz="4" w:space="0" w:color="auto"/>
            </w:tcBorders>
            <w:shd w:val="clear" w:color="auto" w:fill="auto"/>
            <w:vAlign w:val="center"/>
            <w:hideMark/>
          </w:tcPr>
          <w:p w14:paraId="712FCA10"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5,728,035</w:t>
            </w:r>
          </w:p>
        </w:tc>
        <w:tc>
          <w:tcPr>
            <w:tcW w:w="1134" w:type="dxa"/>
            <w:tcBorders>
              <w:top w:val="nil"/>
              <w:left w:val="nil"/>
              <w:bottom w:val="single" w:sz="4" w:space="0" w:color="auto"/>
              <w:right w:val="single" w:sz="4" w:space="0" w:color="auto"/>
            </w:tcBorders>
            <w:shd w:val="clear" w:color="auto" w:fill="auto"/>
            <w:vAlign w:val="center"/>
            <w:hideMark/>
          </w:tcPr>
          <w:p w14:paraId="5167C637"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1,284,234</w:t>
            </w:r>
          </w:p>
        </w:tc>
        <w:tc>
          <w:tcPr>
            <w:tcW w:w="1280" w:type="dxa"/>
            <w:tcBorders>
              <w:top w:val="nil"/>
              <w:left w:val="nil"/>
              <w:bottom w:val="single" w:sz="4" w:space="0" w:color="auto"/>
              <w:right w:val="single" w:sz="4" w:space="0" w:color="auto"/>
            </w:tcBorders>
            <w:shd w:val="clear" w:color="auto" w:fill="auto"/>
            <w:vAlign w:val="center"/>
            <w:hideMark/>
          </w:tcPr>
          <w:p w14:paraId="152C164F"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7,012,269</w:t>
            </w:r>
          </w:p>
        </w:tc>
      </w:tr>
      <w:tr w:rsidR="00F46E2A" w:rsidRPr="00F46E2A" w14:paraId="477B1904" w14:textId="77777777" w:rsidTr="008E2E08">
        <w:trPr>
          <w:trHeight w:val="253"/>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2BE228B4" w14:textId="77777777" w:rsidR="00E428AC" w:rsidRPr="00F46E2A" w:rsidRDefault="00E428AC" w:rsidP="00E428AC">
            <w:pPr>
              <w:spacing w:after="0" w:line="240" w:lineRule="auto"/>
              <w:jc w:val="both"/>
              <w:rPr>
                <w:rFonts w:eastAsia="Times New Roman" w:cs="Calibri"/>
                <w:sz w:val="14"/>
                <w:szCs w:val="14"/>
                <w:lang w:eastAsia="es-MX"/>
              </w:rPr>
            </w:pPr>
            <w:r w:rsidRPr="00F46E2A">
              <w:rPr>
                <w:rFonts w:eastAsia="Times New Roman" w:cs="Calibri"/>
                <w:sz w:val="14"/>
                <w:szCs w:val="14"/>
                <w:lang w:eastAsia="es-MX"/>
              </w:rPr>
              <w:t>Otras Cuentas por Pagar a Corto Plazo</w:t>
            </w:r>
          </w:p>
        </w:tc>
        <w:tc>
          <w:tcPr>
            <w:tcW w:w="1255" w:type="dxa"/>
            <w:tcBorders>
              <w:top w:val="nil"/>
              <w:left w:val="nil"/>
              <w:bottom w:val="single" w:sz="4" w:space="0" w:color="auto"/>
              <w:right w:val="single" w:sz="4" w:space="0" w:color="auto"/>
            </w:tcBorders>
            <w:shd w:val="clear" w:color="auto" w:fill="auto"/>
            <w:vAlign w:val="center"/>
            <w:hideMark/>
          </w:tcPr>
          <w:p w14:paraId="1E405550"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252,616,829</w:t>
            </w:r>
          </w:p>
        </w:tc>
        <w:tc>
          <w:tcPr>
            <w:tcW w:w="1276" w:type="dxa"/>
            <w:tcBorders>
              <w:top w:val="nil"/>
              <w:left w:val="nil"/>
              <w:bottom w:val="single" w:sz="4" w:space="0" w:color="auto"/>
              <w:right w:val="single" w:sz="4" w:space="0" w:color="auto"/>
            </w:tcBorders>
            <w:shd w:val="clear" w:color="auto" w:fill="auto"/>
            <w:vAlign w:val="center"/>
            <w:hideMark/>
          </w:tcPr>
          <w:p w14:paraId="2515A253"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38,998,120</w:t>
            </w:r>
          </w:p>
        </w:tc>
        <w:tc>
          <w:tcPr>
            <w:tcW w:w="1134" w:type="dxa"/>
            <w:tcBorders>
              <w:top w:val="nil"/>
              <w:left w:val="nil"/>
              <w:bottom w:val="single" w:sz="4" w:space="0" w:color="auto"/>
              <w:right w:val="single" w:sz="4" w:space="0" w:color="auto"/>
            </w:tcBorders>
            <w:shd w:val="clear" w:color="auto" w:fill="auto"/>
            <w:vAlign w:val="center"/>
            <w:hideMark/>
          </w:tcPr>
          <w:p w14:paraId="4A010FD6" w14:textId="55AAB222" w:rsidR="00E428AC" w:rsidRPr="00F46E2A" w:rsidRDefault="00E428AC" w:rsidP="00C34A0D">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1,087,7</w:t>
            </w:r>
            <w:r w:rsidR="00C34A0D">
              <w:rPr>
                <w:rFonts w:eastAsia="Times New Roman" w:cs="Calibri"/>
                <w:sz w:val="14"/>
                <w:szCs w:val="14"/>
                <w:lang w:eastAsia="es-MX"/>
              </w:rPr>
              <w:t>81</w:t>
            </w:r>
          </w:p>
        </w:tc>
        <w:tc>
          <w:tcPr>
            <w:tcW w:w="1134" w:type="dxa"/>
            <w:tcBorders>
              <w:top w:val="nil"/>
              <w:left w:val="nil"/>
              <w:bottom w:val="single" w:sz="4" w:space="0" w:color="auto"/>
              <w:right w:val="single" w:sz="4" w:space="0" w:color="auto"/>
            </w:tcBorders>
            <w:shd w:val="clear" w:color="auto" w:fill="auto"/>
            <w:vAlign w:val="center"/>
            <w:hideMark/>
          </w:tcPr>
          <w:p w14:paraId="25C95BBC"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38,386,523</w:t>
            </w:r>
          </w:p>
        </w:tc>
        <w:tc>
          <w:tcPr>
            <w:tcW w:w="1280" w:type="dxa"/>
            <w:tcBorders>
              <w:top w:val="nil"/>
              <w:left w:val="nil"/>
              <w:bottom w:val="single" w:sz="4" w:space="0" w:color="auto"/>
              <w:right w:val="single" w:sz="4" w:space="0" w:color="auto"/>
            </w:tcBorders>
            <w:shd w:val="clear" w:color="auto" w:fill="auto"/>
            <w:vAlign w:val="center"/>
            <w:hideMark/>
          </w:tcPr>
          <w:p w14:paraId="38D110B7" w14:textId="77777777" w:rsidR="00E428AC" w:rsidRPr="00F46E2A" w:rsidRDefault="00E428AC" w:rsidP="00E428AC">
            <w:pPr>
              <w:spacing w:after="0" w:line="240" w:lineRule="auto"/>
              <w:jc w:val="right"/>
              <w:rPr>
                <w:rFonts w:eastAsia="Times New Roman" w:cs="Calibri"/>
                <w:sz w:val="14"/>
                <w:szCs w:val="14"/>
                <w:lang w:eastAsia="es-MX"/>
              </w:rPr>
            </w:pPr>
            <w:r w:rsidRPr="00F46E2A">
              <w:rPr>
                <w:rFonts w:eastAsia="Times New Roman" w:cs="Calibri"/>
                <w:sz w:val="14"/>
                <w:szCs w:val="14"/>
                <w:lang w:eastAsia="es-MX"/>
              </w:rPr>
              <w:t>331,089,253</w:t>
            </w:r>
          </w:p>
        </w:tc>
      </w:tr>
      <w:tr w:rsidR="00E428AC" w:rsidRPr="00363D97" w14:paraId="0C20A15E" w14:textId="77777777" w:rsidTr="008E2E08">
        <w:trPr>
          <w:trHeight w:val="253"/>
        </w:trPr>
        <w:tc>
          <w:tcPr>
            <w:tcW w:w="3560" w:type="dxa"/>
            <w:tcBorders>
              <w:top w:val="nil"/>
              <w:left w:val="single" w:sz="4" w:space="0" w:color="auto"/>
              <w:bottom w:val="single" w:sz="4" w:space="0" w:color="auto"/>
              <w:right w:val="single" w:sz="4" w:space="0" w:color="auto"/>
            </w:tcBorders>
            <w:shd w:val="clear" w:color="000000" w:fill="DDC9A3"/>
            <w:vAlign w:val="center"/>
            <w:hideMark/>
          </w:tcPr>
          <w:p w14:paraId="587B94CE" w14:textId="77777777" w:rsidR="00E428AC" w:rsidRPr="00363D97" w:rsidRDefault="00E428AC" w:rsidP="00E428AC">
            <w:pPr>
              <w:spacing w:after="0" w:line="240" w:lineRule="auto"/>
              <w:jc w:val="center"/>
              <w:rPr>
                <w:rFonts w:eastAsia="Times New Roman" w:cs="Calibri"/>
                <w:b/>
                <w:bCs/>
                <w:color w:val="000000"/>
                <w:sz w:val="16"/>
                <w:szCs w:val="14"/>
                <w:lang w:eastAsia="es-MX"/>
              </w:rPr>
            </w:pPr>
            <w:r w:rsidRPr="00363D97">
              <w:rPr>
                <w:rFonts w:eastAsia="Times New Roman" w:cs="Calibri"/>
                <w:b/>
                <w:bCs/>
                <w:color w:val="000000"/>
                <w:sz w:val="16"/>
                <w:szCs w:val="14"/>
                <w:lang w:eastAsia="es-MX"/>
              </w:rPr>
              <w:t>Total</w:t>
            </w:r>
          </w:p>
        </w:tc>
        <w:tc>
          <w:tcPr>
            <w:tcW w:w="1255" w:type="dxa"/>
            <w:tcBorders>
              <w:top w:val="nil"/>
              <w:left w:val="nil"/>
              <w:bottom w:val="single" w:sz="4" w:space="0" w:color="auto"/>
              <w:right w:val="single" w:sz="4" w:space="0" w:color="auto"/>
            </w:tcBorders>
            <w:shd w:val="clear" w:color="000000" w:fill="DDC9A3"/>
            <w:vAlign w:val="center"/>
            <w:hideMark/>
          </w:tcPr>
          <w:p w14:paraId="18088153" w14:textId="77777777" w:rsidR="00E428AC" w:rsidRPr="00363D97" w:rsidRDefault="00E428AC" w:rsidP="00E428AC">
            <w:pPr>
              <w:spacing w:after="0" w:line="240" w:lineRule="auto"/>
              <w:jc w:val="right"/>
              <w:rPr>
                <w:rFonts w:eastAsia="Times New Roman" w:cs="Calibri"/>
                <w:b/>
                <w:bCs/>
                <w:color w:val="000000"/>
                <w:sz w:val="16"/>
                <w:szCs w:val="14"/>
                <w:lang w:eastAsia="es-MX"/>
              </w:rPr>
            </w:pPr>
            <w:r w:rsidRPr="00363D97">
              <w:rPr>
                <w:rFonts w:eastAsia="Times New Roman" w:cs="Calibri"/>
                <w:b/>
                <w:bCs/>
                <w:color w:val="000000"/>
                <w:sz w:val="16"/>
                <w:szCs w:val="14"/>
                <w:lang w:eastAsia="es-MX"/>
              </w:rPr>
              <w:t>1,198,957,592</w:t>
            </w:r>
          </w:p>
        </w:tc>
        <w:tc>
          <w:tcPr>
            <w:tcW w:w="1276" w:type="dxa"/>
            <w:tcBorders>
              <w:top w:val="nil"/>
              <w:left w:val="nil"/>
              <w:bottom w:val="single" w:sz="4" w:space="0" w:color="auto"/>
              <w:right w:val="single" w:sz="4" w:space="0" w:color="auto"/>
            </w:tcBorders>
            <w:shd w:val="clear" w:color="000000" w:fill="DDC9A3"/>
            <w:vAlign w:val="center"/>
            <w:hideMark/>
          </w:tcPr>
          <w:p w14:paraId="19560281" w14:textId="77777777" w:rsidR="00E428AC" w:rsidRPr="00363D97" w:rsidRDefault="00E428AC" w:rsidP="00E428AC">
            <w:pPr>
              <w:spacing w:after="0" w:line="240" w:lineRule="auto"/>
              <w:jc w:val="right"/>
              <w:rPr>
                <w:rFonts w:eastAsia="Times New Roman" w:cs="Calibri"/>
                <w:b/>
                <w:bCs/>
                <w:color w:val="000000"/>
                <w:sz w:val="16"/>
                <w:szCs w:val="14"/>
                <w:lang w:eastAsia="es-MX"/>
              </w:rPr>
            </w:pPr>
            <w:r w:rsidRPr="00363D97">
              <w:rPr>
                <w:rFonts w:eastAsia="Times New Roman" w:cs="Calibri"/>
                <w:b/>
                <w:bCs/>
                <w:color w:val="000000"/>
                <w:sz w:val="16"/>
                <w:szCs w:val="14"/>
                <w:lang w:eastAsia="es-MX"/>
              </w:rPr>
              <w:t>116,491,710</w:t>
            </w:r>
          </w:p>
        </w:tc>
        <w:tc>
          <w:tcPr>
            <w:tcW w:w="1134" w:type="dxa"/>
            <w:tcBorders>
              <w:top w:val="nil"/>
              <w:left w:val="nil"/>
              <w:bottom w:val="single" w:sz="4" w:space="0" w:color="auto"/>
              <w:right w:val="single" w:sz="4" w:space="0" w:color="auto"/>
            </w:tcBorders>
            <w:shd w:val="clear" w:color="000000" w:fill="DDC9A3"/>
            <w:vAlign w:val="center"/>
            <w:hideMark/>
          </w:tcPr>
          <w:p w14:paraId="13AACEEE" w14:textId="3DC14AF2" w:rsidR="00E428AC" w:rsidRPr="00363D97" w:rsidRDefault="00C34A0D" w:rsidP="00E428AC">
            <w:pPr>
              <w:spacing w:after="0" w:line="240" w:lineRule="auto"/>
              <w:jc w:val="right"/>
              <w:rPr>
                <w:rFonts w:eastAsia="Times New Roman" w:cs="Calibri"/>
                <w:b/>
                <w:bCs/>
                <w:color w:val="000000"/>
                <w:sz w:val="16"/>
                <w:szCs w:val="14"/>
                <w:lang w:eastAsia="es-MX"/>
              </w:rPr>
            </w:pPr>
            <w:r>
              <w:rPr>
                <w:rFonts w:eastAsia="Times New Roman" w:cs="Calibri"/>
                <w:b/>
                <w:bCs/>
                <w:color w:val="000000"/>
                <w:sz w:val="16"/>
                <w:szCs w:val="14"/>
                <w:lang w:eastAsia="es-MX"/>
              </w:rPr>
              <w:t>25,941,196</w:t>
            </w:r>
          </w:p>
        </w:tc>
        <w:tc>
          <w:tcPr>
            <w:tcW w:w="1134" w:type="dxa"/>
            <w:tcBorders>
              <w:top w:val="nil"/>
              <w:left w:val="nil"/>
              <w:bottom w:val="single" w:sz="4" w:space="0" w:color="auto"/>
              <w:right w:val="single" w:sz="4" w:space="0" w:color="auto"/>
            </w:tcBorders>
            <w:shd w:val="clear" w:color="000000" w:fill="DDC9A3"/>
            <w:vAlign w:val="center"/>
            <w:hideMark/>
          </w:tcPr>
          <w:p w14:paraId="1AD13F8E" w14:textId="77777777" w:rsidR="00E428AC" w:rsidRPr="00363D97" w:rsidRDefault="00E428AC" w:rsidP="00E428AC">
            <w:pPr>
              <w:spacing w:after="0" w:line="240" w:lineRule="auto"/>
              <w:jc w:val="right"/>
              <w:rPr>
                <w:rFonts w:eastAsia="Times New Roman" w:cs="Calibri"/>
                <w:b/>
                <w:bCs/>
                <w:color w:val="000000"/>
                <w:sz w:val="16"/>
                <w:szCs w:val="14"/>
                <w:lang w:eastAsia="es-MX"/>
              </w:rPr>
            </w:pPr>
            <w:r w:rsidRPr="00363D97">
              <w:rPr>
                <w:rFonts w:eastAsia="Times New Roman" w:cs="Calibri"/>
                <w:b/>
                <w:bCs/>
                <w:color w:val="000000"/>
                <w:sz w:val="16"/>
                <w:szCs w:val="14"/>
                <w:lang w:eastAsia="es-MX"/>
              </w:rPr>
              <w:t>317,899,862</w:t>
            </w:r>
          </w:p>
        </w:tc>
        <w:tc>
          <w:tcPr>
            <w:tcW w:w="1280" w:type="dxa"/>
            <w:tcBorders>
              <w:top w:val="nil"/>
              <w:left w:val="nil"/>
              <w:bottom w:val="single" w:sz="4" w:space="0" w:color="auto"/>
              <w:right w:val="single" w:sz="4" w:space="0" w:color="auto"/>
            </w:tcBorders>
            <w:shd w:val="clear" w:color="000000" w:fill="DDC9A3"/>
            <w:vAlign w:val="center"/>
            <w:hideMark/>
          </w:tcPr>
          <w:p w14:paraId="687FDBD0" w14:textId="77777777" w:rsidR="00E428AC" w:rsidRPr="00363D97" w:rsidRDefault="00E428AC" w:rsidP="00E428AC">
            <w:pPr>
              <w:spacing w:after="0" w:line="240" w:lineRule="auto"/>
              <w:jc w:val="right"/>
              <w:rPr>
                <w:rFonts w:eastAsia="Times New Roman" w:cs="Calibri"/>
                <w:b/>
                <w:bCs/>
                <w:color w:val="000000"/>
                <w:sz w:val="16"/>
                <w:szCs w:val="14"/>
                <w:lang w:eastAsia="es-MX"/>
              </w:rPr>
            </w:pPr>
            <w:r w:rsidRPr="00363D97">
              <w:rPr>
                <w:rFonts w:eastAsia="Times New Roman" w:cs="Calibri"/>
                <w:b/>
                <w:bCs/>
                <w:color w:val="000000"/>
                <w:sz w:val="16"/>
                <w:szCs w:val="14"/>
                <w:lang w:eastAsia="es-MX"/>
              </w:rPr>
              <w:t>1,659,290,360</w:t>
            </w:r>
          </w:p>
        </w:tc>
      </w:tr>
    </w:tbl>
    <w:p w14:paraId="3ACE4C68" w14:textId="77777777" w:rsidR="001474EA" w:rsidRDefault="001474EA" w:rsidP="00FC663D">
      <w:pPr>
        <w:pStyle w:val="Texto"/>
        <w:spacing w:after="0" w:line="240" w:lineRule="exact"/>
        <w:ind w:firstLine="0"/>
        <w:rPr>
          <w:rFonts w:asciiTheme="minorHAnsi" w:hAnsiTheme="minorHAnsi" w:cstheme="minorHAnsi"/>
          <w:szCs w:val="18"/>
        </w:rPr>
      </w:pPr>
    </w:p>
    <w:p w14:paraId="2E6068D3" w14:textId="5E456D1C" w:rsidR="0050250A" w:rsidRDefault="00FC663D" w:rsidP="000C7859">
      <w:pPr>
        <w:pStyle w:val="Texto"/>
        <w:spacing w:after="0" w:line="240" w:lineRule="exact"/>
        <w:ind w:firstLine="0"/>
        <w:rPr>
          <w:rFonts w:asciiTheme="minorHAnsi" w:hAnsiTheme="minorHAnsi" w:cstheme="minorHAnsi"/>
          <w:szCs w:val="18"/>
        </w:rPr>
      </w:pPr>
      <w:r w:rsidRPr="005F45A3">
        <w:rPr>
          <w:rFonts w:asciiTheme="minorHAnsi" w:hAnsiTheme="minorHAnsi" w:cstheme="minorHAnsi"/>
          <w:szCs w:val="18"/>
        </w:rPr>
        <w:t>Dentro de Otras Cuentas por Pagar a Corto Plazo se encuentra el saldo de la Porción a Corto Plazo, correspondiente al Convenio sobre pago Diferido de Prestaciones, Cuotas y Aportaciones de Seguridad Social al Instituto de Previsión y Seguridad Social del Estado de Tamaulipas por la cantidad de $</w:t>
      </w:r>
      <w:r w:rsidR="00056BDD">
        <w:rPr>
          <w:rFonts w:asciiTheme="minorHAnsi" w:hAnsiTheme="minorHAnsi" w:cstheme="minorHAnsi"/>
          <w:szCs w:val="18"/>
        </w:rPr>
        <w:t>218,725,671</w:t>
      </w:r>
      <w:r w:rsidR="008D28EC">
        <w:rPr>
          <w:rFonts w:asciiTheme="minorHAnsi" w:hAnsiTheme="minorHAnsi" w:cstheme="minorHAnsi"/>
          <w:szCs w:val="18"/>
        </w:rPr>
        <w:t>, se registra también</w:t>
      </w:r>
      <w:r w:rsidR="004224CD">
        <w:rPr>
          <w:rFonts w:asciiTheme="minorHAnsi" w:hAnsiTheme="minorHAnsi" w:cstheme="minorHAnsi"/>
          <w:szCs w:val="18"/>
        </w:rPr>
        <w:t xml:space="preserve"> el adeudo a Consorcio Empresarial la Pesca, S.A. P.I.C.V. por venta de terrenos en el Ejido la Pesca del Municipio de Soto la Marina, que a la fecha no se ha des</w:t>
      </w:r>
      <w:r w:rsidR="00DE114F">
        <w:rPr>
          <w:rFonts w:asciiTheme="minorHAnsi" w:hAnsiTheme="minorHAnsi" w:cstheme="minorHAnsi"/>
          <w:szCs w:val="18"/>
        </w:rPr>
        <w:t>incorporado del Patrimonio del Estado y por el cual se recibió el importe de $35,320,000.</w:t>
      </w:r>
    </w:p>
    <w:p w14:paraId="16C3F529" w14:textId="55991EC2" w:rsidR="00C658D1" w:rsidRDefault="00C658D1" w:rsidP="00000001">
      <w:pPr>
        <w:pStyle w:val="Texto"/>
        <w:spacing w:after="0" w:line="240" w:lineRule="exact"/>
        <w:ind w:firstLine="0"/>
        <w:rPr>
          <w:rFonts w:asciiTheme="minorHAnsi" w:hAnsiTheme="minorHAnsi" w:cstheme="minorHAnsi"/>
          <w:szCs w:val="18"/>
        </w:rPr>
      </w:pPr>
    </w:p>
    <w:p w14:paraId="6E3DDA7B" w14:textId="3C939978" w:rsidR="00000001" w:rsidRDefault="00000001" w:rsidP="00000001">
      <w:pPr>
        <w:pStyle w:val="Texto"/>
        <w:spacing w:after="0" w:line="240" w:lineRule="exact"/>
        <w:ind w:firstLine="0"/>
        <w:rPr>
          <w:rFonts w:asciiTheme="minorHAnsi" w:hAnsiTheme="minorHAnsi" w:cstheme="minorHAnsi"/>
          <w:szCs w:val="18"/>
        </w:rPr>
      </w:pPr>
    </w:p>
    <w:p w14:paraId="5D865425" w14:textId="77777777" w:rsidR="003C02E7" w:rsidRPr="00686668" w:rsidRDefault="00D51F6E" w:rsidP="000C5510">
      <w:pPr>
        <w:spacing w:after="0"/>
        <w:ind w:left="-709" w:firstLine="425"/>
        <w:rPr>
          <w:rFonts w:asciiTheme="minorHAnsi" w:hAnsiTheme="minorHAnsi" w:cstheme="minorHAnsi"/>
          <w:b/>
          <w:sz w:val="20"/>
          <w:szCs w:val="18"/>
          <w:lang w:val="es-ES" w:eastAsia="es-ES"/>
        </w:rPr>
      </w:pPr>
      <w:r w:rsidRPr="00686668">
        <w:rPr>
          <w:rFonts w:asciiTheme="minorHAnsi" w:hAnsiTheme="minorHAnsi" w:cstheme="minorHAnsi"/>
          <w:b/>
          <w:sz w:val="20"/>
          <w:szCs w:val="18"/>
          <w:lang w:val="es-ES" w:eastAsia="es-ES"/>
        </w:rPr>
        <w:t xml:space="preserve">    </w:t>
      </w:r>
      <w:r w:rsidR="003C02E7" w:rsidRPr="00686668">
        <w:rPr>
          <w:rFonts w:asciiTheme="minorHAnsi" w:hAnsiTheme="minorHAnsi" w:cstheme="minorHAnsi"/>
          <w:b/>
          <w:sz w:val="20"/>
          <w:szCs w:val="18"/>
          <w:lang w:val="es-ES" w:eastAsia="es-ES"/>
        </w:rPr>
        <w:t>Otros Documentos por pagar a corto plazo</w:t>
      </w:r>
      <w:r w:rsidR="007D5522" w:rsidRPr="00686668">
        <w:rPr>
          <w:rFonts w:asciiTheme="minorHAnsi" w:hAnsiTheme="minorHAnsi" w:cstheme="minorHAnsi"/>
          <w:b/>
          <w:sz w:val="20"/>
          <w:szCs w:val="18"/>
          <w:lang w:val="es-ES" w:eastAsia="es-ES"/>
        </w:rPr>
        <w:t>.</w:t>
      </w:r>
    </w:p>
    <w:p w14:paraId="0556E4A4" w14:textId="77777777" w:rsidR="007D5522" w:rsidRPr="005F45A3" w:rsidRDefault="007D5522" w:rsidP="00383453">
      <w:pPr>
        <w:spacing w:after="0"/>
        <w:ind w:hanging="284"/>
        <w:rPr>
          <w:rFonts w:asciiTheme="minorHAnsi" w:hAnsiTheme="minorHAnsi" w:cstheme="minorHAnsi"/>
          <w:sz w:val="16"/>
          <w:lang w:val="es-ES" w:eastAsia="es-ES"/>
        </w:rPr>
      </w:pPr>
    </w:p>
    <w:p w14:paraId="718E08D8" w14:textId="1B17F5A0" w:rsidR="007D5522" w:rsidRPr="005F45A3" w:rsidRDefault="007D5522" w:rsidP="000C5510">
      <w:pPr>
        <w:ind w:left="-142"/>
        <w:jc w:val="both"/>
        <w:rPr>
          <w:rFonts w:asciiTheme="minorHAnsi" w:hAnsiTheme="minorHAnsi" w:cstheme="minorHAnsi"/>
          <w:sz w:val="18"/>
          <w:szCs w:val="18"/>
        </w:rPr>
      </w:pPr>
      <w:r w:rsidRPr="005F45A3">
        <w:rPr>
          <w:rFonts w:asciiTheme="minorHAnsi" w:hAnsiTheme="minorHAnsi" w:cstheme="minorHAnsi"/>
          <w:sz w:val="18"/>
          <w:szCs w:val="18"/>
        </w:rPr>
        <w:t xml:space="preserve">Con la finalidad de seguir cubriendo con los pagos a proveedores en tiempo y forma el </w:t>
      </w:r>
      <w:r w:rsidR="00CC790B" w:rsidRPr="005F45A3">
        <w:rPr>
          <w:rFonts w:asciiTheme="minorHAnsi" w:hAnsiTheme="minorHAnsi" w:cstheme="minorHAnsi"/>
          <w:sz w:val="18"/>
          <w:szCs w:val="18"/>
        </w:rPr>
        <w:t xml:space="preserve">Gobierno del Estado contrato varios </w:t>
      </w:r>
      <w:r w:rsidRPr="005F45A3">
        <w:rPr>
          <w:rFonts w:asciiTheme="minorHAnsi" w:hAnsiTheme="minorHAnsi" w:cstheme="minorHAnsi"/>
          <w:sz w:val="18"/>
          <w:szCs w:val="18"/>
        </w:rPr>
        <w:t>sistema</w:t>
      </w:r>
      <w:r w:rsidR="00CC790B" w:rsidRPr="005F45A3">
        <w:rPr>
          <w:rFonts w:asciiTheme="minorHAnsi" w:hAnsiTheme="minorHAnsi" w:cstheme="minorHAnsi"/>
          <w:sz w:val="18"/>
          <w:szCs w:val="18"/>
        </w:rPr>
        <w:t>s</w:t>
      </w:r>
      <w:r w:rsidRPr="005F45A3">
        <w:rPr>
          <w:rFonts w:asciiTheme="minorHAnsi" w:hAnsiTheme="minorHAnsi" w:cstheme="minorHAnsi"/>
          <w:sz w:val="18"/>
          <w:szCs w:val="18"/>
        </w:rPr>
        <w:t xml:space="preserve"> de factoraje </w:t>
      </w:r>
      <w:r w:rsidR="00847DAC" w:rsidRPr="005F45A3">
        <w:rPr>
          <w:rFonts w:asciiTheme="minorHAnsi" w:hAnsiTheme="minorHAnsi" w:cstheme="minorHAnsi"/>
          <w:sz w:val="18"/>
          <w:szCs w:val="18"/>
        </w:rPr>
        <w:t>financiero:</w:t>
      </w:r>
      <w:r w:rsidR="0061637D" w:rsidRPr="005F45A3">
        <w:rPr>
          <w:rFonts w:asciiTheme="minorHAnsi" w:hAnsiTheme="minorHAnsi" w:cstheme="minorHAnsi"/>
          <w:sz w:val="18"/>
          <w:szCs w:val="18"/>
        </w:rPr>
        <w:t xml:space="preserve"> </w:t>
      </w:r>
      <w:r w:rsidR="006802CA" w:rsidRPr="005F45A3">
        <w:rPr>
          <w:rFonts w:asciiTheme="minorHAnsi" w:hAnsiTheme="minorHAnsi" w:cstheme="minorHAnsi"/>
          <w:sz w:val="18"/>
          <w:szCs w:val="18"/>
        </w:rPr>
        <w:t>BBVA México Factoraje Financiero y Santander Co</w:t>
      </w:r>
      <w:r w:rsidR="00CC790B" w:rsidRPr="005F45A3">
        <w:rPr>
          <w:rFonts w:asciiTheme="minorHAnsi" w:hAnsiTheme="minorHAnsi" w:cstheme="minorHAnsi"/>
          <w:sz w:val="18"/>
          <w:szCs w:val="18"/>
        </w:rPr>
        <w:t>nfir</w:t>
      </w:r>
      <w:r w:rsidR="006802CA" w:rsidRPr="005F45A3">
        <w:rPr>
          <w:rFonts w:asciiTheme="minorHAnsi" w:hAnsiTheme="minorHAnsi" w:cstheme="minorHAnsi"/>
          <w:sz w:val="18"/>
          <w:szCs w:val="18"/>
        </w:rPr>
        <w:t>ming</w:t>
      </w:r>
      <w:r w:rsidRPr="005F45A3">
        <w:rPr>
          <w:rFonts w:asciiTheme="minorHAnsi" w:hAnsiTheme="minorHAnsi" w:cstheme="minorHAnsi"/>
          <w:sz w:val="18"/>
          <w:szCs w:val="18"/>
        </w:rPr>
        <w:t xml:space="preserve">., en el ejercicio </w:t>
      </w:r>
      <w:r w:rsidR="0061637D" w:rsidRPr="005F45A3">
        <w:rPr>
          <w:rFonts w:asciiTheme="minorHAnsi" w:hAnsiTheme="minorHAnsi" w:cstheme="minorHAnsi"/>
          <w:sz w:val="18"/>
          <w:szCs w:val="18"/>
        </w:rPr>
        <w:t xml:space="preserve">pasado </w:t>
      </w:r>
      <w:r w:rsidRPr="005F45A3">
        <w:rPr>
          <w:rFonts w:asciiTheme="minorHAnsi" w:hAnsiTheme="minorHAnsi" w:cstheme="minorHAnsi"/>
          <w:sz w:val="18"/>
          <w:szCs w:val="18"/>
        </w:rPr>
        <w:t xml:space="preserve">realizó dos contratos los cuales </w:t>
      </w:r>
      <w:r w:rsidR="00056BDD">
        <w:rPr>
          <w:rFonts w:asciiTheme="minorHAnsi" w:hAnsiTheme="minorHAnsi" w:cstheme="minorHAnsi"/>
          <w:sz w:val="18"/>
          <w:szCs w:val="18"/>
        </w:rPr>
        <w:t>fueron finiquitados al 30 de junio de 2022.</w:t>
      </w:r>
    </w:p>
    <w:tbl>
      <w:tblPr>
        <w:tblW w:w="5148" w:type="pct"/>
        <w:tblInd w:w="-147" w:type="dxa"/>
        <w:tblCellMar>
          <w:left w:w="70" w:type="dxa"/>
          <w:right w:w="70" w:type="dxa"/>
        </w:tblCellMar>
        <w:tblLook w:val="04A0" w:firstRow="1" w:lastRow="0" w:firstColumn="1" w:lastColumn="0" w:noHBand="0" w:noVBand="1"/>
      </w:tblPr>
      <w:tblGrid>
        <w:gridCol w:w="984"/>
        <w:gridCol w:w="903"/>
        <w:gridCol w:w="1041"/>
        <w:gridCol w:w="1178"/>
        <w:gridCol w:w="992"/>
        <w:gridCol w:w="821"/>
        <w:gridCol w:w="751"/>
        <w:gridCol w:w="678"/>
        <w:gridCol w:w="636"/>
        <w:gridCol w:w="1022"/>
        <w:gridCol w:w="666"/>
      </w:tblGrid>
      <w:tr w:rsidR="00250D2A" w:rsidRPr="000C5510" w14:paraId="53DA1D79" w14:textId="77777777" w:rsidTr="00FB3ABB">
        <w:trPr>
          <w:trHeight w:val="690"/>
        </w:trPr>
        <w:tc>
          <w:tcPr>
            <w:tcW w:w="509" w:type="pct"/>
            <w:tcBorders>
              <w:top w:val="single" w:sz="4" w:space="0" w:color="auto"/>
              <w:left w:val="single" w:sz="4" w:space="0" w:color="auto"/>
              <w:bottom w:val="single" w:sz="4" w:space="0" w:color="auto"/>
              <w:right w:val="single" w:sz="4" w:space="0" w:color="auto"/>
            </w:tcBorders>
            <w:shd w:val="clear" w:color="000000" w:fill="AB0033"/>
            <w:vAlign w:val="center"/>
            <w:hideMark/>
          </w:tcPr>
          <w:p w14:paraId="73ED5C4A" w14:textId="77777777" w:rsidR="00B838B2" w:rsidRPr="000C5510" w:rsidRDefault="00B838B2" w:rsidP="00B838B2">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Otros Documentos a pagar a corto plazo</w:t>
            </w:r>
          </w:p>
        </w:tc>
        <w:tc>
          <w:tcPr>
            <w:tcW w:w="467" w:type="pct"/>
            <w:tcBorders>
              <w:top w:val="single" w:sz="4" w:space="0" w:color="auto"/>
              <w:left w:val="nil"/>
              <w:bottom w:val="single" w:sz="4" w:space="0" w:color="auto"/>
              <w:right w:val="single" w:sz="4" w:space="0" w:color="auto"/>
            </w:tcBorders>
            <w:shd w:val="clear" w:color="000000" w:fill="AB0033"/>
            <w:vAlign w:val="center"/>
            <w:hideMark/>
          </w:tcPr>
          <w:p w14:paraId="73FA7538" w14:textId="77777777" w:rsidR="00B838B2" w:rsidRPr="000C5510" w:rsidRDefault="00B838B2" w:rsidP="00B838B2">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Importe Original Contratado</w:t>
            </w:r>
          </w:p>
        </w:tc>
        <w:tc>
          <w:tcPr>
            <w:tcW w:w="538" w:type="pct"/>
            <w:tcBorders>
              <w:top w:val="single" w:sz="4" w:space="0" w:color="auto"/>
              <w:left w:val="nil"/>
              <w:bottom w:val="single" w:sz="4" w:space="0" w:color="auto"/>
              <w:right w:val="single" w:sz="4" w:space="0" w:color="auto"/>
            </w:tcBorders>
            <w:shd w:val="clear" w:color="000000" w:fill="AB0033"/>
            <w:vAlign w:val="center"/>
            <w:hideMark/>
          </w:tcPr>
          <w:p w14:paraId="6A6FECBD" w14:textId="77777777" w:rsidR="00B838B2" w:rsidRPr="000C5510" w:rsidRDefault="00B838B2" w:rsidP="00B838B2">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Saldo al 31 de Diciembre de 2021</w:t>
            </w:r>
          </w:p>
        </w:tc>
        <w:tc>
          <w:tcPr>
            <w:tcW w:w="609" w:type="pct"/>
            <w:tcBorders>
              <w:top w:val="single" w:sz="4" w:space="0" w:color="auto"/>
              <w:left w:val="nil"/>
              <w:bottom w:val="single" w:sz="4" w:space="0" w:color="auto"/>
              <w:right w:val="single" w:sz="4" w:space="0" w:color="auto"/>
            </w:tcBorders>
            <w:shd w:val="clear" w:color="000000" w:fill="AB0033"/>
            <w:vAlign w:val="center"/>
            <w:hideMark/>
          </w:tcPr>
          <w:p w14:paraId="62D9F130" w14:textId="77777777" w:rsidR="00B838B2" w:rsidRPr="000C5510" w:rsidRDefault="00B838B2" w:rsidP="00B838B2">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Disposiciones</w:t>
            </w:r>
          </w:p>
        </w:tc>
        <w:tc>
          <w:tcPr>
            <w:tcW w:w="513" w:type="pct"/>
            <w:tcBorders>
              <w:top w:val="single" w:sz="4" w:space="0" w:color="auto"/>
              <w:left w:val="nil"/>
              <w:bottom w:val="single" w:sz="4" w:space="0" w:color="auto"/>
              <w:right w:val="single" w:sz="4" w:space="0" w:color="auto"/>
            </w:tcBorders>
            <w:shd w:val="clear" w:color="000000" w:fill="AB0033"/>
            <w:vAlign w:val="center"/>
            <w:hideMark/>
          </w:tcPr>
          <w:p w14:paraId="5E06B92B" w14:textId="77777777" w:rsidR="00B838B2" w:rsidRPr="000C5510" w:rsidRDefault="00B838B2" w:rsidP="00B838B2">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Importe pagado</w:t>
            </w:r>
          </w:p>
        </w:tc>
        <w:tc>
          <w:tcPr>
            <w:tcW w:w="424" w:type="pct"/>
            <w:tcBorders>
              <w:top w:val="single" w:sz="4" w:space="0" w:color="auto"/>
              <w:left w:val="nil"/>
              <w:bottom w:val="single" w:sz="4" w:space="0" w:color="auto"/>
              <w:right w:val="single" w:sz="4" w:space="0" w:color="auto"/>
            </w:tcBorders>
            <w:shd w:val="clear" w:color="000000" w:fill="AB0033"/>
            <w:vAlign w:val="center"/>
            <w:hideMark/>
          </w:tcPr>
          <w:p w14:paraId="42FA94B1" w14:textId="30593FDC" w:rsidR="00B838B2" w:rsidRPr="000C5510" w:rsidRDefault="00B838B2" w:rsidP="00056BDD">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Saldo al 3</w:t>
            </w:r>
            <w:r w:rsidR="00056BDD">
              <w:rPr>
                <w:rFonts w:eastAsia="Times New Roman" w:cs="Calibri"/>
                <w:b/>
                <w:bCs/>
                <w:color w:val="FFFFFF" w:themeColor="background1"/>
                <w:sz w:val="16"/>
                <w:szCs w:val="16"/>
                <w:lang w:eastAsia="es-MX"/>
              </w:rPr>
              <w:t>1</w:t>
            </w:r>
            <w:r w:rsidRPr="000C5510">
              <w:rPr>
                <w:rFonts w:eastAsia="Times New Roman" w:cs="Calibri"/>
                <w:b/>
                <w:bCs/>
                <w:color w:val="FFFFFF" w:themeColor="background1"/>
                <w:sz w:val="16"/>
                <w:szCs w:val="16"/>
                <w:lang w:eastAsia="es-MX"/>
              </w:rPr>
              <w:t xml:space="preserve"> de </w:t>
            </w:r>
            <w:r w:rsidR="00056BDD">
              <w:rPr>
                <w:rFonts w:eastAsia="Times New Roman" w:cs="Calibri"/>
                <w:b/>
                <w:bCs/>
                <w:color w:val="FFFFFF" w:themeColor="background1"/>
                <w:sz w:val="16"/>
                <w:szCs w:val="16"/>
                <w:lang w:eastAsia="es-MX"/>
              </w:rPr>
              <w:t>Dici</w:t>
            </w:r>
            <w:r w:rsidRPr="000C5510">
              <w:rPr>
                <w:rFonts w:eastAsia="Times New Roman" w:cs="Calibri"/>
                <w:b/>
                <w:bCs/>
                <w:color w:val="FFFFFF" w:themeColor="background1"/>
                <w:sz w:val="16"/>
                <w:szCs w:val="16"/>
                <w:lang w:eastAsia="es-MX"/>
              </w:rPr>
              <w:t>embre 2022</w:t>
            </w:r>
          </w:p>
        </w:tc>
        <w:tc>
          <w:tcPr>
            <w:tcW w:w="388" w:type="pct"/>
            <w:tcBorders>
              <w:top w:val="single" w:sz="4" w:space="0" w:color="auto"/>
              <w:left w:val="nil"/>
              <w:bottom w:val="single" w:sz="4" w:space="0" w:color="auto"/>
              <w:right w:val="single" w:sz="4" w:space="0" w:color="auto"/>
            </w:tcBorders>
            <w:shd w:val="clear" w:color="000000" w:fill="AB0033"/>
            <w:vAlign w:val="center"/>
            <w:hideMark/>
          </w:tcPr>
          <w:p w14:paraId="22271DA0" w14:textId="77777777" w:rsidR="00B838B2" w:rsidRPr="000C5510" w:rsidRDefault="00B838B2" w:rsidP="00B838B2">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Intereses</w:t>
            </w:r>
          </w:p>
        </w:tc>
        <w:tc>
          <w:tcPr>
            <w:tcW w:w="350" w:type="pct"/>
            <w:tcBorders>
              <w:top w:val="single" w:sz="4" w:space="0" w:color="auto"/>
              <w:left w:val="nil"/>
              <w:bottom w:val="single" w:sz="4" w:space="0" w:color="auto"/>
              <w:right w:val="single" w:sz="4" w:space="0" w:color="auto"/>
            </w:tcBorders>
            <w:shd w:val="clear" w:color="000000" w:fill="AB0033"/>
            <w:vAlign w:val="center"/>
            <w:hideMark/>
          </w:tcPr>
          <w:p w14:paraId="51A83600" w14:textId="77777777" w:rsidR="00B838B2" w:rsidRPr="000C5510" w:rsidRDefault="00B838B2" w:rsidP="00B838B2">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Plazo Pactado</w:t>
            </w:r>
          </w:p>
        </w:tc>
        <w:tc>
          <w:tcPr>
            <w:tcW w:w="329" w:type="pct"/>
            <w:tcBorders>
              <w:top w:val="single" w:sz="4" w:space="0" w:color="auto"/>
              <w:left w:val="nil"/>
              <w:bottom w:val="single" w:sz="4" w:space="0" w:color="auto"/>
              <w:right w:val="single" w:sz="4" w:space="0" w:color="auto"/>
            </w:tcBorders>
            <w:shd w:val="clear" w:color="000000" w:fill="AB0033"/>
            <w:vAlign w:val="center"/>
            <w:hideMark/>
          </w:tcPr>
          <w:p w14:paraId="3D2C84A7" w14:textId="77777777" w:rsidR="00B838B2" w:rsidRPr="000C5510" w:rsidRDefault="00B838B2" w:rsidP="00B838B2">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Tasa de Interés</w:t>
            </w:r>
          </w:p>
        </w:tc>
        <w:tc>
          <w:tcPr>
            <w:tcW w:w="528" w:type="pct"/>
            <w:tcBorders>
              <w:top w:val="single" w:sz="4" w:space="0" w:color="auto"/>
              <w:left w:val="nil"/>
              <w:bottom w:val="single" w:sz="4" w:space="0" w:color="auto"/>
              <w:right w:val="single" w:sz="4" w:space="0" w:color="auto"/>
            </w:tcBorders>
            <w:shd w:val="clear" w:color="000000" w:fill="AB0033"/>
            <w:vAlign w:val="center"/>
            <w:hideMark/>
          </w:tcPr>
          <w:p w14:paraId="6FE9CEA9" w14:textId="77777777" w:rsidR="00B838B2" w:rsidRPr="000C5510" w:rsidRDefault="00B838B2" w:rsidP="00B838B2">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Comisiones y Costos Relacionados</w:t>
            </w:r>
          </w:p>
        </w:tc>
        <w:tc>
          <w:tcPr>
            <w:tcW w:w="344" w:type="pct"/>
            <w:tcBorders>
              <w:top w:val="single" w:sz="4" w:space="0" w:color="auto"/>
              <w:left w:val="nil"/>
              <w:bottom w:val="single" w:sz="4" w:space="0" w:color="auto"/>
              <w:right w:val="single" w:sz="4" w:space="0" w:color="auto"/>
            </w:tcBorders>
            <w:shd w:val="clear" w:color="000000" w:fill="AB0033"/>
            <w:vAlign w:val="center"/>
            <w:hideMark/>
          </w:tcPr>
          <w:p w14:paraId="77AA1AFC" w14:textId="77777777" w:rsidR="00B838B2" w:rsidRPr="000C5510" w:rsidRDefault="00B838B2" w:rsidP="00B838B2">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Tasa Efectiva</w:t>
            </w:r>
          </w:p>
        </w:tc>
      </w:tr>
      <w:tr w:rsidR="00250D2A" w:rsidRPr="00B838B2" w14:paraId="4D49470D" w14:textId="77777777" w:rsidTr="00FB3ABB">
        <w:trPr>
          <w:trHeight w:val="330"/>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71A98265"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Santander Confirming</w:t>
            </w:r>
          </w:p>
        </w:tc>
        <w:tc>
          <w:tcPr>
            <w:tcW w:w="467" w:type="pct"/>
            <w:tcBorders>
              <w:top w:val="nil"/>
              <w:left w:val="nil"/>
              <w:bottom w:val="single" w:sz="4" w:space="0" w:color="auto"/>
              <w:right w:val="single" w:sz="4" w:space="0" w:color="auto"/>
            </w:tcBorders>
            <w:shd w:val="clear" w:color="auto" w:fill="auto"/>
            <w:vAlign w:val="center"/>
            <w:hideMark/>
          </w:tcPr>
          <w:p w14:paraId="0EFC5BEC"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400,000,000</w:t>
            </w:r>
          </w:p>
        </w:tc>
        <w:tc>
          <w:tcPr>
            <w:tcW w:w="538" w:type="pct"/>
            <w:tcBorders>
              <w:top w:val="nil"/>
              <w:left w:val="nil"/>
              <w:bottom w:val="single" w:sz="4" w:space="0" w:color="auto"/>
              <w:right w:val="single" w:sz="4" w:space="0" w:color="auto"/>
            </w:tcBorders>
            <w:shd w:val="clear" w:color="auto" w:fill="auto"/>
            <w:vAlign w:val="center"/>
            <w:hideMark/>
          </w:tcPr>
          <w:p w14:paraId="025F30B3"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57,569,324</w:t>
            </w:r>
          </w:p>
        </w:tc>
        <w:tc>
          <w:tcPr>
            <w:tcW w:w="609" w:type="pct"/>
            <w:tcBorders>
              <w:top w:val="nil"/>
              <w:left w:val="nil"/>
              <w:bottom w:val="single" w:sz="4" w:space="0" w:color="auto"/>
              <w:right w:val="single" w:sz="4" w:space="0" w:color="auto"/>
            </w:tcBorders>
            <w:shd w:val="clear" w:color="auto" w:fill="auto"/>
            <w:vAlign w:val="center"/>
            <w:hideMark/>
          </w:tcPr>
          <w:p w14:paraId="18DBECD7"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513" w:type="pct"/>
            <w:tcBorders>
              <w:top w:val="nil"/>
              <w:left w:val="nil"/>
              <w:bottom w:val="single" w:sz="4" w:space="0" w:color="auto"/>
              <w:right w:val="single" w:sz="4" w:space="0" w:color="auto"/>
            </w:tcBorders>
            <w:shd w:val="clear" w:color="auto" w:fill="auto"/>
            <w:vAlign w:val="center"/>
            <w:hideMark/>
          </w:tcPr>
          <w:p w14:paraId="4819B538"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57,569,324</w:t>
            </w:r>
          </w:p>
        </w:tc>
        <w:tc>
          <w:tcPr>
            <w:tcW w:w="424" w:type="pct"/>
            <w:tcBorders>
              <w:top w:val="nil"/>
              <w:left w:val="nil"/>
              <w:bottom w:val="single" w:sz="4" w:space="0" w:color="auto"/>
              <w:right w:val="single" w:sz="4" w:space="0" w:color="auto"/>
            </w:tcBorders>
            <w:shd w:val="clear" w:color="auto" w:fill="auto"/>
            <w:vAlign w:val="center"/>
            <w:hideMark/>
          </w:tcPr>
          <w:p w14:paraId="1D4A1045"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0</w:t>
            </w:r>
          </w:p>
        </w:tc>
        <w:tc>
          <w:tcPr>
            <w:tcW w:w="388" w:type="pct"/>
            <w:tcBorders>
              <w:top w:val="nil"/>
              <w:left w:val="nil"/>
              <w:bottom w:val="single" w:sz="4" w:space="0" w:color="auto"/>
              <w:right w:val="single" w:sz="4" w:space="0" w:color="auto"/>
            </w:tcBorders>
            <w:shd w:val="clear" w:color="auto" w:fill="auto"/>
            <w:vAlign w:val="center"/>
            <w:hideMark/>
          </w:tcPr>
          <w:p w14:paraId="3D5EE243"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 N/A </w:t>
            </w:r>
          </w:p>
        </w:tc>
        <w:tc>
          <w:tcPr>
            <w:tcW w:w="350" w:type="pct"/>
            <w:tcBorders>
              <w:top w:val="nil"/>
              <w:left w:val="nil"/>
              <w:bottom w:val="single" w:sz="4" w:space="0" w:color="auto"/>
              <w:right w:val="single" w:sz="4" w:space="0" w:color="auto"/>
            </w:tcBorders>
            <w:shd w:val="clear" w:color="auto" w:fill="auto"/>
            <w:vAlign w:val="center"/>
            <w:hideMark/>
          </w:tcPr>
          <w:p w14:paraId="7C1AEAD8" w14:textId="0E22FDE3"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 365 </w:t>
            </w:r>
            <w:r w:rsidR="00E43684" w:rsidRPr="00B838B2">
              <w:rPr>
                <w:rFonts w:eastAsia="Times New Roman" w:cs="Calibri"/>
                <w:color w:val="000000"/>
                <w:sz w:val="14"/>
                <w:szCs w:val="14"/>
                <w:lang w:eastAsia="es-MX"/>
              </w:rPr>
              <w:t>Días</w:t>
            </w:r>
            <w:r w:rsidRPr="00B838B2">
              <w:rPr>
                <w:rFonts w:eastAsia="Times New Roman" w:cs="Calibri"/>
                <w:color w:val="000000"/>
                <w:sz w:val="14"/>
                <w:szCs w:val="14"/>
                <w:lang w:eastAsia="es-MX"/>
              </w:rPr>
              <w:t xml:space="preserve"> </w:t>
            </w:r>
          </w:p>
        </w:tc>
        <w:tc>
          <w:tcPr>
            <w:tcW w:w="329" w:type="pct"/>
            <w:tcBorders>
              <w:top w:val="nil"/>
              <w:left w:val="nil"/>
              <w:bottom w:val="single" w:sz="4" w:space="0" w:color="auto"/>
              <w:right w:val="single" w:sz="4" w:space="0" w:color="auto"/>
            </w:tcBorders>
            <w:shd w:val="clear" w:color="auto" w:fill="auto"/>
            <w:vAlign w:val="center"/>
            <w:hideMark/>
          </w:tcPr>
          <w:p w14:paraId="2FB05DC0"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 N/A </w:t>
            </w:r>
          </w:p>
        </w:tc>
        <w:tc>
          <w:tcPr>
            <w:tcW w:w="528" w:type="pct"/>
            <w:tcBorders>
              <w:top w:val="nil"/>
              <w:left w:val="nil"/>
              <w:bottom w:val="single" w:sz="4" w:space="0" w:color="auto"/>
              <w:right w:val="single" w:sz="4" w:space="0" w:color="auto"/>
            </w:tcBorders>
            <w:shd w:val="clear" w:color="auto" w:fill="auto"/>
            <w:vAlign w:val="center"/>
            <w:hideMark/>
          </w:tcPr>
          <w:p w14:paraId="1C095D34"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 N/A </w:t>
            </w:r>
          </w:p>
        </w:tc>
        <w:tc>
          <w:tcPr>
            <w:tcW w:w="344" w:type="pct"/>
            <w:tcBorders>
              <w:top w:val="nil"/>
              <w:left w:val="nil"/>
              <w:bottom w:val="single" w:sz="4" w:space="0" w:color="auto"/>
              <w:right w:val="single" w:sz="4" w:space="0" w:color="auto"/>
            </w:tcBorders>
            <w:shd w:val="clear" w:color="auto" w:fill="auto"/>
            <w:vAlign w:val="center"/>
            <w:hideMark/>
          </w:tcPr>
          <w:p w14:paraId="2E494E30"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 N/A </w:t>
            </w:r>
          </w:p>
        </w:tc>
      </w:tr>
      <w:tr w:rsidR="00250D2A" w:rsidRPr="00B838B2" w14:paraId="6E278DA6" w14:textId="77777777" w:rsidTr="00FB3ABB">
        <w:trPr>
          <w:trHeight w:val="465"/>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0F379FBB"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 xml:space="preserve">BBVA Mexico Factoraje Fin. </w:t>
            </w:r>
          </w:p>
        </w:tc>
        <w:tc>
          <w:tcPr>
            <w:tcW w:w="467" w:type="pct"/>
            <w:tcBorders>
              <w:top w:val="nil"/>
              <w:left w:val="nil"/>
              <w:bottom w:val="single" w:sz="4" w:space="0" w:color="auto"/>
              <w:right w:val="single" w:sz="4" w:space="0" w:color="auto"/>
            </w:tcBorders>
            <w:shd w:val="clear" w:color="auto" w:fill="auto"/>
            <w:vAlign w:val="center"/>
            <w:hideMark/>
          </w:tcPr>
          <w:p w14:paraId="63F792E3"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100,000,000</w:t>
            </w:r>
          </w:p>
        </w:tc>
        <w:tc>
          <w:tcPr>
            <w:tcW w:w="538" w:type="pct"/>
            <w:tcBorders>
              <w:top w:val="nil"/>
              <w:left w:val="nil"/>
              <w:bottom w:val="single" w:sz="4" w:space="0" w:color="auto"/>
              <w:right w:val="single" w:sz="4" w:space="0" w:color="auto"/>
            </w:tcBorders>
            <w:shd w:val="clear" w:color="auto" w:fill="auto"/>
            <w:vAlign w:val="center"/>
            <w:hideMark/>
          </w:tcPr>
          <w:p w14:paraId="2BCAF305"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89,264,491</w:t>
            </w:r>
          </w:p>
        </w:tc>
        <w:tc>
          <w:tcPr>
            <w:tcW w:w="609" w:type="pct"/>
            <w:tcBorders>
              <w:top w:val="nil"/>
              <w:left w:val="nil"/>
              <w:bottom w:val="single" w:sz="4" w:space="0" w:color="auto"/>
              <w:right w:val="single" w:sz="4" w:space="0" w:color="auto"/>
            </w:tcBorders>
            <w:shd w:val="clear" w:color="auto" w:fill="auto"/>
            <w:vAlign w:val="center"/>
            <w:hideMark/>
          </w:tcPr>
          <w:p w14:paraId="23D9D784"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513" w:type="pct"/>
            <w:tcBorders>
              <w:top w:val="nil"/>
              <w:left w:val="nil"/>
              <w:bottom w:val="single" w:sz="4" w:space="0" w:color="auto"/>
              <w:right w:val="single" w:sz="4" w:space="0" w:color="auto"/>
            </w:tcBorders>
            <w:shd w:val="clear" w:color="auto" w:fill="auto"/>
            <w:vAlign w:val="center"/>
            <w:hideMark/>
          </w:tcPr>
          <w:p w14:paraId="772DAE7A"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89,264,491</w:t>
            </w:r>
          </w:p>
        </w:tc>
        <w:tc>
          <w:tcPr>
            <w:tcW w:w="424" w:type="pct"/>
            <w:tcBorders>
              <w:top w:val="nil"/>
              <w:left w:val="nil"/>
              <w:bottom w:val="single" w:sz="4" w:space="0" w:color="auto"/>
              <w:right w:val="single" w:sz="4" w:space="0" w:color="auto"/>
            </w:tcBorders>
            <w:shd w:val="clear" w:color="auto" w:fill="auto"/>
            <w:vAlign w:val="center"/>
            <w:hideMark/>
          </w:tcPr>
          <w:p w14:paraId="2E8B821F"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0</w:t>
            </w:r>
          </w:p>
        </w:tc>
        <w:tc>
          <w:tcPr>
            <w:tcW w:w="388" w:type="pct"/>
            <w:tcBorders>
              <w:top w:val="nil"/>
              <w:left w:val="nil"/>
              <w:bottom w:val="single" w:sz="4" w:space="0" w:color="auto"/>
              <w:right w:val="single" w:sz="4" w:space="0" w:color="auto"/>
            </w:tcBorders>
            <w:shd w:val="clear" w:color="auto" w:fill="auto"/>
            <w:vAlign w:val="center"/>
            <w:hideMark/>
          </w:tcPr>
          <w:p w14:paraId="390BA638"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350" w:type="pct"/>
            <w:tcBorders>
              <w:top w:val="nil"/>
              <w:left w:val="nil"/>
              <w:bottom w:val="single" w:sz="4" w:space="0" w:color="auto"/>
              <w:right w:val="single" w:sz="4" w:space="0" w:color="auto"/>
            </w:tcBorders>
            <w:shd w:val="clear" w:color="auto" w:fill="auto"/>
            <w:vAlign w:val="center"/>
            <w:hideMark/>
          </w:tcPr>
          <w:p w14:paraId="0EF48CB6" w14:textId="1E0A92E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365 </w:t>
            </w:r>
            <w:r w:rsidR="00E43684" w:rsidRPr="00B838B2">
              <w:rPr>
                <w:rFonts w:eastAsia="Times New Roman" w:cs="Calibri"/>
                <w:color w:val="000000"/>
                <w:sz w:val="14"/>
                <w:szCs w:val="14"/>
                <w:lang w:eastAsia="es-MX"/>
              </w:rPr>
              <w:t>Días</w:t>
            </w:r>
          </w:p>
        </w:tc>
        <w:tc>
          <w:tcPr>
            <w:tcW w:w="329" w:type="pct"/>
            <w:tcBorders>
              <w:top w:val="nil"/>
              <w:left w:val="nil"/>
              <w:bottom w:val="single" w:sz="4" w:space="0" w:color="auto"/>
              <w:right w:val="single" w:sz="4" w:space="0" w:color="auto"/>
            </w:tcBorders>
            <w:shd w:val="clear" w:color="auto" w:fill="auto"/>
            <w:vAlign w:val="center"/>
            <w:hideMark/>
          </w:tcPr>
          <w:p w14:paraId="56C6D7D7"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528" w:type="pct"/>
            <w:tcBorders>
              <w:top w:val="nil"/>
              <w:left w:val="nil"/>
              <w:bottom w:val="single" w:sz="4" w:space="0" w:color="auto"/>
              <w:right w:val="single" w:sz="4" w:space="0" w:color="auto"/>
            </w:tcBorders>
            <w:shd w:val="clear" w:color="auto" w:fill="auto"/>
            <w:vAlign w:val="center"/>
            <w:hideMark/>
          </w:tcPr>
          <w:p w14:paraId="25533603"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344" w:type="pct"/>
            <w:tcBorders>
              <w:top w:val="nil"/>
              <w:left w:val="nil"/>
              <w:bottom w:val="single" w:sz="4" w:space="0" w:color="auto"/>
              <w:right w:val="single" w:sz="4" w:space="0" w:color="auto"/>
            </w:tcBorders>
            <w:shd w:val="clear" w:color="auto" w:fill="auto"/>
            <w:vAlign w:val="center"/>
            <w:hideMark/>
          </w:tcPr>
          <w:p w14:paraId="044BE1F1"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r>
      <w:tr w:rsidR="00250D2A" w:rsidRPr="00B838B2" w14:paraId="17B0715C" w14:textId="77777777" w:rsidTr="00FB3ABB">
        <w:trPr>
          <w:trHeight w:val="450"/>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7E7214DC"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 xml:space="preserve">BBVA Mexico Factoraje Fin. </w:t>
            </w:r>
          </w:p>
        </w:tc>
        <w:tc>
          <w:tcPr>
            <w:tcW w:w="467" w:type="pct"/>
            <w:tcBorders>
              <w:top w:val="nil"/>
              <w:left w:val="nil"/>
              <w:bottom w:val="single" w:sz="4" w:space="0" w:color="auto"/>
              <w:right w:val="single" w:sz="4" w:space="0" w:color="auto"/>
            </w:tcBorders>
            <w:shd w:val="clear" w:color="auto" w:fill="auto"/>
            <w:vAlign w:val="center"/>
            <w:hideMark/>
          </w:tcPr>
          <w:p w14:paraId="799729FD"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100,000,000</w:t>
            </w:r>
          </w:p>
        </w:tc>
        <w:tc>
          <w:tcPr>
            <w:tcW w:w="538" w:type="pct"/>
            <w:tcBorders>
              <w:top w:val="nil"/>
              <w:left w:val="nil"/>
              <w:bottom w:val="single" w:sz="4" w:space="0" w:color="auto"/>
              <w:right w:val="single" w:sz="4" w:space="0" w:color="auto"/>
            </w:tcBorders>
            <w:shd w:val="clear" w:color="auto" w:fill="auto"/>
            <w:vAlign w:val="center"/>
            <w:hideMark/>
          </w:tcPr>
          <w:p w14:paraId="3732C8AB"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92,463,498</w:t>
            </w:r>
          </w:p>
        </w:tc>
        <w:tc>
          <w:tcPr>
            <w:tcW w:w="609" w:type="pct"/>
            <w:tcBorders>
              <w:top w:val="nil"/>
              <w:left w:val="nil"/>
              <w:bottom w:val="single" w:sz="4" w:space="0" w:color="auto"/>
              <w:right w:val="single" w:sz="4" w:space="0" w:color="auto"/>
            </w:tcBorders>
            <w:shd w:val="clear" w:color="auto" w:fill="auto"/>
            <w:vAlign w:val="center"/>
            <w:hideMark/>
          </w:tcPr>
          <w:p w14:paraId="32492868"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7,521,393</w:t>
            </w:r>
          </w:p>
        </w:tc>
        <w:tc>
          <w:tcPr>
            <w:tcW w:w="513" w:type="pct"/>
            <w:tcBorders>
              <w:top w:val="nil"/>
              <w:left w:val="nil"/>
              <w:bottom w:val="single" w:sz="4" w:space="0" w:color="auto"/>
              <w:right w:val="single" w:sz="4" w:space="0" w:color="auto"/>
            </w:tcBorders>
            <w:shd w:val="clear" w:color="auto" w:fill="auto"/>
            <w:vAlign w:val="center"/>
            <w:hideMark/>
          </w:tcPr>
          <w:p w14:paraId="3B9FE0EB"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99,984,891</w:t>
            </w:r>
          </w:p>
        </w:tc>
        <w:tc>
          <w:tcPr>
            <w:tcW w:w="424" w:type="pct"/>
            <w:tcBorders>
              <w:top w:val="nil"/>
              <w:left w:val="nil"/>
              <w:bottom w:val="single" w:sz="4" w:space="0" w:color="auto"/>
              <w:right w:val="single" w:sz="4" w:space="0" w:color="auto"/>
            </w:tcBorders>
            <w:shd w:val="clear" w:color="auto" w:fill="auto"/>
            <w:vAlign w:val="center"/>
            <w:hideMark/>
          </w:tcPr>
          <w:p w14:paraId="7F84679E"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0</w:t>
            </w:r>
          </w:p>
        </w:tc>
        <w:tc>
          <w:tcPr>
            <w:tcW w:w="388" w:type="pct"/>
            <w:tcBorders>
              <w:top w:val="nil"/>
              <w:left w:val="nil"/>
              <w:bottom w:val="single" w:sz="4" w:space="0" w:color="auto"/>
              <w:right w:val="single" w:sz="4" w:space="0" w:color="auto"/>
            </w:tcBorders>
            <w:shd w:val="clear" w:color="auto" w:fill="auto"/>
            <w:vAlign w:val="center"/>
            <w:hideMark/>
          </w:tcPr>
          <w:p w14:paraId="158806D8"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350" w:type="pct"/>
            <w:tcBorders>
              <w:top w:val="nil"/>
              <w:left w:val="nil"/>
              <w:bottom w:val="single" w:sz="4" w:space="0" w:color="auto"/>
              <w:right w:val="single" w:sz="4" w:space="0" w:color="auto"/>
            </w:tcBorders>
            <w:shd w:val="clear" w:color="auto" w:fill="auto"/>
            <w:vAlign w:val="center"/>
            <w:hideMark/>
          </w:tcPr>
          <w:p w14:paraId="1E7B5C6B"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29/06/22</w:t>
            </w:r>
          </w:p>
        </w:tc>
        <w:tc>
          <w:tcPr>
            <w:tcW w:w="329" w:type="pct"/>
            <w:tcBorders>
              <w:top w:val="nil"/>
              <w:left w:val="nil"/>
              <w:bottom w:val="single" w:sz="4" w:space="0" w:color="auto"/>
              <w:right w:val="single" w:sz="4" w:space="0" w:color="auto"/>
            </w:tcBorders>
            <w:shd w:val="clear" w:color="auto" w:fill="auto"/>
            <w:vAlign w:val="center"/>
            <w:hideMark/>
          </w:tcPr>
          <w:p w14:paraId="7D954770"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TASA BASE +125 PTS </w:t>
            </w:r>
          </w:p>
        </w:tc>
        <w:tc>
          <w:tcPr>
            <w:tcW w:w="528" w:type="pct"/>
            <w:tcBorders>
              <w:top w:val="nil"/>
              <w:left w:val="nil"/>
              <w:bottom w:val="single" w:sz="4" w:space="0" w:color="auto"/>
              <w:right w:val="single" w:sz="4" w:space="0" w:color="auto"/>
            </w:tcBorders>
            <w:shd w:val="clear" w:color="auto" w:fill="auto"/>
            <w:vAlign w:val="center"/>
            <w:hideMark/>
          </w:tcPr>
          <w:p w14:paraId="62E29A55"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344" w:type="pct"/>
            <w:tcBorders>
              <w:top w:val="nil"/>
              <w:left w:val="nil"/>
              <w:bottom w:val="single" w:sz="4" w:space="0" w:color="auto"/>
              <w:right w:val="single" w:sz="4" w:space="0" w:color="auto"/>
            </w:tcBorders>
            <w:shd w:val="clear" w:color="auto" w:fill="auto"/>
            <w:vAlign w:val="center"/>
            <w:hideMark/>
          </w:tcPr>
          <w:p w14:paraId="2A479874"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6.86</w:t>
            </w:r>
          </w:p>
        </w:tc>
      </w:tr>
      <w:tr w:rsidR="00250D2A" w:rsidRPr="00B838B2" w14:paraId="22841523" w14:textId="77777777" w:rsidTr="00FB3ABB">
        <w:trPr>
          <w:trHeight w:val="390"/>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66F99A61"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Santander Confirming</w:t>
            </w:r>
          </w:p>
        </w:tc>
        <w:tc>
          <w:tcPr>
            <w:tcW w:w="467" w:type="pct"/>
            <w:tcBorders>
              <w:top w:val="nil"/>
              <w:left w:val="nil"/>
              <w:bottom w:val="single" w:sz="4" w:space="0" w:color="auto"/>
              <w:right w:val="single" w:sz="4" w:space="0" w:color="auto"/>
            </w:tcBorders>
            <w:shd w:val="clear" w:color="auto" w:fill="auto"/>
            <w:vAlign w:val="center"/>
            <w:hideMark/>
          </w:tcPr>
          <w:p w14:paraId="10A471C7"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300,000,000</w:t>
            </w:r>
          </w:p>
        </w:tc>
        <w:tc>
          <w:tcPr>
            <w:tcW w:w="538" w:type="pct"/>
            <w:tcBorders>
              <w:top w:val="nil"/>
              <w:left w:val="nil"/>
              <w:bottom w:val="single" w:sz="4" w:space="0" w:color="auto"/>
              <w:right w:val="single" w:sz="4" w:space="0" w:color="auto"/>
            </w:tcBorders>
            <w:shd w:val="clear" w:color="auto" w:fill="auto"/>
            <w:vAlign w:val="center"/>
            <w:hideMark/>
          </w:tcPr>
          <w:p w14:paraId="0FADA069"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99,995,520</w:t>
            </w:r>
          </w:p>
        </w:tc>
        <w:tc>
          <w:tcPr>
            <w:tcW w:w="609" w:type="pct"/>
            <w:tcBorders>
              <w:top w:val="nil"/>
              <w:left w:val="nil"/>
              <w:bottom w:val="single" w:sz="4" w:space="0" w:color="auto"/>
              <w:right w:val="single" w:sz="4" w:space="0" w:color="auto"/>
            </w:tcBorders>
            <w:shd w:val="clear" w:color="auto" w:fill="auto"/>
            <w:vAlign w:val="center"/>
            <w:hideMark/>
          </w:tcPr>
          <w:p w14:paraId="12EF89B4"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372,214,213</w:t>
            </w:r>
          </w:p>
        </w:tc>
        <w:tc>
          <w:tcPr>
            <w:tcW w:w="513" w:type="pct"/>
            <w:tcBorders>
              <w:top w:val="nil"/>
              <w:left w:val="nil"/>
              <w:bottom w:val="single" w:sz="4" w:space="0" w:color="auto"/>
              <w:right w:val="single" w:sz="4" w:space="0" w:color="auto"/>
            </w:tcBorders>
            <w:shd w:val="clear" w:color="auto" w:fill="auto"/>
            <w:vAlign w:val="center"/>
            <w:hideMark/>
          </w:tcPr>
          <w:p w14:paraId="0A8282A7"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472,209,733</w:t>
            </w:r>
          </w:p>
        </w:tc>
        <w:tc>
          <w:tcPr>
            <w:tcW w:w="424" w:type="pct"/>
            <w:tcBorders>
              <w:top w:val="nil"/>
              <w:left w:val="nil"/>
              <w:bottom w:val="single" w:sz="4" w:space="0" w:color="auto"/>
              <w:right w:val="single" w:sz="4" w:space="0" w:color="auto"/>
            </w:tcBorders>
            <w:shd w:val="clear" w:color="auto" w:fill="auto"/>
            <w:vAlign w:val="center"/>
            <w:hideMark/>
          </w:tcPr>
          <w:p w14:paraId="4BDB065A"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0</w:t>
            </w:r>
          </w:p>
        </w:tc>
        <w:tc>
          <w:tcPr>
            <w:tcW w:w="388" w:type="pct"/>
            <w:tcBorders>
              <w:top w:val="nil"/>
              <w:left w:val="nil"/>
              <w:bottom w:val="single" w:sz="4" w:space="0" w:color="auto"/>
              <w:right w:val="single" w:sz="4" w:space="0" w:color="auto"/>
            </w:tcBorders>
            <w:shd w:val="clear" w:color="auto" w:fill="auto"/>
            <w:vAlign w:val="center"/>
            <w:hideMark/>
          </w:tcPr>
          <w:p w14:paraId="2C8F81B0"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350" w:type="pct"/>
            <w:tcBorders>
              <w:top w:val="nil"/>
              <w:left w:val="nil"/>
              <w:bottom w:val="single" w:sz="4" w:space="0" w:color="auto"/>
              <w:right w:val="single" w:sz="4" w:space="0" w:color="auto"/>
            </w:tcBorders>
            <w:shd w:val="clear" w:color="auto" w:fill="auto"/>
            <w:vAlign w:val="center"/>
            <w:hideMark/>
          </w:tcPr>
          <w:p w14:paraId="186F125C"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29/06/22</w:t>
            </w:r>
          </w:p>
        </w:tc>
        <w:tc>
          <w:tcPr>
            <w:tcW w:w="329" w:type="pct"/>
            <w:tcBorders>
              <w:top w:val="nil"/>
              <w:left w:val="nil"/>
              <w:bottom w:val="single" w:sz="4" w:space="0" w:color="auto"/>
              <w:right w:val="single" w:sz="4" w:space="0" w:color="auto"/>
            </w:tcBorders>
            <w:shd w:val="clear" w:color="auto" w:fill="auto"/>
            <w:vAlign w:val="center"/>
            <w:hideMark/>
          </w:tcPr>
          <w:p w14:paraId="78200998"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TASA BASE +125 PTS </w:t>
            </w:r>
          </w:p>
        </w:tc>
        <w:tc>
          <w:tcPr>
            <w:tcW w:w="528" w:type="pct"/>
            <w:tcBorders>
              <w:top w:val="nil"/>
              <w:left w:val="nil"/>
              <w:bottom w:val="single" w:sz="4" w:space="0" w:color="auto"/>
              <w:right w:val="single" w:sz="4" w:space="0" w:color="auto"/>
            </w:tcBorders>
            <w:shd w:val="clear" w:color="auto" w:fill="auto"/>
            <w:vAlign w:val="center"/>
            <w:hideMark/>
          </w:tcPr>
          <w:p w14:paraId="001CF293"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344" w:type="pct"/>
            <w:tcBorders>
              <w:top w:val="nil"/>
              <w:left w:val="nil"/>
              <w:bottom w:val="single" w:sz="4" w:space="0" w:color="auto"/>
              <w:right w:val="single" w:sz="4" w:space="0" w:color="auto"/>
            </w:tcBorders>
            <w:shd w:val="clear" w:color="auto" w:fill="auto"/>
            <w:vAlign w:val="center"/>
            <w:hideMark/>
          </w:tcPr>
          <w:p w14:paraId="7192A9AC"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8.36</w:t>
            </w:r>
          </w:p>
        </w:tc>
      </w:tr>
      <w:tr w:rsidR="00250D2A" w:rsidRPr="00B838B2" w14:paraId="520A35C6" w14:textId="77777777" w:rsidTr="00FB3ABB">
        <w:trPr>
          <w:trHeight w:val="140"/>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402BA5EC"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467" w:type="pct"/>
            <w:tcBorders>
              <w:top w:val="nil"/>
              <w:left w:val="nil"/>
              <w:bottom w:val="single" w:sz="4" w:space="0" w:color="auto"/>
              <w:right w:val="single" w:sz="4" w:space="0" w:color="auto"/>
            </w:tcBorders>
            <w:shd w:val="clear" w:color="auto" w:fill="auto"/>
            <w:vAlign w:val="center"/>
            <w:hideMark/>
          </w:tcPr>
          <w:p w14:paraId="65893024"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538" w:type="pct"/>
            <w:tcBorders>
              <w:top w:val="nil"/>
              <w:left w:val="nil"/>
              <w:bottom w:val="single" w:sz="4" w:space="0" w:color="auto"/>
              <w:right w:val="single" w:sz="4" w:space="0" w:color="auto"/>
            </w:tcBorders>
            <w:shd w:val="clear" w:color="auto" w:fill="auto"/>
            <w:vAlign w:val="center"/>
            <w:hideMark/>
          </w:tcPr>
          <w:p w14:paraId="5B08B403"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609" w:type="pct"/>
            <w:tcBorders>
              <w:top w:val="nil"/>
              <w:left w:val="nil"/>
              <w:bottom w:val="single" w:sz="4" w:space="0" w:color="auto"/>
              <w:right w:val="single" w:sz="4" w:space="0" w:color="auto"/>
            </w:tcBorders>
            <w:shd w:val="clear" w:color="auto" w:fill="auto"/>
            <w:vAlign w:val="center"/>
            <w:hideMark/>
          </w:tcPr>
          <w:p w14:paraId="77EEB63F"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513" w:type="pct"/>
            <w:tcBorders>
              <w:top w:val="nil"/>
              <w:left w:val="nil"/>
              <w:bottom w:val="single" w:sz="4" w:space="0" w:color="auto"/>
              <w:right w:val="single" w:sz="4" w:space="0" w:color="auto"/>
            </w:tcBorders>
            <w:shd w:val="clear" w:color="auto" w:fill="auto"/>
            <w:vAlign w:val="center"/>
            <w:hideMark/>
          </w:tcPr>
          <w:p w14:paraId="1BD282F4"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424" w:type="pct"/>
            <w:tcBorders>
              <w:top w:val="nil"/>
              <w:left w:val="nil"/>
              <w:bottom w:val="single" w:sz="4" w:space="0" w:color="auto"/>
              <w:right w:val="single" w:sz="4" w:space="0" w:color="auto"/>
            </w:tcBorders>
            <w:shd w:val="clear" w:color="auto" w:fill="auto"/>
            <w:vAlign w:val="center"/>
            <w:hideMark/>
          </w:tcPr>
          <w:p w14:paraId="75F68C0D"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388" w:type="pct"/>
            <w:tcBorders>
              <w:top w:val="nil"/>
              <w:left w:val="nil"/>
              <w:bottom w:val="single" w:sz="4" w:space="0" w:color="auto"/>
              <w:right w:val="single" w:sz="4" w:space="0" w:color="auto"/>
            </w:tcBorders>
            <w:shd w:val="clear" w:color="auto" w:fill="auto"/>
            <w:vAlign w:val="center"/>
            <w:hideMark/>
          </w:tcPr>
          <w:p w14:paraId="0E67BE85"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350" w:type="pct"/>
            <w:tcBorders>
              <w:top w:val="nil"/>
              <w:left w:val="nil"/>
              <w:bottom w:val="single" w:sz="4" w:space="0" w:color="auto"/>
              <w:right w:val="single" w:sz="4" w:space="0" w:color="auto"/>
            </w:tcBorders>
            <w:shd w:val="clear" w:color="auto" w:fill="auto"/>
            <w:vAlign w:val="center"/>
            <w:hideMark/>
          </w:tcPr>
          <w:p w14:paraId="3D04A818"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329" w:type="pct"/>
            <w:tcBorders>
              <w:top w:val="nil"/>
              <w:left w:val="nil"/>
              <w:bottom w:val="single" w:sz="4" w:space="0" w:color="auto"/>
              <w:right w:val="single" w:sz="4" w:space="0" w:color="auto"/>
            </w:tcBorders>
            <w:shd w:val="clear" w:color="auto" w:fill="auto"/>
            <w:vAlign w:val="center"/>
            <w:hideMark/>
          </w:tcPr>
          <w:p w14:paraId="76B167E6"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528" w:type="pct"/>
            <w:tcBorders>
              <w:top w:val="nil"/>
              <w:left w:val="nil"/>
              <w:bottom w:val="single" w:sz="4" w:space="0" w:color="auto"/>
              <w:right w:val="single" w:sz="4" w:space="0" w:color="auto"/>
            </w:tcBorders>
            <w:shd w:val="clear" w:color="auto" w:fill="auto"/>
            <w:vAlign w:val="center"/>
            <w:hideMark/>
          </w:tcPr>
          <w:p w14:paraId="0EEBD1D4"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344" w:type="pct"/>
            <w:tcBorders>
              <w:top w:val="nil"/>
              <w:left w:val="nil"/>
              <w:bottom w:val="single" w:sz="4" w:space="0" w:color="auto"/>
              <w:right w:val="single" w:sz="4" w:space="0" w:color="auto"/>
            </w:tcBorders>
            <w:shd w:val="clear" w:color="auto" w:fill="auto"/>
            <w:vAlign w:val="center"/>
            <w:hideMark/>
          </w:tcPr>
          <w:p w14:paraId="07DD5B74"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r>
      <w:tr w:rsidR="00250D2A" w:rsidRPr="00B838B2" w14:paraId="0B328F55" w14:textId="77777777" w:rsidTr="00EC7550">
        <w:trPr>
          <w:trHeight w:val="340"/>
        </w:trPr>
        <w:tc>
          <w:tcPr>
            <w:tcW w:w="509" w:type="pct"/>
            <w:tcBorders>
              <w:top w:val="nil"/>
              <w:left w:val="single" w:sz="4" w:space="0" w:color="auto"/>
              <w:bottom w:val="single" w:sz="4" w:space="0" w:color="auto"/>
              <w:right w:val="single" w:sz="4" w:space="0" w:color="auto"/>
            </w:tcBorders>
            <w:shd w:val="clear" w:color="000000" w:fill="DDC9A3"/>
            <w:vAlign w:val="center"/>
            <w:hideMark/>
          </w:tcPr>
          <w:p w14:paraId="6CBDD574" w14:textId="77777777" w:rsidR="00B838B2" w:rsidRPr="00B838B2" w:rsidRDefault="00B838B2" w:rsidP="00B838B2">
            <w:pPr>
              <w:spacing w:after="0" w:line="240" w:lineRule="auto"/>
              <w:jc w:val="center"/>
              <w:rPr>
                <w:rFonts w:eastAsia="Times New Roman" w:cs="Calibri"/>
                <w:b/>
                <w:bCs/>
                <w:color w:val="000000"/>
                <w:sz w:val="14"/>
                <w:szCs w:val="14"/>
                <w:lang w:eastAsia="es-MX"/>
              </w:rPr>
            </w:pPr>
            <w:r w:rsidRPr="00B838B2">
              <w:rPr>
                <w:rFonts w:eastAsia="Times New Roman" w:cs="Calibri"/>
                <w:b/>
                <w:bCs/>
                <w:color w:val="000000"/>
                <w:sz w:val="14"/>
                <w:szCs w:val="14"/>
                <w:lang w:eastAsia="es-MX"/>
              </w:rPr>
              <w:t xml:space="preserve">TOTAL </w:t>
            </w:r>
          </w:p>
        </w:tc>
        <w:tc>
          <w:tcPr>
            <w:tcW w:w="467" w:type="pct"/>
            <w:tcBorders>
              <w:top w:val="nil"/>
              <w:left w:val="nil"/>
              <w:bottom w:val="single" w:sz="4" w:space="0" w:color="auto"/>
              <w:right w:val="single" w:sz="4" w:space="0" w:color="auto"/>
            </w:tcBorders>
            <w:shd w:val="clear" w:color="000000" w:fill="DDC9A3"/>
            <w:vAlign w:val="center"/>
            <w:hideMark/>
          </w:tcPr>
          <w:p w14:paraId="49B2ABE4" w14:textId="77777777" w:rsidR="00B838B2" w:rsidRPr="00B838B2" w:rsidRDefault="00B838B2" w:rsidP="00B838B2">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900,000,000</w:t>
            </w:r>
          </w:p>
        </w:tc>
        <w:tc>
          <w:tcPr>
            <w:tcW w:w="538" w:type="pct"/>
            <w:tcBorders>
              <w:top w:val="nil"/>
              <w:left w:val="nil"/>
              <w:bottom w:val="single" w:sz="4" w:space="0" w:color="auto"/>
              <w:right w:val="single" w:sz="4" w:space="0" w:color="auto"/>
            </w:tcBorders>
            <w:shd w:val="clear" w:color="000000" w:fill="DDC9A3"/>
            <w:vAlign w:val="center"/>
            <w:hideMark/>
          </w:tcPr>
          <w:p w14:paraId="66792144" w14:textId="77777777" w:rsidR="00B838B2" w:rsidRPr="00B838B2" w:rsidRDefault="00B838B2" w:rsidP="0032021D">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339,292,833</w:t>
            </w:r>
          </w:p>
        </w:tc>
        <w:tc>
          <w:tcPr>
            <w:tcW w:w="609" w:type="pct"/>
            <w:tcBorders>
              <w:top w:val="nil"/>
              <w:left w:val="nil"/>
              <w:bottom w:val="single" w:sz="4" w:space="0" w:color="auto"/>
              <w:right w:val="single" w:sz="4" w:space="0" w:color="auto"/>
            </w:tcBorders>
            <w:shd w:val="clear" w:color="000000" w:fill="DDC9A3"/>
            <w:vAlign w:val="center"/>
            <w:hideMark/>
          </w:tcPr>
          <w:p w14:paraId="4FFE2CEE" w14:textId="77777777" w:rsidR="00B838B2" w:rsidRPr="00B838B2" w:rsidRDefault="00B838B2" w:rsidP="0032021D">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379,735,606</w:t>
            </w:r>
          </w:p>
        </w:tc>
        <w:tc>
          <w:tcPr>
            <w:tcW w:w="513" w:type="pct"/>
            <w:tcBorders>
              <w:top w:val="nil"/>
              <w:left w:val="nil"/>
              <w:bottom w:val="single" w:sz="4" w:space="0" w:color="auto"/>
              <w:right w:val="single" w:sz="4" w:space="0" w:color="auto"/>
            </w:tcBorders>
            <w:shd w:val="clear" w:color="000000" w:fill="DDC9A3"/>
            <w:vAlign w:val="center"/>
            <w:hideMark/>
          </w:tcPr>
          <w:p w14:paraId="650E90A2" w14:textId="77777777" w:rsidR="00B838B2" w:rsidRPr="00B838B2" w:rsidRDefault="00B838B2" w:rsidP="00B838B2">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719,028,439</w:t>
            </w:r>
          </w:p>
        </w:tc>
        <w:tc>
          <w:tcPr>
            <w:tcW w:w="424" w:type="pct"/>
            <w:tcBorders>
              <w:top w:val="nil"/>
              <w:left w:val="nil"/>
              <w:bottom w:val="single" w:sz="4" w:space="0" w:color="auto"/>
              <w:right w:val="single" w:sz="4" w:space="0" w:color="auto"/>
            </w:tcBorders>
            <w:shd w:val="clear" w:color="000000" w:fill="DDC9A3"/>
            <w:vAlign w:val="center"/>
            <w:hideMark/>
          </w:tcPr>
          <w:p w14:paraId="7ACF7F73" w14:textId="77777777" w:rsidR="00B838B2" w:rsidRPr="00B838B2" w:rsidRDefault="00B838B2" w:rsidP="00B838B2">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0</w:t>
            </w:r>
          </w:p>
        </w:tc>
        <w:tc>
          <w:tcPr>
            <w:tcW w:w="388" w:type="pct"/>
            <w:tcBorders>
              <w:top w:val="nil"/>
              <w:left w:val="nil"/>
              <w:bottom w:val="single" w:sz="4" w:space="0" w:color="auto"/>
              <w:right w:val="single" w:sz="4" w:space="0" w:color="auto"/>
            </w:tcBorders>
            <w:shd w:val="clear" w:color="000000" w:fill="DDC9A3"/>
            <w:vAlign w:val="center"/>
            <w:hideMark/>
          </w:tcPr>
          <w:p w14:paraId="05594E80" w14:textId="77777777" w:rsidR="00B838B2" w:rsidRPr="00B838B2" w:rsidRDefault="00B838B2" w:rsidP="00B838B2">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 </w:t>
            </w:r>
          </w:p>
        </w:tc>
        <w:tc>
          <w:tcPr>
            <w:tcW w:w="350" w:type="pct"/>
            <w:tcBorders>
              <w:top w:val="nil"/>
              <w:left w:val="nil"/>
              <w:bottom w:val="single" w:sz="4" w:space="0" w:color="auto"/>
              <w:right w:val="single" w:sz="4" w:space="0" w:color="auto"/>
            </w:tcBorders>
            <w:shd w:val="clear" w:color="000000" w:fill="DDC9A3"/>
            <w:vAlign w:val="center"/>
            <w:hideMark/>
          </w:tcPr>
          <w:p w14:paraId="4E253162" w14:textId="77777777" w:rsidR="00B838B2" w:rsidRPr="00B838B2" w:rsidRDefault="00B838B2" w:rsidP="00B838B2">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 </w:t>
            </w:r>
          </w:p>
        </w:tc>
        <w:tc>
          <w:tcPr>
            <w:tcW w:w="329" w:type="pct"/>
            <w:tcBorders>
              <w:top w:val="nil"/>
              <w:left w:val="nil"/>
              <w:bottom w:val="single" w:sz="4" w:space="0" w:color="auto"/>
              <w:right w:val="single" w:sz="4" w:space="0" w:color="auto"/>
            </w:tcBorders>
            <w:shd w:val="clear" w:color="000000" w:fill="DDC9A3"/>
            <w:vAlign w:val="center"/>
            <w:hideMark/>
          </w:tcPr>
          <w:p w14:paraId="03E44EE0" w14:textId="77777777" w:rsidR="00B838B2" w:rsidRPr="00B838B2" w:rsidRDefault="00B838B2" w:rsidP="00B838B2">
            <w:pPr>
              <w:spacing w:after="0" w:line="240" w:lineRule="auto"/>
              <w:jc w:val="center"/>
              <w:rPr>
                <w:rFonts w:eastAsia="Times New Roman" w:cs="Calibri"/>
                <w:b/>
                <w:bCs/>
                <w:color w:val="000000"/>
                <w:sz w:val="14"/>
                <w:szCs w:val="14"/>
                <w:lang w:eastAsia="es-MX"/>
              </w:rPr>
            </w:pPr>
            <w:r w:rsidRPr="00B838B2">
              <w:rPr>
                <w:rFonts w:eastAsia="Times New Roman" w:cs="Calibri"/>
                <w:b/>
                <w:bCs/>
                <w:color w:val="000000"/>
                <w:sz w:val="14"/>
                <w:szCs w:val="14"/>
                <w:lang w:eastAsia="es-MX"/>
              </w:rPr>
              <w:t> </w:t>
            </w:r>
          </w:p>
        </w:tc>
        <w:tc>
          <w:tcPr>
            <w:tcW w:w="528" w:type="pct"/>
            <w:tcBorders>
              <w:top w:val="nil"/>
              <w:left w:val="nil"/>
              <w:bottom w:val="single" w:sz="4" w:space="0" w:color="auto"/>
              <w:right w:val="single" w:sz="4" w:space="0" w:color="auto"/>
            </w:tcBorders>
            <w:shd w:val="clear" w:color="000000" w:fill="DDC9A3"/>
            <w:vAlign w:val="center"/>
            <w:hideMark/>
          </w:tcPr>
          <w:p w14:paraId="68B2ABC8" w14:textId="77777777" w:rsidR="00B838B2" w:rsidRPr="00B838B2" w:rsidRDefault="00B838B2" w:rsidP="00B838B2">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 </w:t>
            </w:r>
          </w:p>
        </w:tc>
        <w:tc>
          <w:tcPr>
            <w:tcW w:w="344" w:type="pct"/>
            <w:tcBorders>
              <w:top w:val="nil"/>
              <w:left w:val="nil"/>
              <w:bottom w:val="single" w:sz="4" w:space="0" w:color="auto"/>
              <w:right w:val="single" w:sz="4" w:space="0" w:color="auto"/>
            </w:tcBorders>
            <w:shd w:val="clear" w:color="000000" w:fill="DDC9A3"/>
            <w:vAlign w:val="center"/>
            <w:hideMark/>
          </w:tcPr>
          <w:p w14:paraId="297511A4" w14:textId="77777777" w:rsidR="00B838B2" w:rsidRPr="00B838B2" w:rsidRDefault="00B838B2" w:rsidP="00B838B2">
            <w:pPr>
              <w:spacing w:after="0" w:line="240" w:lineRule="auto"/>
              <w:jc w:val="center"/>
              <w:rPr>
                <w:rFonts w:eastAsia="Times New Roman" w:cs="Calibri"/>
                <w:b/>
                <w:bCs/>
                <w:color w:val="000000"/>
                <w:sz w:val="14"/>
                <w:szCs w:val="14"/>
                <w:lang w:eastAsia="es-MX"/>
              </w:rPr>
            </w:pPr>
            <w:r w:rsidRPr="00B838B2">
              <w:rPr>
                <w:rFonts w:eastAsia="Times New Roman" w:cs="Calibri"/>
                <w:b/>
                <w:bCs/>
                <w:color w:val="000000"/>
                <w:sz w:val="14"/>
                <w:szCs w:val="14"/>
                <w:lang w:eastAsia="es-MX"/>
              </w:rPr>
              <w:t> </w:t>
            </w:r>
          </w:p>
        </w:tc>
      </w:tr>
    </w:tbl>
    <w:p w14:paraId="0667BE0B" w14:textId="77777777" w:rsidR="008F37A0" w:rsidRPr="00383453" w:rsidRDefault="008F37A0" w:rsidP="007D5522">
      <w:pPr>
        <w:jc w:val="both"/>
        <w:rPr>
          <w:rFonts w:asciiTheme="minorHAnsi" w:hAnsiTheme="minorHAnsi" w:cstheme="minorHAnsi"/>
          <w:sz w:val="14"/>
          <w:szCs w:val="18"/>
        </w:rPr>
      </w:pPr>
    </w:p>
    <w:p w14:paraId="2A51AE36" w14:textId="77777777" w:rsidR="00BB4C9D" w:rsidRPr="005F45A3" w:rsidRDefault="00967E2F" w:rsidP="000C5510">
      <w:pPr>
        <w:pStyle w:val="Texto"/>
        <w:spacing w:after="0" w:line="240" w:lineRule="exact"/>
        <w:ind w:left="-284" w:firstLine="142"/>
        <w:rPr>
          <w:rFonts w:asciiTheme="minorHAnsi" w:hAnsiTheme="minorHAnsi" w:cstheme="minorHAnsi"/>
          <w:b/>
          <w:sz w:val="20"/>
          <w:szCs w:val="18"/>
        </w:rPr>
      </w:pPr>
      <w:r w:rsidRPr="005F45A3">
        <w:rPr>
          <w:rFonts w:asciiTheme="minorHAnsi" w:hAnsiTheme="minorHAnsi" w:cstheme="minorHAnsi"/>
          <w:b/>
          <w:sz w:val="20"/>
          <w:szCs w:val="18"/>
        </w:rPr>
        <w:t>Porción a Corto Plazo de la Deuda a Largo Plazo</w:t>
      </w:r>
      <w:r w:rsidR="00BB4C9D" w:rsidRPr="005F45A3">
        <w:rPr>
          <w:rFonts w:asciiTheme="minorHAnsi" w:hAnsiTheme="minorHAnsi" w:cstheme="minorHAnsi"/>
          <w:b/>
          <w:sz w:val="20"/>
          <w:szCs w:val="18"/>
        </w:rPr>
        <w:t>.</w:t>
      </w:r>
    </w:p>
    <w:p w14:paraId="601D9691" w14:textId="77777777" w:rsidR="00F41B6F" w:rsidRPr="005F45A3" w:rsidRDefault="00F41B6F" w:rsidP="00383453">
      <w:pPr>
        <w:pStyle w:val="Texto"/>
        <w:spacing w:after="0" w:line="240" w:lineRule="exact"/>
        <w:ind w:left="-284" w:firstLine="142"/>
        <w:rPr>
          <w:rFonts w:asciiTheme="minorHAnsi" w:hAnsiTheme="minorHAnsi" w:cstheme="minorHAnsi"/>
          <w:szCs w:val="18"/>
        </w:rPr>
      </w:pPr>
    </w:p>
    <w:p w14:paraId="1A95060A" w14:textId="214BE200" w:rsidR="00967E2F" w:rsidRPr="005F45A3" w:rsidRDefault="001B69AF" w:rsidP="000C5510">
      <w:pPr>
        <w:pStyle w:val="Texto"/>
        <w:spacing w:after="0" w:line="240" w:lineRule="exact"/>
        <w:ind w:hanging="142"/>
        <w:rPr>
          <w:rFonts w:asciiTheme="minorHAnsi" w:hAnsiTheme="minorHAnsi" w:cstheme="minorHAnsi"/>
          <w:szCs w:val="18"/>
        </w:rPr>
      </w:pPr>
      <w:r w:rsidRPr="005F45A3">
        <w:rPr>
          <w:rFonts w:asciiTheme="minorHAnsi" w:hAnsiTheme="minorHAnsi" w:cstheme="minorHAnsi"/>
          <w:szCs w:val="18"/>
        </w:rPr>
        <w:t xml:space="preserve">El saldo de esta cuenta al cierre del </w:t>
      </w:r>
      <w:r w:rsidR="00293824">
        <w:rPr>
          <w:rFonts w:asciiTheme="minorHAnsi" w:hAnsiTheme="minorHAnsi" w:cstheme="minorHAnsi"/>
          <w:szCs w:val="18"/>
        </w:rPr>
        <w:t>cuarto</w:t>
      </w:r>
      <w:r w:rsidRPr="005F45A3">
        <w:rPr>
          <w:rFonts w:asciiTheme="minorHAnsi" w:hAnsiTheme="minorHAnsi" w:cstheme="minorHAnsi"/>
          <w:szCs w:val="18"/>
        </w:rPr>
        <w:t xml:space="preserve"> trimestre se de</w:t>
      </w:r>
      <w:r w:rsidR="00847DAC" w:rsidRPr="005F45A3">
        <w:rPr>
          <w:rFonts w:asciiTheme="minorHAnsi" w:hAnsiTheme="minorHAnsi" w:cstheme="minorHAnsi"/>
          <w:szCs w:val="18"/>
        </w:rPr>
        <w:t>talla</w:t>
      </w:r>
      <w:r w:rsidRPr="005F45A3">
        <w:rPr>
          <w:rFonts w:asciiTheme="minorHAnsi" w:hAnsiTheme="minorHAnsi" w:cstheme="minorHAnsi"/>
          <w:szCs w:val="18"/>
        </w:rPr>
        <w:t xml:space="preserve"> a continuación por crédito</w:t>
      </w:r>
      <w:r w:rsidR="00967E2F" w:rsidRPr="005F45A3">
        <w:rPr>
          <w:rFonts w:asciiTheme="minorHAnsi" w:hAnsiTheme="minorHAnsi" w:cstheme="minorHAnsi"/>
          <w:szCs w:val="18"/>
        </w:rPr>
        <w:t>.</w:t>
      </w:r>
    </w:p>
    <w:p w14:paraId="3A923E86" w14:textId="77777777" w:rsidR="00A030AB" w:rsidRPr="005F45A3" w:rsidRDefault="00F325B6" w:rsidP="001A2BE2">
      <w:pPr>
        <w:pStyle w:val="Texto"/>
        <w:spacing w:after="0" w:line="240" w:lineRule="exact"/>
        <w:ind w:firstLine="0"/>
        <w:rPr>
          <w:rFonts w:asciiTheme="minorHAnsi" w:hAnsiTheme="minorHAnsi" w:cstheme="minorHAnsi"/>
          <w:sz w:val="20"/>
          <w:szCs w:val="18"/>
        </w:rPr>
      </w:pPr>
      <w:r w:rsidRPr="005F45A3">
        <w:rPr>
          <w:rFonts w:asciiTheme="minorHAnsi" w:hAnsiTheme="minorHAnsi" w:cstheme="minorHAnsi"/>
          <w:sz w:val="20"/>
          <w:szCs w:val="18"/>
        </w:rPr>
        <w:t xml:space="preserve">   </w:t>
      </w:r>
    </w:p>
    <w:tbl>
      <w:tblPr>
        <w:tblW w:w="5439" w:type="dxa"/>
        <w:tblCellMar>
          <w:left w:w="70" w:type="dxa"/>
          <w:right w:w="70" w:type="dxa"/>
        </w:tblCellMar>
        <w:tblLook w:val="04A0" w:firstRow="1" w:lastRow="0" w:firstColumn="1" w:lastColumn="0" w:noHBand="0" w:noVBand="1"/>
      </w:tblPr>
      <w:tblGrid>
        <w:gridCol w:w="3539"/>
        <w:gridCol w:w="1900"/>
      </w:tblGrid>
      <w:tr w:rsidR="00C56022" w:rsidRPr="00C56022" w14:paraId="66F617EF" w14:textId="77777777" w:rsidTr="00EC7550">
        <w:trPr>
          <w:trHeight w:val="510"/>
        </w:trPr>
        <w:tc>
          <w:tcPr>
            <w:tcW w:w="3539"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00D8B981" w14:textId="77777777" w:rsidR="00C56022" w:rsidRPr="00C56022" w:rsidRDefault="00C56022" w:rsidP="00C56022">
            <w:pPr>
              <w:spacing w:after="0" w:line="240" w:lineRule="auto"/>
              <w:jc w:val="center"/>
              <w:rPr>
                <w:rFonts w:eastAsia="Times New Roman" w:cs="Calibri"/>
                <w:b/>
                <w:bCs/>
                <w:color w:val="FFFFFF"/>
                <w:sz w:val="16"/>
                <w:szCs w:val="16"/>
                <w:lang w:eastAsia="es-MX"/>
              </w:rPr>
            </w:pPr>
            <w:r w:rsidRPr="00C56022">
              <w:rPr>
                <w:rFonts w:eastAsia="Times New Roman" w:cs="Calibri"/>
                <w:b/>
                <w:bCs/>
                <w:color w:val="FFFFFF"/>
                <w:sz w:val="16"/>
                <w:szCs w:val="16"/>
                <w:lang w:eastAsia="es-MX"/>
              </w:rPr>
              <w:t>Porción a Corto Plazo de la Deuda a Largo Plazo</w:t>
            </w:r>
          </w:p>
        </w:tc>
        <w:tc>
          <w:tcPr>
            <w:tcW w:w="1900" w:type="dxa"/>
            <w:tcBorders>
              <w:top w:val="single" w:sz="4" w:space="0" w:color="auto"/>
              <w:left w:val="nil"/>
              <w:bottom w:val="single" w:sz="4" w:space="0" w:color="auto"/>
              <w:right w:val="single" w:sz="4" w:space="0" w:color="auto"/>
            </w:tcBorders>
            <w:shd w:val="clear" w:color="000000" w:fill="AB0033"/>
            <w:vAlign w:val="center"/>
            <w:hideMark/>
          </w:tcPr>
          <w:p w14:paraId="155131F4" w14:textId="77777777" w:rsidR="00C56022" w:rsidRPr="00C56022" w:rsidRDefault="00C56022" w:rsidP="00C56022">
            <w:pPr>
              <w:spacing w:after="0" w:line="240" w:lineRule="auto"/>
              <w:jc w:val="center"/>
              <w:rPr>
                <w:rFonts w:eastAsia="Times New Roman" w:cs="Calibri"/>
                <w:b/>
                <w:bCs/>
                <w:color w:val="FFFFFF"/>
                <w:sz w:val="16"/>
                <w:szCs w:val="16"/>
                <w:lang w:eastAsia="es-MX"/>
              </w:rPr>
            </w:pPr>
            <w:r w:rsidRPr="00C56022">
              <w:rPr>
                <w:rFonts w:eastAsia="Times New Roman" w:cs="Calibri"/>
                <w:b/>
                <w:bCs/>
                <w:color w:val="FFFFFF"/>
                <w:sz w:val="16"/>
                <w:szCs w:val="16"/>
                <w:lang w:eastAsia="es-MX"/>
              </w:rPr>
              <w:t xml:space="preserve">Importe </w:t>
            </w:r>
          </w:p>
        </w:tc>
      </w:tr>
      <w:tr w:rsidR="00C56022" w:rsidRPr="00EC7550" w14:paraId="656F71CA" w14:textId="77777777" w:rsidTr="00EC7550">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A011D4F" w14:textId="77777777" w:rsidR="00C56022" w:rsidRPr="00EC7550" w:rsidRDefault="00C56022" w:rsidP="00C56022">
            <w:pPr>
              <w:spacing w:after="0" w:line="240" w:lineRule="auto"/>
              <w:rPr>
                <w:rFonts w:eastAsia="Times New Roman" w:cs="Calibri"/>
                <w:color w:val="000000"/>
                <w:sz w:val="15"/>
                <w:szCs w:val="15"/>
                <w:lang w:eastAsia="es-MX"/>
              </w:rPr>
            </w:pPr>
            <w:r w:rsidRPr="00EC7550">
              <w:rPr>
                <w:rFonts w:eastAsia="Times New Roman" w:cs="Calibri"/>
                <w:color w:val="000000"/>
                <w:sz w:val="15"/>
                <w:szCs w:val="15"/>
                <w:lang w:eastAsia="es-MX"/>
              </w:rPr>
              <w:t>Crédito 5'461 MDP Banorte</w:t>
            </w:r>
          </w:p>
        </w:tc>
        <w:tc>
          <w:tcPr>
            <w:tcW w:w="1900" w:type="dxa"/>
            <w:tcBorders>
              <w:top w:val="nil"/>
              <w:left w:val="nil"/>
              <w:bottom w:val="single" w:sz="4" w:space="0" w:color="auto"/>
              <w:right w:val="single" w:sz="4" w:space="0" w:color="auto"/>
            </w:tcBorders>
            <w:shd w:val="clear" w:color="auto" w:fill="auto"/>
            <w:noWrap/>
            <w:vAlign w:val="bottom"/>
            <w:hideMark/>
          </w:tcPr>
          <w:p w14:paraId="67CE03AA" w14:textId="77777777" w:rsidR="00C56022" w:rsidRPr="00EC7550" w:rsidRDefault="00C56022" w:rsidP="00C56022">
            <w:pPr>
              <w:spacing w:after="0" w:line="240" w:lineRule="auto"/>
              <w:jc w:val="right"/>
              <w:rPr>
                <w:rFonts w:eastAsia="Times New Roman" w:cs="Calibri"/>
                <w:color w:val="000000"/>
                <w:sz w:val="15"/>
                <w:szCs w:val="15"/>
                <w:lang w:eastAsia="es-MX"/>
              </w:rPr>
            </w:pPr>
            <w:r w:rsidRPr="00EC7550">
              <w:rPr>
                <w:rFonts w:eastAsia="Times New Roman" w:cs="Calibri"/>
                <w:color w:val="000000"/>
                <w:sz w:val="15"/>
                <w:szCs w:val="15"/>
                <w:lang w:eastAsia="es-MX"/>
              </w:rPr>
              <w:t xml:space="preserve">95,092,731 </w:t>
            </w:r>
          </w:p>
        </w:tc>
      </w:tr>
      <w:tr w:rsidR="00C56022" w:rsidRPr="00EC7550" w14:paraId="215AEC22" w14:textId="77777777" w:rsidTr="00EC7550">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F6D34D6" w14:textId="77777777" w:rsidR="00C56022" w:rsidRPr="00EC7550" w:rsidRDefault="00C56022" w:rsidP="00C56022">
            <w:pPr>
              <w:spacing w:after="0" w:line="240" w:lineRule="auto"/>
              <w:rPr>
                <w:rFonts w:eastAsia="Times New Roman" w:cs="Calibri"/>
                <w:color w:val="000000"/>
                <w:sz w:val="15"/>
                <w:szCs w:val="15"/>
                <w:lang w:eastAsia="es-MX"/>
              </w:rPr>
            </w:pPr>
            <w:r w:rsidRPr="00EC7550">
              <w:rPr>
                <w:rFonts w:eastAsia="Times New Roman" w:cs="Calibri"/>
                <w:color w:val="000000"/>
                <w:sz w:val="15"/>
                <w:szCs w:val="15"/>
                <w:lang w:eastAsia="es-MX"/>
              </w:rPr>
              <w:t>Crédito 1'000 MDP Bancomer</w:t>
            </w:r>
          </w:p>
        </w:tc>
        <w:tc>
          <w:tcPr>
            <w:tcW w:w="1900" w:type="dxa"/>
            <w:tcBorders>
              <w:top w:val="nil"/>
              <w:left w:val="nil"/>
              <w:bottom w:val="single" w:sz="4" w:space="0" w:color="auto"/>
              <w:right w:val="single" w:sz="4" w:space="0" w:color="auto"/>
            </w:tcBorders>
            <w:shd w:val="clear" w:color="auto" w:fill="auto"/>
            <w:noWrap/>
            <w:vAlign w:val="bottom"/>
            <w:hideMark/>
          </w:tcPr>
          <w:p w14:paraId="1B90E982" w14:textId="77777777" w:rsidR="00C56022" w:rsidRPr="00EC7550" w:rsidRDefault="00C56022" w:rsidP="00C56022">
            <w:pPr>
              <w:spacing w:after="0" w:line="240" w:lineRule="auto"/>
              <w:jc w:val="right"/>
              <w:rPr>
                <w:rFonts w:eastAsia="Times New Roman" w:cs="Calibri"/>
                <w:color w:val="000000"/>
                <w:sz w:val="15"/>
                <w:szCs w:val="15"/>
                <w:lang w:eastAsia="es-MX"/>
              </w:rPr>
            </w:pPr>
            <w:r w:rsidRPr="00EC7550">
              <w:rPr>
                <w:rFonts w:eastAsia="Times New Roman" w:cs="Calibri"/>
                <w:color w:val="000000"/>
                <w:sz w:val="15"/>
                <w:szCs w:val="15"/>
                <w:lang w:eastAsia="es-MX"/>
              </w:rPr>
              <w:t xml:space="preserve">54,945,060 </w:t>
            </w:r>
          </w:p>
        </w:tc>
      </w:tr>
      <w:tr w:rsidR="00C56022" w:rsidRPr="00EC7550" w14:paraId="12E22039" w14:textId="77777777" w:rsidTr="00EC7550">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382187E7" w14:textId="77777777" w:rsidR="00C56022" w:rsidRPr="00EC7550" w:rsidRDefault="00C56022" w:rsidP="00C56022">
            <w:pPr>
              <w:spacing w:after="0" w:line="240" w:lineRule="auto"/>
              <w:rPr>
                <w:rFonts w:eastAsia="Times New Roman" w:cs="Calibri"/>
                <w:color w:val="000000"/>
                <w:sz w:val="15"/>
                <w:szCs w:val="15"/>
                <w:lang w:eastAsia="es-MX"/>
              </w:rPr>
            </w:pPr>
            <w:r w:rsidRPr="00EC7550">
              <w:rPr>
                <w:rFonts w:eastAsia="Times New Roman" w:cs="Calibri"/>
                <w:color w:val="000000"/>
                <w:sz w:val="15"/>
                <w:szCs w:val="15"/>
                <w:lang w:eastAsia="es-MX"/>
              </w:rPr>
              <w:t>Crédito 968 MDP Bancomer</w:t>
            </w:r>
          </w:p>
        </w:tc>
        <w:tc>
          <w:tcPr>
            <w:tcW w:w="1900" w:type="dxa"/>
            <w:tcBorders>
              <w:top w:val="nil"/>
              <w:left w:val="nil"/>
              <w:bottom w:val="single" w:sz="4" w:space="0" w:color="auto"/>
              <w:right w:val="single" w:sz="4" w:space="0" w:color="auto"/>
            </w:tcBorders>
            <w:shd w:val="clear" w:color="auto" w:fill="auto"/>
            <w:noWrap/>
            <w:vAlign w:val="bottom"/>
            <w:hideMark/>
          </w:tcPr>
          <w:p w14:paraId="7967818E" w14:textId="77777777" w:rsidR="00C56022" w:rsidRPr="00EC7550" w:rsidRDefault="00C56022" w:rsidP="00C56022">
            <w:pPr>
              <w:spacing w:after="0" w:line="240" w:lineRule="auto"/>
              <w:jc w:val="right"/>
              <w:rPr>
                <w:rFonts w:eastAsia="Times New Roman" w:cs="Calibri"/>
                <w:color w:val="000000"/>
                <w:sz w:val="15"/>
                <w:szCs w:val="15"/>
                <w:lang w:eastAsia="es-MX"/>
              </w:rPr>
            </w:pPr>
            <w:r w:rsidRPr="00EC7550">
              <w:rPr>
                <w:rFonts w:eastAsia="Times New Roman" w:cs="Calibri"/>
                <w:color w:val="000000"/>
                <w:sz w:val="15"/>
                <w:szCs w:val="15"/>
                <w:lang w:eastAsia="es-MX"/>
              </w:rPr>
              <w:t xml:space="preserve">52,690,288 </w:t>
            </w:r>
          </w:p>
        </w:tc>
      </w:tr>
      <w:tr w:rsidR="00C56022" w:rsidRPr="00EC7550" w14:paraId="3F317AF5" w14:textId="77777777" w:rsidTr="00EC7550">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7FAD319" w14:textId="77777777" w:rsidR="00C56022" w:rsidRPr="00EC7550" w:rsidRDefault="00C56022" w:rsidP="00C56022">
            <w:pPr>
              <w:spacing w:after="0" w:line="240" w:lineRule="auto"/>
              <w:rPr>
                <w:rFonts w:eastAsia="Times New Roman" w:cs="Calibri"/>
                <w:color w:val="000000"/>
                <w:sz w:val="15"/>
                <w:szCs w:val="15"/>
                <w:lang w:eastAsia="es-MX"/>
              </w:rPr>
            </w:pPr>
            <w:r w:rsidRPr="00EC7550">
              <w:rPr>
                <w:rFonts w:eastAsia="Times New Roman" w:cs="Calibri"/>
                <w:color w:val="000000"/>
                <w:sz w:val="15"/>
                <w:szCs w:val="15"/>
                <w:lang w:eastAsia="es-MX"/>
              </w:rPr>
              <w:t>Crédito 1'650 MDP Santander</w:t>
            </w:r>
          </w:p>
        </w:tc>
        <w:tc>
          <w:tcPr>
            <w:tcW w:w="1900" w:type="dxa"/>
            <w:tcBorders>
              <w:top w:val="nil"/>
              <w:left w:val="nil"/>
              <w:bottom w:val="single" w:sz="4" w:space="0" w:color="auto"/>
              <w:right w:val="single" w:sz="4" w:space="0" w:color="auto"/>
            </w:tcBorders>
            <w:shd w:val="clear" w:color="auto" w:fill="auto"/>
            <w:noWrap/>
            <w:vAlign w:val="bottom"/>
            <w:hideMark/>
          </w:tcPr>
          <w:p w14:paraId="3C8115E3" w14:textId="77777777" w:rsidR="00C56022" w:rsidRPr="00EC7550" w:rsidRDefault="00C56022" w:rsidP="00C56022">
            <w:pPr>
              <w:spacing w:after="0" w:line="240" w:lineRule="auto"/>
              <w:jc w:val="right"/>
              <w:rPr>
                <w:rFonts w:eastAsia="Times New Roman" w:cs="Calibri"/>
                <w:color w:val="000000"/>
                <w:sz w:val="15"/>
                <w:szCs w:val="15"/>
                <w:lang w:eastAsia="es-MX"/>
              </w:rPr>
            </w:pPr>
            <w:r w:rsidRPr="00EC7550">
              <w:rPr>
                <w:rFonts w:eastAsia="Times New Roman" w:cs="Calibri"/>
                <w:color w:val="000000"/>
                <w:sz w:val="15"/>
                <w:szCs w:val="15"/>
                <w:lang w:eastAsia="es-MX"/>
              </w:rPr>
              <w:t xml:space="preserve">27,882,119 </w:t>
            </w:r>
          </w:p>
        </w:tc>
      </w:tr>
      <w:tr w:rsidR="00C56022" w:rsidRPr="00EC7550" w14:paraId="13997C5E" w14:textId="77777777" w:rsidTr="00EC7550">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846EC82" w14:textId="77777777" w:rsidR="00C56022" w:rsidRPr="00EC7550" w:rsidRDefault="00C56022" w:rsidP="00C56022">
            <w:pPr>
              <w:spacing w:after="0" w:line="240" w:lineRule="auto"/>
              <w:rPr>
                <w:rFonts w:eastAsia="Times New Roman" w:cs="Calibri"/>
                <w:color w:val="000000"/>
                <w:sz w:val="15"/>
                <w:szCs w:val="15"/>
                <w:lang w:eastAsia="es-MX"/>
              </w:rPr>
            </w:pPr>
            <w:r w:rsidRPr="00EC7550">
              <w:rPr>
                <w:rFonts w:eastAsia="Times New Roman" w:cs="Calibri"/>
                <w:color w:val="000000"/>
                <w:sz w:val="15"/>
                <w:szCs w:val="15"/>
                <w:lang w:eastAsia="es-MX"/>
              </w:rPr>
              <w:t>Crédito 1'539 MDP Banorte</w:t>
            </w:r>
          </w:p>
        </w:tc>
        <w:tc>
          <w:tcPr>
            <w:tcW w:w="1900" w:type="dxa"/>
            <w:tcBorders>
              <w:top w:val="nil"/>
              <w:left w:val="nil"/>
              <w:bottom w:val="single" w:sz="4" w:space="0" w:color="auto"/>
              <w:right w:val="single" w:sz="4" w:space="0" w:color="auto"/>
            </w:tcBorders>
            <w:shd w:val="clear" w:color="auto" w:fill="auto"/>
            <w:noWrap/>
            <w:vAlign w:val="bottom"/>
            <w:hideMark/>
          </w:tcPr>
          <w:p w14:paraId="03EC1976" w14:textId="77777777" w:rsidR="00C56022" w:rsidRPr="00EC7550" w:rsidRDefault="00C56022" w:rsidP="00C56022">
            <w:pPr>
              <w:spacing w:after="0" w:line="240" w:lineRule="auto"/>
              <w:jc w:val="right"/>
              <w:rPr>
                <w:rFonts w:eastAsia="Times New Roman" w:cs="Calibri"/>
                <w:color w:val="000000"/>
                <w:sz w:val="15"/>
                <w:szCs w:val="15"/>
                <w:lang w:eastAsia="es-MX"/>
              </w:rPr>
            </w:pPr>
            <w:r w:rsidRPr="00EC7550">
              <w:rPr>
                <w:rFonts w:eastAsia="Times New Roman" w:cs="Calibri"/>
                <w:color w:val="000000"/>
                <w:sz w:val="15"/>
                <w:szCs w:val="15"/>
                <w:lang w:eastAsia="es-MX"/>
              </w:rPr>
              <w:t xml:space="preserve">26,376,146 </w:t>
            </w:r>
          </w:p>
        </w:tc>
      </w:tr>
      <w:tr w:rsidR="00C56022" w:rsidRPr="00EC7550" w14:paraId="77EA4DE7" w14:textId="77777777" w:rsidTr="00EC7550">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244D3FB" w14:textId="77777777" w:rsidR="00C56022" w:rsidRPr="00EC7550" w:rsidRDefault="00C56022" w:rsidP="00C56022">
            <w:pPr>
              <w:spacing w:after="0" w:line="240" w:lineRule="auto"/>
              <w:rPr>
                <w:rFonts w:eastAsia="Times New Roman" w:cs="Calibri"/>
                <w:color w:val="000000"/>
                <w:sz w:val="15"/>
                <w:szCs w:val="15"/>
                <w:lang w:eastAsia="es-MX"/>
              </w:rPr>
            </w:pPr>
            <w:r w:rsidRPr="00EC7550">
              <w:rPr>
                <w:rFonts w:eastAsia="Times New Roman" w:cs="Calibri"/>
                <w:color w:val="000000"/>
                <w:sz w:val="15"/>
                <w:szCs w:val="15"/>
                <w:lang w:eastAsia="es-MX"/>
              </w:rPr>
              <w:t>Crédito 1'500 MDP Banamex</w:t>
            </w:r>
          </w:p>
        </w:tc>
        <w:tc>
          <w:tcPr>
            <w:tcW w:w="1900" w:type="dxa"/>
            <w:tcBorders>
              <w:top w:val="nil"/>
              <w:left w:val="nil"/>
              <w:bottom w:val="single" w:sz="4" w:space="0" w:color="auto"/>
              <w:right w:val="single" w:sz="4" w:space="0" w:color="auto"/>
            </w:tcBorders>
            <w:shd w:val="clear" w:color="auto" w:fill="auto"/>
            <w:noWrap/>
            <w:vAlign w:val="bottom"/>
            <w:hideMark/>
          </w:tcPr>
          <w:p w14:paraId="2584EFA5" w14:textId="77777777" w:rsidR="00C56022" w:rsidRPr="00EC7550" w:rsidRDefault="00C56022" w:rsidP="00C56022">
            <w:pPr>
              <w:spacing w:after="0" w:line="240" w:lineRule="auto"/>
              <w:jc w:val="right"/>
              <w:rPr>
                <w:rFonts w:eastAsia="Times New Roman" w:cs="Calibri"/>
                <w:color w:val="000000"/>
                <w:sz w:val="15"/>
                <w:szCs w:val="15"/>
                <w:lang w:eastAsia="es-MX"/>
              </w:rPr>
            </w:pPr>
            <w:r w:rsidRPr="00EC7550">
              <w:rPr>
                <w:rFonts w:eastAsia="Times New Roman" w:cs="Calibri"/>
                <w:color w:val="000000"/>
                <w:sz w:val="15"/>
                <w:szCs w:val="15"/>
                <w:lang w:eastAsia="es-MX"/>
              </w:rPr>
              <w:t xml:space="preserve">26,103,355 </w:t>
            </w:r>
          </w:p>
        </w:tc>
      </w:tr>
      <w:tr w:rsidR="00C56022" w:rsidRPr="00EC7550" w14:paraId="5C615691" w14:textId="77777777" w:rsidTr="00EC7550">
        <w:trPr>
          <w:trHeight w:val="290"/>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14:paraId="72BB9A44" w14:textId="77777777" w:rsidR="00C56022" w:rsidRPr="00EC7550" w:rsidRDefault="00C56022" w:rsidP="00C56022">
            <w:pPr>
              <w:spacing w:after="0" w:line="240" w:lineRule="auto"/>
              <w:rPr>
                <w:rFonts w:eastAsia="Times New Roman" w:cs="Calibri"/>
                <w:color w:val="000000"/>
                <w:sz w:val="15"/>
                <w:szCs w:val="15"/>
                <w:lang w:eastAsia="es-MX"/>
              </w:rPr>
            </w:pPr>
            <w:r w:rsidRPr="00EC7550">
              <w:rPr>
                <w:rFonts w:eastAsia="Times New Roman" w:cs="Calibri"/>
                <w:color w:val="000000"/>
                <w:sz w:val="15"/>
                <w:szCs w:val="15"/>
                <w:lang w:eastAsia="es-MX"/>
              </w:rPr>
              <w:t>Crédito 250.8 MDP Banobras</w:t>
            </w:r>
          </w:p>
        </w:tc>
        <w:tc>
          <w:tcPr>
            <w:tcW w:w="1900" w:type="dxa"/>
            <w:tcBorders>
              <w:top w:val="nil"/>
              <w:left w:val="nil"/>
              <w:bottom w:val="single" w:sz="4" w:space="0" w:color="auto"/>
              <w:right w:val="single" w:sz="4" w:space="0" w:color="auto"/>
            </w:tcBorders>
            <w:shd w:val="clear" w:color="auto" w:fill="auto"/>
            <w:noWrap/>
            <w:vAlign w:val="bottom"/>
            <w:hideMark/>
          </w:tcPr>
          <w:p w14:paraId="221A0C94" w14:textId="77777777" w:rsidR="00C56022" w:rsidRPr="00EC7550" w:rsidRDefault="00C56022" w:rsidP="00C56022">
            <w:pPr>
              <w:spacing w:after="0" w:line="240" w:lineRule="auto"/>
              <w:jc w:val="right"/>
              <w:rPr>
                <w:rFonts w:eastAsia="Times New Roman" w:cs="Calibri"/>
                <w:color w:val="000000"/>
                <w:sz w:val="15"/>
                <w:szCs w:val="15"/>
                <w:lang w:eastAsia="es-MX"/>
              </w:rPr>
            </w:pPr>
            <w:r w:rsidRPr="00EC7550">
              <w:rPr>
                <w:rFonts w:eastAsia="Times New Roman" w:cs="Calibri"/>
                <w:color w:val="000000"/>
                <w:sz w:val="15"/>
                <w:szCs w:val="15"/>
                <w:lang w:eastAsia="es-MX"/>
              </w:rPr>
              <w:t xml:space="preserve">17,144,120 </w:t>
            </w:r>
          </w:p>
        </w:tc>
      </w:tr>
      <w:tr w:rsidR="00C56022" w:rsidRPr="00EC7550" w14:paraId="58C7C258" w14:textId="77777777" w:rsidTr="00EC7550">
        <w:trPr>
          <w:trHeight w:val="290"/>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14:paraId="1D42D97C" w14:textId="77777777" w:rsidR="00C56022" w:rsidRPr="00EC7550" w:rsidRDefault="00C56022" w:rsidP="00C56022">
            <w:pPr>
              <w:spacing w:after="0" w:line="240" w:lineRule="auto"/>
              <w:rPr>
                <w:rFonts w:eastAsia="Times New Roman" w:cs="Calibri"/>
                <w:color w:val="000000"/>
                <w:sz w:val="15"/>
                <w:szCs w:val="15"/>
                <w:lang w:eastAsia="es-MX"/>
              </w:rPr>
            </w:pPr>
            <w:r w:rsidRPr="00EC7550">
              <w:rPr>
                <w:rFonts w:eastAsia="Times New Roman" w:cs="Calibri"/>
                <w:color w:val="000000"/>
                <w:sz w:val="15"/>
                <w:szCs w:val="15"/>
                <w:lang w:eastAsia="es-MX"/>
              </w:rPr>
              <w:t>Crédito 1'500 MDP Banorte</w:t>
            </w:r>
          </w:p>
        </w:tc>
        <w:tc>
          <w:tcPr>
            <w:tcW w:w="1900" w:type="dxa"/>
            <w:tcBorders>
              <w:top w:val="nil"/>
              <w:left w:val="nil"/>
              <w:bottom w:val="single" w:sz="4" w:space="0" w:color="auto"/>
              <w:right w:val="single" w:sz="4" w:space="0" w:color="auto"/>
            </w:tcBorders>
            <w:shd w:val="clear" w:color="auto" w:fill="auto"/>
            <w:noWrap/>
            <w:vAlign w:val="bottom"/>
            <w:hideMark/>
          </w:tcPr>
          <w:p w14:paraId="289E3799" w14:textId="77777777" w:rsidR="00C56022" w:rsidRPr="00EC7550" w:rsidRDefault="00C56022" w:rsidP="00C56022">
            <w:pPr>
              <w:spacing w:after="0" w:line="240" w:lineRule="auto"/>
              <w:jc w:val="right"/>
              <w:rPr>
                <w:rFonts w:eastAsia="Times New Roman" w:cs="Calibri"/>
                <w:color w:val="000000"/>
                <w:sz w:val="15"/>
                <w:szCs w:val="15"/>
                <w:lang w:eastAsia="es-MX"/>
              </w:rPr>
            </w:pPr>
            <w:r w:rsidRPr="00EC7550">
              <w:rPr>
                <w:rFonts w:eastAsia="Times New Roman" w:cs="Calibri"/>
                <w:color w:val="000000"/>
                <w:sz w:val="15"/>
                <w:szCs w:val="15"/>
                <w:lang w:eastAsia="es-MX"/>
              </w:rPr>
              <w:t xml:space="preserve">17,485,449 </w:t>
            </w:r>
          </w:p>
        </w:tc>
      </w:tr>
      <w:tr w:rsidR="00C56022" w:rsidRPr="00EC7550" w14:paraId="6DB01782" w14:textId="77777777" w:rsidTr="00EC7550">
        <w:trPr>
          <w:trHeight w:val="290"/>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14:paraId="02779B0A" w14:textId="77777777" w:rsidR="00C56022" w:rsidRPr="00EC7550" w:rsidRDefault="00C56022" w:rsidP="00C56022">
            <w:pPr>
              <w:spacing w:after="0" w:line="240" w:lineRule="auto"/>
              <w:rPr>
                <w:rFonts w:eastAsia="Times New Roman" w:cs="Calibri"/>
                <w:color w:val="000000"/>
                <w:sz w:val="15"/>
                <w:szCs w:val="15"/>
                <w:lang w:eastAsia="es-MX"/>
              </w:rPr>
            </w:pPr>
            <w:r w:rsidRPr="00EC7550">
              <w:rPr>
                <w:rFonts w:eastAsia="Times New Roman" w:cs="Calibri"/>
                <w:color w:val="000000"/>
                <w:sz w:val="15"/>
                <w:szCs w:val="15"/>
                <w:lang w:eastAsia="es-MX"/>
              </w:rPr>
              <w:t>Crédito 993 MDP Bancomer</w:t>
            </w:r>
          </w:p>
        </w:tc>
        <w:tc>
          <w:tcPr>
            <w:tcW w:w="1900" w:type="dxa"/>
            <w:tcBorders>
              <w:top w:val="nil"/>
              <w:left w:val="nil"/>
              <w:bottom w:val="single" w:sz="4" w:space="0" w:color="auto"/>
              <w:right w:val="single" w:sz="4" w:space="0" w:color="auto"/>
            </w:tcBorders>
            <w:shd w:val="clear" w:color="auto" w:fill="auto"/>
            <w:noWrap/>
            <w:vAlign w:val="bottom"/>
            <w:hideMark/>
          </w:tcPr>
          <w:p w14:paraId="418385C8" w14:textId="77777777" w:rsidR="00C56022" w:rsidRPr="00EC7550" w:rsidRDefault="00C56022" w:rsidP="00C56022">
            <w:pPr>
              <w:spacing w:after="0" w:line="240" w:lineRule="auto"/>
              <w:jc w:val="right"/>
              <w:rPr>
                <w:rFonts w:eastAsia="Times New Roman" w:cs="Calibri"/>
                <w:color w:val="000000"/>
                <w:sz w:val="15"/>
                <w:szCs w:val="15"/>
                <w:lang w:eastAsia="es-MX"/>
              </w:rPr>
            </w:pPr>
            <w:r w:rsidRPr="00EC7550">
              <w:rPr>
                <w:rFonts w:eastAsia="Times New Roman" w:cs="Calibri"/>
                <w:color w:val="000000"/>
                <w:sz w:val="15"/>
                <w:szCs w:val="15"/>
                <w:lang w:eastAsia="es-MX"/>
              </w:rPr>
              <w:t xml:space="preserve">16,948,049 </w:t>
            </w:r>
          </w:p>
        </w:tc>
      </w:tr>
      <w:tr w:rsidR="00C56022" w:rsidRPr="00EC7550" w14:paraId="7AC7E0F0" w14:textId="77777777" w:rsidTr="00EC7550">
        <w:trPr>
          <w:trHeight w:val="290"/>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14:paraId="1782BC82" w14:textId="77777777" w:rsidR="00C56022" w:rsidRPr="00EC7550" w:rsidRDefault="00C56022" w:rsidP="00C56022">
            <w:pPr>
              <w:spacing w:after="0" w:line="240" w:lineRule="auto"/>
              <w:rPr>
                <w:rFonts w:eastAsia="Times New Roman" w:cs="Calibri"/>
                <w:color w:val="000000"/>
                <w:sz w:val="15"/>
                <w:szCs w:val="15"/>
                <w:lang w:eastAsia="es-MX"/>
              </w:rPr>
            </w:pPr>
            <w:r w:rsidRPr="00EC7550">
              <w:rPr>
                <w:rFonts w:eastAsia="Times New Roman" w:cs="Calibri"/>
                <w:color w:val="000000"/>
                <w:sz w:val="15"/>
                <w:szCs w:val="15"/>
                <w:lang w:eastAsia="es-MX"/>
              </w:rPr>
              <w:t xml:space="preserve">Crédito 1'000 MDP Banamex </w:t>
            </w:r>
          </w:p>
        </w:tc>
        <w:tc>
          <w:tcPr>
            <w:tcW w:w="1900" w:type="dxa"/>
            <w:tcBorders>
              <w:top w:val="nil"/>
              <w:left w:val="nil"/>
              <w:bottom w:val="single" w:sz="4" w:space="0" w:color="auto"/>
              <w:right w:val="single" w:sz="4" w:space="0" w:color="auto"/>
            </w:tcBorders>
            <w:shd w:val="clear" w:color="auto" w:fill="auto"/>
            <w:noWrap/>
            <w:vAlign w:val="bottom"/>
            <w:hideMark/>
          </w:tcPr>
          <w:p w14:paraId="0D867875" w14:textId="77777777" w:rsidR="00C56022" w:rsidRPr="00EC7550" w:rsidRDefault="00C56022" w:rsidP="00C56022">
            <w:pPr>
              <w:spacing w:after="0" w:line="240" w:lineRule="auto"/>
              <w:jc w:val="right"/>
              <w:rPr>
                <w:rFonts w:eastAsia="Times New Roman" w:cs="Calibri"/>
                <w:color w:val="000000"/>
                <w:sz w:val="15"/>
                <w:szCs w:val="15"/>
                <w:lang w:eastAsia="es-MX"/>
              </w:rPr>
            </w:pPr>
            <w:r w:rsidRPr="00EC7550">
              <w:rPr>
                <w:rFonts w:eastAsia="Times New Roman" w:cs="Calibri"/>
                <w:color w:val="000000"/>
                <w:sz w:val="15"/>
                <w:szCs w:val="15"/>
                <w:lang w:eastAsia="es-MX"/>
              </w:rPr>
              <w:t xml:space="preserve">16,939,738 </w:t>
            </w:r>
          </w:p>
        </w:tc>
      </w:tr>
      <w:tr w:rsidR="00C56022" w:rsidRPr="00EC7550" w14:paraId="10268A74" w14:textId="77777777" w:rsidTr="00EC7550">
        <w:trPr>
          <w:trHeight w:val="290"/>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14:paraId="610D5F7B" w14:textId="77777777" w:rsidR="00C56022" w:rsidRPr="00EC7550" w:rsidRDefault="00C56022" w:rsidP="00C56022">
            <w:pPr>
              <w:spacing w:after="0" w:line="240" w:lineRule="auto"/>
              <w:rPr>
                <w:rFonts w:eastAsia="Times New Roman" w:cs="Calibri"/>
                <w:color w:val="000000"/>
                <w:sz w:val="15"/>
                <w:szCs w:val="15"/>
                <w:lang w:eastAsia="es-MX"/>
              </w:rPr>
            </w:pPr>
            <w:r w:rsidRPr="00EC7550">
              <w:rPr>
                <w:rFonts w:eastAsia="Times New Roman" w:cs="Calibri"/>
                <w:color w:val="000000"/>
                <w:sz w:val="15"/>
                <w:szCs w:val="15"/>
                <w:lang w:eastAsia="es-MX"/>
              </w:rPr>
              <w:t>Crédito 113.9 MDP Banobras</w:t>
            </w:r>
          </w:p>
        </w:tc>
        <w:tc>
          <w:tcPr>
            <w:tcW w:w="1900" w:type="dxa"/>
            <w:tcBorders>
              <w:top w:val="nil"/>
              <w:left w:val="nil"/>
              <w:bottom w:val="single" w:sz="4" w:space="0" w:color="auto"/>
              <w:right w:val="single" w:sz="4" w:space="0" w:color="auto"/>
            </w:tcBorders>
            <w:shd w:val="clear" w:color="auto" w:fill="auto"/>
            <w:noWrap/>
            <w:vAlign w:val="bottom"/>
            <w:hideMark/>
          </w:tcPr>
          <w:p w14:paraId="5914DB1B" w14:textId="77777777" w:rsidR="00C56022" w:rsidRPr="00EC7550" w:rsidRDefault="00C56022" w:rsidP="00C56022">
            <w:pPr>
              <w:spacing w:after="0" w:line="240" w:lineRule="auto"/>
              <w:jc w:val="right"/>
              <w:rPr>
                <w:rFonts w:eastAsia="Times New Roman" w:cs="Calibri"/>
                <w:color w:val="000000"/>
                <w:sz w:val="15"/>
                <w:szCs w:val="15"/>
                <w:lang w:eastAsia="es-MX"/>
              </w:rPr>
            </w:pPr>
            <w:r w:rsidRPr="00EC7550">
              <w:rPr>
                <w:rFonts w:eastAsia="Times New Roman" w:cs="Calibri"/>
                <w:color w:val="000000"/>
                <w:sz w:val="15"/>
                <w:szCs w:val="15"/>
                <w:lang w:eastAsia="es-MX"/>
              </w:rPr>
              <w:t xml:space="preserve">9,701,750 </w:t>
            </w:r>
          </w:p>
        </w:tc>
      </w:tr>
      <w:tr w:rsidR="00C56022" w:rsidRPr="00EC7550" w14:paraId="5EA05DD9" w14:textId="77777777" w:rsidTr="00EC7550">
        <w:trPr>
          <w:trHeight w:val="290"/>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14:paraId="319A5058" w14:textId="77777777" w:rsidR="00C56022" w:rsidRPr="00EC7550" w:rsidRDefault="00C56022" w:rsidP="00C56022">
            <w:pPr>
              <w:spacing w:after="0" w:line="240" w:lineRule="auto"/>
              <w:rPr>
                <w:rFonts w:eastAsia="Times New Roman" w:cs="Calibri"/>
                <w:color w:val="000000"/>
                <w:sz w:val="15"/>
                <w:szCs w:val="15"/>
                <w:lang w:eastAsia="es-MX"/>
              </w:rPr>
            </w:pPr>
            <w:r w:rsidRPr="00EC7550">
              <w:rPr>
                <w:rFonts w:eastAsia="Times New Roman" w:cs="Calibri"/>
                <w:color w:val="000000"/>
                <w:sz w:val="15"/>
                <w:szCs w:val="15"/>
                <w:lang w:eastAsia="es-MX"/>
              </w:rPr>
              <w:t xml:space="preserve">Crédito 500 MDP Bancomer </w:t>
            </w:r>
          </w:p>
        </w:tc>
        <w:tc>
          <w:tcPr>
            <w:tcW w:w="1900" w:type="dxa"/>
            <w:tcBorders>
              <w:top w:val="nil"/>
              <w:left w:val="nil"/>
              <w:bottom w:val="single" w:sz="4" w:space="0" w:color="auto"/>
              <w:right w:val="single" w:sz="4" w:space="0" w:color="auto"/>
            </w:tcBorders>
            <w:shd w:val="clear" w:color="auto" w:fill="auto"/>
            <w:noWrap/>
            <w:vAlign w:val="bottom"/>
            <w:hideMark/>
          </w:tcPr>
          <w:p w14:paraId="08090F65" w14:textId="77777777" w:rsidR="00C56022" w:rsidRPr="00EC7550" w:rsidRDefault="00C56022" w:rsidP="00C56022">
            <w:pPr>
              <w:spacing w:after="0" w:line="240" w:lineRule="auto"/>
              <w:jc w:val="right"/>
              <w:rPr>
                <w:rFonts w:eastAsia="Times New Roman" w:cs="Calibri"/>
                <w:color w:val="000000"/>
                <w:sz w:val="15"/>
                <w:szCs w:val="15"/>
                <w:lang w:eastAsia="es-MX"/>
              </w:rPr>
            </w:pPr>
            <w:r w:rsidRPr="00EC7550">
              <w:rPr>
                <w:rFonts w:eastAsia="Times New Roman" w:cs="Calibri"/>
                <w:color w:val="000000"/>
                <w:sz w:val="15"/>
                <w:szCs w:val="15"/>
                <w:lang w:eastAsia="es-MX"/>
              </w:rPr>
              <w:t xml:space="preserve">8,431,442 </w:t>
            </w:r>
          </w:p>
        </w:tc>
      </w:tr>
      <w:tr w:rsidR="00C56022" w:rsidRPr="00EC7550" w14:paraId="492FB967" w14:textId="77777777" w:rsidTr="00EC7550">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93D2499" w14:textId="77777777" w:rsidR="00C56022" w:rsidRPr="00EC7550" w:rsidRDefault="00C56022" w:rsidP="00C56022">
            <w:pPr>
              <w:spacing w:after="0" w:line="240" w:lineRule="auto"/>
              <w:rPr>
                <w:rFonts w:eastAsia="Times New Roman" w:cs="Calibri"/>
                <w:color w:val="000000"/>
                <w:sz w:val="15"/>
                <w:szCs w:val="15"/>
                <w:lang w:eastAsia="es-MX"/>
              </w:rPr>
            </w:pPr>
            <w:r w:rsidRPr="00EC7550">
              <w:rPr>
                <w:rFonts w:eastAsia="Times New Roman" w:cs="Calibri"/>
                <w:color w:val="000000"/>
                <w:sz w:val="15"/>
                <w:szCs w:val="15"/>
                <w:lang w:eastAsia="es-MX"/>
              </w:rPr>
              <w:t>Crédito 1'200 MDP Banorte</w:t>
            </w:r>
          </w:p>
        </w:tc>
        <w:tc>
          <w:tcPr>
            <w:tcW w:w="1900" w:type="dxa"/>
            <w:tcBorders>
              <w:top w:val="nil"/>
              <w:left w:val="nil"/>
              <w:bottom w:val="single" w:sz="4" w:space="0" w:color="auto"/>
              <w:right w:val="single" w:sz="4" w:space="0" w:color="auto"/>
            </w:tcBorders>
            <w:shd w:val="clear" w:color="auto" w:fill="auto"/>
            <w:noWrap/>
            <w:vAlign w:val="bottom"/>
            <w:hideMark/>
          </w:tcPr>
          <w:p w14:paraId="49B1E875" w14:textId="77777777" w:rsidR="00C56022" w:rsidRPr="00EC7550" w:rsidRDefault="00C56022" w:rsidP="00C56022">
            <w:pPr>
              <w:spacing w:after="0" w:line="240" w:lineRule="auto"/>
              <w:jc w:val="right"/>
              <w:rPr>
                <w:rFonts w:eastAsia="Times New Roman" w:cs="Calibri"/>
                <w:color w:val="000000"/>
                <w:sz w:val="15"/>
                <w:szCs w:val="15"/>
                <w:lang w:eastAsia="es-MX"/>
              </w:rPr>
            </w:pPr>
            <w:r w:rsidRPr="00EC7550">
              <w:rPr>
                <w:rFonts w:eastAsia="Times New Roman" w:cs="Calibri"/>
                <w:color w:val="000000"/>
                <w:sz w:val="15"/>
                <w:szCs w:val="15"/>
                <w:lang w:eastAsia="es-MX"/>
              </w:rPr>
              <w:t xml:space="preserve">9,532,083 </w:t>
            </w:r>
          </w:p>
        </w:tc>
      </w:tr>
      <w:tr w:rsidR="00C56022" w:rsidRPr="00C56022" w14:paraId="1EA34814" w14:textId="77777777" w:rsidTr="00EC7550">
        <w:trPr>
          <w:trHeight w:val="340"/>
        </w:trPr>
        <w:tc>
          <w:tcPr>
            <w:tcW w:w="3539" w:type="dxa"/>
            <w:tcBorders>
              <w:top w:val="nil"/>
              <w:left w:val="single" w:sz="4" w:space="0" w:color="auto"/>
              <w:bottom w:val="single" w:sz="4" w:space="0" w:color="auto"/>
              <w:right w:val="single" w:sz="4" w:space="0" w:color="auto"/>
            </w:tcBorders>
            <w:shd w:val="clear" w:color="000000" w:fill="DDC9A3"/>
            <w:vAlign w:val="center"/>
            <w:hideMark/>
          </w:tcPr>
          <w:p w14:paraId="46E889A5" w14:textId="77777777" w:rsidR="00C56022" w:rsidRPr="00C56022" w:rsidRDefault="00C56022" w:rsidP="00C56022">
            <w:pPr>
              <w:spacing w:after="0" w:line="240" w:lineRule="auto"/>
              <w:jc w:val="center"/>
              <w:rPr>
                <w:rFonts w:eastAsia="Times New Roman" w:cs="Calibri"/>
                <w:b/>
                <w:bCs/>
                <w:color w:val="000000"/>
                <w:sz w:val="16"/>
                <w:szCs w:val="16"/>
                <w:lang w:eastAsia="es-MX"/>
              </w:rPr>
            </w:pPr>
            <w:r w:rsidRPr="00C56022">
              <w:rPr>
                <w:rFonts w:eastAsia="Times New Roman" w:cs="Calibri"/>
                <w:b/>
                <w:bCs/>
                <w:color w:val="000000"/>
                <w:sz w:val="16"/>
                <w:szCs w:val="16"/>
                <w:lang w:eastAsia="es-MX"/>
              </w:rPr>
              <w:t>TOTAL</w:t>
            </w:r>
          </w:p>
        </w:tc>
        <w:tc>
          <w:tcPr>
            <w:tcW w:w="1900" w:type="dxa"/>
            <w:tcBorders>
              <w:top w:val="nil"/>
              <w:left w:val="nil"/>
              <w:bottom w:val="single" w:sz="4" w:space="0" w:color="auto"/>
              <w:right w:val="single" w:sz="4" w:space="0" w:color="auto"/>
            </w:tcBorders>
            <w:shd w:val="clear" w:color="000000" w:fill="DDC9A3"/>
            <w:vAlign w:val="center"/>
            <w:hideMark/>
          </w:tcPr>
          <w:p w14:paraId="61F567FD" w14:textId="77777777" w:rsidR="00C56022" w:rsidRPr="00C56022" w:rsidRDefault="00C56022" w:rsidP="00C56022">
            <w:pPr>
              <w:spacing w:after="0" w:line="240" w:lineRule="auto"/>
              <w:jc w:val="right"/>
              <w:rPr>
                <w:rFonts w:eastAsia="Times New Roman" w:cs="Calibri"/>
                <w:b/>
                <w:bCs/>
                <w:color w:val="000000"/>
                <w:sz w:val="16"/>
                <w:szCs w:val="16"/>
                <w:lang w:eastAsia="es-MX"/>
              </w:rPr>
            </w:pPr>
            <w:r w:rsidRPr="00C56022">
              <w:rPr>
                <w:rFonts w:eastAsia="Times New Roman" w:cs="Calibri"/>
                <w:b/>
                <w:bCs/>
                <w:color w:val="000000"/>
                <w:sz w:val="16"/>
                <w:szCs w:val="16"/>
                <w:lang w:eastAsia="es-MX"/>
              </w:rPr>
              <w:t>379,272,330</w:t>
            </w:r>
          </w:p>
        </w:tc>
      </w:tr>
    </w:tbl>
    <w:p w14:paraId="214F46CC" w14:textId="77777777" w:rsidR="003D7ABC" w:rsidRDefault="00F325B6" w:rsidP="001A2BE2">
      <w:pPr>
        <w:pStyle w:val="Texto"/>
        <w:spacing w:after="0" w:line="240" w:lineRule="exact"/>
        <w:ind w:firstLine="0"/>
        <w:rPr>
          <w:rFonts w:asciiTheme="minorHAnsi" w:hAnsiTheme="minorHAnsi" w:cstheme="minorHAnsi"/>
          <w:sz w:val="20"/>
          <w:szCs w:val="18"/>
        </w:rPr>
      </w:pPr>
      <w:r w:rsidRPr="005F45A3">
        <w:rPr>
          <w:rFonts w:asciiTheme="minorHAnsi" w:hAnsiTheme="minorHAnsi" w:cstheme="minorHAnsi"/>
          <w:sz w:val="20"/>
          <w:szCs w:val="18"/>
        </w:rPr>
        <w:t xml:space="preserve">  </w:t>
      </w:r>
    </w:p>
    <w:p w14:paraId="3D172FBA" w14:textId="77777777" w:rsidR="00EC7550" w:rsidRDefault="00EC7550" w:rsidP="000C5510">
      <w:pPr>
        <w:spacing w:after="0"/>
        <w:ind w:left="-709" w:firstLine="567"/>
        <w:jc w:val="both"/>
        <w:rPr>
          <w:rFonts w:asciiTheme="minorHAnsi" w:eastAsia="Times New Roman" w:hAnsiTheme="minorHAnsi" w:cstheme="minorHAnsi"/>
          <w:b/>
          <w:sz w:val="20"/>
          <w:szCs w:val="18"/>
          <w:lang w:val="es-ES" w:eastAsia="es-ES"/>
        </w:rPr>
      </w:pPr>
    </w:p>
    <w:p w14:paraId="2465AE74" w14:textId="76B5F767" w:rsidR="00967E2F" w:rsidRPr="005F45A3" w:rsidRDefault="00967E2F" w:rsidP="000C5510">
      <w:pPr>
        <w:spacing w:after="0"/>
        <w:ind w:left="-709" w:firstLine="567"/>
        <w:jc w:val="both"/>
        <w:rPr>
          <w:rFonts w:asciiTheme="minorHAnsi" w:hAnsiTheme="minorHAnsi" w:cstheme="minorHAnsi"/>
          <w:b/>
          <w:sz w:val="20"/>
          <w:szCs w:val="18"/>
        </w:rPr>
      </w:pPr>
      <w:r w:rsidRPr="005F45A3">
        <w:rPr>
          <w:rFonts w:asciiTheme="minorHAnsi" w:eastAsia="Times New Roman" w:hAnsiTheme="minorHAnsi" w:cstheme="minorHAnsi"/>
          <w:b/>
          <w:sz w:val="20"/>
          <w:szCs w:val="18"/>
          <w:lang w:val="es-ES" w:eastAsia="es-ES"/>
        </w:rPr>
        <w:t>Títulos y Valores a Corto Plazo</w:t>
      </w:r>
      <w:r w:rsidRPr="005F45A3">
        <w:rPr>
          <w:rFonts w:asciiTheme="minorHAnsi" w:hAnsiTheme="minorHAnsi" w:cstheme="minorHAnsi"/>
          <w:b/>
          <w:sz w:val="20"/>
          <w:szCs w:val="18"/>
        </w:rPr>
        <w:t>.</w:t>
      </w:r>
    </w:p>
    <w:p w14:paraId="6BE261CB" w14:textId="77777777" w:rsidR="00967E2F" w:rsidRPr="005F45A3" w:rsidRDefault="00967E2F" w:rsidP="00383453">
      <w:pPr>
        <w:spacing w:after="0"/>
        <w:ind w:left="-567" w:firstLine="142"/>
        <w:rPr>
          <w:rFonts w:asciiTheme="minorHAnsi" w:hAnsiTheme="minorHAnsi" w:cstheme="minorHAnsi"/>
          <w:b/>
          <w:sz w:val="16"/>
          <w:szCs w:val="18"/>
        </w:rPr>
      </w:pPr>
    </w:p>
    <w:p w14:paraId="66CE97CA" w14:textId="05CCCD47" w:rsidR="00967E2F" w:rsidRPr="005F45A3" w:rsidRDefault="00C93593" w:rsidP="000C5510">
      <w:pPr>
        <w:spacing w:after="0"/>
        <w:ind w:left="-142"/>
        <w:jc w:val="both"/>
        <w:rPr>
          <w:rFonts w:asciiTheme="minorHAnsi" w:hAnsiTheme="minorHAnsi" w:cstheme="minorHAnsi"/>
          <w:sz w:val="20"/>
          <w:szCs w:val="18"/>
        </w:rPr>
      </w:pPr>
      <w:r w:rsidRPr="005F45A3">
        <w:rPr>
          <w:rFonts w:asciiTheme="minorHAnsi" w:hAnsiTheme="minorHAnsi" w:cstheme="minorHAnsi"/>
          <w:sz w:val="18"/>
          <w:szCs w:val="18"/>
        </w:rPr>
        <w:t>Se desglosan los</w:t>
      </w:r>
      <w:r w:rsidR="00967E2F" w:rsidRPr="005F45A3">
        <w:rPr>
          <w:rFonts w:asciiTheme="minorHAnsi" w:hAnsiTheme="minorHAnsi" w:cstheme="minorHAnsi"/>
          <w:sz w:val="18"/>
          <w:szCs w:val="18"/>
        </w:rPr>
        <w:t xml:space="preserve"> Títulos y Valores </w:t>
      </w:r>
      <w:r w:rsidR="00F325B6" w:rsidRPr="005F45A3">
        <w:rPr>
          <w:rFonts w:asciiTheme="minorHAnsi" w:hAnsiTheme="minorHAnsi" w:cstheme="minorHAnsi"/>
          <w:sz w:val="18"/>
          <w:szCs w:val="18"/>
        </w:rPr>
        <w:t>(Pagarés</w:t>
      </w:r>
      <w:r w:rsidR="007C5D79" w:rsidRPr="005F45A3">
        <w:rPr>
          <w:rFonts w:asciiTheme="minorHAnsi" w:hAnsiTheme="minorHAnsi" w:cstheme="minorHAnsi"/>
          <w:sz w:val="18"/>
          <w:szCs w:val="18"/>
        </w:rPr>
        <w:t xml:space="preserve">) </w:t>
      </w:r>
      <w:r w:rsidR="00967E2F" w:rsidRPr="005F45A3">
        <w:rPr>
          <w:rFonts w:asciiTheme="minorHAnsi" w:hAnsiTheme="minorHAnsi" w:cstheme="minorHAnsi"/>
          <w:sz w:val="18"/>
          <w:szCs w:val="18"/>
        </w:rPr>
        <w:t>de la Deuda Pública Interna</w:t>
      </w:r>
      <w:r w:rsidRPr="005F45A3">
        <w:rPr>
          <w:rFonts w:asciiTheme="minorHAnsi" w:hAnsiTheme="minorHAnsi" w:cstheme="minorHAnsi"/>
          <w:sz w:val="18"/>
          <w:szCs w:val="18"/>
        </w:rPr>
        <w:t xml:space="preserve"> a Corto Plazo con vencimiento durante </w:t>
      </w:r>
      <w:r w:rsidR="00B40859" w:rsidRPr="005F45A3">
        <w:rPr>
          <w:rFonts w:asciiTheme="minorHAnsi" w:hAnsiTheme="minorHAnsi" w:cstheme="minorHAnsi"/>
          <w:sz w:val="18"/>
          <w:szCs w:val="18"/>
        </w:rPr>
        <w:t>el primer semestre de este ejercicio</w:t>
      </w:r>
      <w:r w:rsidR="00F325B6" w:rsidRPr="005F45A3">
        <w:rPr>
          <w:rFonts w:asciiTheme="minorHAnsi" w:hAnsiTheme="minorHAnsi" w:cstheme="minorHAnsi"/>
          <w:sz w:val="18"/>
          <w:szCs w:val="18"/>
        </w:rPr>
        <w:t xml:space="preserve">, </w:t>
      </w:r>
      <w:r w:rsidR="00D85982">
        <w:rPr>
          <w:rFonts w:asciiTheme="minorHAnsi" w:hAnsiTheme="minorHAnsi" w:cstheme="minorHAnsi"/>
          <w:sz w:val="18"/>
          <w:szCs w:val="18"/>
        </w:rPr>
        <w:t>dichos pagarés</w:t>
      </w:r>
      <w:r w:rsidR="008013A1" w:rsidRPr="005F45A3">
        <w:rPr>
          <w:rFonts w:asciiTheme="minorHAnsi" w:hAnsiTheme="minorHAnsi" w:cstheme="minorHAnsi"/>
          <w:sz w:val="18"/>
          <w:szCs w:val="18"/>
        </w:rPr>
        <w:t xml:space="preserve"> fue</w:t>
      </w:r>
      <w:r w:rsidR="00B40859" w:rsidRPr="005F45A3">
        <w:rPr>
          <w:rFonts w:asciiTheme="minorHAnsi" w:hAnsiTheme="minorHAnsi" w:cstheme="minorHAnsi"/>
          <w:sz w:val="18"/>
          <w:szCs w:val="18"/>
        </w:rPr>
        <w:t>ron</w:t>
      </w:r>
      <w:r w:rsidR="008013A1" w:rsidRPr="005F45A3">
        <w:rPr>
          <w:rFonts w:asciiTheme="minorHAnsi" w:hAnsiTheme="minorHAnsi" w:cstheme="minorHAnsi"/>
          <w:sz w:val="18"/>
          <w:szCs w:val="18"/>
        </w:rPr>
        <w:t xml:space="preserve"> para cubrir insuficiencias de liquidez de carácter temporal </w:t>
      </w:r>
      <w:r w:rsidR="00967E2F" w:rsidRPr="005F45A3">
        <w:rPr>
          <w:rFonts w:asciiTheme="minorHAnsi" w:hAnsiTheme="minorHAnsi" w:cstheme="minorHAnsi"/>
          <w:sz w:val="18"/>
          <w:szCs w:val="18"/>
        </w:rPr>
        <w:t>los cuales fueron contratados de acuerdo a las disposiciones de la Ley de Disciplina Financiera vigente</w:t>
      </w:r>
      <w:r w:rsidR="00247904" w:rsidRPr="005F45A3">
        <w:rPr>
          <w:rFonts w:asciiTheme="minorHAnsi" w:hAnsiTheme="minorHAnsi" w:cstheme="minorHAnsi"/>
          <w:sz w:val="20"/>
          <w:szCs w:val="18"/>
        </w:rPr>
        <w:t xml:space="preserve">, </w:t>
      </w:r>
      <w:r w:rsidR="00247904" w:rsidRPr="005F45A3">
        <w:rPr>
          <w:rFonts w:asciiTheme="minorHAnsi" w:hAnsiTheme="minorHAnsi" w:cstheme="minorHAnsi"/>
          <w:sz w:val="18"/>
          <w:szCs w:val="18"/>
        </w:rPr>
        <w:t>mencionando que al cierre de</w:t>
      </w:r>
      <w:r w:rsidR="00C407ED">
        <w:rPr>
          <w:rFonts w:asciiTheme="minorHAnsi" w:hAnsiTheme="minorHAnsi" w:cstheme="minorHAnsi"/>
          <w:sz w:val="18"/>
          <w:szCs w:val="18"/>
        </w:rPr>
        <w:t xml:space="preserve">l </w:t>
      </w:r>
      <w:r w:rsidR="00247904" w:rsidRPr="005F45A3">
        <w:rPr>
          <w:rFonts w:asciiTheme="minorHAnsi" w:hAnsiTheme="minorHAnsi" w:cstheme="minorHAnsi"/>
          <w:sz w:val="18"/>
          <w:szCs w:val="18"/>
        </w:rPr>
        <w:t>segundo trimestre 2022</w:t>
      </w:r>
      <w:r w:rsidR="00D85982">
        <w:rPr>
          <w:rFonts w:asciiTheme="minorHAnsi" w:hAnsiTheme="minorHAnsi" w:cstheme="minorHAnsi"/>
          <w:sz w:val="18"/>
          <w:szCs w:val="18"/>
        </w:rPr>
        <w:t xml:space="preserve"> los pagarés contratados en el ejercicio 2021 fueron</w:t>
      </w:r>
      <w:r w:rsidR="00247904" w:rsidRPr="005F45A3">
        <w:rPr>
          <w:rFonts w:asciiTheme="minorHAnsi" w:hAnsiTheme="minorHAnsi" w:cstheme="minorHAnsi"/>
          <w:sz w:val="18"/>
          <w:szCs w:val="18"/>
        </w:rPr>
        <w:t xml:space="preserve"> finiquita</w:t>
      </w:r>
      <w:r w:rsidR="00D85982">
        <w:rPr>
          <w:rFonts w:asciiTheme="minorHAnsi" w:hAnsiTheme="minorHAnsi" w:cstheme="minorHAnsi"/>
          <w:sz w:val="18"/>
          <w:szCs w:val="18"/>
        </w:rPr>
        <w:t xml:space="preserve">dos </w:t>
      </w:r>
      <w:r w:rsidR="00E43684">
        <w:rPr>
          <w:rFonts w:asciiTheme="minorHAnsi" w:hAnsiTheme="minorHAnsi" w:cstheme="minorHAnsi"/>
          <w:sz w:val="18"/>
          <w:szCs w:val="18"/>
        </w:rPr>
        <w:t xml:space="preserve">en su totalidad,  </w:t>
      </w:r>
      <w:r w:rsidR="00A57461">
        <w:rPr>
          <w:rFonts w:asciiTheme="minorHAnsi" w:hAnsiTheme="minorHAnsi" w:cstheme="minorHAnsi"/>
          <w:sz w:val="18"/>
          <w:szCs w:val="18"/>
        </w:rPr>
        <w:t>en el mes de diciembre para el cierre del ejercicio se contrató un crédito con Santander por 1’000 mdp con tasa de interés TIIE más 40 puntos</w:t>
      </w:r>
      <w:r w:rsidR="00E43684">
        <w:rPr>
          <w:rFonts w:asciiTheme="minorHAnsi" w:hAnsiTheme="minorHAnsi" w:cstheme="minorHAnsi"/>
          <w:sz w:val="18"/>
          <w:szCs w:val="18"/>
        </w:rPr>
        <w:t>.</w:t>
      </w:r>
    </w:p>
    <w:p w14:paraId="1EA201B8" w14:textId="0F7826BF" w:rsidR="00F325B6" w:rsidRPr="005F45A3" w:rsidRDefault="00F325B6" w:rsidP="001A2BE2">
      <w:pPr>
        <w:spacing w:after="0"/>
        <w:jc w:val="both"/>
        <w:rPr>
          <w:rFonts w:asciiTheme="minorHAnsi" w:hAnsiTheme="minorHAnsi" w:cstheme="minorHAnsi"/>
          <w:sz w:val="14"/>
          <w:szCs w:val="18"/>
        </w:rPr>
      </w:pPr>
    </w:p>
    <w:p w14:paraId="0F73304D" w14:textId="77777777" w:rsidR="00B1018B" w:rsidRPr="005F45A3" w:rsidRDefault="00B1018B" w:rsidP="001A2BE2">
      <w:pPr>
        <w:spacing w:after="0"/>
        <w:jc w:val="both"/>
        <w:rPr>
          <w:rFonts w:asciiTheme="minorHAnsi" w:hAnsiTheme="minorHAnsi" w:cstheme="minorHAnsi"/>
          <w:sz w:val="16"/>
          <w:szCs w:val="18"/>
        </w:rPr>
      </w:pPr>
    </w:p>
    <w:tbl>
      <w:tblPr>
        <w:tblW w:w="9653" w:type="dxa"/>
        <w:tblCellMar>
          <w:left w:w="70" w:type="dxa"/>
          <w:right w:w="70" w:type="dxa"/>
        </w:tblCellMar>
        <w:tblLook w:val="04A0" w:firstRow="1" w:lastRow="0" w:firstColumn="1" w:lastColumn="0" w:noHBand="0" w:noVBand="1"/>
      </w:tblPr>
      <w:tblGrid>
        <w:gridCol w:w="673"/>
        <w:gridCol w:w="958"/>
        <w:gridCol w:w="958"/>
        <w:gridCol w:w="958"/>
        <w:gridCol w:w="1026"/>
        <w:gridCol w:w="958"/>
        <w:gridCol w:w="843"/>
        <w:gridCol w:w="985"/>
        <w:gridCol w:w="606"/>
        <w:gridCol w:w="1022"/>
        <w:gridCol w:w="666"/>
      </w:tblGrid>
      <w:tr w:rsidR="00D85982" w:rsidRPr="00D85982" w14:paraId="5AE7D1B2" w14:textId="77777777" w:rsidTr="00363D97">
        <w:trPr>
          <w:trHeight w:val="570"/>
        </w:trPr>
        <w:tc>
          <w:tcPr>
            <w:tcW w:w="673"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0199DA1D" w14:textId="77777777" w:rsidR="00D85982" w:rsidRPr="00D85982" w:rsidRDefault="00D85982" w:rsidP="00D85982">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BANCO</w:t>
            </w:r>
          </w:p>
        </w:tc>
        <w:tc>
          <w:tcPr>
            <w:tcW w:w="958" w:type="dxa"/>
            <w:tcBorders>
              <w:top w:val="single" w:sz="4" w:space="0" w:color="auto"/>
              <w:left w:val="nil"/>
              <w:bottom w:val="single" w:sz="4" w:space="0" w:color="auto"/>
              <w:right w:val="single" w:sz="4" w:space="0" w:color="auto"/>
            </w:tcBorders>
            <w:shd w:val="clear" w:color="000000" w:fill="AB0033"/>
            <w:vAlign w:val="center"/>
            <w:hideMark/>
          </w:tcPr>
          <w:p w14:paraId="06513BFE" w14:textId="77777777" w:rsidR="00D85982" w:rsidRPr="00D85982" w:rsidRDefault="00D85982" w:rsidP="00D85982">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Importe Original Contratado</w:t>
            </w:r>
          </w:p>
        </w:tc>
        <w:tc>
          <w:tcPr>
            <w:tcW w:w="958" w:type="dxa"/>
            <w:tcBorders>
              <w:top w:val="single" w:sz="4" w:space="0" w:color="auto"/>
              <w:left w:val="nil"/>
              <w:bottom w:val="single" w:sz="4" w:space="0" w:color="auto"/>
              <w:right w:val="single" w:sz="4" w:space="0" w:color="auto"/>
            </w:tcBorders>
            <w:shd w:val="clear" w:color="000000" w:fill="AB0033"/>
            <w:vAlign w:val="center"/>
            <w:hideMark/>
          </w:tcPr>
          <w:p w14:paraId="75772E40" w14:textId="77777777" w:rsidR="00D85982" w:rsidRPr="00D85982" w:rsidRDefault="00D85982" w:rsidP="00D85982">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Saldo al 31 de Diciembre de 2021</w:t>
            </w:r>
          </w:p>
        </w:tc>
        <w:tc>
          <w:tcPr>
            <w:tcW w:w="958" w:type="dxa"/>
            <w:tcBorders>
              <w:top w:val="single" w:sz="4" w:space="0" w:color="auto"/>
              <w:left w:val="nil"/>
              <w:bottom w:val="single" w:sz="4" w:space="0" w:color="auto"/>
              <w:right w:val="single" w:sz="4" w:space="0" w:color="auto"/>
            </w:tcBorders>
            <w:shd w:val="clear" w:color="000000" w:fill="AB0033"/>
            <w:vAlign w:val="center"/>
            <w:hideMark/>
          </w:tcPr>
          <w:p w14:paraId="783654AD" w14:textId="77777777" w:rsidR="00D85982" w:rsidRPr="00D85982" w:rsidRDefault="00D85982" w:rsidP="00D85982">
            <w:pPr>
              <w:spacing w:after="0" w:line="240" w:lineRule="auto"/>
              <w:jc w:val="center"/>
              <w:rPr>
                <w:rFonts w:eastAsia="Times New Roman" w:cs="Calibri"/>
                <w:b/>
                <w:bCs/>
                <w:color w:val="FFFFFF"/>
                <w:sz w:val="14"/>
                <w:szCs w:val="14"/>
                <w:lang w:eastAsia="es-MX"/>
              </w:rPr>
            </w:pPr>
            <w:r w:rsidRPr="00D85982">
              <w:rPr>
                <w:rFonts w:eastAsia="Times New Roman" w:cs="Calibri"/>
                <w:b/>
                <w:bCs/>
                <w:color w:val="FFFFFF"/>
                <w:sz w:val="14"/>
                <w:szCs w:val="14"/>
                <w:lang w:eastAsia="es-MX"/>
              </w:rPr>
              <w:t>Disposiciones</w:t>
            </w:r>
          </w:p>
        </w:tc>
        <w:tc>
          <w:tcPr>
            <w:tcW w:w="1026" w:type="dxa"/>
            <w:tcBorders>
              <w:top w:val="single" w:sz="4" w:space="0" w:color="auto"/>
              <w:left w:val="nil"/>
              <w:bottom w:val="single" w:sz="4" w:space="0" w:color="auto"/>
              <w:right w:val="single" w:sz="4" w:space="0" w:color="auto"/>
            </w:tcBorders>
            <w:shd w:val="clear" w:color="000000" w:fill="AB0033"/>
            <w:vAlign w:val="center"/>
            <w:hideMark/>
          </w:tcPr>
          <w:p w14:paraId="575B625D" w14:textId="77777777" w:rsidR="00D85982" w:rsidRPr="00D85982" w:rsidRDefault="00D85982" w:rsidP="00D85982">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 xml:space="preserve">Amortización </w:t>
            </w:r>
          </w:p>
        </w:tc>
        <w:tc>
          <w:tcPr>
            <w:tcW w:w="958" w:type="dxa"/>
            <w:tcBorders>
              <w:top w:val="single" w:sz="4" w:space="0" w:color="auto"/>
              <w:left w:val="nil"/>
              <w:bottom w:val="single" w:sz="4" w:space="0" w:color="auto"/>
              <w:right w:val="single" w:sz="4" w:space="0" w:color="auto"/>
            </w:tcBorders>
            <w:shd w:val="clear" w:color="000000" w:fill="AB0033"/>
            <w:vAlign w:val="center"/>
            <w:hideMark/>
          </w:tcPr>
          <w:p w14:paraId="67D96AD1" w14:textId="77777777" w:rsidR="00D85982" w:rsidRPr="00D85982" w:rsidRDefault="00D85982" w:rsidP="00D85982">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Saldo al 31 de Diciembre 2022</w:t>
            </w:r>
          </w:p>
        </w:tc>
        <w:tc>
          <w:tcPr>
            <w:tcW w:w="843" w:type="dxa"/>
            <w:tcBorders>
              <w:top w:val="single" w:sz="4" w:space="0" w:color="auto"/>
              <w:left w:val="nil"/>
              <w:bottom w:val="single" w:sz="4" w:space="0" w:color="auto"/>
              <w:right w:val="single" w:sz="4" w:space="0" w:color="auto"/>
            </w:tcBorders>
            <w:shd w:val="clear" w:color="000000" w:fill="AB0033"/>
            <w:vAlign w:val="center"/>
            <w:hideMark/>
          </w:tcPr>
          <w:p w14:paraId="1AE3B662" w14:textId="77777777" w:rsidR="00D85982" w:rsidRPr="00D85982" w:rsidRDefault="00D85982" w:rsidP="00D85982">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Intereses</w:t>
            </w:r>
          </w:p>
        </w:tc>
        <w:tc>
          <w:tcPr>
            <w:tcW w:w="985" w:type="dxa"/>
            <w:tcBorders>
              <w:top w:val="single" w:sz="4" w:space="0" w:color="auto"/>
              <w:left w:val="nil"/>
              <w:bottom w:val="single" w:sz="4" w:space="0" w:color="auto"/>
              <w:right w:val="single" w:sz="4" w:space="0" w:color="auto"/>
            </w:tcBorders>
            <w:shd w:val="clear" w:color="000000" w:fill="AB0033"/>
            <w:vAlign w:val="center"/>
            <w:hideMark/>
          </w:tcPr>
          <w:p w14:paraId="2CD89B01" w14:textId="77777777" w:rsidR="00D85982" w:rsidRPr="00D85982" w:rsidRDefault="00D85982" w:rsidP="00D85982">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Vencimiento</w:t>
            </w:r>
          </w:p>
        </w:tc>
        <w:tc>
          <w:tcPr>
            <w:tcW w:w="606" w:type="dxa"/>
            <w:tcBorders>
              <w:top w:val="single" w:sz="4" w:space="0" w:color="auto"/>
              <w:left w:val="nil"/>
              <w:bottom w:val="single" w:sz="4" w:space="0" w:color="auto"/>
              <w:right w:val="single" w:sz="4" w:space="0" w:color="auto"/>
            </w:tcBorders>
            <w:shd w:val="clear" w:color="000000" w:fill="AB0033"/>
            <w:vAlign w:val="center"/>
            <w:hideMark/>
          </w:tcPr>
          <w:p w14:paraId="0CBF4132" w14:textId="77777777" w:rsidR="00D85982" w:rsidRPr="00D85982" w:rsidRDefault="00D85982" w:rsidP="00D85982">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Tasa de Interés</w:t>
            </w:r>
          </w:p>
        </w:tc>
        <w:tc>
          <w:tcPr>
            <w:tcW w:w="1022" w:type="dxa"/>
            <w:tcBorders>
              <w:top w:val="single" w:sz="4" w:space="0" w:color="auto"/>
              <w:left w:val="nil"/>
              <w:bottom w:val="single" w:sz="4" w:space="0" w:color="auto"/>
              <w:right w:val="single" w:sz="4" w:space="0" w:color="auto"/>
            </w:tcBorders>
            <w:shd w:val="clear" w:color="000000" w:fill="AB0033"/>
            <w:vAlign w:val="center"/>
            <w:hideMark/>
          </w:tcPr>
          <w:p w14:paraId="2034C7C0" w14:textId="77777777" w:rsidR="00D85982" w:rsidRPr="00D85982" w:rsidRDefault="00D85982" w:rsidP="00D85982">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Comisiones y Costos Relacionados</w:t>
            </w:r>
          </w:p>
        </w:tc>
        <w:tc>
          <w:tcPr>
            <w:tcW w:w="666" w:type="dxa"/>
            <w:tcBorders>
              <w:top w:val="single" w:sz="4" w:space="0" w:color="auto"/>
              <w:left w:val="nil"/>
              <w:bottom w:val="single" w:sz="4" w:space="0" w:color="auto"/>
              <w:right w:val="single" w:sz="4" w:space="0" w:color="auto"/>
            </w:tcBorders>
            <w:shd w:val="clear" w:color="000000" w:fill="AB0033"/>
            <w:vAlign w:val="center"/>
            <w:hideMark/>
          </w:tcPr>
          <w:p w14:paraId="23DFC726" w14:textId="77777777" w:rsidR="00D85982" w:rsidRPr="00D85982" w:rsidRDefault="00D85982" w:rsidP="00D85982">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Tasa Efectiva</w:t>
            </w:r>
          </w:p>
        </w:tc>
      </w:tr>
      <w:tr w:rsidR="00D85982" w:rsidRPr="00D85982" w14:paraId="410C12A1" w14:textId="77777777" w:rsidTr="00363D97">
        <w:trPr>
          <w:trHeight w:val="420"/>
        </w:trPr>
        <w:tc>
          <w:tcPr>
            <w:tcW w:w="673" w:type="dxa"/>
            <w:tcBorders>
              <w:top w:val="nil"/>
              <w:left w:val="single" w:sz="4" w:space="0" w:color="auto"/>
              <w:bottom w:val="single" w:sz="4" w:space="0" w:color="auto"/>
              <w:right w:val="single" w:sz="4" w:space="0" w:color="auto"/>
            </w:tcBorders>
            <w:shd w:val="clear" w:color="auto" w:fill="auto"/>
            <w:vAlign w:val="center"/>
            <w:hideMark/>
          </w:tcPr>
          <w:p w14:paraId="0A649227" w14:textId="77777777" w:rsidR="00D85982" w:rsidRPr="00D85982" w:rsidRDefault="00D85982" w:rsidP="00D85982">
            <w:pPr>
              <w:spacing w:after="0" w:line="240" w:lineRule="auto"/>
              <w:jc w:val="both"/>
              <w:rPr>
                <w:rFonts w:eastAsia="Times New Roman" w:cs="Calibri"/>
                <w:color w:val="000000"/>
                <w:sz w:val="12"/>
                <w:szCs w:val="12"/>
                <w:lang w:eastAsia="es-MX"/>
              </w:rPr>
            </w:pPr>
            <w:r w:rsidRPr="00D85982">
              <w:rPr>
                <w:rFonts w:eastAsia="Times New Roman" w:cs="Calibri"/>
                <w:color w:val="000000"/>
                <w:sz w:val="12"/>
                <w:szCs w:val="12"/>
                <w:lang w:eastAsia="es-MX"/>
              </w:rPr>
              <w:t>Banco  BBVA México S.A de C.V.</w:t>
            </w:r>
          </w:p>
        </w:tc>
        <w:tc>
          <w:tcPr>
            <w:tcW w:w="958" w:type="dxa"/>
            <w:tcBorders>
              <w:top w:val="nil"/>
              <w:left w:val="nil"/>
              <w:bottom w:val="single" w:sz="4" w:space="0" w:color="auto"/>
              <w:right w:val="single" w:sz="4" w:space="0" w:color="auto"/>
            </w:tcBorders>
            <w:shd w:val="clear" w:color="auto" w:fill="auto"/>
            <w:vAlign w:val="center"/>
            <w:hideMark/>
          </w:tcPr>
          <w:p w14:paraId="4F4798A4"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250,000,000</w:t>
            </w:r>
          </w:p>
        </w:tc>
        <w:tc>
          <w:tcPr>
            <w:tcW w:w="958" w:type="dxa"/>
            <w:tcBorders>
              <w:top w:val="nil"/>
              <w:left w:val="nil"/>
              <w:bottom w:val="single" w:sz="4" w:space="0" w:color="auto"/>
              <w:right w:val="single" w:sz="4" w:space="0" w:color="auto"/>
            </w:tcBorders>
            <w:shd w:val="clear" w:color="auto" w:fill="auto"/>
            <w:vAlign w:val="center"/>
            <w:hideMark/>
          </w:tcPr>
          <w:p w14:paraId="08B7A772"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250,000,000</w:t>
            </w:r>
          </w:p>
        </w:tc>
        <w:tc>
          <w:tcPr>
            <w:tcW w:w="958" w:type="dxa"/>
            <w:tcBorders>
              <w:top w:val="nil"/>
              <w:left w:val="nil"/>
              <w:bottom w:val="single" w:sz="4" w:space="0" w:color="auto"/>
              <w:right w:val="single" w:sz="4" w:space="0" w:color="auto"/>
            </w:tcBorders>
            <w:shd w:val="clear" w:color="auto" w:fill="auto"/>
            <w:vAlign w:val="center"/>
            <w:hideMark/>
          </w:tcPr>
          <w:p w14:paraId="089F680E"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 </w:t>
            </w:r>
          </w:p>
        </w:tc>
        <w:tc>
          <w:tcPr>
            <w:tcW w:w="1026" w:type="dxa"/>
            <w:tcBorders>
              <w:top w:val="nil"/>
              <w:left w:val="nil"/>
              <w:bottom w:val="single" w:sz="4" w:space="0" w:color="auto"/>
              <w:right w:val="single" w:sz="4" w:space="0" w:color="auto"/>
            </w:tcBorders>
            <w:shd w:val="clear" w:color="auto" w:fill="auto"/>
            <w:vAlign w:val="center"/>
            <w:hideMark/>
          </w:tcPr>
          <w:p w14:paraId="666797EE"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250,000,000</w:t>
            </w:r>
          </w:p>
        </w:tc>
        <w:tc>
          <w:tcPr>
            <w:tcW w:w="958" w:type="dxa"/>
            <w:tcBorders>
              <w:top w:val="nil"/>
              <w:left w:val="nil"/>
              <w:bottom w:val="single" w:sz="4" w:space="0" w:color="auto"/>
              <w:right w:val="single" w:sz="4" w:space="0" w:color="auto"/>
            </w:tcBorders>
            <w:shd w:val="clear" w:color="auto" w:fill="auto"/>
            <w:vAlign w:val="center"/>
            <w:hideMark/>
          </w:tcPr>
          <w:p w14:paraId="2F3C842B"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843" w:type="dxa"/>
            <w:tcBorders>
              <w:top w:val="nil"/>
              <w:left w:val="nil"/>
              <w:bottom w:val="single" w:sz="4" w:space="0" w:color="auto"/>
              <w:right w:val="single" w:sz="4" w:space="0" w:color="auto"/>
            </w:tcBorders>
            <w:shd w:val="clear" w:color="auto" w:fill="auto"/>
            <w:vAlign w:val="center"/>
            <w:hideMark/>
          </w:tcPr>
          <w:p w14:paraId="3FA71F04"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6,915,849</w:t>
            </w:r>
          </w:p>
        </w:tc>
        <w:tc>
          <w:tcPr>
            <w:tcW w:w="985" w:type="dxa"/>
            <w:tcBorders>
              <w:top w:val="nil"/>
              <w:left w:val="nil"/>
              <w:bottom w:val="single" w:sz="4" w:space="0" w:color="auto"/>
              <w:right w:val="single" w:sz="4" w:space="0" w:color="auto"/>
            </w:tcBorders>
            <w:shd w:val="clear" w:color="auto" w:fill="auto"/>
            <w:vAlign w:val="center"/>
            <w:hideMark/>
          </w:tcPr>
          <w:p w14:paraId="095DBB8A"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29/06/2022</w:t>
            </w:r>
          </w:p>
        </w:tc>
        <w:tc>
          <w:tcPr>
            <w:tcW w:w="606" w:type="dxa"/>
            <w:tcBorders>
              <w:top w:val="nil"/>
              <w:left w:val="nil"/>
              <w:bottom w:val="single" w:sz="4" w:space="0" w:color="auto"/>
              <w:right w:val="single" w:sz="4" w:space="0" w:color="auto"/>
            </w:tcBorders>
            <w:shd w:val="clear" w:color="auto" w:fill="auto"/>
            <w:vAlign w:val="center"/>
            <w:hideMark/>
          </w:tcPr>
          <w:p w14:paraId="6BF063DD"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TIIE+ 55PTS</w:t>
            </w:r>
          </w:p>
        </w:tc>
        <w:tc>
          <w:tcPr>
            <w:tcW w:w="1022" w:type="dxa"/>
            <w:tcBorders>
              <w:top w:val="nil"/>
              <w:left w:val="nil"/>
              <w:bottom w:val="single" w:sz="4" w:space="0" w:color="auto"/>
              <w:right w:val="single" w:sz="4" w:space="0" w:color="auto"/>
            </w:tcBorders>
            <w:shd w:val="clear" w:color="auto" w:fill="auto"/>
            <w:vAlign w:val="center"/>
            <w:hideMark/>
          </w:tcPr>
          <w:p w14:paraId="0034011C"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 </w:t>
            </w:r>
          </w:p>
        </w:tc>
        <w:tc>
          <w:tcPr>
            <w:tcW w:w="666" w:type="dxa"/>
            <w:tcBorders>
              <w:top w:val="nil"/>
              <w:left w:val="nil"/>
              <w:bottom w:val="single" w:sz="4" w:space="0" w:color="auto"/>
              <w:right w:val="single" w:sz="4" w:space="0" w:color="auto"/>
            </w:tcBorders>
            <w:shd w:val="clear" w:color="auto" w:fill="auto"/>
            <w:vAlign w:val="center"/>
            <w:hideMark/>
          </w:tcPr>
          <w:p w14:paraId="661B5155"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4.96%</w:t>
            </w:r>
          </w:p>
        </w:tc>
      </w:tr>
      <w:tr w:rsidR="00D85982" w:rsidRPr="00D85982" w14:paraId="05C0F978" w14:textId="77777777" w:rsidTr="00363D97">
        <w:trPr>
          <w:trHeight w:val="420"/>
        </w:trPr>
        <w:tc>
          <w:tcPr>
            <w:tcW w:w="673" w:type="dxa"/>
            <w:tcBorders>
              <w:top w:val="nil"/>
              <w:left w:val="single" w:sz="4" w:space="0" w:color="auto"/>
              <w:bottom w:val="single" w:sz="4" w:space="0" w:color="auto"/>
              <w:right w:val="single" w:sz="4" w:space="0" w:color="auto"/>
            </w:tcBorders>
            <w:shd w:val="clear" w:color="auto" w:fill="auto"/>
            <w:vAlign w:val="center"/>
            <w:hideMark/>
          </w:tcPr>
          <w:p w14:paraId="0733902B" w14:textId="77777777" w:rsidR="00D85982" w:rsidRPr="00D85982" w:rsidRDefault="00D85982" w:rsidP="00D85982">
            <w:pPr>
              <w:spacing w:after="0" w:line="240" w:lineRule="auto"/>
              <w:jc w:val="both"/>
              <w:rPr>
                <w:rFonts w:eastAsia="Times New Roman" w:cs="Calibri"/>
                <w:color w:val="000000"/>
                <w:sz w:val="12"/>
                <w:szCs w:val="12"/>
                <w:lang w:eastAsia="es-MX"/>
              </w:rPr>
            </w:pPr>
            <w:r w:rsidRPr="00D85982">
              <w:rPr>
                <w:rFonts w:eastAsia="Times New Roman" w:cs="Calibri"/>
                <w:color w:val="000000"/>
                <w:sz w:val="12"/>
                <w:szCs w:val="12"/>
                <w:lang w:eastAsia="es-MX"/>
              </w:rPr>
              <w:t>Banco  BBVA México S.A de C.V.</w:t>
            </w:r>
          </w:p>
        </w:tc>
        <w:tc>
          <w:tcPr>
            <w:tcW w:w="958" w:type="dxa"/>
            <w:tcBorders>
              <w:top w:val="nil"/>
              <w:left w:val="nil"/>
              <w:bottom w:val="single" w:sz="4" w:space="0" w:color="auto"/>
              <w:right w:val="single" w:sz="4" w:space="0" w:color="auto"/>
            </w:tcBorders>
            <w:shd w:val="clear" w:color="auto" w:fill="auto"/>
            <w:vAlign w:val="center"/>
            <w:hideMark/>
          </w:tcPr>
          <w:p w14:paraId="602E87C1"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150,000,000</w:t>
            </w:r>
          </w:p>
        </w:tc>
        <w:tc>
          <w:tcPr>
            <w:tcW w:w="958" w:type="dxa"/>
            <w:tcBorders>
              <w:top w:val="nil"/>
              <w:left w:val="nil"/>
              <w:bottom w:val="single" w:sz="4" w:space="0" w:color="auto"/>
              <w:right w:val="single" w:sz="4" w:space="0" w:color="auto"/>
            </w:tcBorders>
            <w:shd w:val="clear" w:color="auto" w:fill="auto"/>
            <w:vAlign w:val="center"/>
            <w:hideMark/>
          </w:tcPr>
          <w:p w14:paraId="741AD18D"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150,000,000</w:t>
            </w:r>
          </w:p>
        </w:tc>
        <w:tc>
          <w:tcPr>
            <w:tcW w:w="958" w:type="dxa"/>
            <w:tcBorders>
              <w:top w:val="nil"/>
              <w:left w:val="nil"/>
              <w:bottom w:val="single" w:sz="4" w:space="0" w:color="auto"/>
              <w:right w:val="single" w:sz="4" w:space="0" w:color="auto"/>
            </w:tcBorders>
            <w:shd w:val="clear" w:color="auto" w:fill="auto"/>
            <w:vAlign w:val="center"/>
            <w:hideMark/>
          </w:tcPr>
          <w:p w14:paraId="43E5F147"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 </w:t>
            </w:r>
          </w:p>
        </w:tc>
        <w:tc>
          <w:tcPr>
            <w:tcW w:w="1026" w:type="dxa"/>
            <w:tcBorders>
              <w:top w:val="nil"/>
              <w:left w:val="nil"/>
              <w:bottom w:val="single" w:sz="4" w:space="0" w:color="auto"/>
              <w:right w:val="single" w:sz="4" w:space="0" w:color="auto"/>
            </w:tcBorders>
            <w:shd w:val="clear" w:color="auto" w:fill="auto"/>
            <w:vAlign w:val="center"/>
            <w:hideMark/>
          </w:tcPr>
          <w:p w14:paraId="67660FBA"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150,000,000</w:t>
            </w:r>
          </w:p>
        </w:tc>
        <w:tc>
          <w:tcPr>
            <w:tcW w:w="958" w:type="dxa"/>
            <w:tcBorders>
              <w:top w:val="nil"/>
              <w:left w:val="nil"/>
              <w:bottom w:val="single" w:sz="4" w:space="0" w:color="auto"/>
              <w:right w:val="single" w:sz="4" w:space="0" w:color="auto"/>
            </w:tcBorders>
            <w:shd w:val="clear" w:color="auto" w:fill="auto"/>
            <w:vAlign w:val="center"/>
            <w:hideMark/>
          </w:tcPr>
          <w:p w14:paraId="517631BA"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843" w:type="dxa"/>
            <w:tcBorders>
              <w:top w:val="nil"/>
              <w:left w:val="nil"/>
              <w:bottom w:val="single" w:sz="4" w:space="0" w:color="auto"/>
              <w:right w:val="single" w:sz="4" w:space="0" w:color="auto"/>
            </w:tcBorders>
            <w:shd w:val="clear" w:color="auto" w:fill="auto"/>
            <w:vAlign w:val="center"/>
            <w:hideMark/>
          </w:tcPr>
          <w:p w14:paraId="3E5EA0A2"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4,176,811</w:t>
            </w:r>
          </w:p>
        </w:tc>
        <w:tc>
          <w:tcPr>
            <w:tcW w:w="985" w:type="dxa"/>
            <w:tcBorders>
              <w:top w:val="nil"/>
              <w:left w:val="nil"/>
              <w:bottom w:val="single" w:sz="4" w:space="0" w:color="auto"/>
              <w:right w:val="single" w:sz="4" w:space="0" w:color="auto"/>
            </w:tcBorders>
            <w:shd w:val="clear" w:color="auto" w:fill="auto"/>
            <w:vAlign w:val="center"/>
            <w:hideMark/>
          </w:tcPr>
          <w:p w14:paraId="4F454E8D"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29/06/2022</w:t>
            </w:r>
          </w:p>
        </w:tc>
        <w:tc>
          <w:tcPr>
            <w:tcW w:w="606" w:type="dxa"/>
            <w:tcBorders>
              <w:top w:val="nil"/>
              <w:left w:val="nil"/>
              <w:bottom w:val="single" w:sz="4" w:space="0" w:color="auto"/>
              <w:right w:val="single" w:sz="4" w:space="0" w:color="auto"/>
            </w:tcBorders>
            <w:shd w:val="clear" w:color="auto" w:fill="auto"/>
            <w:vAlign w:val="center"/>
            <w:hideMark/>
          </w:tcPr>
          <w:p w14:paraId="30E3600C"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TIIE+ 40PTS</w:t>
            </w:r>
          </w:p>
        </w:tc>
        <w:tc>
          <w:tcPr>
            <w:tcW w:w="1022" w:type="dxa"/>
            <w:tcBorders>
              <w:top w:val="nil"/>
              <w:left w:val="nil"/>
              <w:bottom w:val="single" w:sz="4" w:space="0" w:color="auto"/>
              <w:right w:val="single" w:sz="4" w:space="0" w:color="auto"/>
            </w:tcBorders>
            <w:shd w:val="clear" w:color="auto" w:fill="auto"/>
            <w:vAlign w:val="center"/>
            <w:hideMark/>
          </w:tcPr>
          <w:p w14:paraId="1DE88A9F"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666" w:type="dxa"/>
            <w:tcBorders>
              <w:top w:val="nil"/>
              <w:left w:val="nil"/>
              <w:bottom w:val="single" w:sz="4" w:space="0" w:color="auto"/>
              <w:right w:val="single" w:sz="4" w:space="0" w:color="auto"/>
            </w:tcBorders>
            <w:shd w:val="clear" w:color="auto" w:fill="auto"/>
            <w:vAlign w:val="center"/>
            <w:hideMark/>
          </w:tcPr>
          <w:p w14:paraId="7D1ABC91"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7.03%</w:t>
            </w:r>
          </w:p>
        </w:tc>
      </w:tr>
      <w:tr w:rsidR="00D85982" w:rsidRPr="00D85982" w14:paraId="3066B872" w14:textId="77777777" w:rsidTr="00363D97">
        <w:trPr>
          <w:trHeight w:val="290"/>
        </w:trPr>
        <w:tc>
          <w:tcPr>
            <w:tcW w:w="673" w:type="dxa"/>
            <w:tcBorders>
              <w:top w:val="nil"/>
              <w:left w:val="single" w:sz="4" w:space="0" w:color="auto"/>
              <w:bottom w:val="single" w:sz="4" w:space="0" w:color="auto"/>
              <w:right w:val="single" w:sz="4" w:space="0" w:color="auto"/>
            </w:tcBorders>
            <w:shd w:val="clear" w:color="auto" w:fill="auto"/>
            <w:vAlign w:val="center"/>
            <w:hideMark/>
          </w:tcPr>
          <w:p w14:paraId="572F2E8F" w14:textId="77777777" w:rsidR="00D85982" w:rsidRPr="00D85982" w:rsidRDefault="00D85982" w:rsidP="00D85982">
            <w:pPr>
              <w:spacing w:after="0" w:line="240" w:lineRule="auto"/>
              <w:jc w:val="both"/>
              <w:rPr>
                <w:rFonts w:eastAsia="Times New Roman" w:cs="Calibri"/>
                <w:color w:val="000000"/>
                <w:sz w:val="12"/>
                <w:szCs w:val="12"/>
                <w:lang w:eastAsia="es-MX"/>
              </w:rPr>
            </w:pPr>
            <w:r w:rsidRPr="00D85982">
              <w:rPr>
                <w:rFonts w:eastAsia="Times New Roman" w:cs="Calibri"/>
                <w:color w:val="000000"/>
                <w:sz w:val="12"/>
                <w:szCs w:val="12"/>
                <w:lang w:eastAsia="es-MX"/>
              </w:rPr>
              <w:t>Banco Scotiabank S.A. de C.V.</w:t>
            </w:r>
          </w:p>
        </w:tc>
        <w:tc>
          <w:tcPr>
            <w:tcW w:w="958" w:type="dxa"/>
            <w:tcBorders>
              <w:top w:val="nil"/>
              <w:left w:val="nil"/>
              <w:bottom w:val="single" w:sz="4" w:space="0" w:color="auto"/>
              <w:right w:val="single" w:sz="4" w:space="0" w:color="auto"/>
            </w:tcBorders>
            <w:shd w:val="clear" w:color="auto" w:fill="auto"/>
            <w:vAlign w:val="center"/>
            <w:hideMark/>
          </w:tcPr>
          <w:p w14:paraId="481A061B"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100,000,000</w:t>
            </w:r>
          </w:p>
        </w:tc>
        <w:tc>
          <w:tcPr>
            <w:tcW w:w="958" w:type="dxa"/>
            <w:tcBorders>
              <w:top w:val="nil"/>
              <w:left w:val="nil"/>
              <w:bottom w:val="single" w:sz="4" w:space="0" w:color="auto"/>
              <w:right w:val="single" w:sz="4" w:space="0" w:color="auto"/>
            </w:tcBorders>
            <w:shd w:val="clear" w:color="auto" w:fill="auto"/>
            <w:vAlign w:val="center"/>
            <w:hideMark/>
          </w:tcPr>
          <w:p w14:paraId="296911B4"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100,000,000</w:t>
            </w:r>
          </w:p>
        </w:tc>
        <w:tc>
          <w:tcPr>
            <w:tcW w:w="958" w:type="dxa"/>
            <w:tcBorders>
              <w:top w:val="nil"/>
              <w:left w:val="nil"/>
              <w:bottom w:val="single" w:sz="4" w:space="0" w:color="auto"/>
              <w:right w:val="single" w:sz="4" w:space="0" w:color="auto"/>
            </w:tcBorders>
            <w:shd w:val="clear" w:color="auto" w:fill="auto"/>
            <w:vAlign w:val="center"/>
            <w:hideMark/>
          </w:tcPr>
          <w:p w14:paraId="3ED8DC57"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 </w:t>
            </w:r>
          </w:p>
        </w:tc>
        <w:tc>
          <w:tcPr>
            <w:tcW w:w="1026" w:type="dxa"/>
            <w:tcBorders>
              <w:top w:val="nil"/>
              <w:left w:val="nil"/>
              <w:bottom w:val="single" w:sz="4" w:space="0" w:color="auto"/>
              <w:right w:val="single" w:sz="4" w:space="0" w:color="auto"/>
            </w:tcBorders>
            <w:shd w:val="clear" w:color="auto" w:fill="auto"/>
            <w:vAlign w:val="center"/>
            <w:hideMark/>
          </w:tcPr>
          <w:p w14:paraId="2089C70E"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100,000,000</w:t>
            </w:r>
          </w:p>
        </w:tc>
        <w:tc>
          <w:tcPr>
            <w:tcW w:w="958" w:type="dxa"/>
            <w:tcBorders>
              <w:top w:val="nil"/>
              <w:left w:val="nil"/>
              <w:bottom w:val="single" w:sz="4" w:space="0" w:color="auto"/>
              <w:right w:val="single" w:sz="4" w:space="0" w:color="auto"/>
            </w:tcBorders>
            <w:shd w:val="clear" w:color="auto" w:fill="auto"/>
            <w:vAlign w:val="center"/>
            <w:hideMark/>
          </w:tcPr>
          <w:p w14:paraId="60A62892"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843" w:type="dxa"/>
            <w:tcBorders>
              <w:top w:val="nil"/>
              <w:left w:val="nil"/>
              <w:bottom w:val="single" w:sz="4" w:space="0" w:color="auto"/>
              <w:right w:val="single" w:sz="4" w:space="0" w:color="auto"/>
            </w:tcBorders>
            <w:shd w:val="clear" w:color="auto" w:fill="auto"/>
            <w:vAlign w:val="center"/>
            <w:hideMark/>
          </w:tcPr>
          <w:p w14:paraId="616F43A0"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3,197,587</w:t>
            </w:r>
          </w:p>
        </w:tc>
        <w:tc>
          <w:tcPr>
            <w:tcW w:w="985" w:type="dxa"/>
            <w:tcBorders>
              <w:top w:val="nil"/>
              <w:left w:val="nil"/>
              <w:bottom w:val="single" w:sz="4" w:space="0" w:color="auto"/>
              <w:right w:val="single" w:sz="4" w:space="0" w:color="auto"/>
            </w:tcBorders>
            <w:shd w:val="clear" w:color="auto" w:fill="auto"/>
            <w:vAlign w:val="center"/>
            <w:hideMark/>
          </w:tcPr>
          <w:p w14:paraId="0482421F"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29/06/2022</w:t>
            </w:r>
          </w:p>
        </w:tc>
        <w:tc>
          <w:tcPr>
            <w:tcW w:w="606" w:type="dxa"/>
            <w:tcBorders>
              <w:top w:val="nil"/>
              <w:left w:val="nil"/>
              <w:bottom w:val="single" w:sz="4" w:space="0" w:color="auto"/>
              <w:right w:val="single" w:sz="4" w:space="0" w:color="auto"/>
            </w:tcBorders>
            <w:shd w:val="clear" w:color="auto" w:fill="auto"/>
            <w:vAlign w:val="center"/>
            <w:hideMark/>
          </w:tcPr>
          <w:p w14:paraId="142F4F72"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TIIE+ 44PTS</w:t>
            </w:r>
          </w:p>
        </w:tc>
        <w:tc>
          <w:tcPr>
            <w:tcW w:w="1022" w:type="dxa"/>
            <w:tcBorders>
              <w:top w:val="nil"/>
              <w:left w:val="nil"/>
              <w:bottom w:val="single" w:sz="4" w:space="0" w:color="auto"/>
              <w:right w:val="single" w:sz="4" w:space="0" w:color="auto"/>
            </w:tcBorders>
            <w:shd w:val="clear" w:color="auto" w:fill="auto"/>
            <w:vAlign w:val="center"/>
            <w:hideMark/>
          </w:tcPr>
          <w:p w14:paraId="76077405"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666" w:type="dxa"/>
            <w:tcBorders>
              <w:top w:val="nil"/>
              <w:left w:val="nil"/>
              <w:bottom w:val="single" w:sz="4" w:space="0" w:color="auto"/>
              <w:right w:val="single" w:sz="4" w:space="0" w:color="auto"/>
            </w:tcBorders>
            <w:shd w:val="clear" w:color="auto" w:fill="auto"/>
            <w:vAlign w:val="center"/>
            <w:hideMark/>
          </w:tcPr>
          <w:p w14:paraId="16FAD915"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7.00%</w:t>
            </w:r>
          </w:p>
        </w:tc>
      </w:tr>
      <w:tr w:rsidR="00D85982" w:rsidRPr="00D85982" w14:paraId="42879C6D" w14:textId="77777777" w:rsidTr="00363D97">
        <w:trPr>
          <w:trHeight w:val="290"/>
        </w:trPr>
        <w:tc>
          <w:tcPr>
            <w:tcW w:w="673" w:type="dxa"/>
            <w:tcBorders>
              <w:top w:val="nil"/>
              <w:left w:val="single" w:sz="4" w:space="0" w:color="auto"/>
              <w:bottom w:val="single" w:sz="4" w:space="0" w:color="auto"/>
              <w:right w:val="single" w:sz="4" w:space="0" w:color="auto"/>
            </w:tcBorders>
            <w:shd w:val="clear" w:color="auto" w:fill="auto"/>
            <w:vAlign w:val="center"/>
            <w:hideMark/>
          </w:tcPr>
          <w:p w14:paraId="6FBEC1A2" w14:textId="77777777" w:rsidR="00D85982" w:rsidRPr="00D85982" w:rsidRDefault="00D85982" w:rsidP="00D85982">
            <w:pPr>
              <w:spacing w:after="0" w:line="240" w:lineRule="auto"/>
              <w:jc w:val="both"/>
              <w:rPr>
                <w:rFonts w:eastAsia="Times New Roman" w:cs="Calibri"/>
                <w:color w:val="000000"/>
                <w:sz w:val="12"/>
                <w:szCs w:val="12"/>
                <w:lang w:eastAsia="es-MX"/>
              </w:rPr>
            </w:pPr>
            <w:r w:rsidRPr="00D85982">
              <w:rPr>
                <w:rFonts w:eastAsia="Times New Roman" w:cs="Calibri"/>
                <w:color w:val="000000"/>
                <w:sz w:val="12"/>
                <w:szCs w:val="12"/>
                <w:lang w:eastAsia="es-MX"/>
              </w:rPr>
              <w:t>Banco Santander S.A,de C.V.</w:t>
            </w:r>
          </w:p>
        </w:tc>
        <w:tc>
          <w:tcPr>
            <w:tcW w:w="958" w:type="dxa"/>
            <w:tcBorders>
              <w:top w:val="nil"/>
              <w:left w:val="nil"/>
              <w:bottom w:val="single" w:sz="4" w:space="0" w:color="auto"/>
              <w:right w:val="single" w:sz="4" w:space="0" w:color="auto"/>
            </w:tcBorders>
            <w:shd w:val="clear" w:color="auto" w:fill="auto"/>
            <w:vAlign w:val="center"/>
            <w:hideMark/>
          </w:tcPr>
          <w:p w14:paraId="041743FD"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50,000,000</w:t>
            </w:r>
          </w:p>
        </w:tc>
        <w:tc>
          <w:tcPr>
            <w:tcW w:w="958" w:type="dxa"/>
            <w:tcBorders>
              <w:top w:val="nil"/>
              <w:left w:val="nil"/>
              <w:bottom w:val="single" w:sz="4" w:space="0" w:color="auto"/>
              <w:right w:val="single" w:sz="4" w:space="0" w:color="auto"/>
            </w:tcBorders>
            <w:shd w:val="clear" w:color="auto" w:fill="auto"/>
            <w:vAlign w:val="center"/>
            <w:hideMark/>
          </w:tcPr>
          <w:p w14:paraId="0B97F630"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50,000,000</w:t>
            </w:r>
          </w:p>
        </w:tc>
        <w:tc>
          <w:tcPr>
            <w:tcW w:w="958" w:type="dxa"/>
            <w:tcBorders>
              <w:top w:val="nil"/>
              <w:left w:val="nil"/>
              <w:bottom w:val="single" w:sz="4" w:space="0" w:color="auto"/>
              <w:right w:val="single" w:sz="4" w:space="0" w:color="auto"/>
            </w:tcBorders>
            <w:shd w:val="clear" w:color="auto" w:fill="auto"/>
            <w:vAlign w:val="center"/>
            <w:hideMark/>
          </w:tcPr>
          <w:p w14:paraId="5FCC4888"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 </w:t>
            </w:r>
          </w:p>
        </w:tc>
        <w:tc>
          <w:tcPr>
            <w:tcW w:w="1026" w:type="dxa"/>
            <w:tcBorders>
              <w:top w:val="nil"/>
              <w:left w:val="nil"/>
              <w:bottom w:val="single" w:sz="4" w:space="0" w:color="auto"/>
              <w:right w:val="single" w:sz="4" w:space="0" w:color="auto"/>
            </w:tcBorders>
            <w:shd w:val="clear" w:color="auto" w:fill="auto"/>
            <w:vAlign w:val="center"/>
            <w:hideMark/>
          </w:tcPr>
          <w:p w14:paraId="3B0772FB"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50,000,000</w:t>
            </w:r>
          </w:p>
        </w:tc>
        <w:tc>
          <w:tcPr>
            <w:tcW w:w="958" w:type="dxa"/>
            <w:tcBorders>
              <w:top w:val="nil"/>
              <w:left w:val="nil"/>
              <w:bottom w:val="single" w:sz="4" w:space="0" w:color="auto"/>
              <w:right w:val="single" w:sz="4" w:space="0" w:color="auto"/>
            </w:tcBorders>
            <w:shd w:val="clear" w:color="auto" w:fill="auto"/>
            <w:vAlign w:val="center"/>
            <w:hideMark/>
          </w:tcPr>
          <w:p w14:paraId="27D2DE67"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843" w:type="dxa"/>
            <w:tcBorders>
              <w:top w:val="nil"/>
              <w:left w:val="nil"/>
              <w:bottom w:val="single" w:sz="4" w:space="0" w:color="auto"/>
              <w:right w:val="single" w:sz="4" w:space="0" w:color="auto"/>
            </w:tcBorders>
            <w:shd w:val="clear" w:color="auto" w:fill="auto"/>
            <w:vAlign w:val="center"/>
            <w:hideMark/>
          </w:tcPr>
          <w:p w14:paraId="5FAAD960"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1,237,045</w:t>
            </w:r>
          </w:p>
        </w:tc>
        <w:tc>
          <w:tcPr>
            <w:tcW w:w="985" w:type="dxa"/>
            <w:tcBorders>
              <w:top w:val="nil"/>
              <w:left w:val="nil"/>
              <w:bottom w:val="single" w:sz="4" w:space="0" w:color="auto"/>
              <w:right w:val="single" w:sz="4" w:space="0" w:color="auto"/>
            </w:tcBorders>
            <w:shd w:val="clear" w:color="auto" w:fill="auto"/>
            <w:vAlign w:val="center"/>
            <w:hideMark/>
          </w:tcPr>
          <w:p w14:paraId="38622E6A"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29/06/2022</w:t>
            </w:r>
          </w:p>
        </w:tc>
        <w:tc>
          <w:tcPr>
            <w:tcW w:w="606" w:type="dxa"/>
            <w:tcBorders>
              <w:top w:val="nil"/>
              <w:left w:val="nil"/>
              <w:bottom w:val="single" w:sz="4" w:space="0" w:color="auto"/>
              <w:right w:val="single" w:sz="4" w:space="0" w:color="auto"/>
            </w:tcBorders>
            <w:shd w:val="clear" w:color="auto" w:fill="auto"/>
            <w:vAlign w:val="center"/>
            <w:hideMark/>
          </w:tcPr>
          <w:p w14:paraId="299B599F"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TIIE+ 61PTS</w:t>
            </w:r>
          </w:p>
        </w:tc>
        <w:tc>
          <w:tcPr>
            <w:tcW w:w="1022" w:type="dxa"/>
            <w:tcBorders>
              <w:top w:val="nil"/>
              <w:left w:val="nil"/>
              <w:bottom w:val="single" w:sz="4" w:space="0" w:color="auto"/>
              <w:right w:val="single" w:sz="4" w:space="0" w:color="auto"/>
            </w:tcBorders>
            <w:shd w:val="clear" w:color="auto" w:fill="auto"/>
            <w:vAlign w:val="center"/>
            <w:hideMark/>
          </w:tcPr>
          <w:p w14:paraId="47C9FCAE"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666" w:type="dxa"/>
            <w:tcBorders>
              <w:top w:val="nil"/>
              <w:left w:val="nil"/>
              <w:bottom w:val="single" w:sz="4" w:space="0" w:color="auto"/>
              <w:right w:val="single" w:sz="4" w:space="0" w:color="auto"/>
            </w:tcBorders>
            <w:shd w:val="clear" w:color="auto" w:fill="auto"/>
            <w:vAlign w:val="center"/>
            <w:hideMark/>
          </w:tcPr>
          <w:p w14:paraId="2AEF89D6"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7.17%</w:t>
            </w:r>
          </w:p>
        </w:tc>
      </w:tr>
      <w:tr w:rsidR="00D85982" w:rsidRPr="00D85982" w14:paraId="0269E8E4" w14:textId="77777777" w:rsidTr="00363D97">
        <w:trPr>
          <w:trHeight w:val="290"/>
        </w:trPr>
        <w:tc>
          <w:tcPr>
            <w:tcW w:w="673" w:type="dxa"/>
            <w:tcBorders>
              <w:top w:val="nil"/>
              <w:left w:val="single" w:sz="4" w:space="0" w:color="auto"/>
              <w:bottom w:val="single" w:sz="4" w:space="0" w:color="auto"/>
              <w:right w:val="single" w:sz="4" w:space="0" w:color="auto"/>
            </w:tcBorders>
            <w:shd w:val="clear" w:color="auto" w:fill="auto"/>
            <w:vAlign w:val="center"/>
            <w:hideMark/>
          </w:tcPr>
          <w:p w14:paraId="6788D896" w14:textId="77777777" w:rsidR="00D85982" w:rsidRPr="00D85982" w:rsidRDefault="00D85982" w:rsidP="00D85982">
            <w:pPr>
              <w:spacing w:after="0" w:line="240" w:lineRule="auto"/>
              <w:jc w:val="both"/>
              <w:rPr>
                <w:rFonts w:eastAsia="Times New Roman" w:cs="Calibri"/>
                <w:color w:val="000000"/>
                <w:sz w:val="12"/>
                <w:szCs w:val="12"/>
                <w:lang w:eastAsia="es-MX"/>
              </w:rPr>
            </w:pPr>
            <w:r w:rsidRPr="00D85982">
              <w:rPr>
                <w:rFonts w:eastAsia="Times New Roman" w:cs="Calibri"/>
                <w:color w:val="000000"/>
                <w:sz w:val="12"/>
                <w:szCs w:val="12"/>
                <w:lang w:eastAsia="es-MX"/>
              </w:rPr>
              <w:t>Banco HSBC S.A. de C.V</w:t>
            </w:r>
          </w:p>
        </w:tc>
        <w:tc>
          <w:tcPr>
            <w:tcW w:w="958" w:type="dxa"/>
            <w:tcBorders>
              <w:top w:val="nil"/>
              <w:left w:val="nil"/>
              <w:bottom w:val="single" w:sz="4" w:space="0" w:color="auto"/>
              <w:right w:val="single" w:sz="4" w:space="0" w:color="auto"/>
            </w:tcBorders>
            <w:shd w:val="clear" w:color="auto" w:fill="auto"/>
            <w:vAlign w:val="center"/>
            <w:hideMark/>
          </w:tcPr>
          <w:p w14:paraId="07E9EE47"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300,000,000</w:t>
            </w:r>
          </w:p>
        </w:tc>
        <w:tc>
          <w:tcPr>
            <w:tcW w:w="958" w:type="dxa"/>
            <w:tcBorders>
              <w:top w:val="nil"/>
              <w:left w:val="nil"/>
              <w:bottom w:val="single" w:sz="4" w:space="0" w:color="auto"/>
              <w:right w:val="single" w:sz="4" w:space="0" w:color="auto"/>
            </w:tcBorders>
            <w:shd w:val="clear" w:color="auto" w:fill="auto"/>
            <w:vAlign w:val="center"/>
            <w:hideMark/>
          </w:tcPr>
          <w:p w14:paraId="3466CFF8"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300,000,000</w:t>
            </w:r>
          </w:p>
        </w:tc>
        <w:tc>
          <w:tcPr>
            <w:tcW w:w="958" w:type="dxa"/>
            <w:tcBorders>
              <w:top w:val="nil"/>
              <w:left w:val="nil"/>
              <w:bottom w:val="single" w:sz="4" w:space="0" w:color="auto"/>
              <w:right w:val="single" w:sz="4" w:space="0" w:color="auto"/>
            </w:tcBorders>
            <w:shd w:val="clear" w:color="auto" w:fill="auto"/>
            <w:vAlign w:val="center"/>
            <w:hideMark/>
          </w:tcPr>
          <w:p w14:paraId="67451D15"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 </w:t>
            </w:r>
          </w:p>
        </w:tc>
        <w:tc>
          <w:tcPr>
            <w:tcW w:w="1026" w:type="dxa"/>
            <w:tcBorders>
              <w:top w:val="nil"/>
              <w:left w:val="nil"/>
              <w:bottom w:val="single" w:sz="4" w:space="0" w:color="auto"/>
              <w:right w:val="single" w:sz="4" w:space="0" w:color="auto"/>
            </w:tcBorders>
            <w:shd w:val="clear" w:color="auto" w:fill="auto"/>
            <w:vAlign w:val="center"/>
            <w:hideMark/>
          </w:tcPr>
          <w:p w14:paraId="61798D1D"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300,000,000</w:t>
            </w:r>
          </w:p>
        </w:tc>
        <w:tc>
          <w:tcPr>
            <w:tcW w:w="958" w:type="dxa"/>
            <w:tcBorders>
              <w:top w:val="nil"/>
              <w:left w:val="nil"/>
              <w:bottom w:val="single" w:sz="4" w:space="0" w:color="auto"/>
              <w:right w:val="single" w:sz="4" w:space="0" w:color="auto"/>
            </w:tcBorders>
            <w:shd w:val="clear" w:color="auto" w:fill="auto"/>
            <w:vAlign w:val="center"/>
            <w:hideMark/>
          </w:tcPr>
          <w:p w14:paraId="0F276D40"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843" w:type="dxa"/>
            <w:tcBorders>
              <w:top w:val="nil"/>
              <w:left w:val="nil"/>
              <w:bottom w:val="single" w:sz="4" w:space="0" w:color="auto"/>
              <w:right w:val="single" w:sz="4" w:space="0" w:color="auto"/>
            </w:tcBorders>
            <w:shd w:val="clear" w:color="auto" w:fill="auto"/>
            <w:vAlign w:val="center"/>
            <w:hideMark/>
          </w:tcPr>
          <w:p w14:paraId="7696F050"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5,121,004</w:t>
            </w:r>
          </w:p>
        </w:tc>
        <w:tc>
          <w:tcPr>
            <w:tcW w:w="985" w:type="dxa"/>
            <w:tcBorders>
              <w:top w:val="nil"/>
              <w:left w:val="nil"/>
              <w:bottom w:val="single" w:sz="4" w:space="0" w:color="auto"/>
              <w:right w:val="single" w:sz="4" w:space="0" w:color="auto"/>
            </w:tcBorders>
            <w:shd w:val="clear" w:color="auto" w:fill="auto"/>
            <w:vAlign w:val="center"/>
            <w:hideMark/>
          </w:tcPr>
          <w:p w14:paraId="178E1285"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29/06/2022</w:t>
            </w:r>
          </w:p>
        </w:tc>
        <w:tc>
          <w:tcPr>
            <w:tcW w:w="606" w:type="dxa"/>
            <w:tcBorders>
              <w:top w:val="nil"/>
              <w:left w:val="nil"/>
              <w:bottom w:val="single" w:sz="4" w:space="0" w:color="auto"/>
              <w:right w:val="single" w:sz="4" w:space="0" w:color="auto"/>
            </w:tcBorders>
            <w:shd w:val="clear" w:color="auto" w:fill="auto"/>
            <w:vAlign w:val="center"/>
            <w:hideMark/>
          </w:tcPr>
          <w:p w14:paraId="406929B2"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TIIE+ 55PTS</w:t>
            </w:r>
          </w:p>
        </w:tc>
        <w:tc>
          <w:tcPr>
            <w:tcW w:w="1022" w:type="dxa"/>
            <w:tcBorders>
              <w:top w:val="nil"/>
              <w:left w:val="nil"/>
              <w:bottom w:val="single" w:sz="4" w:space="0" w:color="auto"/>
              <w:right w:val="single" w:sz="4" w:space="0" w:color="auto"/>
            </w:tcBorders>
            <w:shd w:val="clear" w:color="auto" w:fill="auto"/>
            <w:vAlign w:val="center"/>
            <w:hideMark/>
          </w:tcPr>
          <w:p w14:paraId="1D71600B"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1,564</w:t>
            </w:r>
          </w:p>
        </w:tc>
        <w:tc>
          <w:tcPr>
            <w:tcW w:w="666" w:type="dxa"/>
            <w:tcBorders>
              <w:top w:val="nil"/>
              <w:left w:val="nil"/>
              <w:bottom w:val="single" w:sz="4" w:space="0" w:color="auto"/>
              <w:right w:val="single" w:sz="4" w:space="0" w:color="auto"/>
            </w:tcBorders>
            <w:shd w:val="clear" w:color="auto" w:fill="auto"/>
            <w:vAlign w:val="center"/>
            <w:hideMark/>
          </w:tcPr>
          <w:p w14:paraId="217E3953"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6.84%</w:t>
            </w:r>
          </w:p>
        </w:tc>
      </w:tr>
      <w:tr w:rsidR="00D85982" w:rsidRPr="00D85982" w14:paraId="0B50327F" w14:textId="77777777" w:rsidTr="00363D97">
        <w:trPr>
          <w:trHeight w:val="290"/>
        </w:trPr>
        <w:tc>
          <w:tcPr>
            <w:tcW w:w="673" w:type="dxa"/>
            <w:tcBorders>
              <w:top w:val="nil"/>
              <w:left w:val="single" w:sz="4" w:space="0" w:color="auto"/>
              <w:bottom w:val="single" w:sz="4" w:space="0" w:color="auto"/>
              <w:right w:val="single" w:sz="4" w:space="0" w:color="auto"/>
            </w:tcBorders>
            <w:shd w:val="clear" w:color="auto" w:fill="auto"/>
            <w:vAlign w:val="center"/>
            <w:hideMark/>
          </w:tcPr>
          <w:p w14:paraId="34182E19" w14:textId="77777777" w:rsidR="00D85982" w:rsidRPr="00D85982" w:rsidRDefault="00D85982" w:rsidP="00D85982">
            <w:pPr>
              <w:spacing w:after="0" w:line="240" w:lineRule="auto"/>
              <w:jc w:val="both"/>
              <w:rPr>
                <w:rFonts w:eastAsia="Times New Roman" w:cs="Calibri"/>
                <w:color w:val="000000"/>
                <w:sz w:val="12"/>
                <w:szCs w:val="12"/>
                <w:lang w:eastAsia="es-MX"/>
              </w:rPr>
            </w:pPr>
            <w:r w:rsidRPr="00D85982">
              <w:rPr>
                <w:rFonts w:eastAsia="Times New Roman" w:cs="Calibri"/>
                <w:color w:val="000000"/>
                <w:sz w:val="12"/>
                <w:szCs w:val="12"/>
                <w:lang w:eastAsia="es-MX"/>
              </w:rPr>
              <w:t>Banco BANORTE S.A. de C.V.</w:t>
            </w:r>
          </w:p>
        </w:tc>
        <w:tc>
          <w:tcPr>
            <w:tcW w:w="958" w:type="dxa"/>
            <w:tcBorders>
              <w:top w:val="nil"/>
              <w:left w:val="nil"/>
              <w:bottom w:val="single" w:sz="4" w:space="0" w:color="auto"/>
              <w:right w:val="single" w:sz="4" w:space="0" w:color="auto"/>
            </w:tcBorders>
            <w:shd w:val="clear" w:color="auto" w:fill="auto"/>
            <w:vAlign w:val="center"/>
            <w:hideMark/>
          </w:tcPr>
          <w:p w14:paraId="1EAD4290"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600,000,000</w:t>
            </w:r>
          </w:p>
        </w:tc>
        <w:tc>
          <w:tcPr>
            <w:tcW w:w="958" w:type="dxa"/>
            <w:tcBorders>
              <w:top w:val="nil"/>
              <w:left w:val="nil"/>
              <w:bottom w:val="single" w:sz="4" w:space="0" w:color="auto"/>
              <w:right w:val="single" w:sz="4" w:space="0" w:color="auto"/>
            </w:tcBorders>
            <w:shd w:val="clear" w:color="auto" w:fill="auto"/>
            <w:vAlign w:val="center"/>
            <w:hideMark/>
          </w:tcPr>
          <w:p w14:paraId="77DF51BF"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600,000,000</w:t>
            </w:r>
          </w:p>
        </w:tc>
        <w:tc>
          <w:tcPr>
            <w:tcW w:w="958" w:type="dxa"/>
            <w:tcBorders>
              <w:top w:val="nil"/>
              <w:left w:val="nil"/>
              <w:bottom w:val="single" w:sz="4" w:space="0" w:color="auto"/>
              <w:right w:val="single" w:sz="4" w:space="0" w:color="auto"/>
            </w:tcBorders>
            <w:shd w:val="clear" w:color="auto" w:fill="auto"/>
            <w:vAlign w:val="center"/>
            <w:hideMark/>
          </w:tcPr>
          <w:p w14:paraId="4D4FF882"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 </w:t>
            </w:r>
          </w:p>
        </w:tc>
        <w:tc>
          <w:tcPr>
            <w:tcW w:w="1026" w:type="dxa"/>
            <w:tcBorders>
              <w:top w:val="nil"/>
              <w:left w:val="nil"/>
              <w:bottom w:val="single" w:sz="4" w:space="0" w:color="auto"/>
              <w:right w:val="single" w:sz="4" w:space="0" w:color="auto"/>
            </w:tcBorders>
            <w:shd w:val="clear" w:color="auto" w:fill="auto"/>
            <w:vAlign w:val="center"/>
            <w:hideMark/>
          </w:tcPr>
          <w:p w14:paraId="0FFD7144"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600,000,000</w:t>
            </w:r>
          </w:p>
        </w:tc>
        <w:tc>
          <w:tcPr>
            <w:tcW w:w="958" w:type="dxa"/>
            <w:tcBorders>
              <w:top w:val="nil"/>
              <w:left w:val="nil"/>
              <w:bottom w:val="single" w:sz="4" w:space="0" w:color="auto"/>
              <w:right w:val="single" w:sz="4" w:space="0" w:color="auto"/>
            </w:tcBorders>
            <w:shd w:val="clear" w:color="auto" w:fill="auto"/>
            <w:vAlign w:val="center"/>
            <w:hideMark/>
          </w:tcPr>
          <w:p w14:paraId="08EEEF9C"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843" w:type="dxa"/>
            <w:tcBorders>
              <w:top w:val="nil"/>
              <w:left w:val="nil"/>
              <w:bottom w:val="single" w:sz="4" w:space="0" w:color="auto"/>
              <w:right w:val="single" w:sz="4" w:space="0" w:color="auto"/>
            </w:tcBorders>
            <w:shd w:val="clear" w:color="auto" w:fill="auto"/>
            <w:vAlign w:val="center"/>
            <w:hideMark/>
          </w:tcPr>
          <w:p w14:paraId="516AE619"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8,001,770</w:t>
            </w:r>
          </w:p>
        </w:tc>
        <w:tc>
          <w:tcPr>
            <w:tcW w:w="985" w:type="dxa"/>
            <w:tcBorders>
              <w:top w:val="nil"/>
              <w:left w:val="nil"/>
              <w:bottom w:val="single" w:sz="4" w:space="0" w:color="auto"/>
              <w:right w:val="single" w:sz="4" w:space="0" w:color="auto"/>
            </w:tcBorders>
            <w:shd w:val="clear" w:color="auto" w:fill="auto"/>
            <w:vAlign w:val="center"/>
            <w:hideMark/>
          </w:tcPr>
          <w:p w14:paraId="0D0A304A"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29/06/2022</w:t>
            </w:r>
          </w:p>
        </w:tc>
        <w:tc>
          <w:tcPr>
            <w:tcW w:w="606" w:type="dxa"/>
            <w:tcBorders>
              <w:top w:val="nil"/>
              <w:left w:val="nil"/>
              <w:bottom w:val="single" w:sz="4" w:space="0" w:color="auto"/>
              <w:right w:val="single" w:sz="4" w:space="0" w:color="auto"/>
            </w:tcBorders>
            <w:shd w:val="clear" w:color="auto" w:fill="auto"/>
            <w:vAlign w:val="center"/>
            <w:hideMark/>
          </w:tcPr>
          <w:p w14:paraId="5AEB4D3D"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TIIE+ 97PTS</w:t>
            </w:r>
          </w:p>
        </w:tc>
        <w:tc>
          <w:tcPr>
            <w:tcW w:w="1022" w:type="dxa"/>
            <w:tcBorders>
              <w:top w:val="nil"/>
              <w:left w:val="nil"/>
              <w:bottom w:val="single" w:sz="4" w:space="0" w:color="auto"/>
              <w:right w:val="single" w:sz="4" w:space="0" w:color="auto"/>
            </w:tcBorders>
            <w:shd w:val="clear" w:color="auto" w:fill="auto"/>
            <w:vAlign w:val="center"/>
            <w:hideMark/>
          </w:tcPr>
          <w:p w14:paraId="0FFF0C82"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666" w:type="dxa"/>
            <w:tcBorders>
              <w:top w:val="nil"/>
              <w:left w:val="nil"/>
              <w:bottom w:val="single" w:sz="4" w:space="0" w:color="auto"/>
              <w:right w:val="single" w:sz="4" w:space="0" w:color="auto"/>
            </w:tcBorders>
            <w:shd w:val="clear" w:color="auto" w:fill="auto"/>
            <w:vAlign w:val="center"/>
            <w:hideMark/>
          </w:tcPr>
          <w:p w14:paraId="468F878E"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7.28%</w:t>
            </w:r>
          </w:p>
        </w:tc>
      </w:tr>
      <w:tr w:rsidR="00D85982" w:rsidRPr="00D85982" w14:paraId="226E687C" w14:textId="77777777" w:rsidTr="00363D97">
        <w:trPr>
          <w:trHeight w:val="290"/>
        </w:trPr>
        <w:tc>
          <w:tcPr>
            <w:tcW w:w="673" w:type="dxa"/>
            <w:tcBorders>
              <w:top w:val="nil"/>
              <w:left w:val="single" w:sz="4" w:space="0" w:color="auto"/>
              <w:bottom w:val="single" w:sz="4" w:space="0" w:color="auto"/>
              <w:right w:val="single" w:sz="4" w:space="0" w:color="auto"/>
            </w:tcBorders>
            <w:shd w:val="clear" w:color="auto" w:fill="auto"/>
            <w:vAlign w:val="center"/>
            <w:hideMark/>
          </w:tcPr>
          <w:p w14:paraId="1EADF8CC" w14:textId="77777777" w:rsidR="00D85982" w:rsidRPr="00D85982" w:rsidRDefault="00D85982" w:rsidP="00D85982">
            <w:pPr>
              <w:spacing w:after="0" w:line="240" w:lineRule="auto"/>
              <w:jc w:val="both"/>
              <w:rPr>
                <w:rFonts w:eastAsia="Times New Roman" w:cs="Calibri"/>
                <w:color w:val="000000"/>
                <w:sz w:val="12"/>
                <w:szCs w:val="12"/>
                <w:lang w:eastAsia="es-MX"/>
              </w:rPr>
            </w:pPr>
            <w:r w:rsidRPr="00D85982">
              <w:rPr>
                <w:rFonts w:eastAsia="Times New Roman" w:cs="Calibri"/>
                <w:color w:val="000000"/>
                <w:sz w:val="12"/>
                <w:szCs w:val="12"/>
                <w:lang w:eastAsia="es-MX"/>
              </w:rPr>
              <w:t>Banco Santander S.A,de C.V.</w:t>
            </w:r>
          </w:p>
        </w:tc>
        <w:tc>
          <w:tcPr>
            <w:tcW w:w="958" w:type="dxa"/>
            <w:tcBorders>
              <w:top w:val="nil"/>
              <w:left w:val="nil"/>
              <w:bottom w:val="single" w:sz="4" w:space="0" w:color="auto"/>
              <w:right w:val="single" w:sz="4" w:space="0" w:color="auto"/>
            </w:tcBorders>
            <w:shd w:val="clear" w:color="auto" w:fill="auto"/>
            <w:vAlign w:val="center"/>
            <w:hideMark/>
          </w:tcPr>
          <w:p w14:paraId="132E689A"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50,000,000</w:t>
            </w:r>
          </w:p>
        </w:tc>
        <w:tc>
          <w:tcPr>
            <w:tcW w:w="958" w:type="dxa"/>
            <w:tcBorders>
              <w:top w:val="nil"/>
              <w:left w:val="nil"/>
              <w:bottom w:val="single" w:sz="4" w:space="0" w:color="auto"/>
              <w:right w:val="single" w:sz="4" w:space="0" w:color="auto"/>
            </w:tcBorders>
            <w:shd w:val="clear" w:color="auto" w:fill="auto"/>
            <w:vAlign w:val="center"/>
            <w:hideMark/>
          </w:tcPr>
          <w:p w14:paraId="766FA226"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50,000,000</w:t>
            </w:r>
          </w:p>
        </w:tc>
        <w:tc>
          <w:tcPr>
            <w:tcW w:w="958" w:type="dxa"/>
            <w:tcBorders>
              <w:top w:val="nil"/>
              <w:left w:val="nil"/>
              <w:bottom w:val="single" w:sz="4" w:space="0" w:color="auto"/>
              <w:right w:val="single" w:sz="4" w:space="0" w:color="auto"/>
            </w:tcBorders>
            <w:shd w:val="clear" w:color="auto" w:fill="auto"/>
            <w:vAlign w:val="center"/>
            <w:hideMark/>
          </w:tcPr>
          <w:p w14:paraId="33AC9393"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 </w:t>
            </w:r>
          </w:p>
        </w:tc>
        <w:tc>
          <w:tcPr>
            <w:tcW w:w="1026" w:type="dxa"/>
            <w:tcBorders>
              <w:top w:val="nil"/>
              <w:left w:val="nil"/>
              <w:bottom w:val="single" w:sz="4" w:space="0" w:color="auto"/>
              <w:right w:val="single" w:sz="4" w:space="0" w:color="auto"/>
            </w:tcBorders>
            <w:shd w:val="clear" w:color="auto" w:fill="auto"/>
            <w:vAlign w:val="center"/>
            <w:hideMark/>
          </w:tcPr>
          <w:p w14:paraId="7EA64D55"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50,000,000</w:t>
            </w:r>
          </w:p>
        </w:tc>
        <w:tc>
          <w:tcPr>
            <w:tcW w:w="958" w:type="dxa"/>
            <w:tcBorders>
              <w:top w:val="nil"/>
              <w:left w:val="nil"/>
              <w:bottom w:val="single" w:sz="4" w:space="0" w:color="auto"/>
              <w:right w:val="single" w:sz="4" w:space="0" w:color="auto"/>
            </w:tcBorders>
            <w:shd w:val="clear" w:color="auto" w:fill="auto"/>
            <w:vAlign w:val="center"/>
            <w:hideMark/>
          </w:tcPr>
          <w:p w14:paraId="4CF1BB67"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843" w:type="dxa"/>
            <w:tcBorders>
              <w:top w:val="nil"/>
              <w:left w:val="nil"/>
              <w:bottom w:val="single" w:sz="4" w:space="0" w:color="auto"/>
              <w:right w:val="single" w:sz="4" w:space="0" w:color="auto"/>
            </w:tcBorders>
            <w:shd w:val="clear" w:color="auto" w:fill="auto"/>
            <w:vAlign w:val="center"/>
            <w:hideMark/>
          </w:tcPr>
          <w:p w14:paraId="70AF2C44"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1,137,245</w:t>
            </w:r>
          </w:p>
        </w:tc>
        <w:tc>
          <w:tcPr>
            <w:tcW w:w="985" w:type="dxa"/>
            <w:tcBorders>
              <w:top w:val="nil"/>
              <w:left w:val="nil"/>
              <w:bottom w:val="single" w:sz="4" w:space="0" w:color="auto"/>
              <w:right w:val="single" w:sz="4" w:space="0" w:color="auto"/>
            </w:tcBorders>
            <w:shd w:val="clear" w:color="auto" w:fill="auto"/>
            <w:vAlign w:val="center"/>
            <w:hideMark/>
          </w:tcPr>
          <w:p w14:paraId="0B422258"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29/06/2022</w:t>
            </w:r>
          </w:p>
        </w:tc>
        <w:tc>
          <w:tcPr>
            <w:tcW w:w="606" w:type="dxa"/>
            <w:tcBorders>
              <w:top w:val="nil"/>
              <w:left w:val="nil"/>
              <w:bottom w:val="single" w:sz="4" w:space="0" w:color="auto"/>
              <w:right w:val="single" w:sz="4" w:space="0" w:color="auto"/>
            </w:tcBorders>
            <w:shd w:val="clear" w:color="auto" w:fill="auto"/>
            <w:vAlign w:val="center"/>
            <w:hideMark/>
          </w:tcPr>
          <w:p w14:paraId="032C4458"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TIIE+ 61PTS</w:t>
            </w:r>
          </w:p>
        </w:tc>
        <w:tc>
          <w:tcPr>
            <w:tcW w:w="1022" w:type="dxa"/>
            <w:tcBorders>
              <w:top w:val="nil"/>
              <w:left w:val="nil"/>
              <w:bottom w:val="single" w:sz="4" w:space="0" w:color="auto"/>
              <w:right w:val="single" w:sz="4" w:space="0" w:color="auto"/>
            </w:tcBorders>
            <w:shd w:val="clear" w:color="auto" w:fill="auto"/>
            <w:vAlign w:val="center"/>
            <w:hideMark/>
          </w:tcPr>
          <w:p w14:paraId="54468430"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666" w:type="dxa"/>
            <w:tcBorders>
              <w:top w:val="nil"/>
              <w:left w:val="nil"/>
              <w:bottom w:val="single" w:sz="4" w:space="0" w:color="auto"/>
              <w:right w:val="single" w:sz="4" w:space="0" w:color="auto"/>
            </w:tcBorders>
            <w:shd w:val="clear" w:color="auto" w:fill="auto"/>
            <w:vAlign w:val="center"/>
            <w:hideMark/>
          </w:tcPr>
          <w:p w14:paraId="304A0354"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7.26%</w:t>
            </w:r>
          </w:p>
        </w:tc>
      </w:tr>
      <w:tr w:rsidR="00D85982" w:rsidRPr="00D85982" w14:paraId="36F8F77E" w14:textId="77777777" w:rsidTr="00363D97">
        <w:trPr>
          <w:trHeight w:val="290"/>
        </w:trPr>
        <w:tc>
          <w:tcPr>
            <w:tcW w:w="673" w:type="dxa"/>
            <w:tcBorders>
              <w:top w:val="nil"/>
              <w:left w:val="single" w:sz="4" w:space="0" w:color="auto"/>
              <w:bottom w:val="single" w:sz="4" w:space="0" w:color="auto"/>
              <w:right w:val="single" w:sz="4" w:space="0" w:color="auto"/>
            </w:tcBorders>
            <w:shd w:val="clear" w:color="auto" w:fill="auto"/>
            <w:vAlign w:val="center"/>
            <w:hideMark/>
          </w:tcPr>
          <w:p w14:paraId="00AB3504" w14:textId="77777777" w:rsidR="00D85982" w:rsidRPr="00D85982" w:rsidRDefault="00D85982" w:rsidP="00D85982">
            <w:pPr>
              <w:spacing w:after="0" w:line="240" w:lineRule="auto"/>
              <w:jc w:val="both"/>
              <w:rPr>
                <w:rFonts w:eastAsia="Times New Roman" w:cs="Calibri"/>
                <w:color w:val="000000"/>
                <w:sz w:val="12"/>
                <w:szCs w:val="12"/>
                <w:lang w:eastAsia="es-MX"/>
              </w:rPr>
            </w:pPr>
            <w:r w:rsidRPr="00D85982">
              <w:rPr>
                <w:rFonts w:eastAsia="Times New Roman" w:cs="Calibri"/>
                <w:color w:val="000000"/>
                <w:sz w:val="12"/>
                <w:szCs w:val="12"/>
                <w:lang w:eastAsia="es-MX"/>
              </w:rPr>
              <w:t>Banco Azteca S.A. de C.V.</w:t>
            </w:r>
          </w:p>
        </w:tc>
        <w:tc>
          <w:tcPr>
            <w:tcW w:w="958" w:type="dxa"/>
            <w:tcBorders>
              <w:top w:val="nil"/>
              <w:left w:val="nil"/>
              <w:bottom w:val="single" w:sz="4" w:space="0" w:color="auto"/>
              <w:right w:val="single" w:sz="4" w:space="0" w:color="auto"/>
            </w:tcBorders>
            <w:shd w:val="clear" w:color="auto" w:fill="auto"/>
            <w:vAlign w:val="center"/>
            <w:hideMark/>
          </w:tcPr>
          <w:p w14:paraId="431D975F"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250,000,000</w:t>
            </w:r>
          </w:p>
        </w:tc>
        <w:tc>
          <w:tcPr>
            <w:tcW w:w="958" w:type="dxa"/>
            <w:tcBorders>
              <w:top w:val="nil"/>
              <w:left w:val="nil"/>
              <w:bottom w:val="single" w:sz="4" w:space="0" w:color="auto"/>
              <w:right w:val="single" w:sz="4" w:space="0" w:color="auto"/>
            </w:tcBorders>
            <w:shd w:val="clear" w:color="auto" w:fill="auto"/>
            <w:vAlign w:val="center"/>
            <w:hideMark/>
          </w:tcPr>
          <w:p w14:paraId="6144E4D6"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10,000,000</w:t>
            </w:r>
          </w:p>
        </w:tc>
        <w:tc>
          <w:tcPr>
            <w:tcW w:w="958" w:type="dxa"/>
            <w:tcBorders>
              <w:top w:val="nil"/>
              <w:left w:val="nil"/>
              <w:bottom w:val="single" w:sz="4" w:space="0" w:color="auto"/>
              <w:right w:val="single" w:sz="4" w:space="0" w:color="auto"/>
            </w:tcBorders>
            <w:shd w:val="clear" w:color="000000" w:fill="FFFFFF"/>
            <w:vAlign w:val="center"/>
            <w:hideMark/>
          </w:tcPr>
          <w:p w14:paraId="2B0BDC6E"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240,000,000</w:t>
            </w:r>
          </w:p>
        </w:tc>
        <w:tc>
          <w:tcPr>
            <w:tcW w:w="1026" w:type="dxa"/>
            <w:tcBorders>
              <w:top w:val="nil"/>
              <w:left w:val="nil"/>
              <w:bottom w:val="single" w:sz="4" w:space="0" w:color="auto"/>
              <w:right w:val="single" w:sz="4" w:space="0" w:color="auto"/>
            </w:tcBorders>
            <w:shd w:val="clear" w:color="000000" w:fill="FFFFFF"/>
            <w:vAlign w:val="center"/>
            <w:hideMark/>
          </w:tcPr>
          <w:p w14:paraId="01143704"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250,000,000</w:t>
            </w:r>
          </w:p>
        </w:tc>
        <w:tc>
          <w:tcPr>
            <w:tcW w:w="958" w:type="dxa"/>
            <w:tcBorders>
              <w:top w:val="nil"/>
              <w:left w:val="nil"/>
              <w:bottom w:val="single" w:sz="4" w:space="0" w:color="auto"/>
              <w:right w:val="single" w:sz="4" w:space="0" w:color="auto"/>
            </w:tcBorders>
            <w:shd w:val="clear" w:color="auto" w:fill="auto"/>
            <w:vAlign w:val="center"/>
            <w:hideMark/>
          </w:tcPr>
          <w:p w14:paraId="7F8F39C4"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843" w:type="dxa"/>
            <w:tcBorders>
              <w:top w:val="nil"/>
              <w:left w:val="nil"/>
              <w:bottom w:val="single" w:sz="4" w:space="0" w:color="auto"/>
              <w:right w:val="single" w:sz="4" w:space="0" w:color="auto"/>
            </w:tcBorders>
            <w:shd w:val="clear" w:color="auto" w:fill="auto"/>
            <w:vAlign w:val="center"/>
            <w:hideMark/>
          </w:tcPr>
          <w:p w14:paraId="34A7FF94" w14:textId="14EB1B92" w:rsidR="00D85982" w:rsidRPr="00D85982" w:rsidRDefault="00D85982" w:rsidP="00C34A0D">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1,804,12</w:t>
            </w:r>
            <w:r w:rsidR="00C34A0D">
              <w:rPr>
                <w:rFonts w:eastAsia="Times New Roman" w:cs="Calibri"/>
                <w:color w:val="000000"/>
                <w:sz w:val="12"/>
                <w:szCs w:val="12"/>
                <w:lang w:eastAsia="es-MX"/>
              </w:rPr>
              <w:t>0</w:t>
            </w:r>
          </w:p>
        </w:tc>
        <w:tc>
          <w:tcPr>
            <w:tcW w:w="985" w:type="dxa"/>
            <w:tcBorders>
              <w:top w:val="nil"/>
              <w:left w:val="nil"/>
              <w:bottom w:val="single" w:sz="4" w:space="0" w:color="auto"/>
              <w:right w:val="single" w:sz="4" w:space="0" w:color="auto"/>
            </w:tcBorders>
            <w:shd w:val="clear" w:color="auto" w:fill="auto"/>
            <w:vAlign w:val="center"/>
            <w:hideMark/>
          </w:tcPr>
          <w:p w14:paraId="2C049B05"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29/06/2022</w:t>
            </w:r>
          </w:p>
        </w:tc>
        <w:tc>
          <w:tcPr>
            <w:tcW w:w="606" w:type="dxa"/>
            <w:tcBorders>
              <w:top w:val="nil"/>
              <w:left w:val="nil"/>
              <w:bottom w:val="single" w:sz="4" w:space="0" w:color="auto"/>
              <w:right w:val="single" w:sz="4" w:space="0" w:color="auto"/>
            </w:tcBorders>
            <w:shd w:val="clear" w:color="auto" w:fill="auto"/>
            <w:vAlign w:val="center"/>
            <w:hideMark/>
          </w:tcPr>
          <w:p w14:paraId="47BBE8E1"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TIIE+ 120PTS</w:t>
            </w:r>
          </w:p>
        </w:tc>
        <w:tc>
          <w:tcPr>
            <w:tcW w:w="1022" w:type="dxa"/>
            <w:tcBorders>
              <w:top w:val="nil"/>
              <w:left w:val="nil"/>
              <w:bottom w:val="single" w:sz="4" w:space="0" w:color="auto"/>
              <w:right w:val="single" w:sz="4" w:space="0" w:color="auto"/>
            </w:tcBorders>
            <w:shd w:val="clear" w:color="auto" w:fill="auto"/>
            <w:vAlign w:val="center"/>
            <w:hideMark/>
          </w:tcPr>
          <w:p w14:paraId="0EE1E652"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2,505,600</w:t>
            </w:r>
          </w:p>
        </w:tc>
        <w:tc>
          <w:tcPr>
            <w:tcW w:w="666" w:type="dxa"/>
            <w:tcBorders>
              <w:top w:val="nil"/>
              <w:left w:val="nil"/>
              <w:bottom w:val="single" w:sz="4" w:space="0" w:color="auto"/>
              <w:right w:val="single" w:sz="4" w:space="0" w:color="auto"/>
            </w:tcBorders>
            <w:shd w:val="clear" w:color="auto" w:fill="auto"/>
            <w:vAlign w:val="center"/>
            <w:hideMark/>
          </w:tcPr>
          <w:p w14:paraId="0B4D7E75"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10.07%</w:t>
            </w:r>
          </w:p>
        </w:tc>
      </w:tr>
      <w:tr w:rsidR="00D85982" w:rsidRPr="00D85982" w14:paraId="10E10DAA" w14:textId="77777777" w:rsidTr="00363D97">
        <w:trPr>
          <w:trHeight w:val="290"/>
        </w:trPr>
        <w:tc>
          <w:tcPr>
            <w:tcW w:w="673" w:type="dxa"/>
            <w:tcBorders>
              <w:top w:val="nil"/>
              <w:left w:val="single" w:sz="4" w:space="0" w:color="auto"/>
              <w:bottom w:val="single" w:sz="4" w:space="0" w:color="auto"/>
              <w:right w:val="single" w:sz="4" w:space="0" w:color="auto"/>
            </w:tcBorders>
            <w:shd w:val="clear" w:color="auto" w:fill="auto"/>
            <w:vAlign w:val="center"/>
            <w:hideMark/>
          </w:tcPr>
          <w:p w14:paraId="083B5DF7" w14:textId="77777777" w:rsidR="00D85982" w:rsidRPr="00D85982" w:rsidRDefault="00D85982" w:rsidP="00D85982">
            <w:pPr>
              <w:spacing w:after="0" w:line="240" w:lineRule="auto"/>
              <w:jc w:val="both"/>
              <w:rPr>
                <w:rFonts w:eastAsia="Times New Roman" w:cs="Calibri"/>
                <w:color w:val="000000"/>
                <w:sz w:val="12"/>
                <w:szCs w:val="12"/>
                <w:lang w:eastAsia="es-MX"/>
              </w:rPr>
            </w:pPr>
            <w:r w:rsidRPr="00D85982">
              <w:rPr>
                <w:rFonts w:eastAsia="Times New Roman" w:cs="Calibri"/>
                <w:color w:val="000000"/>
                <w:sz w:val="12"/>
                <w:szCs w:val="12"/>
                <w:lang w:eastAsia="es-MX"/>
              </w:rPr>
              <w:t>Banco Santander S.A,de C.V.</w:t>
            </w:r>
          </w:p>
        </w:tc>
        <w:tc>
          <w:tcPr>
            <w:tcW w:w="958" w:type="dxa"/>
            <w:tcBorders>
              <w:top w:val="nil"/>
              <w:left w:val="nil"/>
              <w:bottom w:val="single" w:sz="4" w:space="0" w:color="auto"/>
              <w:right w:val="single" w:sz="4" w:space="0" w:color="auto"/>
            </w:tcBorders>
            <w:shd w:val="clear" w:color="auto" w:fill="auto"/>
            <w:vAlign w:val="center"/>
            <w:hideMark/>
          </w:tcPr>
          <w:p w14:paraId="68908141"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1,000,000,000</w:t>
            </w:r>
          </w:p>
        </w:tc>
        <w:tc>
          <w:tcPr>
            <w:tcW w:w="958" w:type="dxa"/>
            <w:tcBorders>
              <w:top w:val="nil"/>
              <w:left w:val="nil"/>
              <w:bottom w:val="single" w:sz="4" w:space="0" w:color="auto"/>
              <w:right w:val="single" w:sz="4" w:space="0" w:color="auto"/>
            </w:tcBorders>
            <w:shd w:val="clear" w:color="auto" w:fill="auto"/>
            <w:vAlign w:val="center"/>
            <w:hideMark/>
          </w:tcPr>
          <w:p w14:paraId="0ABB811E"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958" w:type="dxa"/>
            <w:tcBorders>
              <w:top w:val="nil"/>
              <w:left w:val="nil"/>
              <w:bottom w:val="single" w:sz="4" w:space="0" w:color="auto"/>
              <w:right w:val="single" w:sz="4" w:space="0" w:color="auto"/>
            </w:tcBorders>
            <w:shd w:val="clear" w:color="auto" w:fill="auto"/>
            <w:vAlign w:val="center"/>
            <w:hideMark/>
          </w:tcPr>
          <w:p w14:paraId="565521F5"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1,000,000,000</w:t>
            </w:r>
          </w:p>
        </w:tc>
        <w:tc>
          <w:tcPr>
            <w:tcW w:w="1026" w:type="dxa"/>
            <w:tcBorders>
              <w:top w:val="nil"/>
              <w:left w:val="nil"/>
              <w:bottom w:val="single" w:sz="4" w:space="0" w:color="auto"/>
              <w:right w:val="single" w:sz="4" w:space="0" w:color="auto"/>
            </w:tcBorders>
            <w:shd w:val="clear" w:color="auto" w:fill="auto"/>
            <w:vAlign w:val="center"/>
            <w:hideMark/>
          </w:tcPr>
          <w:p w14:paraId="1B04877A"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958" w:type="dxa"/>
            <w:tcBorders>
              <w:top w:val="nil"/>
              <w:left w:val="nil"/>
              <w:bottom w:val="single" w:sz="4" w:space="0" w:color="auto"/>
              <w:right w:val="single" w:sz="4" w:space="0" w:color="auto"/>
            </w:tcBorders>
            <w:shd w:val="clear" w:color="auto" w:fill="auto"/>
            <w:vAlign w:val="center"/>
            <w:hideMark/>
          </w:tcPr>
          <w:p w14:paraId="17CE1423"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1,000,000,000</w:t>
            </w:r>
          </w:p>
        </w:tc>
        <w:tc>
          <w:tcPr>
            <w:tcW w:w="843" w:type="dxa"/>
            <w:tcBorders>
              <w:top w:val="nil"/>
              <w:left w:val="nil"/>
              <w:bottom w:val="single" w:sz="4" w:space="0" w:color="auto"/>
              <w:right w:val="single" w:sz="4" w:space="0" w:color="auto"/>
            </w:tcBorders>
            <w:shd w:val="clear" w:color="auto" w:fill="auto"/>
            <w:vAlign w:val="center"/>
            <w:hideMark/>
          </w:tcPr>
          <w:p w14:paraId="57E73AC3"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985" w:type="dxa"/>
            <w:tcBorders>
              <w:top w:val="nil"/>
              <w:left w:val="nil"/>
              <w:bottom w:val="single" w:sz="4" w:space="0" w:color="auto"/>
              <w:right w:val="single" w:sz="4" w:space="0" w:color="auto"/>
            </w:tcBorders>
            <w:shd w:val="clear" w:color="auto" w:fill="auto"/>
            <w:vAlign w:val="center"/>
            <w:hideMark/>
          </w:tcPr>
          <w:p w14:paraId="5CC61F95"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13/12/2023</w:t>
            </w:r>
          </w:p>
        </w:tc>
        <w:tc>
          <w:tcPr>
            <w:tcW w:w="606" w:type="dxa"/>
            <w:tcBorders>
              <w:top w:val="nil"/>
              <w:left w:val="nil"/>
              <w:bottom w:val="single" w:sz="4" w:space="0" w:color="auto"/>
              <w:right w:val="single" w:sz="4" w:space="0" w:color="auto"/>
            </w:tcBorders>
            <w:shd w:val="clear" w:color="auto" w:fill="auto"/>
            <w:vAlign w:val="center"/>
            <w:hideMark/>
          </w:tcPr>
          <w:p w14:paraId="37B681AE"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TIIE+ 40PTS</w:t>
            </w:r>
          </w:p>
        </w:tc>
        <w:tc>
          <w:tcPr>
            <w:tcW w:w="1022" w:type="dxa"/>
            <w:tcBorders>
              <w:top w:val="nil"/>
              <w:left w:val="nil"/>
              <w:bottom w:val="single" w:sz="4" w:space="0" w:color="auto"/>
              <w:right w:val="single" w:sz="4" w:space="0" w:color="auto"/>
            </w:tcBorders>
            <w:shd w:val="clear" w:color="auto" w:fill="auto"/>
            <w:vAlign w:val="center"/>
            <w:hideMark/>
          </w:tcPr>
          <w:p w14:paraId="6F99AEEC"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666" w:type="dxa"/>
            <w:tcBorders>
              <w:top w:val="nil"/>
              <w:left w:val="nil"/>
              <w:bottom w:val="single" w:sz="4" w:space="0" w:color="auto"/>
              <w:right w:val="single" w:sz="4" w:space="0" w:color="auto"/>
            </w:tcBorders>
            <w:shd w:val="clear" w:color="auto" w:fill="auto"/>
            <w:vAlign w:val="center"/>
            <w:hideMark/>
          </w:tcPr>
          <w:p w14:paraId="75D89535"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11.18%</w:t>
            </w:r>
          </w:p>
        </w:tc>
      </w:tr>
      <w:tr w:rsidR="00D85982" w:rsidRPr="00363D97" w14:paraId="5B50027C" w14:textId="77777777" w:rsidTr="00363D97">
        <w:trPr>
          <w:trHeight w:val="340"/>
        </w:trPr>
        <w:tc>
          <w:tcPr>
            <w:tcW w:w="673" w:type="dxa"/>
            <w:tcBorders>
              <w:top w:val="nil"/>
              <w:left w:val="single" w:sz="4" w:space="0" w:color="auto"/>
              <w:bottom w:val="single" w:sz="4" w:space="0" w:color="auto"/>
              <w:right w:val="single" w:sz="4" w:space="0" w:color="auto"/>
            </w:tcBorders>
            <w:shd w:val="clear" w:color="000000" w:fill="DDC9A3"/>
            <w:vAlign w:val="center"/>
            <w:hideMark/>
          </w:tcPr>
          <w:p w14:paraId="24D5EC88" w14:textId="77777777" w:rsidR="00D85982" w:rsidRPr="00363D97" w:rsidRDefault="00D85982" w:rsidP="00D85982">
            <w:pPr>
              <w:spacing w:after="0" w:line="240" w:lineRule="auto"/>
              <w:jc w:val="center"/>
              <w:rPr>
                <w:rFonts w:eastAsia="Times New Roman" w:cs="Calibri"/>
                <w:b/>
                <w:bCs/>
                <w:color w:val="000000"/>
                <w:sz w:val="14"/>
                <w:szCs w:val="12"/>
                <w:lang w:eastAsia="es-MX"/>
              </w:rPr>
            </w:pPr>
            <w:r w:rsidRPr="00363D97">
              <w:rPr>
                <w:rFonts w:eastAsia="Times New Roman" w:cs="Calibri"/>
                <w:b/>
                <w:bCs/>
                <w:color w:val="000000"/>
                <w:sz w:val="14"/>
                <w:szCs w:val="12"/>
                <w:lang w:eastAsia="es-MX"/>
              </w:rPr>
              <w:t> </w:t>
            </w:r>
          </w:p>
        </w:tc>
        <w:tc>
          <w:tcPr>
            <w:tcW w:w="958" w:type="dxa"/>
            <w:tcBorders>
              <w:top w:val="nil"/>
              <w:left w:val="nil"/>
              <w:bottom w:val="single" w:sz="4" w:space="0" w:color="auto"/>
              <w:right w:val="single" w:sz="4" w:space="0" w:color="auto"/>
            </w:tcBorders>
            <w:shd w:val="clear" w:color="000000" w:fill="DDC9A3"/>
            <w:vAlign w:val="center"/>
            <w:hideMark/>
          </w:tcPr>
          <w:p w14:paraId="3DDFD29B" w14:textId="77777777" w:rsidR="00D85982" w:rsidRPr="00363D97" w:rsidRDefault="00D85982" w:rsidP="00D85982">
            <w:pPr>
              <w:spacing w:after="0" w:line="240" w:lineRule="auto"/>
              <w:jc w:val="right"/>
              <w:rPr>
                <w:rFonts w:eastAsia="Times New Roman" w:cs="Calibri"/>
                <w:b/>
                <w:bCs/>
                <w:color w:val="000000"/>
                <w:sz w:val="14"/>
                <w:szCs w:val="12"/>
                <w:lang w:eastAsia="es-MX"/>
              </w:rPr>
            </w:pPr>
            <w:r w:rsidRPr="00363D97">
              <w:rPr>
                <w:rFonts w:eastAsia="Times New Roman" w:cs="Calibri"/>
                <w:b/>
                <w:bCs/>
                <w:color w:val="000000"/>
                <w:sz w:val="14"/>
                <w:szCs w:val="12"/>
                <w:lang w:eastAsia="es-MX"/>
              </w:rPr>
              <w:t>2,750,000,000</w:t>
            </w:r>
          </w:p>
        </w:tc>
        <w:tc>
          <w:tcPr>
            <w:tcW w:w="958" w:type="dxa"/>
            <w:tcBorders>
              <w:top w:val="nil"/>
              <w:left w:val="nil"/>
              <w:bottom w:val="single" w:sz="4" w:space="0" w:color="auto"/>
              <w:right w:val="single" w:sz="4" w:space="0" w:color="auto"/>
            </w:tcBorders>
            <w:shd w:val="clear" w:color="000000" w:fill="DDC9A3"/>
            <w:vAlign w:val="center"/>
            <w:hideMark/>
          </w:tcPr>
          <w:p w14:paraId="4E9F5CCC" w14:textId="77777777" w:rsidR="00D85982" w:rsidRPr="00363D97" w:rsidRDefault="00D85982" w:rsidP="00D85982">
            <w:pPr>
              <w:spacing w:after="0" w:line="240" w:lineRule="auto"/>
              <w:jc w:val="right"/>
              <w:rPr>
                <w:rFonts w:eastAsia="Times New Roman" w:cs="Calibri"/>
                <w:b/>
                <w:bCs/>
                <w:color w:val="000000"/>
                <w:sz w:val="14"/>
                <w:szCs w:val="12"/>
                <w:lang w:eastAsia="es-MX"/>
              </w:rPr>
            </w:pPr>
            <w:r w:rsidRPr="00363D97">
              <w:rPr>
                <w:rFonts w:eastAsia="Times New Roman" w:cs="Calibri"/>
                <w:b/>
                <w:bCs/>
                <w:color w:val="000000"/>
                <w:sz w:val="14"/>
                <w:szCs w:val="12"/>
                <w:lang w:eastAsia="es-MX"/>
              </w:rPr>
              <w:t>1,510,000,000</w:t>
            </w:r>
          </w:p>
        </w:tc>
        <w:tc>
          <w:tcPr>
            <w:tcW w:w="958" w:type="dxa"/>
            <w:tcBorders>
              <w:top w:val="nil"/>
              <w:left w:val="nil"/>
              <w:bottom w:val="single" w:sz="4" w:space="0" w:color="auto"/>
              <w:right w:val="single" w:sz="4" w:space="0" w:color="auto"/>
            </w:tcBorders>
            <w:shd w:val="clear" w:color="000000" w:fill="DDC9A3"/>
            <w:vAlign w:val="center"/>
            <w:hideMark/>
          </w:tcPr>
          <w:p w14:paraId="52B7EBCE" w14:textId="77777777" w:rsidR="00D85982" w:rsidRPr="00363D97" w:rsidRDefault="00D85982" w:rsidP="00D85982">
            <w:pPr>
              <w:spacing w:after="0" w:line="240" w:lineRule="auto"/>
              <w:jc w:val="right"/>
              <w:rPr>
                <w:rFonts w:eastAsia="Times New Roman" w:cs="Calibri"/>
                <w:b/>
                <w:bCs/>
                <w:color w:val="000000"/>
                <w:sz w:val="14"/>
                <w:szCs w:val="12"/>
                <w:lang w:eastAsia="es-MX"/>
              </w:rPr>
            </w:pPr>
            <w:r w:rsidRPr="00363D97">
              <w:rPr>
                <w:rFonts w:eastAsia="Times New Roman" w:cs="Calibri"/>
                <w:b/>
                <w:bCs/>
                <w:color w:val="000000"/>
                <w:sz w:val="14"/>
                <w:szCs w:val="12"/>
                <w:lang w:eastAsia="es-MX"/>
              </w:rPr>
              <w:t>1,240,000,000</w:t>
            </w:r>
          </w:p>
        </w:tc>
        <w:tc>
          <w:tcPr>
            <w:tcW w:w="1026" w:type="dxa"/>
            <w:tcBorders>
              <w:top w:val="nil"/>
              <w:left w:val="nil"/>
              <w:bottom w:val="single" w:sz="4" w:space="0" w:color="auto"/>
              <w:right w:val="single" w:sz="4" w:space="0" w:color="auto"/>
            </w:tcBorders>
            <w:shd w:val="clear" w:color="000000" w:fill="DDC9A3"/>
            <w:vAlign w:val="center"/>
            <w:hideMark/>
          </w:tcPr>
          <w:p w14:paraId="74DE14AD" w14:textId="77777777" w:rsidR="00D85982" w:rsidRPr="00363D97" w:rsidRDefault="00D85982" w:rsidP="00D85982">
            <w:pPr>
              <w:spacing w:after="0" w:line="240" w:lineRule="auto"/>
              <w:jc w:val="right"/>
              <w:rPr>
                <w:rFonts w:eastAsia="Times New Roman" w:cs="Calibri"/>
                <w:b/>
                <w:bCs/>
                <w:color w:val="000000"/>
                <w:sz w:val="14"/>
                <w:szCs w:val="12"/>
                <w:lang w:eastAsia="es-MX"/>
              </w:rPr>
            </w:pPr>
            <w:r w:rsidRPr="00363D97">
              <w:rPr>
                <w:rFonts w:eastAsia="Times New Roman" w:cs="Calibri"/>
                <w:b/>
                <w:bCs/>
                <w:color w:val="000000"/>
                <w:sz w:val="14"/>
                <w:szCs w:val="12"/>
                <w:lang w:eastAsia="es-MX"/>
              </w:rPr>
              <w:t>1,750,000,000</w:t>
            </w:r>
          </w:p>
        </w:tc>
        <w:tc>
          <w:tcPr>
            <w:tcW w:w="958" w:type="dxa"/>
            <w:tcBorders>
              <w:top w:val="nil"/>
              <w:left w:val="nil"/>
              <w:bottom w:val="single" w:sz="4" w:space="0" w:color="auto"/>
              <w:right w:val="single" w:sz="4" w:space="0" w:color="auto"/>
            </w:tcBorders>
            <w:shd w:val="clear" w:color="000000" w:fill="DDC9A3"/>
            <w:vAlign w:val="center"/>
            <w:hideMark/>
          </w:tcPr>
          <w:p w14:paraId="06CC1EB2" w14:textId="77777777" w:rsidR="00D85982" w:rsidRPr="00363D97" w:rsidRDefault="00D85982" w:rsidP="00D85982">
            <w:pPr>
              <w:spacing w:after="0" w:line="240" w:lineRule="auto"/>
              <w:jc w:val="right"/>
              <w:rPr>
                <w:rFonts w:eastAsia="Times New Roman" w:cs="Calibri"/>
                <w:b/>
                <w:bCs/>
                <w:color w:val="000000"/>
                <w:sz w:val="14"/>
                <w:szCs w:val="12"/>
                <w:lang w:eastAsia="es-MX"/>
              </w:rPr>
            </w:pPr>
            <w:r w:rsidRPr="00363D97">
              <w:rPr>
                <w:rFonts w:eastAsia="Times New Roman" w:cs="Calibri"/>
                <w:b/>
                <w:bCs/>
                <w:color w:val="000000"/>
                <w:sz w:val="14"/>
                <w:szCs w:val="12"/>
                <w:lang w:eastAsia="es-MX"/>
              </w:rPr>
              <w:t>1,000,000,000</w:t>
            </w:r>
          </w:p>
        </w:tc>
        <w:tc>
          <w:tcPr>
            <w:tcW w:w="843" w:type="dxa"/>
            <w:tcBorders>
              <w:top w:val="nil"/>
              <w:left w:val="nil"/>
              <w:bottom w:val="single" w:sz="4" w:space="0" w:color="auto"/>
              <w:right w:val="single" w:sz="4" w:space="0" w:color="auto"/>
            </w:tcBorders>
            <w:shd w:val="clear" w:color="000000" w:fill="DDC9A3"/>
            <w:vAlign w:val="center"/>
            <w:hideMark/>
          </w:tcPr>
          <w:p w14:paraId="5FC2513A" w14:textId="7B402910" w:rsidR="00D85982" w:rsidRPr="00363D97" w:rsidRDefault="00D85982" w:rsidP="00C34A0D">
            <w:pPr>
              <w:spacing w:after="0" w:line="240" w:lineRule="auto"/>
              <w:jc w:val="right"/>
              <w:rPr>
                <w:rFonts w:eastAsia="Times New Roman" w:cs="Calibri"/>
                <w:b/>
                <w:bCs/>
                <w:color w:val="000000"/>
                <w:sz w:val="14"/>
                <w:szCs w:val="12"/>
                <w:lang w:eastAsia="es-MX"/>
              </w:rPr>
            </w:pPr>
            <w:r w:rsidRPr="00363D97">
              <w:rPr>
                <w:rFonts w:eastAsia="Times New Roman" w:cs="Calibri"/>
                <w:b/>
                <w:bCs/>
                <w:color w:val="000000"/>
                <w:sz w:val="14"/>
                <w:szCs w:val="12"/>
                <w:lang w:eastAsia="es-MX"/>
              </w:rPr>
              <w:t>31,591,43</w:t>
            </w:r>
            <w:r w:rsidR="00C34A0D">
              <w:rPr>
                <w:rFonts w:eastAsia="Times New Roman" w:cs="Calibri"/>
                <w:b/>
                <w:bCs/>
                <w:color w:val="000000"/>
                <w:sz w:val="14"/>
                <w:szCs w:val="12"/>
                <w:lang w:eastAsia="es-MX"/>
              </w:rPr>
              <w:t>2</w:t>
            </w:r>
          </w:p>
        </w:tc>
        <w:tc>
          <w:tcPr>
            <w:tcW w:w="985" w:type="dxa"/>
            <w:tcBorders>
              <w:top w:val="nil"/>
              <w:left w:val="nil"/>
              <w:bottom w:val="single" w:sz="4" w:space="0" w:color="auto"/>
              <w:right w:val="single" w:sz="4" w:space="0" w:color="auto"/>
            </w:tcBorders>
            <w:shd w:val="clear" w:color="000000" w:fill="DDC9A3"/>
            <w:vAlign w:val="center"/>
            <w:hideMark/>
          </w:tcPr>
          <w:p w14:paraId="3CB3119C" w14:textId="77777777" w:rsidR="00D85982" w:rsidRPr="00363D97" w:rsidRDefault="00D85982" w:rsidP="00D85982">
            <w:pPr>
              <w:spacing w:after="0" w:line="240" w:lineRule="auto"/>
              <w:jc w:val="right"/>
              <w:rPr>
                <w:rFonts w:eastAsia="Times New Roman" w:cs="Calibri"/>
                <w:b/>
                <w:bCs/>
                <w:color w:val="000000"/>
                <w:sz w:val="14"/>
                <w:szCs w:val="12"/>
                <w:lang w:eastAsia="es-MX"/>
              </w:rPr>
            </w:pPr>
            <w:r w:rsidRPr="00363D97">
              <w:rPr>
                <w:rFonts w:eastAsia="Times New Roman" w:cs="Calibri"/>
                <w:b/>
                <w:bCs/>
                <w:color w:val="000000"/>
                <w:sz w:val="14"/>
                <w:szCs w:val="12"/>
                <w:lang w:eastAsia="es-MX"/>
              </w:rPr>
              <w:t> </w:t>
            </w:r>
          </w:p>
        </w:tc>
        <w:tc>
          <w:tcPr>
            <w:tcW w:w="606" w:type="dxa"/>
            <w:tcBorders>
              <w:top w:val="nil"/>
              <w:left w:val="nil"/>
              <w:bottom w:val="single" w:sz="4" w:space="0" w:color="auto"/>
              <w:right w:val="single" w:sz="4" w:space="0" w:color="auto"/>
            </w:tcBorders>
            <w:shd w:val="clear" w:color="000000" w:fill="DDC9A3"/>
            <w:vAlign w:val="center"/>
            <w:hideMark/>
          </w:tcPr>
          <w:p w14:paraId="3CB76AF5" w14:textId="77777777" w:rsidR="00D85982" w:rsidRPr="00363D97" w:rsidRDefault="00D85982" w:rsidP="00D85982">
            <w:pPr>
              <w:spacing w:after="0" w:line="240" w:lineRule="auto"/>
              <w:jc w:val="right"/>
              <w:rPr>
                <w:rFonts w:eastAsia="Times New Roman" w:cs="Calibri"/>
                <w:b/>
                <w:bCs/>
                <w:color w:val="000000"/>
                <w:sz w:val="14"/>
                <w:szCs w:val="12"/>
                <w:lang w:eastAsia="es-MX"/>
              </w:rPr>
            </w:pPr>
            <w:r w:rsidRPr="00363D97">
              <w:rPr>
                <w:rFonts w:eastAsia="Times New Roman" w:cs="Calibri"/>
                <w:b/>
                <w:bCs/>
                <w:color w:val="000000"/>
                <w:sz w:val="14"/>
                <w:szCs w:val="12"/>
                <w:lang w:eastAsia="es-MX"/>
              </w:rPr>
              <w:t> </w:t>
            </w:r>
          </w:p>
        </w:tc>
        <w:tc>
          <w:tcPr>
            <w:tcW w:w="1022" w:type="dxa"/>
            <w:tcBorders>
              <w:top w:val="nil"/>
              <w:left w:val="nil"/>
              <w:bottom w:val="single" w:sz="4" w:space="0" w:color="auto"/>
              <w:right w:val="single" w:sz="4" w:space="0" w:color="auto"/>
            </w:tcBorders>
            <w:shd w:val="clear" w:color="000000" w:fill="DDC9A3"/>
            <w:vAlign w:val="center"/>
            <w:hideMark/>
          </w:tcPr>
          <w:p w14:paraId="638F1850" w14:textId="77777777" w:rsidR="00D85982" w:rsidRPr="00363D97" w:rsidRDefault="00D85982" w:rsidP="00D85982">
            <w:pPr>
              <w:spacing w:after="0" w:line="240" w:lineRule="auto"/>
              <w:jc w:val="right"/>
              <w:rPr>
                <w:rFonts w:eastAsia="Times New Roman" w:cs="Calibri"/>
                <w:b/>
                <w:bCs/>
                <w:color w:val="000000"/>
                <w:sz w:val="14"/>
                <w:szCs w:val="12"/>
                <w:lang w:eastAsia="es-MX"/>
              </w:rPr>
            </w:pPr>
            <w:r w:rsidRPr="00363D97">
              <w:rPr>
                <w:rFonts w:eastAsia="Times New Roman" w:cs="Calibri"/>
                <w:b/>
                <w:bCs/>
                <w:color w:val="000000"/>
                <w:sz w:val="14"/>
                <w:szCs w:val="12"/>
                <w:lang w:eastAsia="es-MX"/>
              </w:rPr>
              <w:t>2,507,164</w:t>
            </w:r>
          </w:p>
        </w:tc>
        <w:tc>
          <w:tcPr>
            <w:tcW w:w="666" w:type="dxa"/>
            <w:tcBorders>
              <w:top w:val="nil"/>
              <w:left w:val="nil"/>
              <w:bottom w:val="single" w:sz="4" w:space="0" w:color="auto"/>
              <w:right w:val="single" w:sz="4" w:space="0" w:color="auto"/>
            </w:tcBorders>
            <w:shd w:val="clear" w:color="000000" w:fill="DDC9A3"/>
            <w:vAlign w:val="center"/>
            <w:hideMark/>
          </w:tcPr>
          <w:p w14:paraId="03A490B4" w14:textId="77777777" w:rsidR="00D85982" w:rsidRPr="00363D97" w:rsidRDefault="00D85982" w:rsidP="00D85982">
            <w:pPr>
              <w:spacing w:after="0" w:line="240" w:lineRule="auto"/>
              <w:jc w:val="right"/>
              <w:rPr>
                <w:rFonts w:eastAsia="Times New Roman" w:cs="Calibri"/>
                <w:b/>
                <w:bCs/>
                <w:color w:val="000000"/>
                <w:sz w:val="14"/>
                <w:szCs w:val="12"/>
                <w:lang w:eastAsia="es-MX"/>
              </w:rPr>
            </w:pPr>
            <w:r w:rsidRPr="00363D97">
              <w:rPr>
                <w:rFonts w:eastAsia="Times New Roman" w:cs="Calibri"/>
                <w:b/>
                <w:bCs/>
                <w:color w:val="000000"/>
                <w:sz w:val="14"/>
                <w:szCs w:val="12"/>
                <w:lang w:eastAsia="es-MX"/>
              </w:rPr>
              <w:t> </w:t>
            </w:r>
          </w:p>
        </w:tc>
      </w:tr>
    </w:tbl>
    <w:p w14:paraId="45609D30" w14:textId="77777777" w:rsidR="00F93BA3" w:rsidRPr="005F45A3" w:rsidRDefault="00F93BA3" w:rsidP="00CC790B">
      <w:pPr>
        <w:spacing w:after="0"/>
        <w:jc w:val="both"/>
        <w:rPr>
          <w:rFonts w:asciiTheme="minorHAnsi" w:hAnsiTheme="minorHAnsi" w:cstheme="minorHAnsi"/>
          <w:sz w:val="16"/>
          <w:szCs w:val="16"/>
        </w:rPr>
      </w:pPr>
    </w:p>
    <w:p w14:paraId="5C63A6D7" w14:textId="0F6A8F70" w:rsidR="0053722B" w:rsidRPr="005F45A3" w:rsidRDefault="0053722B" w:rsidP="00CC790B">
      <w:pPr>
        <w:spacing w:after="0"/>
        <w:jc w:val="both"/>
        <w:rPr>
          <w:rFonts w:asciiTheme="minorHAnsi" w:hAnsiTheme="minorHAnsi" w:cstheme="minorHAnsi"/>
          <w:sz w:val="12"/>
          <w:szCs w:val="16"/>
        </w:rPr>
      </w:pPr>
    </w:p>
    <w:p w14:paraId="760473DF" w14:textId="77777777" w:rsidR="00B4706F" w:rsidRPr="005F45A3" w:rsidRDefault="00043DCF" w:rsidP="00B46FFA">
      <w:pPr>
        <w:pStyle w:val="Prrafodelista"/>
        <w:numPr>
          <w:ilvl w:val="0"/>
          <w:numId w:val="21"/>
        </w:numPr>
        <w:spacing w:after="0" w:line="240" w:lineRule="auto"/>
        <w:ind w:left="-426" w:firstLine="142"/>
        <w:rPr>
          <w:rFonts w:asciiTheme="minorHAnsi" w:hAnsiTheme="minorHAnsi" w:cstheme="minorHAnsi"/>
          <w:b/>
          <w:sz w:val="20"/>
          <w:lang w:val="es-ES" w:eastAsia="es-ES"/>
        </w:rPr>
      </w:pPr>
      <w:r w:rsidRPr="005F45A3">
        <w:rPr>
          <w:rFonts w:asciiTheme="minorHAnsi" w:hAnsiTheme="minorHAnsi" w:cstheme="minorHAnsi"/>
          <w:b/>
          <w:sz w:val="20"/>
          <w:lang w:val="es-ES" w:eastAsia="es-ES"/>
        </w:rPr>
        <w:t>Fondos de Bienes de Terceros en Administración y/o en Garantía a Corto Plazo</w:t>
      </w:r>
    </w:p>
    <w:p w14:paraId="23DE3630" w14:textId="77777777" w:rsidR="00B4706F" w:rsidRPr="005F45A3" w:rsidRDefault="00B4706F" w:rsidP="003D7ABC">
      <w:pPr>
        <w:spacing w:after="0" w:line="240" w:lineRule="auto"/>
        <w:ind w:left="-284" w:hanging="283"/>
        <w:rPr>
          <w:rFonts w:asciiTheme="minorHAnsi" w:hAnsiTheme="minorHAnsi" w:cstheme="minorHAnsi"/>
          <w:sz w:val="14"/>
          <w:lang w:val="es-ES" w:eastAsia="es-ES"/>
        </w:rPr>
      </w:pPr>
    </w:p>
    <w:p w14:paraId="1ED192CD" w14:textId="77777777" w:rsidR="00B4706F" w:rsidRDefault="00ED10D9" w:rsidP="000C5510">
      <w:pPr>
        <w:spacing w:after="0" w:line="240" w:lineRule="auto"/>
        <w:rPr>
          <w:rFonts w:asciiTheme="minorHAnsi" w:hAnsiTheme="minorHAnsi" w:cstheme="minorHAnsi"/>
          <w:sz w:val="18"/>
          <w:lang w:val="es-ES" w:eastAsia="es-ES"/>
        </w:rPr>
      </w:pPr>
      <w:r w:rsidRPr="005F45A3">
        <w:rPr>
          <w:rFonts w:asciiTheme="minorHAnsi" w:hAnsiTheme="minorHAnsi" w:cstheme="minorHAnsi"/>
          <w:sz w:val="18"/>
          <w:lang w:val="es-ES" w:eastAsia="es-ES"/>
        </w:rPr>
        <w:t>Fondos en Garantía a Corto Plazo</w:t>
      </w:r>
    </w:p>
    <w:p w14:paraId="32DCA10B" w14:textId="77777777" w:rsidR="00C56022" w:rsidRDefault="00C56022" w:rsidP="000C5510">
      <w:pPr>
        <w:spacing w:after="0" w:line="240" w:lineRule="auto"/>
        <w:rPr>
          <w:rFonts w:asciiTheme="minorHAnsi" w:hAnsiTheme="minorHAnsi" w:cstheme="minorHAnsi"/>
          <w:sz w:val="18"/>
          <w:lang w:val="es-ES" w:eastAsia="es-ES"/>
        </w:rPr>
      </w:pPr>
    </w:p>
    <w:tbl>
      <w:tblPr>
        <w:tblW w:w="5518" w:type="dxa"/>
        <w:tblCellMar>
          <w:left w:w="70" w:type="dxa"/>
          <w:right w:w="70" w:type="dxa"/>
        </w:tblCellMar>
        <w:tblLook w:val="04A0" w:firstRow="1" w:lastRow="0" w:firstColumn="1" w:lastColumn="0" w:noHBand="0" w:noVBand="1"/>
      </w:tblPr>
      <w:tblGrid>
        <w:gridCol w:w="3736"/>
        <w:gridCol w:w="1782"/>
      </w:tblGrid>
      <w:tr w:rsidR="00C56022" w:rsidRPr="00C56022" w14:paraId="0BBCFB1D" w14:textId="77777777" w:rsidTr="00C56022">
        <w:trPr>
          <w:trHeight w:val="418"/>
        </w:trPr>
        <w:tc>
          <w:tcPr>
            <w:tcW w:w="3736"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5D03EC09" w14:textId="77777777" w:rsidR="00C56022" w:rsidRPr="00C56022" w:rsidRDefault="00C56022" w:rsidP="00C56022">
            <w:pPr>
              <w:spacing w:after="0" w:line="240" w:lineRule="auto"/>
              <w:jc w:val="center"/>
              <w:rPr>
                <w:rFonts w:eastAsia="Times New Roman" w:cs="Calibri"/>
                <w:b/>
                <w:bCs/>
                <w:color w:val="FFFFFF"/>
                <w:sz w:val="16"/>
                <w:szCs w:val="16"/>
                <w:lang w:eastAsia="es-MX"/>
              </w:rPr>
            </w:pPr>
            <w:r w:rsidRPr="00C56022">
              <w:rPr>
                <w:rFonts w:eastAsia="Times New Roman" w:cs="Calibri"/>
                <w:b/>
                <w:bCs/>
                <w:color w:val="FFFFFF"/>
                <w:sz w:val="16"/>
                <w:szCs w:val="16"/>
                <w:lang w:eastAsia="es-MX"/>
              </w:rPr>
              <w:t>Fondos en Garantía a Corto Plazo</w:t>
            </w:r>
          </w:p>
        </w:tc>
        <w:tc>
          <w:tcPr>
            <w:tcW w:w="1782" w:type="dxa"/>
            <w:tcBorders>
              <w:top w:val="single" w:sz="4" w:space="0" w:color="auto"/>
              <w:left w:val="nil"/>
              <w:bottom w:val="single" w:sz="4" w:space="0" w:color="auto"/>
              <w:right w:val="single" w:sz="4" w:space="0" w:color="auto"/>
            </w:tcBorders>
            <w:shd w:val="clear" w:color="000000" w:fill="AB0033"/>
            <w:vAlign w:val="center"/>
            <w:hideMark/>
          </w:tcPr>
          <w:p w14:paraId="7A82ECA2" w14:textId="77777777" w:rsidR="00C56022" w:rsidRPr="00C56022" w:rsidRDefault="00C56022" w:rsidP="00C56022">
            <w:pPr>
              <w:spacing w:after="0" w:line="240" w:lineRule="auto"/>
              <w:jc w:val="center"/>
              <w:rPr>
                <w:rFonts w:eastAsia="Times New Roman" w:cs="Calibri"/>
                <w:b/>
                <w:bCs/>
                <w:color w:val="FFFFFF"/>
                <w:sz w:val="16"/>
                <w:szCs w:val="16"/>
                <w:lang w:eastAsia="es-MX"/>
              </w:rPr>
            </w:pPr>
            <w:r w:rsidRPr="00C56022">
              <w:rPr>
                <w:rFonts w:eastAsia="Times New Roman" w:cs="Calibri"/>
                <w:b/>
                <w:bCs/>
                <w:color w:val="FFFFFF"/>
                <w:sz w:val="16"/>
                <w:szCs w:val="16"/>
                <w:lang w:eastAsia="es-MX"/>
              </w:rPr>
              <w:t xml:space="preserve">Importe </w:t>
            </w:r>
          </w:p>
        </w:tc>
      </w:tr>
      <w:tr w:rsidR="00C56022" w:rsidRPr="00C56022" w14:paraId="78786F45" w14:textId="77777777" w:rsidTr="00C56022">
        <w:trPr>
          <w:trHeight w:val="335"/>
        </w:trPr>
        <w:tc>
          <w:tcPr>
            <w:tcW w:w="3736" w:type="dxa"/>
            <w:tcBorders>
              <w:top w:val="nil"/>
              <w:left w:val="single" w:sz="4" w:space="0" w:color="auto"/>
              <w:bottom w:val="single" w:sz="4" w:space="0" w:color="auto"/>
              <w:right w:val="single" w:sz="4" w:space="0" w:color="auto"/>
            </w:tcBorders>
            <w:shd w:val="clear" w:color="auto" w:fill="auto"/>
            <w:vAlign w:val="center"/>
            <w:hideMark/>
          </w:tcPr>
          <w:p w14:paraId="6BFA4F8A" w14:textId="77777777" w:rsidR="00C56022" w:rsidRPr="00C56022" w:rsidRDefault="00C56022" w:rsidP="00C56022">
            <w:pPr>
              <w:spacing w:after="0" w:line="240" w:lineRule="auto"/>
              <w:jc w:val="both"/>
              <w:rPr>
                <w:rFonts w:eastAsia="Times New Roman" w:cs="Calibri"/>
                <w:color w:val="000000"/>
                <w:sz w:val="14"/>
                <w:szCs w:val="14"/>
                <w:lang w:eastAsia="es-MX"/>
              </w:rPr>
            </w:pPr>
            <w:r w:rsidRPr="00C56022">
              <w:rPr>
                <w:rFonts w:eastAsia="Times New Roman" w:cs="Calibri"/>
                <w:color w:val="000000"/>
                <w:sz w:val="14"/>
                <w:szCs w:val="14"/>
                <w:lang w:eastAsia="es-MX"/>
              </w:rPr>
              <w:t xml:space="preserve">Depósitos en garantía de impuestos   </w:t>
            </w:r>
          </w:p>
        </w:tc>
        <w:tc>
          <w:tcPr>
            <w:tcW w:w="1782" w:type="dxa"/>
            <w:tcBorders>
              <w:top w:val="nil"/>
              <w:left w:val="nil"/>
              <w:bottom w:val="single" w:sz="4" w:space="0" w:color="auto"/>
              <w:right w:val="single" w:sz="4" w:space="0" w:color="auto"/>
            </w:tcBorders>
            <w:shd w:val="clear" w:color="auto" w:fill="auto"/>
            <w:vAlign w:val="center"/>
            <w:hideMark/>
          </w:tcPr>
          <w:p w14:paraId="7CCA5053"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14,218,367</w:t>
            </w:r>
          </w:p>
        </w:tc>
      </w:tr>
      <w:tr w:rsidR="00C56022" w:rsidRPr="00C56022" w14:paraId="6221B0E8" w14:textId="77777777" w:rsidTr="00C56022">
        <w:trPr>
          <w:trHeight w:val="335"/>
        </w:trPr>
        <w:tc>
          <w:tcPr>
            <w:tcW w:w="3736" w:type="dxa"/>
            <w:tcBorders>
              <w:top w:val="nil"/>
              <w:left w:val="single" w:sz="4" w:space="0" w:color="auto"/>
              <w:bottom w:val="single" w:sz="4" w:space="0" w:color="auto"/>
              <w:right w:val="single" w:sz="4" w:space="0" w:color="auto"/>
            </w:tcBorders>
            <w:shd w:val="clear" w:color="auto" w:fill="auto"/>
            <w:vAlign w:val="center"/>
            <w:hideMark/>
          </w:tcPr>
          <w:p w14:paraId="3F51924B" w14:textId="77777777" w:rsidR="00C56022" w:rsidRPr="00C56022" w:rsidRDefault="00C56022" w:rsidP="00C56022">
            <w:pPr>
              <w:spacing w:after="0" w:line="240" w:lineRule="auto"/>
              <w:jc w:val="both"/>
              <w:rPr>
                <w:rFonts w:eastAsia="Times New Roman" w:cs="Calibri"/>
                <w:color w:val="000000"/>
                <w:sz w:val="14"/>
                <w:szCs w:val="14"/>
                <w:lang w:eastAsia="es-MX"/>
              </w:rPr>
            </w:pPr>
            <w:r w:rsidRPr="00C56022">
              <w:rPr>
                <w:rFonts w:eastAsia="Times New Roman" w:cs="Calibri"/>
                <w:color w:val="000000"/>
                <w:sz w:val="14"/>
                <w:szCs w:val="14"/>
                <w:lang w:eastAsia="es-MX"/>
              </w:rPr>
              <w:t xml:space="preserve">Depósitos por órdenes judiciales    </w:t>
            </w:r>
          </w:p>
        </w:tc>
        <w:tc>
          <w:tcPr>
            <w:tcW w:w="1782" w:type="dxa"/>
            <w:tcBorders>
              <w:top w:val="nil"/>
              <w:left w:val="nil"/>
              <w:bottom w:val="single" w:sz="4" w:space="0" w:color="auto"/>
              <w:right w:val="single" w:sz="4" w:space="0" w:color="auto"/>
            </w:tcBorders>
            <w:shd w:val="clear" w:color="auto" w:fill="auto"/>
            <w:vAlign w:val="center"/>
            <w:hideMark/>
          </w:tcPr>
          <w:p w14:paraId="37661433" w14:textId="77777777" w:rsidR="00C56022" w:rsidRPr="00C56022" w:rsidRDefault="00C56022" w:rsidP="00C56022">
            <w:pPr>
              <w:spacing w:after="0" w:line="240" w:lineRule="auto"/>
              <w:jc w:val="right"/>
              <w:rPr>
                <w:rFonts w:eastAsia="Times New Roman" w:cs="Calibri"/>
                <w:color w:val="000000"/>
                <w:sz w:val="14"/>
                <w:szCs w:val="14"/>
                <w:lang w:eastAsia="es-MX"/>
              </w:rPr>
            </w:pPr>
            <w:r w:rsidRPr="00C56022">
              <w:rPr>
                <w:rFonts w:eastAsia="Times New Roman" w:cs="Calibri"/>
                <w:color w:val="000000"/>
                <w:sz w:val="14"/>
                <w:szCs w:val="14"/>
                <w:lang w:eastAsia="es-MX"/>
              </w:rPr>
              <w:t>22,333,479</w:t>
            </w:r>
          </w:p>
        </w:tc>
      </w:tr>
      <w:tr w:rsidR="00C56022" w:rsidRPr="00C56022" w14:paraId="3BB47831" w14:textId="77777777" w:rsidTr="00C56022">
        <w:trPr>
          <w:trHeight w:val="335"/>
        </w:trPr>
        <w:tc>
          <w:tcPr>
            <w:tcW w:w="3736" w:type="dxa"/>
            <w:tcBorders>
              <w:top w:val="nil"/>
              <w:left w:val="single" w:sz="4" w:space="0" w:color="auto"/>
              <w:bottom w:val="single" w:sz="4" w:space="0" w:color="auto"/>
              <w:right w:val="single" w:sz="4" w:space="0" w:color="auto"/>
            </w:tcBorders>
            <w:shd w:val="clear" w:color="000000" w:fill="DDC9A3"/>
            <w:vAlign w:val="center"/>
            <w:hideMark/>
          </w:tcPr>
          <w:p w14:paraId="418C9FF4" w14:textId="77777777" w:rsidR="00C56022" w:rsidRPr="00C56022" w:rsidRDefault="00C56022" w:rsidP="00C56022">
            <w:pPr>
              <w:spacing w:after="0" w:line="240" w:lineRule="auto"/>
              <w:jc w:val="center"/>
              <w:rPr>
                <w:rFonts w:eastAsia="Times New Roman" w:cs="Calibri"/>
                <w:b/>
                <w:bCs/>
                <w:color w:val="000000"/>
                <w:sz w:val="14"/>
                <w:szCs w:val="14"/>
                <w:lang w:eastAsia="es-MX"/>
              </w:rPr>
            </w:pPr>
            <w:r w:rsidRPr="00C56022">
              <w:rPr>
                <w:rFonts w:eastAsia="Times New Roman" w:cs="Calibri"/>
                <w:b/>
                <w:bCs/>
                <w:color w:val="000000"/>
                <w:sz w:val="14"/>
                <w:szCs w:val="14"/>
                <w:lang w:eastAsia="es-MX"/>
              </w:rPr>
              <w:t>Total</w:t>
            </w:r>
          </w:p>
        </w:tc>
        <w:tc>
          <w:tcPr>
            <w:tcW w:w="1782" w:type="dxa"/>
            <w:tcBorders>
              <w:top w:val="nil"/>
              <w:left w:val="nil"/>
              <w:bottom w:val="single" w:sz="4" w:space="0" w:color="auto"/>
              <w:right w:val="single" w:sz="4" w:space="0" w:color="auto"/>
            </w:tcBorders>
            <w:shd w:val="clear" w:color="000000" w:fill="DDC9A3"/>
            <w:vAlign w:val="center"/>
            <w:hideMark/>
          </w:tcPr>
          <w:p w14:paraId="4AE12E27" w14:textId="77777777" w:rsidR="00C56022" w:rsidRPr="00C56022" w:rsidRDefault="00C56022" w:rsidP="00C56022">
            <w:pPr>
              <w:spacing w:after="0" w:line="240" w:lineRule="auto"/>
              <w:jc w:val="right"/>
              <w:rPr>
                <w:rFonts w:eastAsia="Times New Roman" w:cs="Calibri"/>
                <w:b/>
                <w:bCs/>
                <w:color w:val="000000"/>
                <w:sz w:val="14"/>
                <w:szCs w:val="14"/>
                <w:lang w:eastAsia="es-MX"/>
              </w:rPr>
            </w:pPr>
            <w:r w:rsidRPr="00C56022">
              <w:rPr>
                <w:rFonts w:eastAsia="Times New Roman" w:cs="Calibri"/>
                <w:b/>
                <w:bCs/>
                <w:color w:val="000000"/>
                <w:sz w:val="14"/>
                <w:szCs w:val="14"/>
                <w:lang w:eastAsia="es-MX"/>
              </w:rPr>
              <w:t>36,551,846</w:t>
            </w:r>
          </w:p>
        </w:tc>
      </w:tr>
    </w:tbl>
    <w:p w14:paraId="551AE9F4" w14:textId="77777777" w:rsidR="00C56022" w:rsidRPr="005F45A3" w:rsidRDefault="00C56022" w:rsidP="000C5510">
      <w:pPr>
        <w:spacing w:after="0" w:line="240" w:lineRule="auto"/>
        <w:rPr>
          <w:rFonts w:asciiTheme="minorHAnsi" w:hAnsiTheme="minorHAnsi" w:cstheme="minorHAnsi"/>
          <w:sz w:val="18"/>
          <w:lang w:val="es-ES" w:eastAsia="es-ES"/>
        </w:rPr>
      </w:pPr>
    </w:p>
    <w:p w14:paraId="326A8858" w14:textId="2EB2D587" w:rsidR="00B4706F" w:rsidRPr="005F45A3" w:rsidRDefault="00C93593" w:rsidP="00C93593">
      <w:pPr>
        <w:spacing w:after="0" w:line="240" w:lineRule="auto"/>
        <w:ind w:left="360"/>
        <w:rPr>
          <w:rFonts w:asciiTheme="minorHAnsi" w:hAnsiTheme="minorHAnsi" w:cstheme="minorHAnsi"/>
          <w:sz w:val="18"/>
          <w:lang w:val="es-ES" w:eastAsia="es-ES"/>
        </w:rPr>
      </w:pPr>
      <w:r w:rsidRPr="005F45A3">
        <w:rPr>
          <w:rFonts w:asciiTheme="minorHAnsi" w:hAnsiTheme="minorHAnsi" w:cstheme="minorHAnsi"/>
          <w:sz w:val="18"/>
          <w:lang w:val="es-ES" w:eastAsia="es-ES"/>
        </w:rPr>
        <w:t xml:space="preserve">                </w:t>
      </w:r>
    </w:p>
    <w:p w14:paraId="02354435" w14:textId="3EEDB1AA" w:rsidR="00B4706F" w:rsidRDefault="0060090F" w:rsidP="00EC7550">
      <w:pPr>
        <w:spacing w:after="0" w:line="240" w:lineRule="auto"/>
        <w:ind w:left="-284"/>
        <w:rPr>
          <w:rFonts w:asciiTheme="minorHAnsi" w:hAnsiTheme="minorHAnsi" w:cstheme="minorHAnsi"/>
          <w:sz w:val="18"/>
          <w:lang w:val="es-ES" w:eastAsia="es-ES"/>
        </w:rPr>
      </w:pPr>
      <w:r w:rsidRPr="005F45A3">
        <w:rPr>
          <w:rFonts w:asciiTheme="minorHAnsi" w:hAnsiTheme="minorHAnsi" w:cstheme="minorHAnsi"/>
          <w:sz w:val="18"/>
          <w:lang w:val="es-ES" w:eastAsia="es-ES"/>
        </w:rPr>
        <w:t xml:space="preserve">Los </w:t>
      </w:r>
      <w:r w:rsidR="003E6C19" w:rsidRPr="005F45A3">
        <w:rPr>
          <w:rFonts w:asciiTheme="minorHAnsi" w:hAnsiTheme="minorHAnsi" w:cstheme="minorHAnsi"/>
          <w:sz w:val="18"/>
          <w:lang w:val="es-ES" w:eastAsia="es-ES"/>
        </w:rPr>
        <w:t>Depósitos</w:t>
      </w:r>
      <w:r w:rsidRPr="005F45A3">
        <w:rPr>
          <w:rFonts w:asciiTheme="minorHAnsi" w:hAnsiTheme="minorHAnsi" w:cstheme="minorHAnsi"/>
          <w:sz w:val="18"/>
          <w:lang w:val="es-ES" w:eastAsia="es-ES"/>
        </w:rPr>
        <w:t xml:space="preserve"> en garantía de impuestos por órdenes judiciales </w:t>
      </w:r>
      <w:r w:rsidR="003E6C19" w:rsidRPr="005F45A3">
        <w:rPr>
          <w:rFonts w:asciiTheme="minorHAnsi" w:hAnsiTheme="minorHAnsi" w:cstheme="minorHAnsi"/>
          <w:sz w:val="18"/>
          <w:lang w:val="es-ES" w:eastAsia="es-ES"/>
        </w:rPr>
        <w:t>se pagan cuando lo solicita el Juez de la instancia que corresponda</w:t>
      </w:r>
      <w:r w:rsidR="00152B47" w:rsidRPr="005F45A3">
        <w:rPr>
          <w:rFonts w:asciiTheme="minorHAnsi" w:hAnsiTheme="minorHAnsi" w:cstheme="minorHAnsi"/>
          <w:sz w:val="18"/>
          <w:lang w:val="es-ES" w:eastAsia="es-ES"/>
        </w:rPr>
        <w:t>.</w:t>
      </w:r>
      <w:r w:rsidRPr="005F45A3">
        <w:rPr>
          <w:rFonts w:asciiTheme="minorHAnsi" w:hAnsiTheme="minorHAnsi" w:cstheme="minorHAnsi"/>
          <w:sz w:val="18"/>
          <w:lang w:val="es-ES" w:eastAsia="es-ES"/>
        </w:rPr>
        <w:t xml:space="preserve"> </w:t>
      </w:r>
    </w:p>
    <w:p w14:paraId="3FC5AD09" w14:textId="40C8A1A9" w:rsidR="00EC7550" w:rsidRDefault="00EC7550" w:rsidP="000C5510">
      <w:pPr>
        <w:spacing w:after="0" w:line="240" w:lineRule="auto"/>
        <w:ind w:left="-284" w:firstLine="284"/>
        <w:rPr>
          <w:rFonts w:asciiTheme="minorHAnsi" w:hAnsiTheme="minorHAnsi" w:cstheme="minorHAnsi"/>
          <w:sz w:val="18"/>
          <w:lang w:val="es-ES" w:eastAsia="es-ES"/>
        </w:rPr>
      </w:pPr>
    </w:p>
    <w:p w14:paraId="6BEE97A6" w14:textId="68FF7EB2" w:rsidR="00EC7550" w:rsidRDefault="00EC7550" w:rsidP="000C5510">
      <w:pPr>
        <w:spacing w:after="0" w:line="240" w:lineRule="auto"/>
        <w:ind w:left="-284" w:firstLine="284"/>
        <w:rPr>
          <w:rFonts w:asciiTheme="minorHAnsi" w:hAnsiTheme="minorHAnsi" w:cstheme="minorHAnsi"/>
          <w:sz w:val="18"/>
          <w:lang w:val="es-ES" w:eastAsia="es-ES"/>
        </w:rPr>
      </w:pPr>
    </w:p>
    <w:p w14:paraId="4C20D9F4" w14:textId="77777777" w:rsidR="003E6C19" w:rsidRDefault="003E6C19" w:rsidP="00B46FFA">
      <w:pPr>
        <w:pStyle w:val="Prrafodelista"/>
        <w:numPr>
          <w:ilvl w:val="0"/>
          <w:numId w:val="21"/>
        </w:numPr>
        <w:spacing w:after="0" w:line="240" w:lineRule="auto"/>
        <w:ind w:left="-284" w:firstLine="0"/>
        <w:rPr>
          <w:rFonts w:asciiTheme="minorHAnsi" w:hAnsiTheme="minorHAnsi" w:cstheme="minorHAnsi"/>
          <w:b/>
          <w:sz w:val="20"/>
          <w:lang w:val="es-ES" w:eastAsia="es-ES"/>
        </w:rPr>
      </w:pPr>
      <w:r w:rsidRPr="005F45A3">
        <w:rPr>
          <w:rFonts w:asciiTheme="minorHAnsi" w:hAnsiTheme="minorHAnsi" w:cstheme="minorHAnsi"/>
          <w:b/>
          <w:sz w:val="20"/>
          <w:lang w:val="es-ES" w:eastAsia="es-ES"/>
        </w:rPr>
        <w:t>Otras Cuentas del Pasivo</w:t>
      </w:r>
    </w:p>
    <w:p w14:paraId="2E3EFE84" w14:textId="54FEBA32" w:rsidR="00B261AA" w:rsidRPr="005F45A3" w:rsidRDefault="00B261AA" w:rsidP="00B261AA">
      <w:pPr>
        <w:spacing w:after="0" w:line="240" w:lineRule="auto"/>
        <w:rPr>
          <w:rFonts w:asciiTheme="minorHAnsi" w:hAnsiTheme="minorHAnsi" w:cstheme="minorHAnsi"/>
          <w:b/>
          <w:sz w:val="20"/>
          <w:lang w:val="es-ES" w:eastAsia="es-ES"/>
        </w:rPr>
      </w:pPr>
    </w:p>
    <w:tbl>
      <w:tblPr>
        <w:tblW w:w="5749" w:type="dxa"/>
        <w:tblCellMar>
          <w:left w:w="70" w:type="dxa"/>
          <w:right w:w="70" w:type="dxa"/>
        </w:tblCellMar>
        <w:tblLook w:val="04A0" w:firstRow="1" w:lastRow="0" w:firstColumn="1" w:lastColumn="0" w:noHBand="0" w:noVBand="1"/>
      </w:tblPr>
      <w:tblGrid>
        <w:gridCol w:w="4000"/>
        <w:gridCol w:w="1749"/>
      </w:tblGrid>
      <w:tr w:rsidR="00D85982" w:rsidRPr="00E43684" w14:paraId="514EAC98" w14:textId="77777777" w:rsidTr="00EC7550">
        <w:trPr>
          <w:trHeight w:val="312"/>
        </w:trPr>
        <w:tc>
          <w:tcPr>
            <w:tcW w:w="400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3B095072" w14:textId="77777777" w:rsidR="00D85982" w:rsidRPr="00E43684" w:rsidRDefault="00D85982" w:rsidP="00D85982">
            <w:pPr>
              <w:spacing w:after="0" w:line="240" w:lineRule="auto"/>
              <w:jc w:val="center"/>
              <w:rPr>
                <w:rFonts w:asciiTheme="minorHAnsi" w:eastAsia="Times New Roman" w:hAnsiTheme="minorHAnsi" w:cstheme="minorHAnsi"/>
                <w:b/>
                <w:bCs/>
                <w:color w:val="FFFFFF"/>
                <w:sz w:val="14"/>
                <w:szCs w:val="14"/>
                <w:lang w:eastAsia="es-MX"/>
              </w:rPr>
            </w:pPr>
            <w:r w:rsidRPr="00E43684">
              <w:rPr>
                <w:rFonts w:asciiTheme="minorHAnsi" w:eastAsia="Times New Roman" w:hAnsiTheme="minorHAnsi" w:cstheme="minorHAnsi"/>
                <w:b/>
                <w:bCs/>
                <w:color w:val="FFFFFF"/>
                <w:sz w:val="14"/>
                <w:szCs w:val="14"/>
                <w:lang w:eastAsia="es-MX"/>
              </w:rPr>
              <w:t>Otros Pasivos a Corto Plazo</w:t>
            </w:r>
          </w:p>
        </w:tc>
        <w:tc>
          <w:tcPr>
            <w:tcW w:w="1749" w:type="dxa"/>
            <w:tcBorders>
              <w:top w:val="single" w:sz="4" w:space="0" w:color="auto"/>
              <w:left w:val="nil"/>
              <w:bottom w:val="single" w:sz="4" w:space="0" w:color="auto"/>
              <w:right w:val="single" w:sz="4" w:space="0" w:color="auto"/>
            </w:tcBorders>
            <w:shd w:val="clear" w:color="000000" w:fill="AB0033"/>
            <w:vAlign w:val="center"/>
            <w:hideMark/>
          </w:tcPr>
          <w:p w14:paraId="6F60028C" w14:textId="77777777" w:rsidR="00D85982" w:rsidRPr="00E43684" w:rsidRDefault="00D85982" w:rsidP="00D85982">
            <w:pPr>
              <w:spacing w:after="0" w:line="240" w:lineRule="auto"/>
              <w:jc w:val="center"/>
              <w:rPr>
                <w:rFonts w:asciiTheme="minorHAnsi" w:eastAsia="Times New Roman" w:hAnsiTheme="minorHAnsi" w:cstheme="minorHAnsi"/>
                <w:b/>
                <w:bCs/>
                <w:color w:val="FFFFFF"/>
                <w:sz w:val="14"/>
                <w:szCs w:val="14"/>
                <w:lang w:eastAsia="es-MX"/>
              </w:rPr>
            </w:pPr>
            <w:r w:rsidRPr="00E43684">
              <w:rPr>
                <w:rFonts w:asciiTheme="minorHAnsi" w:eastAsia="Times New Roman" w:hAnsiTheme="minorHAnsi" w:cstheme="minorHAnsi"/>
                <w:b/>
                <w:bCs/>
                <w:color w:val="FFFFFF"/>
                <w:sz w:val="14"/>
                <w:szCs w:val="14"/>
                <w:lang w:eastAsia="es-MX"/>
              </w:rPr>
              <w:t xml:space="preserve">Importe </w:t>
            </w:r>
          </w:p>
        </w:tc>
      </w:tr>
      <w:tr w:rsidR="00D85982" w:rsidRPr="00E43684" w14:paraId="4E38B1C8" w14:textId="77777777" w:rsidTr="00C94957">
        <w:trPr>
          <w:trHeight w:val="342"/>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240273F" w14:textId="77777777" w:rsidR="00D85982" w:rsidRPr="00E43684" w:rsidRDefault="00D85982" w:rsidP="00D85982">
            <w:pPr>
              <w:spacing w:after="0" w:line="240" w:lineRule="auto"/>
              <w:jc w:val="both"/>
              <w:rPr>
                <w:rFonts w:asciiTheme="minorHAnsi" w:eastAsia="Times New Roman" w:hAnsiTheme="minorHAnsi" w:cstheme="minorHAnsi"/>
                <w:color w:val="000000"/>
                <w:sz w:val="14"/>
                <w:szCs w:val="14"/>
                <w:lang w:eastAsia="es-MX"/>
              </w:rPr>
            </w:pPr>
            <w:r w:rsidRPr="00E43684">
              <w:rPr>
                <w:rFonts w:asciiTheme="minorHAnsi" w:eastAsia="Times New Roman" w:hAnsiTheme="minorHAnsi" w:cstheme="minorHAnsi"/>
                <w:color w:val="000000"/>
                <w:sz w:val="14"/>
                <w:szCs w:val="14"/>
                <w:lang w:eastAsia="es-MX"/>
              </w:rPr>
              <w:t>Ingresos por Clasificar</w:t>
            </w:r>
          </w:p>
        </w:tc>
        <w:tc>
          <w:tcPr>
            <w:tcW w:w="1749" w:type="dxa"/>
            <w:tcBorders>
              <w:top w:val="nil"/>
              <w:left w:val="nil"/>
              <w:bottom w:val="single" w:sz="4" w:space="0" w:color="auto"/>
              <w:right w:val="single" w:sz="4" w:space="0" w:color="auto"/>
            </w:tcBorders>
            <w:shd w:val="clear" w:color="auto" w:fill="auto"/>
            <w:vAlign w:val="center"/>
            <w:hideMark/>
          </w:tcPr>
          <w:p w14:paraId="022E8889" w14:textId="77777777" w:rsidR="00D85982" w:rsidRPr="00E43684" w:rsidRDefault="00D85982" w:rsidP="00D85982">
            <w:pPr>
              <w:spacing w:after="0" w:line="240" w:lineRule="auto"/>
              <w:jc w:val="right"/>
              <w:rPr>
                <w:rFonts w:asciiTheme="minorHAnsi" w:eastAsia="Times New Roman" w:hAnsiTheme="minorHAnsi" w:cstheme="minorHAnsi"/>
                <w:color w:val="000000"/>
                <w:sz w:val="14"/>
                <w:szCs w:val="14"/>
                <w:lang w:eastAsia="es-MX"/>
              </w:rPr>
            </w:pPr>
            <w:r w:rsidRPr="00E43684">
              <w:rPr>
                <w:rFonts w:asciiTheme="minorHAnsi" w:eastAsia="Times New Roman" w:hAnsiTheme="minorHAnsi" w:cstheme="minorHAnsi"/>
                <w:color w:val="000000"/>
                <w:sz w:val="14"/>
                <w:szCs w:val="14"/>
                <w:lang w:eastAsia="es-MX"/>
              </w:rPr>
              <w:t>1,623,603,606</w:t>
            </w:r>
          </w:p>
        </w:tc>
      </w:tr>
      <w:tr w:rsidR="00D85982" w:rsidRPr="00E43684" w14:paraId="2105E39E" w14:textId="77777777" w:rsidTr="00C94957">
        <w:trPr>
          <w:trHeight w:val="342"/>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0092078" w14:textId="77777777" w:rsidR="00D85982" w:rsidRPr="00E43684" w:rsidRDefault="00D85982" w:rsidP="00D85982">
            <w:pPr>
              <w:spacing w:after="0" w:line="240" w:lineRule="auto"/>
              <w:jc w:val="both"/>
              <w:rPr>
                <w:rFonts w:asciiTheme="minorHAnsi" w:eastAsia="Times New Roman" w:hAnsiTheme="minorHAnsi" w:cstheme="minorHAnsi"/>
                <w:color w:val="000000"/>
                <w:sz w:val="14"/>
                <w:szCs w:val="14"/>
                <w:lang w:eastAsia="es-MX"/>
              </w:rPr>
            </w:pPr>
            <w:r w:rsidRPr="00E43684">
              <w:rPr>
                <w:rFonts w:asciiTheme="minorHAnsi" w:eastAsia="Times New Roman" w:hAnsiTheme="minorHAnsi" w:cstheme="minorHAnsi"/>
                <w:color w:val="000000"/>
                <w:sz w:val="14"/>
                <w:szCs w:val="14"/>
                <w:lang w:eastAsia="es-MX"/>
              </w:rPr>
              <w:t xml:space="preserve">Recaudación por Participar    </w:t>
            </w:r>
          </w:p>
        </w:tc>
        <w:tc>
          <w:tcPr>
            <w:tcW w:w="1749" w:type="dxa"/>
            <w:tcBorders>
              <w:top w:val="nil"/>
              <w:left w:val="nil"/>
              <w:bottom w:val="single" w:sz="4" w:space="0" w:color="auto"/>
              <w:right w:val="single" w:sz="4" w:space="0" w:color="auto"/>
            </w:tcBorders>
            <w:shd w:val="clear" w:color="auto" w:fill="auto"/>
            <w:vAlign w:val="center"/>
            <w:hideMark/>
          </w:tcPr>
          <w:p w14:paraId="292F9222" w14:textId="77777777" w:rsidR="00D85982" w:rsidRPr="00E43684" w:rsidRDefault="00D85982" w:rsidP="00D85982">
            <w:pPr>
              <w:spacing w:after="0" w:line="240" w:lineRule="auto"/>
              <w:jc w:val="right"/>
              <w:rPr>
                <w:rFonts w:asciiTheme="minorHAnsi" w:eastAsia="Times New Roman" w:hAnsiTheme="minorHAnsi" w:cstheme="minorHAnsi"/>
                <w:color w:val="000000"/>
                <w:sz w:val="14"/>
                <w:szCs w:val="14"/>
                <w:lang w:eastAsia="es-MX"/>
              </w:rPr>
            </w:pPr>
            <w:r w:rsidRPr="00E43684">
              <w:rPr>
                <w:rFonts w:asciiTheme="minorHAnsi" w:eastAsia="Times New Roman" w:hAnsiTheme="minorHAnsi" w:cstheme="minorHAnsi"/>
                <w:color w:val="000000"/>
                <w:sz w:val="14"/>
                <w:szCs w:val="14"/>
                <w:lang w:eastAsia="es-MX"/>
              </w:rPr>
              <w:t>1,860,065</w:t>
            </w:r>
          </w:p>
        </w:tc>
      </w:tr>
      <w:tr w:rsidR="00D85982" w:rsidRPr="00E43684" w14:paraId="16EDAE21" w14:textId="77777777" w:rsidTr="00C94957">
        <w:trPr>
          <w:trHeight w:val="342"/>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9F9DFE3" w14:textId="77777777" w:rsidR="00D85982" w:rsidRPr="00E43684" w:rsidRDefault="00D85982" w:rsidP="00D85982">
            <w:pPr>
              <w:spacing w:after="0" w:line="240" w:lineRule="auto"/>
              <w:jc w:val="both"/>
              <w:rPr>
                <w:rFonts w:asciiTheme="minorHAnsi" w:eastAsia="Times New Roman" w:hAnsiTheme="minorHAnsi" w:cstheme="minorHAnsi"/>
                <w:color w:val="000000"/>
                <w:sz w:val="14"/>
                <w:szCs w:val="14"/>
                <w:lang w:eastAsia="es-MX"/>
              </w:rPr>
            </w:pPr>
            <w:r w:rsidRPr="00E43684">
              <w:rPr>
                <w:rFonts w:asciiTheme="minorHAnsi" w:eastAsia="Times New Roman" w:hAnsiTheme="minorHAnsi" w:cstheme="minorHAnsi"/>
                <w:color w:val="000000"/>
                <w:sz w:val="14"/>
                <w:szCs w:val="14"/>
                <w:lang w:eastAsia="es-MX"/>
              </w:rPr>
              <w:t>Otros Pasivos Circulantes</w:t>
            </w:r>
          </w:p>
        </w:tc>
        <w:tc>
          <w:tcPr>
            <w:tcW w:w="1749" w:type="dxa"/>
            <w:tcBorders>
              <w:top w:val="nil"/>
              <w:left w:val="nil"/>
              <w:bottom w:val="single" w:sz="4" w:space="0" w:color="auto"/>
              <w:right w:val="single" w:sz="4" w:space="0" w:color="auto"/>
            </w:tcBorders>
            <w:shd w:val="clear" w:color="auto" w:fill="auto"/>
            <w:vAlign w:val="center"/>
            <w:hideMark/>
          </w:tcPr>
          <w:p w14:paraId="020F1037" w14:textId="6CD36EB5" w:rsidR="00D85982" w:rsidRPr="00E43684" w:rsidRDefault="00D85982" w:rsidP="006D62A5">
            <w:pPr>
              <w:spacing w:after="0" w:line="240" w:lineRule="auto"/>
              <w:jc w:val="right"/>
              <w:rPr>
                <w:rFonts w:asciiTheme="minorHAnsi" w:eastAsia="Times New Roman" w:hAnsiTheme="minorHAnsi" w:cstheme="minorHAnsi"/>
                <w:color w:val="000000"/>
                <w:sz w:val="14"/>
                <w:szCs w:val="14"/>
                <w:lang w:eastAsia="es-MX"/>
              </w:rPr>
            </w:pPr>
            <w:r w:rsidRPr="00E43684">
              <w:rPr>
                <w:rFonts w:asciiTheme="minorHAnsi" w:eastAsia="Times New Roman" w:hAnsiTheme="minorHAnsi" w:cstheme="minorHAnsi"/>
                <w:color w:val="000000"/>
                <w:sz w:val="14"/>
                <w:szCs w:val="14"/>
                <w:lang w:eastAsia="es-MX"/>
              </w:rPr>
              <w:t>9,16</w:t>
            </w:r>
            <w:r w:rsidR="006D62A5">
              <w:rPr>
                <w:rFonts w:asciiTheme="minorHAnsi" w:eastAsia="Times New Roman" w:hAnsiTheme="minorHAnsi" w:cstheme="minorHAnsi"/>
                <w:color w:val="000000"/>
                <w:sz w:val="14"/>
                <w:szCs w:val="14"/>
                <w:lang w:eastAsia="es-MX"/>
              </w:rPr>
              <w:t>7,912</w:t>
            </w:r>
          </w:p>
        </w:tc>
      </w:tr>
      <w:tr w:rsidR="00D85982" w:rsidRPr="00E43684" w14:paraId="27EE0EDF" w14:textId="77777777" w:rsidTr="00C94957">
        <w:trPr>
          <w:trHeight w:val="293"/>
        </w:trPr>
        <w:tc>
          <w:tcPr>
            <w:tcW w:w="4000" w:type="dxa"/>
            <w:tcBorders>
              <w:top w:val="nil"/>
              <w:left w:val="single" w:sz="4" w:space="0" w:color="auto"/>
              <w:bottom w:val="single" w:sz="4" w:space="0" w:color="auto"/>
              <w:right w:val="single" w:sz="4" w:space="0" w:color="auto"/>
            </w:tcBorders>
            <w:shd w:val="clear" w:color="000000" w:fill="DDC9A3"/>
            <w:vAlign w:val="center"/>
            <w:hideMark/>
          </w:tcPr>
          <w:p w14:paraId="373DD88C" w14:textId="77777777" w:rsidR="00D85982" w:rsidRPr="00E43684" w:rsidRDefault="00D85982" w:rsidP="00D85982">
            <w:pPr>
              <w:spacing w:after="0" w:line="240" w:lineRule="auto"/>
              <w:jc w:val="center"/>
              <w:rPr>
                <w:rFonts w:asciiTheme="minorHAnsi" w:eastAsia="Times New Roman" w:hAnsiTheme="minorHAnsi" w:cstheme="minorHAnsi"/>
                <w:b/>
                <w:bCs/>
                <w:color w:val="000000"/>
                <w:sz w:val="14"/>
                <w:szCs w:val="14"/>
                <w:lang w:eastAsia="es-MX"/>
              </w:rPr>
            </w:pPr>
            <w:r w:rsidRPr="00E43684">
              <w:rPr>
                <w:rFonts w:asciiTheme="minorHAnsi" w:eastAsia="Times New Roman" w:hAnsiTheme="minorHAnsi" w:cstheme="minorHAnsi"/>
                <w:b/>
                <w:bCs/>
                <w:color w:val="000000"/>
                <w:sz w:val="14"/>
                <w:szCs w:val="14"/>
                <w:lang w:eastAsia="es-MX"/>
              </w:rPr>
              <w:t>TOTAL</w:t>
            </w:r>
          </w:p>
        </w:tc>
        <w:tc>
          <w:tcPr>
            <w:tcW w:w="1749" w:type="dxa"/>
            <w:tcBorders>
              <w:top w:val="nil"/>
              <w:left w:val="nil"/>
              <w:bottom w:val="single" w:sz="4" w:space="0" w:color="auto"/>
              <w:right w:val="single" w:sz="4" w:space="0" w:color="auto"/>
            </w:tcBorders>
            <w:shd w:val="clear" w:color="000000" w:fill="DDC9A3"/>
            <w:vAlign w:val="center"/>
            <w:hideMark/>
          </w:tcPr>
          <w:p w14:paraId="5AA931F3" w14:textId="1C7638A2" w:rsidR="006D62A5" w:rsidRPr="00E43684" w:rsidRDefault="006D62A5" w:rsidP="006D62A5">
            <w:pPr>
              <w:spacing w:after="0" w:line="240" w:lineRule="auto"/>
              <w:jc w:val="right"/>
              <w:rPr>
                <w:rFonts w:asciiTheme="minorHAnsi" w:eastAsia="Times New Roman" w:hAnsiTheme="minorHAnsi" w:cstheme="minorHAnsi"/>
                <w:b/>
                <w:bCs/>
                <w:color w:val="000000"/>
                <w:sz w:val="14"/>
                <w:szCs w:val="14"/>
                <w:lang w:eastAsia="es-MX"/>
              </w:rPr>
            </w:pPr>
            <w:r>
              <w:rPr>
                <w:rFonts w:asciiTheme="minorHAnsi" w:eastAsia="Times New Roman" w:hAnsiTheme="minorHAnsi" w:cstheme="minorHAnsi"/>
                <w:b/>
                <w:bCs/>
                <w:color w:val="000000"/>
                <w:sz w:val="14"/>
                <w:szCs w:val="14"/>
                <w:lang w:eastAsia="es-MX"/>
              </w:rPr>
              <w:t>1,634,631,583</w:t>
            </w:r>
          </w:p>
        </w:tc>
      </w:tr>
    </w:tbl>
    <w:p w14:paraId="2C5CB82A" w14:textId="20A04263" w:rsidR="00F7603D" w:rsidRPr="005F45A3" w:rsidRDefault="002E62CA" w:rsidP="000C7859">
      <w:pPr>
        <w:autoSpaceDE w:val="0"/>
        <w:autoSpaceDN w:val="0"/>
        <w:adjustRightInd w:val="0"/>
        <w:spacing w:after="0"/>
        <w:ind w:left="-142"/>
        <w:jc w:val="both"/>
        <w:rPr>
          <w:rFonts w:asciiTheme="minorHAnsi" w:hAnsiTheme="minorHAnsi" w:cstheme="minorHAnsi"/>
          <w:sz w:val="18"/>
          <w:lang w:val="es-ES" w:eastAsia="es-ES"/>
        </w:rPr>
      </w:pPr>
      <w:r>
        <w:rPr>
          <w:rFonts w:asciiTheme="minorHAnsi" w:hAnsiTheme="minorHAnsi" w:cstheme="minorHAnsi"/>
          <w:sz w:val="18"/>
          <w:lang w:val="es-ES" w:eastAsia="es-ES"/>
        </w:rPr>
        <w:t xml:space="preserve">En la cuenta de Ingresos por </w:t>
      </w:r>
      <w:r w:rsidR="00F7603D" w:rsidRPr="005F45A3">
        <w:rPr>
          <w:rFonts w:asciiTheme="minorHAnsi" w:hAnsiTheme="minorHAnsi" w:cstheme="minorHAnsi"/>
          <w:sz w:val="18"/>
          <w:lang w:val="es-ES" w:eastAsia="es-ES"/>
        </w:rPr>
        <w:t>clasificar se integra el anticipo de recursos establecido en el Convenio de</w:t>
      </w:r>
      <w:r w:rsidR="005F1A09" w:rsidRPr="005F45A3">
        <w:rPr>
          <w:rFonts w:asciiTheme="minorHAnsi" w:hAnsiTheme="minorHAnsi" w:cstheme="minorHAnsi"/>
          <w:sz w:val="18"/>
          <w:lang w:val="es-ES" w:eastAsia="es-ES"/>
        </w:rPr>
        <w:t xml:space="preserve"> Colaboración Administrativa en Materia Fiscal Federal en la Cláusula Vigésima Cuarta, perteneciente a la Sección IV referente a la Rendición de Cuenta Mensual Comprobada de Ingresos Coordinados y del Sistema de Compensación de Fondos, la cual establece que la S.H.C.P. a través de la Tesorería de la Federación, cubrirá mensualmente a la Entidad los anticipos a cuenta de Participaciones en el Fondo General de Participaciones., cabe hacer mención que dicho anticipo no constituye para el Gobierno del Estado un Pasivo real a cubrirse. </w:t>
      </w:r>
    </w:p>
    <w:p w14:paraId="759265E9" w14:textId="321E3D36" w:rsidR="004B0FD4" w:rsidRPr="005F45A3" w:rsidRDefault="004B0FD4" w:rsidP="003D7ABC">
      <w:pPr>
        <w:autoSpaceDE w:val="0"/>
        <w:autoSpaceDN w:val="0"/>
        <w:adjustRightInd w:val="0"/>
        <w:spacing w:after="0"/>
        <w:jc w:val="both"/>
        <w:rPr>
          <w:rFonts w:asciiTheme="minorHAnsi" w:hAnsiTheme="minorHAnsi" w:cstheme="minorHAnsi"/>
          <w:sz w:val="18"/>
          <w:lang w:val="es-ES" w:eastAsia="es-ES"/>
        </w:rPr>
      </w:pPr>
    </w:p>
    <w:p w14:paraId="6EF423ED" w14:textId="77777777" w:rsidR="004B0FD4" w:rsidRPr="005F45A3" w:rsidRDefault="004B0FD4" w:rsidP="004B0FD4">
      <w:pPr>
        <w:spacing w:after="0" w:line="240" w:lineRule="auto"/>
        <w:rPr>
          <w:rFonts w:asciiTheme="minorHAnsi" w:hAnsiTheme="minorHAnsi" w:cstheme="minorHAnsi"/>
          <w:b/>
          <w:sz w:val="20"/>
          <w:lang w:val="es-ES" w:eastAsia="es-ES"/>
        </w:rPr>
      </w:pPr>
    </w:p>
    <w:tbl>
      <w:tblPr>
        <w:tblW w:w="6412" w:type="dxa"/>
        <w:tblInd w:w="-5" w:type="dxa"/>
        <w:tblCellMar>
          <w:left w:w="70" w:type="dxa"/>
          <w:right w:w="70" w:type="dxa"/>
        </w:tblCellMar>
        <w:tblLook w:val="04A0" w:firstRow="1" w:lastRow="0" w:firstColumn="1" w:lastColumn="0" w:noHBand="0" w:noVBand="1"/>
      </w:tblPr>
      <w:tblGrid>
        <w:gridCol w:w="4395"/>
        <w:gridCol w:w="2017"/>
      </w:tblGrid>
      <w:tr w:rsidR="000C5510" w:rsidRPr="000C5510" w14:paraId="1D09CEF7" w14:textId="77777777" w:rsidTr="00250D2A">
        <w:trPr>
          <w:trHeight w:val="343"/>
        </w:trPr>
        <w:tc>
          <w:tcPr>
            <w:tcW w:w="4395"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1FF00E44" w14:textId="77777777" w:rsidR="00181642" w:rsidRPr="000C5510" w:rsidRDefault="00181642" w:rsidP="00181642">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Otros Documenetos por Pagar a Largo Plazo.</w:t>
            </w:r>
          </w:p>
        </w:tc>
        <w:tc>
          <w:tcPr>
            <w:tcW w:w="2017" w:type="dxa"/>
            <w:tcBorders>
              <w:top w:val="single" w:sz="4" w:space="0" w:color="auto"/>
              <w:left w:val="nil"/>
              <w:bottom w:val="single" w:sz="4" w:space="0" w:color="auto"/>
              <w:right w:val="single" w:sz="4" w:space="0" w:color="auto"/>
            </w:tcBorders>
            <w:shd w:val="clear" w:color="000000" w:fill="AB0033"/>
            <w:vAlign w:val="center"/>
            <w:hideMark/>
          </w:tcPr>
          <w:p w14:paraId="57601B72" w14:textId="77777777" w:rsidR="00181642" w:rsidRPr="000C5510" w:rsidRDefault="00181642" w:rsidP="00181642">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 xml:space="preserve">Importe </w:t>
            </w:r>
          </w:p>
        </w:tc>
      </w:tr>
      <w:tr w:rsidR="00181642" w:rsidRPr="00181642" w14:paraId="3F0D9816" w14:textId="77777777" w:rsidTr="00EC7550">
        <w:trPr>
          <w:trHeight w:val="454"/>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C559873" w14:textId="77777777" w:rsidR="00181642" w:rsidRPr="00C94957" w:rsidRDefault="00181642" w:rsidP="00181642">
            <w:pPr>
              <w:spacing w:after="0" w:line="240" w:lineRule="auto"/>
              <w:jc w:val="both"/>
              <w:rPr>
                <w:rFonts w:eastAsia="Times New Roman" w:cs="Calibri"/>
                <w:color w:val="000000"/>
                <w:sz w:val="16"/>
                <w:szCs w:val="16"/>
                <w:lang w:eastAsia="es-MX"/>
              </w:rPr>
            </w:pPr>
            <w:r w:rsidRPr="00C94957">
              <w:rPr>
                <w:rFonts w:eastAsia="Times New Roman" w:cs="Calibri"/>
                <w:color w:val="000000"/>
                <w:sz w:val="16"/>
                <w:szCs w:val="16"/>
                <w:lang w:eastAsia="es-MX"/>
              </w:rPr>
              <w:t>Convenio IPSSET</w:t>
            </w:r>
          </w:p>
        </w:tc>
        <w:tc>
          <w:tcPr>
            <w:tcW w:w="2017" w:type="dxa"/>
            <w:tcBorders>
              <w:top w:val="nil"/>
              <w:left w:val="nil"/>
              <w:bottom w:val="single" w:sz="4" w:space="0" w:color="auto"/>
              <w:right w:val="single" w:sz="4" w:space="0" w:color="auto"/>
            </w:tcBorders>
            <w:shd w:val="clear" w:color="auto" w:fill="auto"/>
            <w:vAlign w:val="center"/>
            <w:hideMark/>
          </w:tcPr>
          <w:p w14:paraId="1AC62888" w14:textId="3BFB9B2E" w:rsidR="00181642" w:rsidRPr="00C94957" w:rsidRDefault="00181642" w:rsidP="00D85982">
            <w:pPr>
              <w:spacing w:after="0" w:line="240" w:lineRule="auto"/>
              <w:jc w:val="right"/>
              <w:rPr>
                <w:rFonts w:eastAsia="Times New Roman" w:cs="Calibri"/>
                <w:color w:val="000000"/>
                <w:sz w:val="16"/>
                <w:szCs w:val="16"/>
                <w:lang w:eastAsia="es-MX"/>
              </w:rPr>
            </w:pPr>
            <w:r w:rsidRPr="00C94957">
              <w:rPr>
                <w:rFonts w:eastAsia="Times New Roman" w:cs="Calibri"/>
                <w:color w:val="000000"/>
                <w:sz w:val="16"/>
                <w:szCs w:val="16"/>
                <w:lang w:eastAsia="es-MX"/>
              </w:rPr>
              <w:t>1,</w:t>
            </w:r>
            <w:r w:rsidR="00D85982" w:rsidRPr="00C94957">
              <w:rPr>
                <w:rFonts w:eastAsia="Times New Roman" w:cs="Calibri"/>
                <w:color w:val="000000"/>
                <w:sz w:val="16"/>
                <w:szCs w:val="16"/>
                <w:lang w:eastAsia="es-MX"/>
              </w:rPr>
              <w:t>520,143,285</w:t>
            </w:r>
          </w:p>
        </w:tc>
      </w:tr>
      <w:tr w:rsidR="00181642" w:rsidRPr="00250D2A" w14:paraId="37D8F06E" w14:textId="77777777" w:rsidTr="00250D2A">
        <w:trPr>
          <w:trHeight w:val="275"/>
        </w:trPr>
        <w:tc>
          <w:tcPr>
            <w:tcW w:w="4395" w:type="dxa"/>
            <w:tcBorders>
              <w:top w:val="nil"/>
              <w:left w:val="single" w:sz="4" w:space="0" w:color="auto"/>
              <w:bottom w:val="single" w:sz="4" w:space="0" w:color="auto"/>
              <w:right w:val="single" w:sz="4" w:space="0" w:color="auto"/>
            </w:tcBorders>
            <w:shd w:val="clear" w:color="000000" w:fill="DDC9A3"/>
            <w:vAlign w:val="center"/>
            <w:hideMark/>
          </w:tcPr>
          <w:p w14:paraId="299A7997" w14:textId="77777777" w:rsidR="00181642" w:rsidRPr="00250D2A" w:rsidRDefault="00181642" w:rsidP="00181642">
            <w:pPr>
              <w:spacing w:after="0" w:line="240" w:lineRule="auto"/>
              <w:jc w:val="center"/>
              <w:rPr>
                <w:rFonts w:eastAsia="Times New Roman" w:cs="Calibri"/>
                <w:b/>
                <w:bCs/>
                <w:color w:val="000000"/>
                <w:sz w:val="16"/>
                <w:szCs w:val="14"/>
                <w:lang w:eastAsia="es-MX"/>
              </w:rPr>
            </w:pPr>
            <w:r w:rsidRPr="00250D2A">
              <w:rPr>
                <w:rFonts w:eastAsia="Times New Roman" w:cs="Calibri"/>
                <w:b/>
                <w:bCs/>
                <w:color w:val="000000"/>
                <w:sz w:val="16"/>
                <w:szCs w:val="14"/>
                <w:lang w:eastAsia="es-MX"/>
              </w:rPr>
              <w:t>TOTAL</w:t>
            </w:r>
          </w:p>
        </w:tc>
        <w:tc>
          <w:tcPr>
            <w:tcW w:w="2017" w:type="dxa"/>
            <w:tcBorders>
              <w:top w:val="nil"/>
              <w:left w:val="nil"/>
              <w:bottom w:val="single" w:sz="4" w:space="0" w:color="auto"/>
              <w:right w:val="single" w:sz="4" w:space="0" w:color="auto"/>
            </w:tcBorders>
            <w:shd w:val="clear" w:color="000000" w:fill="DDC9A3"/>
            <w:vAlign w:val="center"/>
            <w:hideMark/>
          </w:tcPr>
          <w:p w14:paraId="26377039" w14:textId="5C026879" w:rsidR="00181642" w:rsidRPr="00250D2A" w:rsidRDefault="00D85982" w:rsidP="00181642">
            <w:pPr>
              <w:spacing w:after="0" w:line="240" w:lineRule="auto"/>
              <w:jc w:val="right"/>
              <w:rPr>
                <w:rFonts w:eastAsia="Times New Roman" w:cs="Calibri"/>
                <w:b/>
                <w:bCs/>
                <w:color w:val="000000"/>
                <w:sz w:val="16"/>
                <w:szCs w:val="18"/>
                <w:lang w:eastAsia="es-MX"/>
              </w:rPr>
            </w:pPr>
            <w:r w:rsidRPr="00250D2A">
              <w:rPr>
                <w:rFonts w:eastAsia="Times New Roman" w:cs="Calibri"/>
                <w:b/>
                <w:bCs/>
                <w:color w:val="000000"/>
                <w:sz w:val="16"/>
                <w:szCs w:val="18"/>
                <w:lang w:eastAsia="es-MX"/>
              </w:rPr>
              <w:t>1,520,143,285</w:t>
            </w:r>
          </w:p>
        </w:tc>
      </w:tr>
    </w:tbl>
    <w:p w14:paraId="53C25A18" w14:textId="77777777" w:rsidR="004B0FD4" w:rsidRPr="005F45A3" w:rsidRDefault="004B0FD4" w:rsidP="004B0FD4">
      <w:pPr>
        <w:autoSpaceDE w:val="0"/>
        <w:autoSpaceDN w:val="0"/>
        <w:adjustRightInd w:val="0"/>
        <w:spacing w:after="0"/>
        <w:jc w:val="both"/>
        <w:rPr>
          <w:rFonts w:asciiTheme="minorHAnsi" w:hAnsiTheme="minorHAnsi" w:cstheme="minorHAnsi"/>
          <w:sz w:val="18"/>
          <w:lang w:val="es-ES" w:eastAsia="es-ES"/>
        </w:rPr>
      </w:pPr>
    </w:p>
    <w:p w14:paraId="140E1A98" w14:textId="4CAAA562" w:rsidR="007532ED" w:rsidRDefault="007532ED" w:rsidP="007532ED">
      <w:pPr>
        <w:autoSpaceDE w:val="0"/>
        <w:autoSpaceDN w:val="0"/>
        <w:adjustRightInd w:val="0"/>
        <w:spacing w:after="0"/>
        <w:jc w:val="both"/>
        <w:rPr>
          <w:rFonts w:asciiTheme="minorHAnsi" w:hAnsiTheme="minorHAnsi" w:cstheme="minorHAnsi"/>
          <w:sz w:val="18"/>
          <w:lang w:val="es-ES" w:eastAsia="es-ES"/>
        </w:rPr>
      </w:pPr>
      <w:r>
        <w:rPr>
          <w:rFonts w:asciiTheme="minorHAnsi" w:hAnsiTheme="minorHAnsi" w:cstheme="minorHAnsi"/>
          <w:sz w:val="18"/>
          <w:lang w:val="es-ES" w:eastAsia="es-ES"/>
        </w:rPr>
        <w:t xml:space="preserve">Esta cuenta representa el saldo a largo plazo del </w:t>
      </w:r>
      <w:r w:rsidRPr="005F45A3">
        <w:rPr>
          <w:rFonts w:asciiTheme="minorHAnsi" w:hAnsiTheme="minorHAnsi" w:cstheme="minorHAnsi"/>
          <w:sz w:val="18"/>
          <w:lang w:val="es-ES" w:eastAsia="es-ES"/>
        </w:rPr>
        <w:t xml:space="preserve">Convenio sobre pago diferido de Prestaciones, Cuotas y Aportaciones de Seguridad </w:t>
      </w:r>
      <w:r w:rsidRPr="007532ED">
        <w:rPr>
          <w:rFonts w:asciiTheme="minorHAnsi" w:hAnsiTheme="minorHAnsi" w:cstheme="minorHAnsi"/>
          <w:sz w:val="18"/>
          <w:lang w:val="es-ES" w:eastAsia="es-ES"/>
        </w:rPr>
        <w:t>Social, celebrado entre el gobierno del estado</w:t>
      </w:r>
      <w:r>
        <w:rPr>
          <w:rFonts w:asciiTheme="minorHAnsi" w:hAnsiTheme="minorHAnsi" w:cstheme="minorHAnsi"/>
          <w:sz w:val="18"/>
          <w:lang w:val="es-ES" w:eastAsia="es-ES"/>
        </w:rPr>
        <w:t xml:space="preserve"> y e</w:t>
      </w:r>
      <w:r w:rsidRPr="005F45A3">
        <w:rPr>
          <w:rFonts w:asciiTheme="minorHAnsi" w:hAnsiTheme="minorHAnsi" w:cstheme="minorHAnsi"/>
          <w:sz w:val="18"/>
          <w:lang w:val="es-ES" w:eastAsia="es-ES"/>
        </w:rPr>
        <w:t>l Instituto de Previsión y Seguridad Social del Estado de Tamaulipas.</w:t>
      </w:r>
    </w:p>
    <w:p w14:paraId="499780A9" w14:textId="77777777" w:rsidR="005C3F40" w:rsidRPr="005F45A3" w:rsidRDefault="005C3F40" w:rsidP="007532ED">
      <w:pPr>
        <w:autoSpaceDE w:val="0"/>
        <w:autoSpaceDN w:val="0"/>
        <w:adjustRightInd w:val="0"/>
        <w:spacing w:after="0"/>
        <w:jc w:val="both"/>
        <w:rPr>
          <w:rFonts w:asciiTheme="minorHAnsi" w:hAnsiTheme="minorHAnsi" w:cstheme="minorHAnsi"/>
          <w:sz w:val="18"/>
          <w:lang w:val="es-ES" w:eastAsia="es-ES"/>
        </w:rPr>
      </w:pPr>
    </w:p>
    <w:p w14:paraId="7C11EF28" w14:textId="2F48362F" w:rsidR="009E07CB" w:rsidRPr="005F45A3" w:rsidRDefault="009E07CB" w:rsidP="005F1A09">
      <w:pPr>
        <w:autoSpaceDE w:val="0"/>
        <w:autoSpaceDN w:val="0"/>
        <w:adjustRightInd w:val="0"/>
        <w:spacing w:after="0"/>
        <w:jc w:val="both"/>
        <w:rPr>
          <w:rFonts w:asciiTheme="minorHAnsi" w:hAnsiTheme="minorHAnsi" w:cstheme="minorHAnsi"/>
          <w:sz w:val="18"/>
          <w:lang w:val="es-ES" w:eastAsia="es-ES"/>
        </w:rPr>
      </w:pPr>
    </w:p>
    <w:p w14:paraId="5710D1CF" w14:textId="77777777" w:rsidR="003E6C19" w:rsidRPr="001B4BF5" w:rsidRDefault="003924FC" w:rsidP="006E75F7">
      <w:pPr>
        <w:autoSpaceDE w:val="0"/>
        <w:autoSpaceDN w:val="0"/>
        <w:adjustRightInd w:val="0"/>
        <w:spacing w:after="0"/>
        <w:ind w:left="-142" w:hanging="142"/>
        <w:jc w:val="both"/>
        <w:rPr>
          <w:rFonts w:asciiTheme="minorHAnsi" w:hAnsiTheme="minorHAnsi" w:cstheme="minorHAnsi"/>
          <w:b/>
          <w:sz w:val="20"/>
          <w:szCs w:val="20"/>
          <w:lang w:val="es-ES" w:eastAsia="es-ES"/>
        </w:rPr>
      </w:pPr>
      <w:r w:rsidRPr="001B4BF5">
        <w:rPr>
          <w:rFonts w:asciiTheme="minorHAnsi" w:hAnsiTheme="minorHAnsi" w:cstheme="minorHAnsi"/>
          <w:b/>
          <w:sz w:val="20"/>
          <w:szCs w:val="20"/>
          <w:lang w:val="es-ES" w:eastAsia="es-ES"/>
        </w:rPr>
        <w:t xml:space="preserve">II. </w:t>
      </w:r>
      <w:r w:rsidR="004375ED" w:rsidRPr="001B4BF5">
        <w:rPr>
          <w:rFonts w:asciiTheme="minorHAnsi" w:hAnsiTheme="minorHAnsi" w:cstheme="minorHAnsi"/>
          <w:b/>
          <w:sz w:val="20"/>
          <w:szCs w:val="20"/>
          <w:lang w:val="es-ES" w:eastAsia="es-ES"/>
        </w:rPr>
        <w:t>Notas al Estado de Actividades</w:t>
      </w:r>
    </w:p>
    <w:p w14:paraId="3B4DCAD7" w14:textId="77777777" w:rsidR="004375ED" w:rsidRPr="005F45A3" w:rsidRDefault="004375ED" w:rsidP="0082143F">
      <w:pPr>
        <w:spacing w:after="0" w:line="240" w:lineRule="auto"/>
        <w:rPr>
          <w:rFonts w:asciiTheme="minorHAnsi" w:hAnsiTheme="minorHAnsi" w:cstheme="minorHAnsi"/>
          <w:sz w:val="14"/>
          <w:lang w:val="es-ES" w:eastAsia="es-ES"/>
        </w:rPr>
      </w:pPr>
    </w:p>
    <w:p w14:paraId="326B6F60" w14:textId="77777777" w:rsidR="00872BE6" w:rsidRPr="005F45A3" w:rsidRDefault="004375ED" w:rsidP="00B46FFA">
      <w:pPr>
        <w:pStyle w:val="Prrafodelista"/>
        <w:numPr>
          <w:ilvl w:val="0"/>
          <w:numId w:val="24"/>
        </w:numPr>
        <w:spacing w:after="0" w:line="240" w:lineRule="auto"/>
        <w:ind w:left="284" w:hanging="142"/>
        <w:rPr>
          <w:rFonts w:asciiTheme="minorHAnsi" w:hAnsiTheme="minorHAnsi" w:cstheme="minorHAnsi"/>
          <w:b/>
          <w:sz w:val="12"/>
          <w:lang w:val="es-ES" w:eastAsia="es-ES"/>
        </w:rPr>
      </w:pPr>
      <w:r w:rsidRPr="005F45A3">
        <w:rPr>
          <w:rFonts w:asciiTheme="minorHAnsi" w:hAnsiTheme="minorHAnsi" w:cstheme="minorHAnsi"/>
          <w:b/>
          <w:sz w:val="20"/>
          <w:lang w:val="es-ES" w:eastAsia="es-ES"/>
        </w:rPr>
        <w:t>Ingresos de Gestión</w:t>
      </w:r>
    </w:p>
    <w:p w14:paraId="13732669" w14:textId="77777777" w:rsidR="008E3DEE" w:rsidRPr="005F45A3" w:rsidRDefault="008E3DEE" w:rsidP="008E3DEE">
      <w:pPr>
        <w:spacing w:after="0" w:line="240" w:lineRule="auto"/>
        <w:rPr>
          <w:rFonts w:asciiTheme="minorHAnsi" w:hAnsiTheme="minorHAnsi" w:cstheme="minorHAnsi"/>
          <w:b/>
          <w:sz w:val="12"/>
          <w:lang w:val="es-ES" w:eastAsia="es-ES"/>
        </w:rPr>
      </w:pPr>
    </w:p>
    <w:p w14:paraId="43953D78" w14:textId="77777777" w:rsidR="008E3DEE" w:rsidRPr="005F45A3" w:rsidRDefault="008E3DEE" w:rsidP="008E3DEE">
      <w:pPr>
        <w:spacing w:after="0" w:line="240" w:lineRule="auto"/>
        <w:rPr>
          <w:rFonts w:asciiTheme="minorHAnsi" w:hAnsiTheme="minorHAnsi" w:cstheme="minorHAnsi"/>
          <w:b/>
          <w:sz w:val="12"/>
          <w:lang w:val="es-ES" w:eastAsia="es-ES"/>
        </w:rPr>
      </w:pPr>
    </w:p>
    <w:tbl>
      <w:tblPr>
        <w:tblW w:w="8501" w:type="dxa"/>
        <w:tblCellMar>
          <w:left w:w="70" w:type="dxa"/>
          <w:right w:w="70" w:type="dxa"/>
        </w:tblCellMar>
        <w:tblLook w:val="04A0" w:firstRow="1" w:lastRow="0" w:firstColumn="1" w:lastColumn="0" w:noHBand="0" w:noVBand="1"/>
      </w:tblPr>
      <w:tblGrid>
        <w:gridCol w:w="4957"/>
        <w:gridCol w:w="2127"/>
        <w:gridCol w:w="1417"/>
      </w:tblGrid>
      <w:tr w:rsidR="003D4DFD" w:rsidRPr="003D4DFD" w14:paraId="377F0FB5" w14:textId="77777777" w:rsidTr="00EC7550">
        <w:trPr>
          <w:trHeight w:val="397"/>
        </w:trPr>
        <w:tc>
          <w:tcPr>
            <w:tcW w:w="4957"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434049A1" w14:textId="77777777" w:rsidR="003D4DFD" w:rsidRPr="003D4DFD" w:rsidRDefault="003D4DFD" w:rsidP="003D4DFD">
            <w:pPr>
              <w:spacing w:after="0" w:line="240" w:lineRule="auto"/>
              <w:jc w:val="center"/>
              <w:rPr>
                <w:rFonts w:eastAsia="Times New Roman" w:cs="Calibri"/>
                <w:b/>
                <w:bCs/>
                <w:color w:val="FFFFFF"/>
                <w:sz w:val="14"/>
                <w:szCs w:val="14"/>
                <w:lang w:eastAsia="es-MX"/>
              </w:rPr>
            </w:pPr>
            <w:r w:rsidRPr="003D4DFD">
              <w:rPr>
                <w:rFonts w:eastAsia="Times New Roman" w:cs="Calibri"/>
                <w:b/>
                <w:bCs/>
                <w:color w:val="FFFFFF"/>
                <w:sz w:val="14"/>
                <w:szCs w:val="14"/>
                <w:lang w:eastAsia="es-MX"/>
              </w:rPr>
              <w:t>Ingresos y Otros Beneficio Varios.</w:t>
            </w:r>
          </w:p>
        </w:tc>
        <w:tc>
          <w:tcPr>
            <w:tcW w:w="2127" w:type="dxa"/>
            <w:tcBorders>
              <w:top w:val="single" w:sz="4" w:space="0" w:color="auto"/>
              <w:left w:val="nil"/>
              <w:bottom w:val="single" w:sz="4" w:space="0" w:color="auto"/>
              <w:right w:val="single" w:sz="4" w:space="0" w:color="auto"/>
            </w:tcBorders>
            <w:shd w:val="clear" w:color="000000" w:fill="AB0033"/>
            <w:vAlign w:val="center"/>
            <w:hideMark/>
          </w:tcPr>
          <w:p w14:paraId="14556C39" w14:textId="77777777" w:rsidR="003D4DFD" w:rsidRPr="003D4DFD" w:rsidRDefault="003D4DFD" w:rsidP="003D4DFD">
            <w:pPr>
              <w:spacing w:after="0" w:line="240" w:lineRule="auto"/>
              <w:jc w:val="center"/>
              <w:rPr>
                <w:rFonts w:eastAsia="Times New Roman" w:cs="Calibri"/>
                <w:b/>
                <w:bCs/>
                <w:color w:val="FFFFFF"/>
                <w:sz w:val="14"/>
                <w:szCs w:val="14"/>
                <w:lang w:eastAsia="es-MX"/>
              </w:rPr>
            </w:pPr>
            <w:r w:rsidRPr="003D4DFD">
              <w:rPr>
                <w:rFonts w:eastAsia="Times New Roman" w:cs="Calibri"/>
                <w:b/>
                <w:bCs/>
                <w:color w:val="FFFFFF"/>
                <w:sz w:val="14"/>
                <w:szCs w:val="14"/>
                <w:lang w:eastAsia="es-MX"/>
              </w:rPr>
              <w:t>Importe</w:t>
            </w:r>
          </w:p>
        </w:tc>
        <w:tc>
          <w:tcPr>
            <w:tcW w:w="1417" w:type="dxa"/>
            <w:tcBorders>
              <w:top w:val="single" w:sz="4" w:space="0" w:color="auto"/>
              <w:left w:val="nil"/>
              <w:bottom w:val="single" w:sz="4" w:space="0" w:color="auto"/>
              <w:right w:val="single" w:sz="4" w:space="0" w:color="auto"/>
            </w:tcBorders>
            <w:shd w:val="clear" w:color="000000" w:fill="AB0033"/>
            <w:vAlign w:val="center"/>
            <w:hideMark/>
          </w:tcPr>
          <w:p w14:paraId="2C258C2B" w14:textId="77777777" w:rsidR="003D4DFD" w:rsidRPr="003D4DFD" w:rsidRDefault="003D4DFD" w:rsidP="003D4DFD">
            <w:pPr>
              <w:spacing w:after="0" w:line="240" w:lineRule="auto"/>
              <w:jc w:val="center"/>
              <w:rPr>
                <w:rFonts w:eastAsia="Times New Roman" w:cs="Calibri"/>
                <w:b/>
                <w:bCs/>
                <w:color w:val="FFFFFF"/>
                <w:sz w:val="14"/>
                <w:szCs w:val="14"/>
                <w:lang w:eastAsia="es-MX"/>
              </w:rPr>
            </w:pPr>
            <w:r w:rsidRPr="003D4DFD">
              <w:rPr>
                <w:rFonts w:eastAsia="Times New Roman" w:cs="Calibri"/>
                <w:b/>
                <w:bCs/>
                <w:color w:val="FFFFFF"/>
                <w:sz w:val="14"/>
                <w:szCs w:val="14"/>
                <w:lang w:eastAsia="es-MX"/>
              </w:rPr>
              <w:t>Porcentaje</w:t>
            </w:r>
          </w:p>
        </w:tc>
      </w:tr>
      <w:tr w:rsidR="003D4DFD" w:rsidRPr="003D4DFD" w14:paraId="1C995024" w14:textId="77777777" w:rsidTr="00980E36">
        <w:trPr>
          <w:trHeight w:val="284"/>
        </w:trPr>
        <w:tc>
          <w:tcPr>
            <w:tcW w:w="495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08A748A" w14:textId="77777777" w:rsidR="003D4DFD" w:rsidRPr="003D4DFD" w:rsidRDefault="003D4DFD" w:rsidP="003D4DFD">
            <w:pPr>
              <w:spacing w:after="0" w:line="240" w:lineRule="auto"/>
              <w:rPr>
                <w:rFonts w:eastAsia="Times New Roman" w:cs="Calibri"/>
                <w:b/>
                <w:bCs/>
                <w:color w:val="000000"/>
                <w:sz w:val="14"/>
                <w:szCs w:val="14"/>
                <w:lang w:eastAsia="es-MX"/>
              </w:rPr>
            </w:pPr>
            <w:r w:rsidRPr="003D4DFD">
              <w:rPr>
                <w:rFonts w:eastAsia="Times New Roman" w:cs="Calibri"/>
                <w:b/>
                <w:bCs/>
                <w:color w:val="000000"/>
                <w:sz w:val="14"/>
                <w:szCs w:val="14"/>
                <w:lang w:eastAsia="es-MX"/>
              </w:rPr>
              <w:t>Ingresos de Gestión.</w:t>
            </w:r>
          </w:p>
        </w:tc>
        <w:tc>
          <w:tcPr>
            <w:tcW w:w="2127" w:type="dxa"/>
            <w:tcBorders>
              <w:top w:val="nil"/>
              <w:left w:val="nil"/>
              <w:bottom w:val="single" w:sz="4" w:space="0" w:color="auto"/>
              <w:right w:val="single" w:sz="4" w:space="0" w:color="auto"/>
            </w:tcBorders>
            <w:shd w:val="clear" w:color="auto" w:fill="D9D9D9" w:themeFill="background1" w:themeFillShade="D9"/>
            <w:noWrap/>
            <w:vAlign w:val="center"/>
            <w:hideMark/>
          </w:tcPr>
          <w:p w14:paraId="7AA5872E" w14:textId="77777777" w:rsidR="003D4DFD" w:rsidRPr="003D4DFD" w:rsidRDefault="003D4DFD" w:rsidP="003D4DFD">
            <w:pPr>
              <w:spacing w:after="0" w:line="240" w:lineRule="auto"/>
              <w:jc w:val="right"/>
              <w:rPr>
                <w:rFonts w:eastAsia="Times New Roman" w:cs="Calibri"/>
                <w:b/>
                <w:bCs/>
                <w:color w:val="000000"/>
                <w:sz w:val="14"/>
                <w:szCs w:val="14"/>
                <w:lang w:eastAsia="es-MX"/>
              </w:rPr>
            </w:pPr>
            <w:r w:rsidRPr="003D4DFD">
              <w:rPr>
                <w:rFonts w:eastAsia="Times New Roman" w:cs="Calibri"/>
                <w:b/>
                <w:bCs/>
                <w:color w:val="000000"/>
                <w:sz w:val="14"/>
                <w:szCs w:val="14"/>
                <w:lang w:eastAsia="es-MX"/>
              </w:rPr>
              <w:t>9,493,333,149</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3B3FE0A1" w14:textId="77777777" w:rsidR="003D4DFD" w:rsidRPr="003D4DFD" w:rsidRDefault="003D4DFD" w:rsidP="003D4DFD">
            <w:pPr>
              <w:spacing w:after="0" w:line="240" w:lineRule="auto"/>
              <w:jc w:val="right"/>
              <w:rPr>
                <w:rFonts w:eastAsia="Times New Roman" w:cs="Calibri"/>
                <w:b/>
                <w:bCs/>
                <w:color w:val="000000"/>
                <w:sz w:val="14"/>
                <w:szCs w:val="14"/>
                <w:lang w:eastAsia="es-MX"/>
              </w:rPr>
            </w:pPr>
            <w:r w:rsidRPr="003D4DFD">
              <w:rPr>
                <w:rFonts w:eastAsia="Times New Roman" w:cs="Calibri"/>
                <w:b/>
                <w:bCs/>
                <w:color w:val="000000"/>
                <w:sz w:val="14"/>
                <w:szCs w:val="14"/>
                <w:lang w:eastAsia="es-MX"/>
              </w:rPr>
              <w:t>13.55%</w:t>
            </w:r>
          </w:p>
        </w:tc>
      </w:tr>
      <w:tr w:rsidR="003D4DFD" w:rsidRPr="003D4DFD" w14:paraId="7BEC6F17" w14:textId="77777777" w:rsidTr="00EC7550">
        <w:trPr>
          <w:trHeight w:val="20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40A42BC7"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 xml:space="preserve"> Impuestos </w:t>
            </w:r>
          </w:p>
        </w:tc>
        <w:tc>
          <w:tcPr>
            <w:tcW w:w="2127" w:type="dxa"/>
            <w:tcBorders>
              <w:top w:val="nil"/>
              <w:left w:val="nil"/>
              <w:bottom w:val="single" w:sz="4" w:space="0" w:color="auto"/>
              <w:right w:val="single" w:sz="4" w:space="0" w:color="auto"/>
            </w:tcBorders>
            <w:shd w:val="clear" w:color="000000" w:fill="FFFFFF"/>
            <w:noWrap/>
            <w:vAlign w:val="center"/>
            <w:hideMark/>
          </w:tcPr>
          <w:p w14:paraId="75303BB2"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5,630,159,075</w:t>
            </w:r>
          </w:p>
        </w:tc>
        <w:tc>
          <w:tcPr>
            <w:tcW w:w="1417" w:type="dxa"/>
            <w:tcBorders>
              <w:top w:val="nil"/>
              <w:left w:val="nil"/>
              <w:bottom w:val="single" w:sz="4" w:space="0" w:color="auto"/>
              <w:right w:val="single" w:sz="4" w:space="0" w:color="auto"/>
            </w:tcBorders>
            <w:shd w:val="clear" w:color="auto" w:fill="auto"/>
            <w:noWrap/>
            <w:vAlign w:val="center"/>
            <w:hideMark/>
          </w:tcPr>
          <w:p w14:paraId="566F03AA"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8.04%</w:t>
            </w:r>
          </w:p>
        </w:tc>
      </w:tr>
      <w:tr w:rsidR="003D4DFD" w:rsidRPr="003D4DFD" w14:paraId="4D1A3287" w14:textId="77777777" w:rsidTr="00EC7550">
        <w:trPr>
          <w:trHeight w:val="20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386EB97F"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 xml:space="preserve"> Contribuciones y Aportaciones de Seguridad Social </w:t>
            </w:r>
          </w:p>
        </w:tc>
        <w:tc>
          <w:tcPr>
            <w:tcW w:w="2127" w:type="dxa"/>
            <w:tcBorders>
              <w:top w:val="nil"/>
              <w:left w:val="nil"/>
              <w:bottom w:val="single" w:sz="4" w:space="0" w:color="auto"/>
              <w:right w:val="single" w:sz="4" w:space="0" w:color="auto"/>
            </w:tcBorders>
            <w:shd w:val="clear" w:color="000000" w:fill="FFFFFF"/>
            <w:noWrap/>
            <w:vAlign w:val="center"/>
            <w:hideMark/>
          </w:tcPr>
          <w:p w14:paraId="0ACF0599"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14:paraId="4316647F"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0.00%</w:t>
            </w:r>
          </w:p>
        </w:tc>
      </w:tr>
      <w:tr w:rsidR="003D4DFD" w:rsidRPr="003D4DFD" w14:paraId="19CB4E54" w14:textId="77777777" w:rsidTr="00EC7550">
        <w:trPr>
          <w:trHeight w:val="20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01114F72"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Contribuciones de Mejoras</w:t>
            </w:r>
          </w:p>
        </w:tc>
        <w:tc>
          <w:tcPr>
            <w:tcW w:w="2127" w:type="dxa"/>
            <w:tcBorders>
              <w:top w:val="nil"/>
              <w:left w:val="nil"/>
              <w:bottom w:val="single" w:sz="4" w:space="0" w:color="auto"/>
              <w:right w:val="single" w:sz="4" w:space="0" w:color="auto"/>
            </w:tcBorders>
            <w:shd w:val="clear" w:color="000000" w:fill="FFFFFF"/>
            <w:noWrap/>
            <w:vAlign w:val="center"/>
            <w:hideMark/>
          </w:tcPr>
          <w:p w14:paraId="10217932"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0</w:t>
            </w:r>
          </w:p>
        </w:tc>
        <w:tc>
          <w:tcPr>
            <w:tcW w:w="1417" w:type="dxa"/>
            <w:tcBorders>
              <w:top w:val="nil"/>
              <w:left w:val="nil"/>
              <w:bottom w:val="single" w:sz="4" w:space="0" w:color="auto"/>
              <w:right w:val="single" w:sz="4" w:space="0" w:color="auto"/>
            </w:tcBorders>
            <w:shd w:val="clear" w:color="auto" w:fill="auto"/>
            <w:noWrap/>
            <w:vAlign w:val="center"/>
            <w:hideMark/>
          </w:tcPr>
          <w:p w14:paraId="6F333028"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0.00%</w:t>
            </w:r>
          </w:p>
        </w:tc>
      </w:tr>
      <w:tr w:rsidR="003D4DFD" w:rsidRPr="003D4DFD" w14:paraId="70ADF765" w14:textId="77777777" w:rsidTr="00EC7550">
        <w:trPr>
          <w:trHeight w:val="20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2788BC04"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 xml:space="preserve"> Derechos </w:t>
            </w:r>
          </w:p>
        </w:tc>
        <w:tc>
          <w:tcPr>
            <w:tcW w:w="2127" w:type="dxa"/>
            <w:tcBorders>
              <w:top w:val="nil"/>
              <w:left w:val="nil"/>
              <w:bottom w:val="single" w:sz="4" w:space="0" w:color="auto"/>
              <w:right w:val="single" w:sz="4" w:space="0" w:color="auto"/>
            </w:tcBorders>
            <w:shd w:val="clear" w:color="000000" w:fill="FFFFFF"/>
            <w:noWrap/>
            <w:vAlign w:val="center"/>
            <w:hideMark/>
          </w:tcPr>
          <w:p w14:paraId="43A1B494"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2,967,740,859</w:t>
            </w:r>
          </w:p>
        </w:tc>
        <w:tc>
          <w:tcPr>
            <w:tcW w:w="1417" w:type="dxa"/>
            <w:tcBorders>
              <w:top w:val="nil"/>
              <w:left w:val="nil"/>
              <w:bottom w:val="single" w:sz="4" w:space="0" w:color="auto"/>
              <w:right w:val="single" w:sz="4" w:space="0" w:color="auto"/>
            </w:tcBorders>
            <w:shd w:val="clear" w:color="auto" w:fill="auto"/>
            <w:noWrap/>
            <w:vAlign w:val="center"/>
            <w:hideMark/>
          </w:tcPr>
          <w:p w14:paraId="2D99646A"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4.24%</w:t>
            </w:r>
          </w:p>
        </w:tc>
      </w:tr>
      <w:tr w:rsidR="003D4DFD" w:rsidRPr="003D4DFD" w14:paraId="05B1BA61" w14:textId="77777777" w:rsidTr="00EC7550">
        <w:trPr>
          <w:trHeight w:val="20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5CF8C311"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 xml:space="preserve"> Productos </w:t>
            </w:r>
          </w:p>
        </w:tc>
        <w:tc>
          <w:tcPr>
            <w:tcW w:w="2127" w:type="dxa"/>
            <w:tcBorders>
              <w:top w:val="nil"/>
              <w:left w:val="nil"/>
              <w:bottom w:val="single" w:sz="4" w:space="0" w:color="auto"/>
              <w:right w:val="single" w:sz="4" w:space="0" w:color="auto"/>
            </w:tcBorders>
            <w:shd w:val="clear" w:color="000000" w:fill="FFFFFF"/>
            <w:noWrap/>
            <w:vAlign w:val="center"/>
            <w:hideMark/>
          </w:tcPr>
          <w:p w14:paraId="4E605A3C"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240,527,604</w:t>
            </w:r>
          </w:p>
        </w:tc>
        <w:tc>
          <w:tcPr>
            <w:tcW w:w="1417" w:type="dxa"/>
            <w:tcBorders>
              <w:top w:val="nil"/>
              <w:left w:val="nil"/>
              <w:bottom w:val="single" w:sz="4" w:space="0" w:color="auto"/>
              <w:right w:val="single" w:sz="4" w:space="0" w:color="auto"/>
            </w:tcBorders>
            <w:shd w:val="clear" w:color="auto" w:fill="auto"/>
            <w:noWrap/>
            <w:vAlign w:val="center"/>
            <w:hideMark/>
          </w:tcPr>
          <w:p w14:paraId="6172A1B0"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0.34%</w:t>
            </w:r>
          </w:p>
        </w:tc>
      </w:tr>
      <w:tr w:rsidR="003D4DFD" w:rsidRPr="003D4DFD" w14:paraId="697CF9DF" w14:textId="77777777" w:rsidTr="00EC7550">
        <w:trPr>
          <w:trHeight w:val="20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0E47BBC3"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 xml:space="preserve"> Aprovechamientos </w:t>
            </w:r>
          </w:p>
        </w:tc>
        <w:tc>
          <w:tcPr>
            <w:tcW w:w="2127" w:type="dxa"/>
            <w:tcBorders>
              <w:top w:val="nil"/>
              <w:left w:val="nil"/>
              <w:bottom w:val="single" w:sz="4" w:space="0" w:color="auto"/>
              <w:right w:val="single" w:sz="4" w:space="0" w:color="auto"/>
            </w:tcBorders>
            <w:shd w:val="clear" w:color="000000" w:fill="FFFFFF"/>
            <w:noWrap/>
            <w:vAlign w:val="center"/>
            <w:hideMark/>
          </w:tcPr>
          <w:p w14:paraId="70FAD4DE"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654,905,611</w:t>
            </w:r>
          </w:p>
        </w:tc>
        <w:tc>
          <w:tcPr>
            <w:tcW w:w="1417" w:type="dxa"/>
            <w:tcBorders>
              <w:top w:val="nil"/>
              <w:left w:val="nil"/>
              <w:bottom w:val="single" w:sz="4" w:space="0" w:color="auto"/>
              <w:right w:val="single" w:sz="4" w:space="0" w:color="auto"/>
            </w:tcBorders>
            <w:shd w:val="clear" w:color="auto" w:fill="auto"/>
            <w:noWrap/>
            <w:vAlign w:val="center"/>
            <w:hideMark/>
          </w:tcPr>
          <w:p w14:paraId="61C54F38"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0.93%</w:t>
            </w:r>
          </w:p>
        </w:tc>
      </w:tr>
      <w:tr w:rsidR="003D4DFD" w:rsidRPr="003D4DFD" w14:paraId="2AA395BF" w14:textId="77777777" w:rsidTr="00EC7550">
        <w:trPr>
          <w:trHeight w:val="14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7A8ADABE"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 </w:t>
            </w:r>
          </w:p>
        </w:tc>
        <w:tc>
          <w:tcPr>
            <w:tcW w:w="2127" w:type="dxa"/>
            <w:tcBorders>
              <w:top w:val="nil"/>
              <w:left w:val="nil"/>
              <w:bottom w:val="single" w:sz="4" w:space="0" w:color="auto"/>
              <w:right w:val="single" w:sz="4" w:space="0" w:color="auto"/>
            </w:tcBorders>
            <w:shd w:val="clear" w:color="auto" w:fill="auto"/>
            <w:noWrap/>
            <w:vAlign w:val="center"/>
            <w:hideMark/>
          </w:tcPr>
          <w:p w14:paraId="3BF69918"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14:paraId="7E5C011C"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 </w:t>
            </w:r>
          </w:p>
        </w:tc>
      </w:tr>
      <w:tr w:rsidR="003D4DFD" w:rsidRPr="003D4DFD" w14:paraId="0DF37E71" w14:textId="77777777" w:rsidTr="00980E36">
        <w:trPr>
          <w:trHeight w:val="680"/>
        </w:trPr>
        <w:tc>
          <w:tcPr>
            <w:tcW w:w="495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0B47C8D" w14:textId="77777777" w:rsidR="003D4DFD" w:rsidRPr="003D4DFD" w:rsidRDefault="003D4DFD" w:rsidP="003D4DFD">
            <w:pPr>
              <w:spacing w:after="0" w:line="240" w:lineRule="auto"/>
              <w:rPr>
                <w:rFonts w:eastAsia="Times New Roman" w:cs="Calibri"/>
                <w:b/>
                <w:bCs/>
                <w:color w:val="000000"/>
                <w:sz w:val="14"/>
                <w:szCs w:val="14"/>
                <w:lang w:eastAsia="es-MX"/>
              </w:rPr>
            </w:pPr>
            <w:r w:rsidRPr="003D4DFD">
              <w:rPr>
                <w:rFonts w:eastAsia="Times New Roman" w:cs="Calibri"/>
                <w:b/>
                <w:bCs/>
                <w:color w:val="000000"/>
                <w:sz w:val="14"/>
                <w:szCs w:val="14"/>
                <w:lang w:eastAsia="es-MX"/>
              </w:rPr>
              <w:t>Participaciones, Aportaciones, Convenios, Incentivos derivados de la Colaboración Fiscal, Fondos distintos de Aportaciones, Transferencias, Asignaciones, Subsidios y Subvenciones, y Pensiones y Jubilaciones.</w:t>
            </w:r>
          </w:p>
        </w:tc>
        <w:tc>
          <w:tcPr>
            <w:tcW w:w="2127" w:type="dxa"/>
            <w:tcBorders>
              <w:top w:val="nil"/>
              <w:left w:val="nil"/>
              <w:bottom w:val="single" w:sz="4" w:space="0" w:color="auto"/>
              <w:right w:val="single" w:sz="4" w:space="0" w:color="auto"/>
            </w:tcBorders>
            <w:shd w:val="clear" w:color="auto" w:fill="D9D9D9" w:themeFill="background1" w:themeFillShade="D9"/>
            <w:noWrap/>
            <w:vAlign w:val="center"/>
            <w:hideMark/>
          </w:tcPr>
          <w:p w14:paraId="071B27F6" w14:textId="77777777" w:rsidR="003D4DFD" w:rsidRPr="003D4DFD" w:rsidRDefault="003D4DFD" w:rsidP="003D4DFD">
            <w:pPr>
              <w:spacing w:after="0" w:line="240" w:lineRule="auto"/>
              <w:jc w:val="right"/>
              <w:rPr>
                <w:rFonts w:eastAsia="Times New Roman" w:cs="Calibri"/>
                <w:b/>
                <w:bCs/>
                <w:color w:val="000000"/>
                <w:sz w:val="14"/>
                <w:szCs w:val="14"/>
                <w:lang w:eastAsia="es-MX"/>
              </w:rPr>
            </w:pPr>
            <w:r w:rsidRPr="003D4DFD">
              <w:rPr>
                <w:rFonts w:eastAsia="Times New Roman" w:cs="Calibri"/>
                <w:b/>
                <w:bCs/>
                <w:color w:val="000000"/>
                <w:sz w:val="14"/>
                <w:szCs w:val="14"/>
                <w:lang w:eastAsia="es-MX"/>
              </w:rPr>
              <w:t>60,566,568,803</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37D8A9B6" w14:textId="77777777" w:rsidR="003D4DFD" w:rsidRPr="003D4DFD" w:rsidRDefault="003D4DFD" w:rsidP="003D4DFD">
            <w:pPr>
              <w:spacing w:after="0" w:line="240" w:lineRule="auto"/>
              <w:jc w:val="right"/>
              <w:rPr>
                <w:rFonts w:eastAsia="Times New Roman" w:cs="Calibri"/>
                <w:b/>
                <w:bCs/>
                <w:color w:val="000000"/>
                <w:sz w:val="14"/>
                <w:szCs w:val="14"/>
                <w:lang w:eastAsia="es-MX"/>
              </w:rPr>
            </w:pPr>
            <w:r w:rsidRPr="003D4DFD">
              <w:rPr>
                <w:rFonts w:eastAsia="Times New Roman" w:cs="Calibri"/>
                <w:b/>
                <w:bCs/>
                <w:color w:val="000000"/>
                <w:sz w:val="14"/>
                <w:szCs w:val="14"/>
                <w:lang w:eastAsia="es-MX"/>
              </w:rPr>
              <w:t>86.45%</w:t>
            </w:r>
          </w:p>
        </w:tc>
      </w:tr>
      <w:tr w:rsidR="003D4DFD" w:rsidRPr="003D4DFD" w14:paraId="4F193C9D" w14:textId="77777777" w:rsidTr="00EC7550">
        <w:trPr>
          <w:trHeight w:val="20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514667ED"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 xml:space="preserve"> Participaciones  </w:t>
            </w:r>
          </w:p>
        </w:tc>
        <w:tc>
          <w:tcPr>
            <w:tcW w:w="2127" w:type="dxa"/>
            <w:tcBorders>
              <w:top w:val="nil"/>
              <w:left w:val="nil"/>
              <w:bottom w:val="single" w:sz="4" w:space="0" w:color="auto"/>
              <w:right w:val="single" w:sz="4" w:space="0" w:color="auto"/>
            </w:tcBorders>
            <w:shd w:val="clear" w:color="000000" w:fill="FFFFFF"/>
            <w:noWrap/>
            <w:vAlign w:val="center"/>
            <w:hideMark/>
          </w:tcPr>
          <w:p w14:paraId="150DD5C1"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27,529,625,268</w:t>
            </w:r>
          </w:p>
        </w:tc>
        <w:tc>
          <w:tcPr>
            <w:tcW w:w="1417" w:type="dxa"/>
            <w:tcBorders>
              <w:top w:val="nil"/>
              <w:left w:val="nil"/>
              <w:bottom w:val="single" w:sz="4" w:space="0" w:color="auto"/>
              <w:right w:val="single" w:sz="4" w:space="0" w:color="auto"/>
            </w:tcBorders>
            <w:shd w:val="clear" w:color="auto" w:fill="auto"/>
            <w:noWrap/>
            <w:vAlign w:val="center"/>
            <w:hideMark/>
          </w:tcPr>
          <w:p w14:paraId="4ECDFABE"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39.29%</w:t>
            </w:r>
          </w:p>
        </w:tc>
      </w:tr>
      <w:tr w:rsidR="003D4DFD" w:rsidRPr="003D4DFD" w14:paraId="48FB0218" w14:textId="77777777" w:rsidTr="00EC7550">
        <w:trPr>
          <w:trHeight w:val="20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16373AF7"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 xml:space="preserve">Aportaciones </w:t>
            </w:r>
          </w:p>
        </w:tc>
        <w:tc>
          <w:tcPr>
            <w:tcW w:w="2127" w:type="dxa"/>
            <w:tcBorders>
              <w:top w:val="nil"/>
              <w:left w:val="nil"/>
              <w:bottom w:val="single" w:sz="4" w:space="0" w:color="auto"/>
              <w:right w:val="single" w:sz="4" w:space="0" w:color="auto"/>
            </w:tcBorders>
            <w:shd w:val="clear" w:color="000000" w:fill="FFFFFF"/>
            <w:noWrap/>
            <w:vAlign w:val="center"/>
            <w:hideMark/>
          </w:tcPr>
          <w:p w14:paraId="5FDDC6BB"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25,005,593,057</w:t>
            </w:r>
          </w:p>
        </w:tc>
        <w:tc>
          <w:tcPr>
            <w:tcW w:w="1417" w:type="dxa"/>
            <w:tcBorders>
              <w:top w:val="nil"/>
              <w:left w:val="nil"/>
              <w:bottom w:val="single" w:sz="4" w:space="0" w:color="auto"/>
              <w:right w:val="single" w:sz="4" w:space="0" w:color="auto"/>
            </w:tcBorders>
            <w:shd w:val="clear" w:color="auto" w:fill="auto"/>
            <w:noWrap/>
            <w:vAlign w:val="center"/>
            <w:hideMark/>
          </w:tcPr>
          <w:p w14:paraId="5A1DEC31"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35.69%</w:t>
            </w:r>
          </w:p>
        </w:tc>
      </w:tr>
      <w:tr w:rsidR="003D4DFD" w:rsidRPr="003D4DFD" w14:paraId="22D2F967" w14:textId="77777777" w:rsidTr="00EC7550">
        <w:trPr>
          <w:trHeight w:val="20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608C3AF1"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 xml:space="preserve">Convenios </w:t>
            </w:r>
          </w:p>
        </w:tc>
        <w:tc>
          <w:tcPr>
            <w:tcW w:w="2127" w:type="dxa"/>
            <w:tcBorders>
              <w:top w:val="nil"/>
              <w:left w:val="nil"/>
              <w:bottom w:val="single" w:sz="4" w:space="0" w:color="auto"/>
              <w:right w:val="single" w:sz="4" w:space="0" w:color="auto"/>
            </w:tcBorders>
            <w:shd w:val="clear" w:color="000000" w:fill="FFFFFF"/>
            <w:noWrap/>
            <w:vAlign w:val="center"/>
            <w:hideMark/>
          </w:tcPr>
          <w:p w14:paraId="7EBE22C9"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5,341,148,145</w:t>
            </w:r>
          </w:p>
        </w:tc>
        <w:tc>
          <w:tcPr>
            <w:tcW w:w="1417" w:type="dxa"/>
            <w:tcBorders>
              <w:top w:val="nil"/>
              <w:left w:val="nil"/>
              <w:bottom w:val="single" w:sz="4" w:space="0" w:color="auto"/>
              <w:right w:val="single" w:sz="4" w:space="0" w:color="auto"/>
            </w:tcBorders>
            <w:shd w:val="clear" w:color="auto" w:fill="auto"/>
            <w:noWrap/>
            <w:vAlign w:val="center"/>
            <w:hideMark/>
          </w:tcPr>
          <w:p w14:paraId="5F498728"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7.62%</w:t>
            </w:r>
          </w:p>
        </w:tc>
      </w:tr>
      <w:tr w:rsidR="003D4DFD" w:rsidRPr="003D4DFD" w14:paraId="08127EBF" w14:textId="77777777" w:rsidTr="00EC7550">
        <w:trPr>
          <w:trHeight w:val="20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12B69F2A"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Incentivos derivados de la Colaboración Fiscal</w:t>
            </w:r>
          </w:p>
        </w:tc>
        <w:tc>
          <w:tcPr>
            <w:tcW w:w="2127" w:type="dxa"/>
            <w:tcBorders>
              <w:top w:val="nil"/>
              <w:left w:val="nil"/>
              <w:bottom w:val="single" w:sz="4" w:space="0" w:color="auto"/>
              <w:right w:val="single" w:sz="4" w:space="0" w:color="auto"/>
            </w:tcBorders>
            <w:shd w:val="clear" w:color="000000" w:fill="FFFFFF"/>
            <w:noWrap/>
            <w:vAlign w:val="center"/>
            <w:hideMark/>
          </w:tcPr>
          <w:p w14:paraId="0304D153"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992,273,239</w:t>
            </w:r>
          </w:p>
        </w:tc>
        <w:tc>
          <w:tcPr>
            <w:tcW w:w="1417" w:type="dxa"/>
            <w:tcBorders>
              <w:top w:val="nil"/>
              <w:left w:val="nil"/>
              <w:bottom w:val="single" w:sz="4" w:space="0" w:color="auto"/>
              <w:right w:val="single" w:sz="4" w:space="0" w:color="auto"/>
            </w:tcBorders>
            <w:shd w:val="clear" w:color="auto" w:fill="auto"/>
            <w:noWrap/>
            <w:vAlign w:val="center"/>
            <w:hideMark/>
          </w:tcPr>
          <w:p w14:paraId="6ADF0011"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1.42%</w:t>
            </w:r>
          </w:p>
        </w:tc>
      </w:tr>
      <w:tr w:rsidR="003D4DFD" w:rsidRPr="003D4DFD" w14:paraId="40BF01FB" w14:textId="77777777" w:rsidTr="00EC7550">
        <w:trPr>
          <w:trHeight w:val="20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48952573"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Fondos Distintos de Aportaciones</w:t>
            </w:r>
          </w:p>
        </w:tc>
        <w:tc>
          <w:tcPr>
            <w:tcW w:w="2127" w:type="dxa"/>
            <w:tcBorders>
              <w:top w:val="nil"/>
              <w:left w:val="nil"/>
              <w:bottom w:val="single" w:sz="4" w:space="0" w:color="auto"/>
              <w:right w:val="single" w:sz="4" w:space="0" w:color="auto"/>
            </w:tcBorders>
            <w:shd w:val="clear" w:color="000000" w:fill="FFFFFF"/>
            <w:noWrap/>
            <w:vAlign w:val="center"/>
            <w:hideMark/>
          </w:tcPr>
          <w:p w14:paraId="1CCA923C"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1,697,929,094</w:t>
            </w:r>
          </w:p>
        </w:tc>
        <w:tc>
          <w:tcPr>
            <w:tcW w:w="1417" w:type="dxa"/>
            <w:tcBorders>
              <w:top w:val="nil"/>
              <w:left w:val="nil"/>
              <w:bottom w:val="single" w:sz="4" w:space="0" w:color="auto"/>
              <w:right w:val="single" w:sz="4" w:space="0" w:color="auto"/>
            </w:tcBorders>
            <w:shd w:val="clear" w:color="auto" w:fill="auto"/>
            <w:noWrap/>
            <w:vAlign w:val="center"/>
            <w:hideMark/>
          </w:tcPr>
          <w:p w14:paraId="2258B907"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2.42%</w:t>
            </w:r>
          </w:p>
        </w:tc>
      </w:tr>
      <w:tr w:rsidR="003D4DFD" w:rsidRPr="003D4DFD" w14:paraId="66A6A55B" w14:textId="77777777" w:rsidTr="00980E36">
        <w:trPr>
          <w:trHeight w:val="284"/>
        </w:trPr>
        <w:tc>
          <w:tcPr>
            <w:tcW w:w="495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BBDC1D" w14:textId="77777777" w:rsidR="003D4DFD" w:rsidRPr="003D4DFD" w:rsidRDefault="003D4DFD" w:rsidP="003D4DFD">
            <w:pPr>
              <w:spacing w:after="0" w:line="240" w:lineRule="auto"/>
              <w:rPr>
                <w:rFonts w:eastAsia="Times New Roman" w:cs="Calibri"/>
                <w:b/>
                <w:bCs/>
                <w:color w:val="000000"/>
                <w:sz w:val="14"/>
                <w:szCs w:val="14"/>
                <w:lang w:eastAsia="es-MX"/>
              </w:rPr>
            </w:pPr>
            <w:r w:rsidRPr="003D4DFD">
              <w:rPr>
                <w:rFonts w:eastAsia="Times New Roman" w:cs="Calibri"/>
                <w:b/>
                <w:bCs/>
                <w:color w:val="000000"/>
                <w:sz w:val="14"/>
                <w:szCs w:val="14"/>
                <w:lang w:eastAsia="es-MX"/>
              </w:rPr>
              <w:t>Otros Ingresos y Beneficios Varios.</w:t>
            </w:r>
          </w:p>
        </w:tc>
        <w:tc>
          <w:tcPr>
            <w:tcW w:w="2127" w:type="dxa"/>
            <w:tcBorders>
              <w:top w:val="nil"/>
              <w:left w:val="nil"/>
              <w:bottom w:val="single" w:sz="4" w:space="0" w:color="auto"/>
              <w:right w:val="single" w:sz="4" w:space="0" w:color="auto"/>
            </w:tcBorders>
            <w:shd w:val="clear" w:color="auto" w:fill="D9D9D9" w:themeFill="background1" w:themeFillShade="D9"/>
            <w:noWrap/>
            <w:vAlign w:val="center"/>
            <w:hideMark/>
          </w:tcPr>
          <w:p w14:paraId="13F82DE3" w14:textId="77777777" w:rsidR="003D4DFD" w:rsidRPr="003D4DFD" w:rsidRDefault="003D4DFD" w:rsidP="003D4DFD">
            <w:pPr>
              <w:spacing w:after="0" w:line="240" w:lineRule="auto"/>
              <w:jc w:val="right"/>
              <w:rPr>
                <w:rFonts w:eastAsia="Times New Roman" w:cs="Calibri"/>
                <w:b/>
                <w:bCs/>
                <w:color w:val="000000"/>
                <w:sz w:val="14"/>
                <w:szCs w:val="14"/>
                <w:lang w:eastAsia="es-MX"/>
              </w:rPr>
            </w:pPr>
            <w:r w:rsidRPr="003D4DFD">
              <w:rPr>
                <w:rFonts w:eastAsia="Times New Roman" w:cs="Calibri"/>
                <w:b/>
                <w:bCs/>
                <w:color w:val="000000"/>
                <w:sz w:val="14"/>
                <w:szCs w:val="14"/>
                <w:lang w:eastAsia="es-MX"/>
              </w:rPr>
              <w:t>2,815,872</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33051FED" w14:textId="77777777" w:rsidR="003D4DFD" w:rsidRPr="003D4DFD" w:rsidRDefault="003D4DFD" w:rsidP="003D4DFD">
            <w:pPr>
              <w:spacing w:after="0" w:line="240" w:lineRule="auto"/>
              <w:jc w:val="right"/>
              <w:rPr>
                <w:rFonts w:eastAsia="Times New Roman" w:cs="Calibri"/>
                <w:b/>
                <w:bCs/>
                <w:color w:val="000000"/>
                <w:sz w:val="14"/>
                <w:szCs w:val="14"/>
                <w:lang w:eastAsia="es-MX"/>
              </w:rPr>
            </w:pPr>
            <w:r w:rsidRPr="003D4DFD">
              <w:rPr>
                <w:rFonts w:eastAsia="Times New Roman" w:cs="Calibri"/>
                <w:b/>
                <w:bCs/>
                <w:color w:val="000000"/>
                <w:sz w:val="14"/>
                <w:szCs w:val="14"/>
                <w:lang w:eastAsia="es-MX"/>
              </w:rPr>
              <w:t>0.00%</w:t>
            </w:r>
          </w:p>
        </w:tc>
      </w:tr>
      <w:tr w:rsidR="003D4DFD" w:rsidRPr="003D4DFD" w14:paraId="162FE569" w14:textId="77777777" w:rsidTr="00EC7550">
        <w:trPr>
          <w:trHeight w:val="300"/>
        </w:trPr>
        <w:tc>
          <w:tcPr>
            <w:tcW w:w="4957" w:type="dxa"/>
            <w:tcBorders>
              <w:top w:val="nil"/>
              <w:left w:val="single" w:sz="4" w:space="0" w:color="auto"/>
              <w:bottom w:val="single" w:sz="4" w:space="0" w:color="auto"/>
              <w:right w:val="single" w:sz="4" w:space="0" w:color="auto"/>
            </w:tcBorders>
            <w:shd w:val="clear" w:color="000000" w:fill="DDC9A3"/>
            <w:noWrap/>
            <w:vAlign w:val="center"/>
            <w:hideMark/>
          </w:tcPr>
          <w:p w14:paraId="2222813B" w14:textId="77777777" w:rsidR="003D4DFD" w:rsidRPr="003D4DFD" w:rsidRDefault="003D4DFD" w:rsidP="003D4DFD">
            <w:pPr>
              <w:spacing w:after="0" w:line="240" w:lineRule="auto"/>
              <w:jc w:val="center"/>
              <w:rPr>
                <w:rFonts w:eastAsia="Times New Roman" w:cs="Calibri"/>
                <w:b/>
                <w:bCs/>
                <w:color w:val="000000"/>
                <w:sz w:val="14"/>
                <w:szCs w:val="14"/>
                <w:lang w:eastAsia="es-MX"/>
              </w:rPr>
            </w:pPr>
            <w:r w:rsidRPr="003D4DFD">
              <w:rPr>
                <w:rFonts w:eastAsia="Times New Roman" w:cs="Calibri"/>
                <w:b/>
                <w:bCs/>
                <w:color w:val="000000"/>
                <w:sz w:val="14"/>
                <w:szCs w:val="14"/>
                <w:lang w:eastAsia="es-MX"/>
              </w:rPr>
              <w:t>Ingresos y Otros Beneficio Varios.</w:t>
            </w:r>
          </w:p>
        </w:tc>
        <w:tc>
          <w:tcPr>
            <w:tcW w:w="2127" w:type="dxa"/>
            <w:tcBorders>
              <w:top w:val="nil"/>
              <w:left w:val="nil"/>
              <w:bottom w:val="single" w:sz="4" w:space="0" w:color="auto"/>
              <w:right w:val="single" w:sz="4" w:space="0" w:color="auto"/>
            </w:tcBorders>
            <w:shd w:val="clear" w:color="000000" w:fill="DDC9A3"/>
            <w:noWrap/>
            <w:vAlign w:val="center"/>
            <w:hideMark/>
          </w:tcPr>
          <w:p w14:paraId="20C480DD" w14:textId="77777777" w:rsidR="003D4DFD" w:rsidRPr="003D4DFD" w:rsidRDefault="003D4DFD" w:rsidP="003D4DFD">
            <w:pPr>
              <w:spacing w:after="0" w:line="240" w:lineRule="auto"/>
              <w:jc w:val="right"/>
              <w:rPr>
                <w:rFonts w:eastAsia="Times New Roman" w:cs="Calibri"/>
                <w:b/>
                <w:bCs/>
                <w:color w:val="000000"/>
                <w:sz w:val="14"/>
                <w:szCs w:val="14"/>
                <w:lang w:eastAsia="es-MX"/>
              </w:rPr>
            </w:pPr>
            <w:r w:rsidRPr="003D4DFD">
              <w:rPr>
                <w:rFonts w:eastAsia="Times New Roman" w:cs="Calibri"/>
                <w:b/>
                <w:bCs/>
                <w:color w:val="000000"/>
                <w:sz w:val="14"/>
                <w:szCs w:val="14"/>
                <w:lang w:eastAsia="es-MX"/>
              </w:rPr>
              <w:t>70,062,717,824</w:t>
            </w:r>
          </w:p>
        </w:tc>
        <w:tc>
          <w:tcPr>
            <w:tcW w:w="1417" w:type="dxa"/>
            <w:tcBorders>
              <w:top w:val="nil"/>
              <w:left w:val="nil"/>
              <w:bottom w:val="single" w:sz="4" w:space="0" w:color="auto"/>
              <w:right w:val="single" w:sz="4" w:space="0" w:color="auto"/>
            </w:tcBorders>
            <w:shd w:val="clear" w:color="000000" w:fill="DDC9A3"/>
            <w:noWrap/>
            <w:vAlign w:val="center"/>
            <w:hideMark/>
          </w:tcPr>
          <w:p w14:paraId="2D905C41" w14:textId="77777777" w:rsidR="003D4DFD" w:rsidRPr="003D4DFD" w:rsidRDefault="003D4DFD" w:rsidP="003D4DFD">
            <w:pPr>
              <w:spacing w:after="0" w:line="240" w:lineRule="auto"/>
              <w:jc w:val="right"/>
              <w:rPr>
                <w:rFonts w:eastAsia="Times New Roman" w:cs="Calibri"/>
                <w:b/>
                <w:bCs/>
                <w:color w:val="000000"/>
                <w:sz w:val="14"/>
                <w:szCs w:val="14"/>
                <w:lang w:eastAsia="es-MX"/>
              </w:rPr>
            </w:pPr>
            <w:r w:rsidRPr="003D4DFD">
              <w:rPr>
                <w:rFonts w:eastAsia="Times New Roman" w:cs="Calibri"/>
                <w:b/>
                <w:bCs/>
                <w:color w:val="000000"/>
                <w:sz w:val="14"/>
                <w:szCs w:val="14"/>
                <w:lang w:eastAsia="es-MX"/>
              </w:rPr>
              <w:t>100.00%</w:t>
            </w:r>
          </w:p>
        </w:tc>
      </w:tr>
    </w:tbl>
    <w:p w14:paraId="4F640EB1" w14:textId="77777777" w:rsidR="008E3DEE" w:rsidRPr="005F45A3" w:rsidRDefault="008E3DEE" w:rsidP="008E3DEE">
      <w:pPr>
        <w:spacing w:after="0" w:line="240" w:lineRule="auto"/>
        <w:rPr>
          <w:rFonts w:asciiTheme="minorHAnsi" w:hAnsiTheme="minorHAnsi" w:cstheme="minorHAnsi"/>
          <w:b/>
          <w:sz w:val="12"/>
          <w:lang w:val="es-ES" w:eastAsia="es-ES"/>
        </w:rPr>
      </w:pPr>
    </w:p>
    <w:p w14:paraId="3CFEAE6E" w14:textId="77777777" w:rsidR="005C3F40" w:rsidRDefault="005C3F40" w:rsidP="007532ED">
      <w:pPr>
        <w:spacing w:after="0" w:line="240" w:lineRule="auto"/>
        <w:jc w:val="both"/>
        <w:rPr>
          <w:rFonts w:asciiTheme="minorHAnsi" w:hAnsiTheme="minorHAnsi" w:cstheme="minorHAnsi"/>
          <w:sz w:val="18"/>
          <w:szCs w:val="18"/>
          <w:lang w:val="es-ES" w:eastAsia="es-ES"/>
        </w:rPr>
      </w:pPr>
    </w:p>
    <w:p w14:paraId="626D374C" w14:textId="53A6B1C5" w:rsidR="007532ED" w:rsidRDefault="007532ED" w:rsidP="007532ED">
      <w:pPr>
        <w:spacing w:after="0" w:line="240" w:lineRule="auto"/>
        <w:jc w:val="both"/>
        <w:rPr>
          <w:rFonts w:asciiTheme="minorHAnsi" w:hAnsiTheme="minorHAnsi" w:cstheme="minorHAnsi"/>
          <w:sz w:val="18"/>
          <w:szCs w:val="18"/>
          <w:lang w:val="es-ES" w:eastAsia="es-ES"/>
        </w:rPr>
      </w:pPr>
      <w:r w:rsidRPr="007532ED">
        <w:rPr>
          <w:rFonts w:asciiTheme="minorHAnsi" w:hAnsiTheme="minorHAnsi" w:cstheme="minorHAnsi"/>
          <w:sz w:val="18"/>
          <w:szCs w:val="18"/>
          <w:lang w:val="es-ES" w:eastAsia="es-ES"/>
        </w:rPr>
        <w:t>Del total de los ingresos registrados, los Ingresos de Gestión corresponden a los ingresos propios recaudados por el Gobierno del Estado, de conformidad con la Ley de Hacienda para el Estado de Tamaulipas y la Ley de Ingresos para el Ejercicio 2022, representando un 13.55% del total de Ingresos, siendo el rubro de Participaciones el ingreso más significativo, con un 39.29%.</w:t>
      </w:r>
    </w:p>
    <w:p w14:paraId="3173FE03" w14:textId="1BA6640A" w:rsidR="005C3F40" w:rsidRDefault="005C3F40" w:rsidP="007532ED">
      <w:pPr>
        <w:spacing w:after="0" w:line="240" w:lineRule="auto"/>
        <w:jc w:val="both"/>
        <w:rPr>
          <w:rFonts w:asciiTheme="minorHAnsi" w:hAnsiTheme="minorHAnsi" w:cstheme="minorHAnsi"/>
          <w:sz w:val="18"/>
          <w:szCs w:val="18"/>
          <w:lang w:val="es-ES" w:eastAsia="es-ES"/>
        </w:rPr>
      </w:pPr>
    </w:p>
    <w:p w14:paraId="5958A228" w14:textId="65B8C9CE" w:rsidR="005C3F40" w:rsidRDefault="005C3F40" w:rsidP="007532ED">
      <w:pPr>
        <w:spacing w:after="0" w:line="240" w:lineRule="auto"/>
        <w:jc w:val="both"/>
        <w:rPr>
          <w:rFonts w:asciiTheme="minorHAnsi" w:hAnsiTheme="minorHAnsi" w:cstheme="minorHAnsi"/>
          <w:sz w:val="18"/>
          <w:szCs w:val="18"/>
          <w:lang w:val="es-ES" w:eastAsia="es-ES"/>
        </w:rPr>
      </w:pPr>
    </w:p>
    <w:p w14:paraId="7D22D892" w14:textId="5A9F04FE" w:rsidR="005C3F40" w:rsidRDefault="005C3F40" w:rsidP="007532ED">
      <w:pPr>
        <w:spacing w:after="0" w:line="240" w:lineRule="auto"/>
        <w:jc w:val="both"/>
        <w:rPr>
          <w:rFonts w:asciiTheme="minorHAnsi" w:hAnsiTheme="minorHAnsi" w:cstheme="minorHAnsi"/>
          <w:sz w:val="18"/>
          <w:szCs w:val="18"/>
          <w:lang w:val="es-ES" w:eastAsia="es-ES"/>
        </w:rPr>
      </w:pPr>
    </w:p>
    <w:p w14:paraId="218F5EA4" w14:textId="77777777" w:rsidR="002D1E75" w:rsidRDefault="002D1E75" w:rsidP="007532ED">
      <w:pPr>
        <w:spacing w:after="0" w:line="240" w:lineRule="auto"/>
        <w:jc w:val="both"/>
        <w:rPr>
          <w:rFonts w:asciiTheme="minorHAnsi" w:hAnsiTheme="minorHAnsi" w:cstheme="minorHAnsi"/>
          <w:sz w:val="18"/>
          <w:szCs w:val="18"/>
          <w:lang w:val="es-ES" w:eastAsia="es-ES"/>
        </w:rPr>
      </w:pPr>
    </w:p>
    <w:p w14:paraId="3C66B595" w14:textId="520FB1A1" w:rsidR="005C3F40" w:rsidRDefault="005C3F40" w:rsidP="007532ED">
      <w:pPr>
        <w:spacing w:after="0" w:line="240" w:lineRule="auto"/>
        <w:jc w:val="both"/>
        <w:rPr>
          <w:rFonts w:asciiTheme="minorHAnsi" w:hAnsiTheme="minorHAnsi" w:cstheme="minorHAnsi"/>
          <w:sz w:val="18"/>
          <w:szCs w:val="18"/>
          <w:lang w:val="es-ES" w:eastAsia="es-ES"/>
        </w:rPr>
      </w:pPr>
    </w:p>
    <w:p w14:paraId="3F1E50D8" w14:textId="203FD002" w:rsidR="005C3F40" w:rsidRDefault="005C3F40" w:rsidP="007532ED">
      <w:pPr>
        <w:spacing w:after="0" w:line="240" w:lineRule="auto"/>
        <w:jc w:val="both"/>
        <w:rPr>
          <w:rFonts w:asciiTheme="minorHAnsi" w:hAnsiTheme="minorHAnsi" w:cstheme="minorHAnsi"/>
          <w:sz w:val="18"/>
          <w:szCs w:val="18"/>
          <w:lang w:val="es-ES" w:eastAsia="es-ES"/>
        </w:rPr>
      </w:pPr>
    </w:p>
    <w:p w14:paraId="637FBF73" w14:textId="1BA8A06A" w:rsidR="001B65AF" w:rsidRDefault="00EF6CE1" w:rsidP="00B46FFA">
      <w:pPr>
        <w:pStyle w:val="Prrafodelista"/>
        <w:numPr>
          <w:ilvl w:val="0"/>
          <w:numId w:val="24"/>
        </w:numPr>
        <w:spacing w:after="0" w:line="240" w:lineRule="auto"/>
        <w:ind w:left="0" w:hanging="141"/>
        <w:rPr>
          <w:rFonts w:asciiTheme="minorHAnsi" w:hAnsiTheme="minorHAnsi" w:cstheme="minorHAnsi"/>
          <w:b/>
          <w:sz w:val="20"/>
          <w:lang w:val="es-ES" w:eastAsia="es-ES"/>
        </w:rPr>
      </w:pPr>
      <w:r w:rsidRPr="005F45A3">
        <w:rPr>
          <w:rFonts w:asciiTheme="minorHAnsi" w:hAnsiTheme="minorHAnsi" w:cstheme="minorHAnsi"/>
          <w:b/>
          <w:sz w:val="20"/>
          <w:lang w:val="es-ES" w:eastAsia="es-ES"/>
        </w:rPr>
        <w:t>Gastos y Otras Pérdidas</w:t>
      </w:r>
      <w:r w:rsidR="001B65AF" w:rsidRPr="005F45A3">
        <w:rPr>
          <w:rFonts w:asciiTheme="minorHAnsi" w:hAnsiTheme="minorHAnsi" w:cstheme="minorHAnsi"/>
          <w:b/>
          <w:sz w:val="20"/>
          <w:lang w:val="es-ES" w:eastAsia="es-ES"/>
        </w:rPr>
        <w:t>.</w:t>
      </w:r>
    </w:p>
    <w:p w14:paraId="2F1EB9E2" w14:textId="77777777" w:rsidR="00EC7550" w:rsidRPr="005C3F40" w:rsidRDefault="00EC7550" w:rsidP="00EC7550">
      <w:pPr>
        <w:pStyle w:val="Prrafodelista"/>
        <w:spacing w:after="0" w:line="240" w:lineRule="auto"/>
        <w:ind w:left="0"/>
        <w:rPr>
          <w:rFonts w:asciiTheme="minorHAnsi" w:hAnsiTheme="minorHAnsi" w:cstheme="minorHAnsi"/>
          <w:b/>
          <w:sz w:val="16"/>
          <w:lang w:val="es-ES" w:eastAsia="es-ES"/>
        </w:rPr>
      </w:pPr>
    </w:p>
    <w:tbl>
      <w:tblPr>
        <w:tblW w:w="7508" w:type="dxa"/>
        <w:tblCellMar>
          <w:left w:w="70" w:type="dxa"/>
          <w:right w:w="70" w:type="dxa"/>
        </w:tblCellMar>
        <w:tblLook w:val="04A0" w:firstRow="1" w:lastRow="0" w:firstColumn="1" w:lastColumn="0" w:noHBand="0" w:noVBand="1"/>
      </w:tblPr>
      <w:tblGrid>
        <w:gridCol w:w="4531"/>
        <w:gridCol w:w="1701"/>
        <w:gridCol w:w="1276"/>
      </w:tblGrid>
      <w:tr w:rsidR="003D4DFD" w:rsidRPr="003D4DFD" w14:paraId="1CF2B870" w14:textId="77777777" w:rsidTr="00EC7550">
        <w:trPr>
          <w:trHeight w:val="420"/>
        </w:trPr>
        <w:tc>
          <w:tcPr>
            <w:tcW w:w="4531"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5D68A4EA" w14:textId="77777777" w:rsidR="003D4DFD" w:rsidRPr="003D4DFD" w:rsidRDefault="003D4DFD" w:rsidP="003D4DFD">
            <w:pPr>
              <w:spacing w:after="0" w:line="240" w:lineRule="auto"/>
              <w:jc w:val="center"/>
              <w:rPr>
                <w:rFonts w:eastAsia="Times New Roman" w:cs="Calibri"/>
                <w:b/>
                <w:bCs/>
                <w:color w:val="FFFFFF"/>
                <w:sz w:val="16"/>
                <w:szCs w:val="16"/>
                <w:lang w:eastAsia="es-MX"/>
              </w:rPr>
            </w:pPr>
            <w:r w:rsidRPr="003D4DFD">
              <w:rPr>
                <w:rFonts w:eastAsia="Times New Roman" w:cs="Calibri"/>
                <w:b/>
                <w:bCs/>
                <w:color w:val="FFFFFF"/>
                <w:sz w:val="16"/>
                <w:szCs w:val="16"/>
                <w:lang w:eastAsia="es-MX"/>
              </w:rPr>
              <w:t>Gastos y Otras Pérdidas</w:t>
            </w:r>
          </w:p>
        </w:tc>
        <w:tc>
          <w:tcPr>
            <w:tcW w:w="1701" w:type="dxa"/>
            <w:tcBorders>
              <w:top w:val="single" w:sz="4" w:space="0" w:color="auto"/>
              <w:left w:val="nil"/>
              <w:bottom w:val="single" w:sz="4" w:space="0" w:color="auto"/>
              <w:right w:val="single" w:sz="4" w:space="0" w:color="auto"/>
            </w:tcBorders>
            <w:shd w:val="clear" w:color="auto" w:fill="AB0033"/>
            <w:vAlign w:val="center"/>
            <w:hideMark/>
          </w:tcPr>
          <w:p w14:paraId="128B94A7" w14:textId="77777777" w:rsidR="003D4DFD" w:rsidRPr="003D4DFD" w:rsidRDefault="003D4DFD" w:rsidP="003D4DFD">
            <w:pPr>
              <w:spacing w:after="0" w:line="240" w:lineRule="auto"/>
              <w:jc w:val="center"/>
              <w:rPr>
                <w:rFonts w:eastAsia="Times New Roman" w:cs="Calibri"/>
                <w:b/>
                <w:bCs/>
                <w:color w:val="FFFFFF"/>
                <w:sz w:val="16"/>
                <w:szCs w:val="16"/>
                <w:lang w:eastAsia="es-MX"/>
              </w:rPr>
            </w:pPr>
            <w:r w:rsidRPr="003D4DFD">
              <w:rPr>
                <w:rFonts w:eastAsia="Times New Roman" w:cs="Calibri"/>
                <w:b/>
                <w:bCs/>
                <w:color w:val="FFFFFF"/>
                <w:sz w:val="16"/>
                <w:szCs w:val="16"/>
                <w:lang w:eastAsia="es-MX"/>
              </w:rPr>
              <w:t>Importe</w:t>
            </w:r>
          </w:p>
        </w:tc>
        <w:tc>
          <w:tcPr>
            <w:tcW w:w="1276" w:type="dxa"/>
            <w:tcBorders>
              <w:top w:val="single" w:sz="4" w:space="0" w:color="auto"/>
              <w:left w:val="nil"/>
              <w:bottom w:val="single" w:sz="4" w:space="0" w:color="auto"/>
              <w:right w:val="single" w:sz="4" w:space="0" w:color="auto"/>
            </w:tcBorders>
            <w:shd w:val="clear" w:color="auto" w:fill="AB0033"/>
            <w:vAlign w:val="center"/>
            <w:hideMark/>
          </w:tcPr>
          <w:p w14:paraId="0FD296E0" w14:textId="77777777" w:rsidR="003D4DFD" w:rsidRPr="003D4DFD" w:rsidRDefault="003D4DFD" w:rsidP="003D4DFD">
            <w:pPr>
              <w:spacing w:after="0" w:line="240" w:lineRule="auto"/>
              <w:jc w:val="center"/>
              <w:rPr>
                <w:rFonts w:eastAsia="Times New Roman" w:cs="Calibri"/>
                <w:b/>
                <w:bCs/>
                <w:color w:val="FFFFFF"/>
                <w:sz w:val="16"/>
                <w:szCs w:val="16"/>
                <w:lang w:eastAsia="es-MX"/>
              </w:rPr>
            </w:pPr>
            <w:r w:rsidRPr="003D4DFD">
              <w:rPr>
                <w:rFonts w:eastAsia="Times New Roman" w:cs="Calibri"/>
                <w:b/>
                <w:bCs/>
                <w:color w:val="FFFFFF"/>
                <w:sz w:val="16"/>
                <w:szCs w:val="16"/>
                <w:lang w:eastAsia="es-MX"/>
              </w:rPr>
              <w:t>Porcentaje</w:t>
            </w:r>
          </w:p>
        </w:tc>
      </w:tr>
      <w:tr w:rsidR="003D4DFD" w:rsidRPr="003D4DFD" w14:paraId="0DD62863" w14:textId="77777777" w:rsidTr="00980E36">
        <w:trPr>
          <w:trHeight w:val="200"/>
        </w:trPr>
        <w:tc>
          <w:tcPr>
            <w:tcW w:w="453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9A68D8" w14:textId="77777777" w:rsidR="003D4DFD" w:rsidRPr="003D4DFD" w:rsidRDefault="003D4DFD" w:rsidP="003D4DFD">
            <w:pPr>
              <w:spacing w:after="0" w:line="240" w:lineRule="auto"/>
              <w:rPr>
                <w:rFonts w:eastAsia="Times New Roman" w:cs="Calibri"/>
                <w:b/>
                <w:bCs/>
                <w:color w:val="000000"/>
                <w:sz w:val="14"/>
                <w:szCs w:val="14"/>
                <w:lang w:eastAsia="es-MX"/>
              </w:rPr>
            </w:pPr>
            <w:r w:rsidRPr="003D4DFD">
              <w:rPr>
                <w:rFonts w:eastAsia="Times New Roman" w:cs="Calibri"/>
                <w:b/>
                <w:bCs/>
                <w:color w:val="000000"/>
                <w:sz w:val="14"/>
                <w:szCs w:val="14"/>
                <w:lang w:eastAsia="es-MX"/>
              </w:rPr>
              <w:t>Gastos de Funcionamiento</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0CB4FD3D" w14:textId="77777777" w:rsidR="003D4DFD" w:rsidRPr="003D4DFD" w:rsidRDefault="003D4DFD" w:rsidP="003D4DFD">
            <w:pPr>
              <w:spacing w:after="0" w:line="240" w:lineRule="auto"/>
              <w:jc w:val="right"/>
              <w:rPr>
                <w:rFonts w:eastAsia="Times New Roman" w:cs="Calibri"/>
                <w:b/>
                <w:bCs/>
                <w:color w:val="000000"/>
                <w:sz w:val="14"/>
                <w:szCs w:val="14"/>
                <w:lang w:eastAsia="es-MX"/>
              </w:rPr>
            </w:pPr>
            <w:r w:rsidRPr="003D4DFD">
              <w:rPr>
                <w:rFonts w:eastAsia="Times New Roman" w:cs="Calibri"/>
                <w:b/>
                <w:bCs/>
                <w:color w:val="000000"/>
                <w:sz w:val="14"/>
                <w:szCs w:val="14"/>
                <w:lang w:eastAsia="es-MX"/>
              </w:rPr>
              <w:t>29,776,418,802</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1663CDAD" w14:textId="77777777" w:rsidR="003D4DFD" w:rsidRPr="003D4DFD" w:rsidRDefault="003D4DFD" w:rsidP="003D4DFD">
            <w:pPr>
              <w:spacing w:after="0" w:line="240" w:lineRule="auto"/>
              <w:jc w:val="right"/>
              <w:rPr>
                <w:rFonts w:eastAsia="Times New Roman" w:cs="Calibri"/>
                <w:b/>
                <w:bCs/>
                <w:color w:val="000000"/>
                <w:sz w:val="14"/>
                <w:szCs w:val="14"/>
                <w:lang w:eastAsia="es-MX"/>
              </w:rPr>
            </w:pPr>
            <w:r w:rsidRPr="003D4DFD">
              <w:rPr>
                <w:rFonts w:eastAsia="Times New Roman" w:cs="Calibri"/>
                <w:b/>
                <w:bCs/>
                <w:color w:val="000000"/>
                <w:sz w:val="14"/>
                <w:szCs w:val="14"/>
                <w:lang w:eastAsia="es-MX"/>
              </w:rPr>
              <w:t>43.54%</w:t>
            </w:r>
          </w:p>
        </w:tc>
      </w:tr>
      <w:tr w:rsidR="003D4DFD" w:rsidRPr="003D4DFD" w14:paraId="607E395E" w14:textId="77777777" w:rsidTr="00EC7550">
        <w:trPr>
          <w:trHeight w:val="20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6BD81CD4"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Servicios Personales</w:t>
            </w:r>
          </w:p>
        </w:tc>
        <w:tc>
          <w:tcPr>
            <w:tcW w:w="1701" w:type="dxa"/>
            <w:tcBorders>
              <w:top w:val="nil"/>
              <w:left w:val="nil"/>
              <w:bottom w:val="single" w:sz="4" w:space="0" w:color="auto"/>
              <w:right w:val="single" w:sz="4" w:space="0" w:color="auto"/>
            </w:tcBorders>
            <w:shd w:val="clear" w:color="000000" w:fill="FFFFFF"/>
            <w:noWrap/>
            <w:vAlign w:val="center"/>
            <w:hideMark/>
          </w:tcPr>
          <w:p w14:paraId="5CD6DA10"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24,546,840,389</w:t>
            </w:r>
          </w:p>
        </w:tc>
        <w:tc>
          <w:tcPr>
            <w:tcW w:w="1276" w:type="dxa"/>
            <w:tcBorders>
              <w:top w:val="nil"/>
              <w:left w:val="nil"/>
              <w:bottom w:val="single" w:sz="4" w:space="0" w:color="auto"/>
              <w:right w:val="single" w:sz="4" w:space="0" w:color="auto"/>
            </w:tcBorders>
            <w:shd w:val="clear" w:color="auto" w:fill="auto"/>
            <w:noWrap/>
            <w:vAlign w:val="center"/>
            <w:hideMark/>
          </w:tcPr>
          <w:p w14:paraId="39788B21"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35.89%</w:t>
            </w:r>
          </w:p>
        </w:tc>
      </w:tr>
      <w:tr w:rsidR="003D4DFD" w:rsidRPr="003D4DFD" w14:paraId="53A6ACE0" w14:textId="77777777" w:rsidTr="00EC7550">
        <w:trPr>
          <w:trHeight w:val="20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656BB6D2"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Materiales y Suministros</w:t>
            </w:r>
          </w:p>
        </w:tc>
        <w:tc>
          <w:tcPr>
            <w:tcW w:w="1701" w:type="dxa"/>
            <w:tcBorders>
              <w:top w:val="nil"/>
              <w:left w:val="nil"/>
              <w:bottom w:val="single" w:sz="4" w:space="0" w:color="auto"/>
              <w:right w:val="single" w:sz="4" w:space="0" w:color="auto"/>
            </w:tcBorders>
            <w:shd w:val="clear" w:color="000000" w:fill="FFFFFF"/>
            <w:noWrap/>
            <w:vAlign w:val="center"/>
            <w:hideMark/>
          </w:tcPr>
          <w:p w14:paraId="705170CD"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857,768,998</w:t>
            </w:r>
          </w:p>
        </w:tc>
        <w:tc>
          <w:tcPr>
            <w:tcW w:w="1276" w:type="dxa"/>
            <w:tcBorders>
              <w:top w:val="nil"/>
              <w:left w:val="nil"/>
              <w:bottom w:val="single" w:sz="4" w:space="0" w:color="auto"/>
              <w:right w:val="single" w:sz="4" w:space="0" w:color="auto"/>
            </w:tcBorders>
            <w:shd w:val="clear" w:color="auto" w:fill="auto"/>
            <w:noWrap/>
            <w:vAlign w:val="center"/>
            <w:hideMark/>
          </w:tcPr>
          <w:p w14:paraId="7F61527E"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1.25%</w:t>
            </w:r>
          </w:p>
        </w:tc>
      </w:tr>
      <w:tr w:rsidR="003D4DFD" w:rsidRPr="003D4DFD" w14:paraId="39AEB481" w14:textId="77777777" w:rsidTr="00EC7550">
        <w:trPr>
          <w:trHeight w:val="20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3C42E604"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Servicios Generales</w:t>
            </w:r>
          </w:p>
        </w:tc>
        <w:tc>
          <w:tcPr>
            <w:tcW w:w="1701" w:type="dxa"/>
            <w:tcBorders>
              <w:top w:val="nil"/>
              <w:left w:val="nil"/>
              <w:bottom w:val="single" w:sz="4" w:space="0" w:color="auto"/>
              <w:right w:val="single" w:sz="4" w:space="0" w:color="auto"/>
            </w:tcBorders>
            <w:shd w:val="clear" w:color="000000" w:fill="FFFFFF"/>
            <w:noWrap/>
            <w:vAlign w:val="center"/>
            <w:hideMark/>
          </w:tcPr>
          <w:p w14:paraId="6D7EFCB8"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4,371,809,415</w:t>
            </w:r>
          </w:p>
        </w:tc>
        <w:tc>
          <w:tcPr>
            <w:tcW w:w="1276" w:type="dxa"/>
            <w:tcBorders>
              <w:top w:val="nil"/>
              <w:left w:val="nil"/>
              <w:bottom w:val="single" w:sz="4" w:space="0" w:color="auto"/>
              <w:right w:val="single" w:sz="4" w:space="0" w:color="auto"/>
            </w:tcBorders>
            <w:shd w:val="clear" w:color="auto" w:fill="auto"/>
            <w:noWrap/>
            <w:vAlign w:val="center"/>
            <w:hideMark/>
          </w:tcPr>
          <w:p w14:paraId="3BB213CF"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6.39%</w:t>
            </w:r>
          </w:p>
        </w:tc>
      </w:tr>
      <w:tr w:rsidR="003D4DFD" w:rsidRPr="003D4DFD" w14:paraId="30F00664" w14:textId="77777777" w:rsidTr="00980E36">
        <w:trPr>
          <w:trHeight w:val="200"/>
        </w:trPr>
        <w:tc>
          <w:tcPr>
            <w:tcW w:w="453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E4F9D90" w14:textId="77777777" w:rsidR="003D4DFD" w:rsidRPr="003D4DFD" w:rsidRDefault="003D4DFD" w:rsidP="003D4DFD">
            <w:pPr>
              <w:spacing w:after="0" w:line="240" w:lineRule="auto"/>
              <w:rPr>
                <w:rFonts w:eastAsia="Times New Roman" w:cs="Calibri"/>
                <w:b/>
                <w:bCs/>
                <w:color w:val="000000"/>
                <w:sz w:val="14"/>
                <w:szCs w:val="14"/>
                <w:lang w:eastAsia="es-MX"/>
              </w:rPr>
            </w:pPr>
            <w:r w:rsidRPr="003D4DFD">
              <w:rPr>
                <w:rFonts w:eastAsia="Times New Roman" w:cs="Calibri"/>
                <w:b/>
                <w:bCs/>
                <w:color w:val="000000"/>
                <w:sz w:val="14"/>
                <w:szCs w:val="14"/>
                <w:lang w:eastAsia="es-MX"/>
              </w:rPr>
              <w:t>Transferencias, Asignaciones, Subsidios y Otras Ayudas</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4F5CA24F" w14:textId="77777777" w:rsidR="003D4DFD" w:rsidRPr="003D4DFD" w:rsidRDefault="003D4DFD" w:rsidP="003D4DFD">
            <w:pPr>
              <w:spacing w:after="0" w:line="240" w:lineRule="auto"/>
              <w:jc w:val="right"/>
              <w:rPr>
                <w:rFonts w:eastAsia="Times New Roman" w:cs="Calibri"/>
                <w:b/>
                <w:bCs/>
                <w:color w:val="000000"/>
                <w:sz w:val="14"/>
                <w:szCs w:val="14"/>
                <w:lang w:eastAsia="es-MX"/>
              </w:rPr>
            </w:pPr>
            <w:r w:rsidRPr="003D4DFD">
              <w:rPr>
                <w:rFonts w:eastAsia="Times New Roman" w:cs="Calibri"/>
                <w:b/>
                <w:bCs/>
                <w:color w:val="000000"/>
                <w:sz w:val="14"/>
                <w:szCs w:val="14"/>
                <w:lang w:eastAsia="es-MX"/>
              </w:rPr>
              <w:t>22,626,362,166</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2FCB9A6D" w14:textId="77777777" w:rsidR="003D4DFD" w:rsidRPr="003D4DFD" w:rsidRDefault="003D4DFD" w:rsidP="003D4DFD">
            <w:pPr>
              <w:spacing w:after="0" w:line="240" w:lineRule="auto"/>
              <w:jc w:val="right"/>
              <w:rPr>
                <w:rFonts w:eastAsia="Times New Roman" w:cs="Calibri"/>
                <w:b/>
                <w:bCs/>
                <w:color w:val="000000"/>
                <w:sz w:val="14"/>
                <w:szCs w:val="14"/>
                <w:lang w:eastAsia="es-MX"/>
              </w:rPr>
            </w:pPr>
            <w:r w:rsidRPr="003D4DFD">
              <w:rPr>
                <w:rFonts w:eastAsia="Times New Roman" w:cs="Calibri"/>
                <w:b/>
                <w:bCs/>
                <w:color w:val="000000"/>
                <w:sz w:val="14"/>
                <w:szCs w:val="14"/>
                <w:lang w:eastAsia="es-MX"/>
              </w:rPr>
              <w:t>33.08%</w:t>
            </w:r>
          </w:p>
        </w:tc>
      </w:tr>
      <w:tr w:rsidR="003D4DFD" w:rsidRPr="003D4DFD" w14:paraId="3F040DEE" w14:textId="77777777" w:rsidTr="00EC7550">
        <w:trPr>
          <w:trHeight w:val="20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0331E60D"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Transferencias Internas y Asignaciones al Sector Público</w:t>
            </w:r>
          </w:p>
        </w:tc>
        <w:tc>
          <w:tcPr>
            <w:tcW w:w="1701" w:type="dxa"/>
            <w:tcBorders>
              <w:top w:val="nil"/>
              <w:left w:val="nil"/>
              <w:bottom w:val="single" w:sz="4" w:space="0" w:color="auto"/>
              <w:right w:val="single" w:sz="4" w:space="0" w:color="auto"/>
            </w:tcBorders>
            <w:shd w:val="clear" w:color="000000" w:fill="FFFFFF"/>
            <w:noWrap/>
            <w:vAlign w:val="center"/>
            <w:hideMark/>
          </w:tcPr>
          <w:p w14:paraId="2C532B49"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20,265,555,934</w:t>
            </w:r>
          </w:p>
        </w:tc>
        <w:tc>
          <w:tcPr>
            <w:tcW w:w="1276" w:type="dxa"/>
            <w:tcBorders>
              <w:top w:val="nil"/>
              <w:left w:val="nil"/>
              <w:bottom w:val="single" w:sz="4" w:space="0" w:color="auto"/>
              <w:right w:val="single" w:sz="4" w:space="0" w:color="auto"/>
            </w:tcBorders>
            <w:shd w:val="clear" w:color="auto" w:fill="auto"/>
            <w:noWrap/>
            <w:vAlign w:val="center"/>
            <w:hideMark/>
          </w:tcPr>
          <w:p w14:paraId="0DB04998"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29.63%</w:t>
            </w:r>
          </w:p>
        </w:tc>
      </w:tr>
      <w:tr w:rsidR="003D4DFD" w:rsidRPr="003D4DFD" w14:paraId="19188521" w14:textId="77777777" w:rsidTr="00EC7550">
        <w:trPr>
          <w:trHeight w:val="20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199748C4"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Transferencias al Resto del Sector Público</w:t>
            </w:r>
          </w:p>
        </w:tc>
        <w:tc>
          <w:tcPr>
            <w:tcW w:w="1701" w:type="dxa"/>
            <w:tcBorders>
              <w:top w:val="nil"/>
              <w:left w:val="nil"/>
              <w:bottom w:val="single" w:sz="4" w:space="0" w:color="auto"/>
              <w:right w:val="single" w:sz="4" w:space="0" w:color="auto"/>
            </w:tcBorders>
            <w:shd w:val="clear" w:color="000000" w:fill="FFFFFF"/>
            <w:noWrap/>
            <w:vAlign w:val="center"/>
            <w:hideMark/>
          </w:tcPr>
          <w:p w14:paraId="5BCF50DB"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0</w:t>
            </w:r>
          </w:p>
        </w:tc>
        <w:tc>
          <w:tcPr>
            <w:tcW w:w="1276" w:type="dxa"/>
            <w:tcBorders>
              <w:top w:val="nil"/>
              <w:left w:val="nil"/>
              <w:bottom w:val="single" w:sz="4" w:space="0" w:color="auto"/>
              <w:right w:val="single" w:sz="4" w:space="0" w:color="auto"/>
            </w:tcBorders>
            <w:shd w:val="clear" w:color="auto" w:fill="auto"/>
            <w:noWrap/>
            <w:vAlign w:val="center"/>
            <w:hideMark/>
          </w:tcPr>
          <w:p w14:paraId="3B5DD09A"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0.00%</w:t>
            </w:r>
          </w:p>
        </w:tc>
      </w:tr>
      <w:tr w:rsidR="003D4DFD" w:rsidRPr="003D4DFD" w14:paraId="772150F4" w14:textId="77777777" w:rsidTr="00EC7550">
        <w:trPr>
          <w:trHeight w:val="20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5CB80D04"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Subsidios y Subvenciones</w:t>
            </w:r>
          </w:p>
        </w:tc>
        <w:tc>
          <w:tcPr>
            <w:tcW w:w="1701" w:type="dxa"/>
            <w:tcBorders>
              <w:top w:val="nil"/>
              <w:left w:val="nil"/>
              <w:bottom w:val="single" w:sz="4" w:space="0" w:color="auto"/>
              <w:right w:val="single" w:sz="4" w:space="0" w:color="auto"/>
            </w:tcBorders>
            <w:shd w:val="clear" w:color="000000" w:fill="FFFFFF"/>
            <w:noWrap/>
            <w:vAlign w:val="center"/>
            <w:hideMark/>
          </w:tcPr>
          <w:p w14:paraId="1BD83DFA"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467,495,272</w:t>
            </w:r>
          </w:p>
        </w:tc>
        <w:tc>
          <w:tcPr>
            <w:tcW w:w="1276" w:type="dxa"/>
            <w:tcBorders>
              <w:top w:val="nil"/>
              <w:left w:val="nil"/>
              <w:bottom w:val="single" w:sz="4" w:space="0" w:color="auto"/>
              <w:right w:val="single" w:sz="4" w:space="0" w:color="auto"/>
            </w:tcBorders>
            <w:shd w:val="clear" w:color="auto" w:fill="auto"/>
            <w:noWrap/>
            <w:vAlign w:val="center"/>
            <w:hideMark/>
          </w:tcPr>
          <w:p w14:paraId="51CE6C65"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0.68%</w:t>
            </w:r>
          </w:p>
        </w:tc>
      </w:tr>
      <w:tr w:rsidR="003D4DFD" w:rsidRPr="003D4DFD" w14:paraId="46047006" w14:textId="77777777" w:rsidTr="00EC7550">
        <w:trPr>
          <w:trHeight w:val="20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542BA0EB"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Ayudas Sociales</w:t>
            </w:r>
          </w:p>
        </w:tc>
        <w:tc>
          <w:tcPr>
            <w:tcW w:w="1701" w:type="dxa"/>
            <w:tcBorders>
              <w:top w:val="nil"/>
              <w:left w:val="nil"/>
              <w:bottom w:val="single" w:sz="4" w:space="0" w:color="auto"/>
              <w:right w:val="single" w:sz="4" w:space="0" w:color="auto"/>
            </w:tcBorders>
            <w:shd w:val="clear" w:color="000000" w:fill="FFFFFF"/>
            <w:noWrap/>
            <w:vAlign w:val="center"/>
            <w:hideMark/>
          </w:tcPr>
          <w:p w14:paraId="28C93003"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1,255,146,442</w:t>
            </w:r>
          </w:p>
        </w:tc>
        <w:tc>
          <w:tcPr>
            <w:tcW w:w="1276" w:type="dxa"/>
            <w:tcBorders>
              <w:top w:val="nil"/>
              <w:left w:val="nil"/>
              <w:bottom w:val="single" w:sz="4" w:space="0" w:color="auto"/>
              <w:right w:val="single" w:sz="4" w:space="0" w:color="auto"/>
            </w:tcBorders>
            <w:shd w:val="clear" w:color="auto" w:fill="auto"/>
            <w:noWrap/>
            <w:vAlign w:val="center"/>
            <w:hideMark/>
          </w:tcPr>
          <w:p w14:paraId="4943B85C"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1.84%</w:t>
            </w:r>
          </w:p>
        </w:tc>
      </w:tr>
      <w:tr w:rsidR="003D4DFD" w:rsidRPr="003D4DFD" w14:paraId="0736B40D" w14:textId="77777777" w:rsidTr="00EC7550">
        <w:trPr>
          <w:trHeight w:val="20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334A5E69"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Pensiones y Jubilaciones</w:t>
            </w:r>
          </w:p>
        </w:tc>
        <w:tc>
          <w:tcPr>
            <w:tcW w:w="1701" w:type="dxa"/>
            <w:tcBorders>
              <w:top w:val="nil"/>
              <w:left w:val="nil"/>
              <w:bottom w:val="single" w:sz="4" w:space="0" w:color="auto"/>
              <w:right w:val="single" w:sz="4" w:space="0" w:color="auto"/>
            </w:tcBorders>
            <w:shd w:val="clear" w:color="000000" w:fill="FFFFFF"/>
            <w:noWrap/>
            <w:vAlign w:val="center"/>
            <w:hideMark/>
          </w:tcPr>
          <w:p w14:paraId="4714BFE1"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99,919,281</w:t>
            </w:r>
          </w:p>
        </w:tc>
        <w:tc>
          <w:tcPr>
            <w:tcW w:w="1276" w:type="dxa"/>
            <w:tcBorders>
              <w:top w:val="nil"/>
              <w:left w:val="nil"/>
              <w:bottom w:val="single" w:sz="4" w:space="0" w:color="auto"/>
              <w:right w:val="single" w:sz="4" w:space="0" w:color="auto"/>
            </w:tcBorders>
            <w:shd w:val="clear" w:color="auto" w:fill="auto"/>
            <w:noWrap/>
            <w:vAlign w:val="center"/>
            <w:hideMark/>
          </w:tcPr>
          <w:p w14:paraId="0211FD7F"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0.15%</w:t>
            </w:r>
          </w:p>
        </w:tc>
      </w:tr>
      <w:tr w:rsidR="003D4DFD" w:rsidRPr="003D4DFD" w14:paraId="20604736" w14:textId="77777777" w:rsidTr="00EC7550">
        <w:trPr>
          <w:trHeight w:val="20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58A61211"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Transferencias a Fideicomisos, Mandatos y Contratos Análogos</w:t>
            </w:r>
          </w:p>
        </w:tc>
        <w:tc>
          <w:tcPr>
            <w:tcW w:w="1701" w:type="dxa"/>
            <w:tcBorders>
              <w:top w:val="nil"/>
              <w:left w:val="nil"/>
              <w:bottom w:val="single" w:sz="4" w:space="0" w:color="auto"/>
              <w:right w:val="single" w:sz="4" w:space="0" w:color="auto"/>
            </w:tcBorders>
            <w:shd w:val="clear" w:color="000000" w:fill="FFFFFF"/>
            <w:noWrap/>
            <w:vAlign w:val="center"/>
            <w:hideMark/>
          </w:tcPr>
          <w:p w14:paraId="7610019C"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4,372,828</w:t>
            </w:r>
          </w:p>
        </w:tc>
        <w:tc>
          <w:tcPr>
            <w:tcW w:w="1276" w:type="dxa"/>
            <w:tcBorders>
              <w:top w:val="nil"/>
              <w:left w:val="nil"/>
              <w:bottom w:val="single" w:sz="4" w:space="0" w:color="auto"/>
              <w:right w:val="single" w:sz="4" w:space="0" w:color="auto"/>
            </w:tcBorders>
            <w:shd w:val="clear" w:color="auto" w:fill="auto"/>
            <w:noWrap/>
            <w:vAlign w:val="center"/>
            <w:hideMark/>
          </w:tcPr>
          <w:p w14:paraId="5F1AC0B8"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0.01%</w:t>
            </w:r>
          </w:p>
        </w:tc>
      </w:tr>
      <w:tr w:rsidR="003D4DFD" w:rsidRPr="003D4DFD" w14:paraId="409D0332" w14:textId="77777777" w:rsidTr="00EC7550">
        <w:trPr>
          <w:trHeight w:val="20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28989977"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Transferencias a la Seguridad Social</w:t>
            </w:r>
          </w:p>
        </w:tc>
        <w:tc>
          <w:tcPr>
            <w:tcW w:w="1701" w:type="dxa"/>
            <w:tcBorders>
              <w:top w:val="nil"/>
              <w:left w:val="nil"/>
              <w:bottom w:val="single" w:sz="4" w:space="0" w:color="auto"/>
              <w:right w:val="single" w:sz="4" w:space="0" w:color="auto"/>
            </w:tcBorders>
            <w:shd w:val="clear" w:color="000000" w:fill="FFFFFF"/>
            <w:noWrap/>
            <w:vAlign w:val="center"/>
            <w:hideMark/>
          </w:tcPr>
          <w:p w14:paraId="01444293"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0</w:t>
            </w:r>
          </w:p>
        </w:tc>
        <w:tc>
          <w:tcPr>
            <w:tcW w:w="1276" w:type="dxa"/>
            <w:tcBorders>
              <w:top w:val="nil"/>
              <w:left w:val="nil"/>
              <w:bottom w:val="single" w:sz="4" w:space="0" w:color="auto"/>
              <w:right w:val="single" w:sz="4" w:space="0" w:color="auto"/>
            </w:tcBorders>
            <w:shd w:val="clear" w:color="auto" w:fill="auto"/>
            <w:noWrap/>
            <w:vAlign w:val="center"/>
            <w:hideMark/>
          </w:tcPr>
          <w:p w14:paraId="32BABACC"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 </w:t>
            </w:r>
          </w:p>
        </w:tc>
      </w:tr>
      <w:tr w:rsidR="003D4DFD" w:rsidRPr="003D4DFD" w14:paraId="5DA62D18" w14:textId="77777777" w:rsidTr="00EC7550">
        <w:trPr>
          <w:trHeight w:val="20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62906765"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Donativos</w:t>
            </w:r>
          </w:p>
        </w:tc>
        <w:tc>
          <w:tcPr>
            <w:tcW w:w="1701" w:type="dxa"/>
            <w:tcBorders>
              <w:top w:val="nil"/>
              <w:left w:val="nil"/>
              <w:bottom w:val="single" w:sz="4" w:space="0" w:color="auto"/>
              <w:right w:val="single" w:sz="4" w:space="0" w:color="auto"/>
            </w:tcBorders>
            <w:shd w:val="clear" w:color="000000" w:fill="FFFFFF"/>
            <w:noWrap/>
            <w:vAlign w:val="center"/>
            <w:hideMark/>
          </w:tcPr>
          <w:p w14:paraId="58DB881F"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533,872,409</w:t>
            </w:r>
          </w:p>
        </w:tc>
        <w:tc>
          <w:tcPr>
            <w:tcW w:w="1276" w:type="dxa"/>
            <w:tcBorders>
              <w:top w:val="nil"/>
              <w:left w:val="nil"/>
              <w:bottom w:val="single" w:sz="4" w:space="0" w:color="auto"/>
              <w:right w:val="single" w:sz="4" w:space="0" w:color="auto"/>
            </w:tcBorders>
            <w:shd w:val="clear" w:color="auto" w:fill="auto"/>
            <w:noWrap/>
            <w:vAlign w:val="center"/>
            <w:hideMark/>
          </w:tcPr>
          <w:p w14:paraId="790205D1"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0.78%</w:t>
            </w:r>
          </w:p>
        </w:tc>
      </w:tr>
      <w:tr w:rsidR="003D4DFD" w:rsidRPr="003D4DFD" w14:paraId="6B4927B7" w14:textId="77777777" w:rsidTr="00980E36">
        <w:trPr>
          <w:trHeight w:val="200"/>
        </w:trPr>
        <w:tc>
          <w:tcPr>
            <w:tcW w:w="453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1CC976" w14:textId="77777777" w:rsidR="003D4DFD" w:rsidRPr="003D4DFD" w:rsidRDefault="003D4DFD" w:rsidP="003D4DFD">
            <w:pPr>
              <w:spacing w:after="0" w:line="240" w:lineRule="auto"/>
              <w:rPr>
                <w:rFonts w:eastAsia="Times New Roman" w:cs="Calibri"/>
                <w:b/>
                <w:bCs/>
                <w:color w:val="000000"/>
                <w:sz w:val="14"/>
                <w:szCs w:val="14"/>
                <w:lang w:eastAsia="es-MX"/>
              </w:rPr>
            </w:pPr>
            <w:r w:rsidRPr="003D4DFD">
              <w:rPr>
                <w:rFonts w:eastAsia="Times New Roman" w:cs="Calibri"/>
                <w:b/>
                <w:bCs/>
                <w:color w:val="000000"/>
                <w:sz w:val="14"/>
                <w:szCs w:val="14"/>
                <w:lang w:eastAsia="es-MX"/>
              </w:rPr>
              <w:t>Participaciones y Aportaciones,</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2A69823E" w14:textId="77777777" w:rsidR="003D4DFD" w:rsidRPr="003D4DFD" w:rsidRDefault="003D4DFD" w:rsidP="003D4DFD">
            <w:pPr>
              <w:spacing w:after="0" w:line="240" w:lineRule="auto"/>
              <w:jc w:val="right"/>
              <w:rPr>
                <w:rFonts w:eastAsia="Times New Roman" w:cs="Calibri"/>
                <w:b/>
                <w:bCs/>
                <w:color w:val="000000"/>
                <w:sz w:val="14"/>
                <w:szCs w:val="14"/>
                <w:lang w:eastAsia="es-MX"/>
              </w:rPr>
            </w:pPr>
            <w:r w:rsidRPr="003D4DFD">
              <w:rPr>
                <w:rFonts w:eastAsia="Times New Roman" w:cs="Calibri"/>
                <w:b/>
                <w:bCs/>
                <w:color w:val="000000"/>
                <w:sz w:val="14"/>
                <w:szCs w:val="14"/>
                <w:lang w:eastAsia="es-MX"/>
              </w:rPr>
              <w:t>10,679,777,099</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2CB65E37" w14:textId="77777777" w:rsidR="003D4DFD" w:rsidRPr="003D4DFD" w:rsidRDefault="003D4DFD" w:rsidP="003D4DFD">
            <w:pPr>
              <w:spacing w:after="0" w:line="240" w:lineRule="auto"/>
              <w:jc w:val="right"/>
              <w:rPr>
                <w:rFonts w:eastAsia="Times New Roman" w:cs="Calibri"/>
                <w:b/>
                <w:bCs/>
                <w:color w:val="000000"/>
                <w:sz w:val="14"/>
                <w:szCs w:val="14"/>
                <w:lang w:eastAsia="es-MX"/>
              </w:rPr>
            </w:pPr>
            <w:r w:rsidRPr="003D4DFD">
              <w:rPr>
                <w:rFonts w:eastAsia="Times New Roman" w:cs="Calibri"/>
                <w:b/>
                <w:bCs/>
                <w:color w:val="000000"/>
                <w:sz w:val="14"/>
                <w:szCs w:val="14"/>
                <w:lang w:eastAsia="es-MX"/>
              </w:rPr>
              <w:t xml:space="preserve"> </w:t>
            </w:r>
          </w:p>
        </w:tc>
      </w:tr>
      <w:tr w:rsidR="003D4DFD" w:rsidRPr="003D4DFD" w14:paraId="4D30610D" w14:textId="77777777" w:rsidTr="00EC7550">
        <w:trPr>
          <w:trHeight w:val="20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7085791C"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 xml:space="preserve"> Participaciones  </w:t>
            </w:r>
          </w:p>
        </w:tc>
        <w:tc>
          <w:tcPr>
            <w:tcW w:w="1701" w:type="dxa"/>
            <w:tcBorders>
              <w:top w:val="nil"/>
              <w:left w:val="nil"/>
              <w:bottom w:val="single" w:sz="4" w:space="0" w:color="auto"/>
              <w:right w:val="single" w:sz="4" w:space="0" w:color="auto"/>
            </w:tcBorders>
            <w:shd w:val="clear" w:color="000000" w:fill="FFFFFF"/>
            <w:noWrap/>
            <w:vAlign w:val="center"/>
            <w:hideMark/>
          </w:tcPr>
          <w:p w14:paraId="4B841B16"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6,510,229,387</w:t>
            </w:r>
          </w:p>
        </w:tc>
        <w:tc>
          <w:tcPr>
            <w:tcW w:w="1276" w:type="dxa"/>
            <w:tcBorders>
              <w:top w:val="nil"/>
              <w:left w:val="nil"/>
              <w:bottom w:val="single" w:sz="4" w:space="0" w:color="auto"/>
              <w:right w:val="single" w:sz="4" w:space="0" w:color="auto"/>
            </w:tcBorders>
            <w:shd w:val="clear" w:color="auto" w:fill="auto"/>
            <w:noWrap/>
            <w:vAlign w:val="center"/>
            <w:hideMark/>
          </w:tcPr>
          <w:p w14:paraId="260FF4D5"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9.52%</w:t>
            </w:r>
          </w:p>
        </w:tc>
      </w:tr>
      <w:tr w:rsidR="003D4DFD" w:rsidRPr="003D4DFD" w14:paraId="4FB40A32" w14:textId="77777777" w:rsidTr="00EC7550">
        <w:trPr>
          <w:trHeight w:val="20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5408091C"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 xml:space="preserve">Aportaciones </w:t>
            </w:r>
          </w:p>
        </w:tc>
        <w:tc>
          <w:tcPr>
            <w:tcW w:w="1701" w:type="dxa"/>
            <w:tcBorders>
              <w:top w:val="nil"/>
              <w:left w:val="nil"/>
              <w:bottom w:val="single" w:sz="4" w:space="0" w:color="auto"/>
              <w:right w:val="single" w:sz="4" w:space="0" w:color="auto"/>
            </w:tcBorders>
            <w:shd w:val="clear" w:color="000000" w:fill="FFFFFF"/>
            <w:noWrap/>
            <w:vAlign w:val="center"/>
            <w:hideMark/>
          </w:tcPr>
          <w:p w14:paraId="53526BC2"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4,128,149,897</w:t>
            </w:r>
          </w:p>
        </w:tc>
        <w:tc>
          <w:tcPr>
            <w:tcW w:w="1276" w:type="dxa"/>
            <w:tcBorders>
              <w:top w:val="nil"/>
              <w:left w:val="nil"/>
              <w:bottom w:val="single" w:sz="4" w:space="0" w:color="auto"/>
              <w:right w:val="single" w:sz="4" w:space="0" w:color="auto"/>
            </w:tcBorders>
            <w:shd w:val="clear" w:color="auto" w:fill="auto"/>
            <w:noWrap/>
            <w:vAlign w:val="center"/>
            <w:hideMark/>
          </w:tcPr>
          <w:p w14:paraId="1BFCE398"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6.04%</w:t>
            </w:r>
          </w:p>
        </w:tc>
      </w:tr>
      <w:tr w:rsidR="003D4DFD" w:rsidRPr="003D4DFD" w14:paraId="4F2E58C1" w14:textId="77777777" w:rsidTr="00EC7550">
        <w:trPr>
          <w:trHeight w:val="14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48F8010C"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 xml:space="preserve">Convenios </w:t>
            </w:r>
          </w:p>
        </w:tc>
        <w:tc>
          <w:tcPr>
            <w:tcW w:w="1701" w:type="dxa"/>
            <w:tcBorders>
              <w:top w:val="nil"/>
              <w:left w:val="nil"/>
              <w:bottom w:val="single" w:sz="4" w:space="0" w:color="auto"/>
              <w:right w:val="single" w:sz="4" w:space="0" w:color="auto"/>
            </w:tcBorders>
            <w:shd w:val="clear" w:color="auto" w:fill="auto"/>
            <w:noWrap/>
            <w:vAlign w:val="center"/>
            <w:hideMark/>
          </w:tcPr>
          <w:p w14:paraId="6D4CFDE0"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41,397,815</w:t>
            </w:r>
          </w:p>
        </w:tc>
        <w:tc>
          <w:tcPr>
            <w:tcW w:w="1276" w:type="dxa"/>
            <w:tcBorders>
              <w:top w:val="nil"/>
              <w:left w:val="nil"/>
              <w:bottom w:val="single" w:sz="4" w:space="0" w:color="auto"/>
              <w:right w:val="single" w:sz="4" w:space="0" w:color="auto"/>
            </w:tcBorders>
            <w:shd w:val="clear" w:color="auto" w:fill="auto"/>
            <w:noWrap/>
            <w:vAlign w:val="center"/>
            <w:hideMark/>
          </w:tcPr>
          <w:p w14:paraId="3DB47662"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0.06%</w:t>
            </w:r>
          </w:p>
        </w:tc>
      </w:tr>
      <w:tr w:rsidR="003D4DFD" w:rsidRPr="003D4DFD" w14:paraId="1C5054A2" w14:textId="77777777" w:rsidTr="00EC7550">
        <w:trPr>
          <w:trHeight w:val="14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400FC512"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 </w:t>
            </w:r>
          </w:p>
        </w:tc>
        <w:tc>
          <w:tcPr>
            <w:tcW w:w="1701" w:type="dxa"/>
            <w:tcBorders>
              <w:top w:val="nil"/>
              <w:left w:val="nil"/>
              <w:bottom w:val="single" w:sz="4" w:space="0" w:color="auto"/>
              <w:right w:val="single" w:sz="4" w:space="0" w:color="auto"/>
            </w:tcBorders>
            <w:shd w:val="clear" w:color="auto" w:fill="auto"/>
            <w:noWrap/>
            <w:vAlign w:val="center"/>
            <w:hideMark/>
          </w:tcPr>
          <w:p w14:paraId="38081F07"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A9B2111"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 </w:t>
            </w:r>
          </w:p>
        </w:tc>
      </w:tr>
      <w:tr w:rsidR="003D4DFD" w:rsidRPr="003D4DFD" w14:paraId="5FAA3A1D" w14:textId="77777777" w:rsidTr="00980E36">
        <w:trPr>
          <w:trHeight w:val="200"/>
        </w:trPr>
        <w:tc>
          <w:tcPr>
            <w:tcW w:w="453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CB7AF4" w14:textId="77777777" w:rsidR="003D4DFD" w:rsidRPr="003D4DFD" w:rsidRDefault="003D4DFD" w:rsidP="003D4DFD">
            <w:pPr>
              <w:spacing w:after="0" w:line="240" w:lineRule="auto"/>
              <w:rPr>
                <w:rFonts w:eastAsia="Times New Roman" w:cs="Calibri"/>
                <w:b/>
                <w:bCs/>
                <w:color w:val="000000"/>
                <w:sz w:val="14"/>
                <w:szCs w:val="14"/>
                <w:lang w:eastAsia="es-MX"/>
              </w:rPr>
            </w:pPr>
            <w:r w:rsidRPr="003D4DFD">
              <w:rPr>
                <w:rFonts w:eastAsia="Times New Roman" w:cs="Calibri"/>
                <w:b/>
                <w:bCs/>
                <w:color w:val="000000"/>
                <w:sz w:val="14"/>
                <w:szCs w:val="14"/>
                <w:lang w:eastAsia="es-MX"/>
              </w:rPr>
              <w:t>Intereses, Comisiones y Otros Gastos de la Deuda</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2938D402" w14:textId="77777777" w:rsidR="003D4DFD" w:rsidRPr="003D4DFD" w:rsidRDefault="003D4DFD" w:rsidP="003D4DFD">
            <w:pPr>
              <w:spacing w:after="0" w:line="240" w:lineRule="auto"/>
              <w:jc w:val="right"/>
              <w:rPr>
                <w:rFonts w:eastAsia="Times New Roman" w:cs="Calibri"/>
                <w:b/>
                <w:bCs/>
                <w:color w:val="000000"/>
                <w:sz w:val="14"/>
                <w:szCs w:val="14"/>
                <w:lang w:eastAsia="es-MX"/>
              </w:rPr>
            </w:pPr>
            <w:r w:rsidRPr="003D4DFD">
              <w:rPr>
                <w:rFonts w:eastAsia="Times New Roman" w:cs="Calibri"/>
                <w:b/>
                <w:bCs/>
                <w:color w:val="000000"/>
                <w:sz w:val="14"/>
                <w:szCs w:val="14"/>
                <w:lang w:eastAsia="es-MX"/>
              </w:rPr>
              <w:t>1,215,937,121</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042A23C0" w14:textId="77777777" w:rsidR="003D4DFD" w:rsidRPr="003D4DFD" w:rsidRDefault="003D4DFD" w:rsidP="003D4DFD">
            <w:pPr>
              <w:spacing w:after="0" w:line="240" w:lineRule="auto"/>
              <w:jc w:val="right"/>
              <w:rPr>
                <w:rFonts w:eastAsia="Times New Roman" w:cs="Calibri"/>
                <w:b/>
                <w:bCs/>
                <w:color w:val="000000"/>
                <w:sz w:val="14"/>
                <w:szCs w:val="14"/>
                <w:lang w:eastAsia="es-MX"/>
              </w:rPr>
            </w:pPr>
            <w:r w:rsidRPr="003D4DFD">
              <w:rPr>
                <w:rFonts w:eastAsia="Times New Roman" w:cs="Calibri"/>
                <w:b/>
                <w:bCs/>
                <w:color w:val="000000"/>
                <w:sz w:val="14"/>
                <w:szCs w:val="14"/>
                <w:lang w:eastAsia="es-MX"/>
              </w:rPr>
              <w:t>1.96%</w:t>
            </w:r>
          </w:p>
        </w:tc>
      </w:tr>
      <w:tr w:rsidR="003D4DFD" w:rsidRPr="003D4DFD" w14:paraId="32DC10C2" w14:textId="77777777" w:rsidTr="00EC7550">
        <w:trPr>
          <w:trHeight w:val="20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208461AC"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Intereses de la Deuda Pública</w:t>
            </w:r>
          </w:p>
        </w:tc>
        <w:tc>
          <w:tcPr>
            <w:tcW w:w="1701" w:type="dxa"/>
            <w:tcBorders>
              <w:top w:val="nil"/>
              <w:left w:val="nil"/>
              <w:bottom w:val="single" w:sz="4" w:space="0" w:color="auto"/>
              <w:right w:val="single" w:sz="4" w:space="0" w:color="auto"/>
            </w:tcBorders>
            <w:shd w:val="clear" w:color="000000" w:fill="FFFFFF"/>
            <w:noWrap/>
            <w:vAlign w:val="center"/>
            <w:hideMark/>
          </w:tcPr>
          <w:p w14:paraId="11A3D5FC"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1,191,534,474</w:t>
            </w:r>
          </w:p>
        </w:tc>
        <w:tc>
          <w:tcPr>
            <w:tcW w:w="1276" w:type="dxa"/>
            <w:tcBorders>
              <w:top w:val="nil"/>
              <w:left w:val="nil"/>
              <w:bottom w:val="single" w:sz="4" w:space="0" w:color="auto"/>
              <w:right w:val="single" w:sz="4" w:space="0" w:color="auto"/>
            </w:tcBorders>
            <w:shd w:val="clear" w:color="auto" w:fill="auto"/>
            <w:noWrap/>
            <w:vAlign w:val="center"/>
            <w:hideMark/>
          </w:tcPr>
          <w:p w14:paraId="5554D77F"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1.74%</w:t>
            </w:r>
          </w:p>
        </w:tc>
      </w:tr>
      <w:tr w:rsidR="003D4DFD" w:rsidRPr="003D4DFD" w14:paraId="0AD48638" w14:textId="77777777" w:rsidTr="00EC7550">
        <w:trPr>
          <w:trHeight w:val="20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3F7BB25A"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Comisiones de la Deuda Pública</w:t>
            </w:r>
          </w:p>
        </w:tc>
        <w:tc>
          <w:tcPr>
            <w:tcW w:w="1701" w:type="dxa"/>
            <w:tcBorders>
              <w:top w:val="nil"/>
              <w:left w:val="nil"/>
              <w:bottom w:val="single" w:sz="4" w:space="0" w:color="auto"/>
              <w:right w:val="single" w:sz="4" w:space="0" w:color="auto"/>
            </w:tcBorders>
            <w:shd w:val="clear" w:color="000000" w:fill="FFFFFF"/>
            <w:noWrap/>
            <w:vAlign w:val="center"/>
            <w:hideMark/>
          </w:tcPr>
          <w:p w14:paraId="0775F24D"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2,507,164</w:t>
            </w:r>
          </w:p>
        </w:tc>
        <w:tc>
          <w:tcPr>
            <w:tcW w:w="1276" w:type="dxa"/>
            <w:tcBorders>
              <w:top w:val="nil"/>
              <w:left w:val="nil"/>
              <w:bottom w:val="single" w:sz="4" w:space="0" w:color="auto"/>
              <w:right w:val="single" w:sz="4" w:space="0" w:color="auto"/>
            </w:tcBorders>
            <w:shd w:val="clear" w:color="auto" w:fill="auto"/>
            <w:noWrap/>
            <w:vAlign w:val="center"/>
            <w:hideMark/>
          </w:tcPr>
          <w:p w14:paraId="52DD3203"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0.00%</w:t>
            </w:r>
          </w:p>
        </w:tc>
      </w:tr>
      <w:tr w:rsidR="003D4DFD" w:rsidRPr="003D4DFD" w14:paraId="608EC847" w14:textId="77777777" w:rsidTr="00EC7550">
        <w:trPr>
          <w:trHeight w:val="20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162DBFC1"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Gastos de  la Deuda Pública</w:t>
            </w:r>
          </w:p>
        </w:tc>
        <w:tc>
          <w:tcPr>
            <w:tcW w:w="1701" w:type="dxa"/>
            <w:tcBorders>
              <w:top w:val="nil"/>
              <w:left w:val="nil"/>
              <w:bottom w:val="single" w:sz="4" w:space="0" w:color="auto"/>
              <w:right w:val="single" w:sz="4" w:space="0" w:color="auto"/>
            </w:tcBorders>
            <w:shd w:val="clear" w:color="000000" w:fill="FFFFFF"/>
            <w:noWrap/>
            <w:vAlign w:val="center"/>
            <w:hideMark/>
          </w:tcPr>
          <w:p w14:paraId="7422056F"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0</w:t>
            </w:r>
          </w:p>
        </w:tc>
        <w:tc>
          <w:tcPr>
            <w:tcW w:w="1276" w:type="dxa"/>
            <w:tcBorders>
              <w:top w:val="nil"/>
              <w:left w:val="nil"/>
              <w:bottom w:val="single" w:sz="4" w:space="0" w:color="auto"/>
              <w:right w:val="single" w:sz="4" w:space="0" w:color="auto"/>
            </w:tcBorders>
            <w:shd w:val="clear" w:color="auto" w:fill="auto"/>
            <w:noWrap/>
            <w:vAlign w:val="center"/>
            <w:hideMark/>
          </w:tcPr>
          <w:p w14:paraId="5837679D"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 </w:t>
            </w:r>
          </w:p>
        </w:tc>
      </w:tr>
      <w:tr w:rsidR="003D4DFD" w:rsidRPr="003D4DFD" w14:paraId="16C77EDD" w14:textId="77777777" w:rsidTr="00EC7550">
        <w:trPr>
          <w:trHeight w:val="20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60A62841"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Costos por Cobertura</w:t>
            </w:r>
          </w:p>
        </w:tc>
        <w:tc>
          <w:tcPr>
            <w:tcW w:w="1701" w:type="dxa"/>
            <w:tcBorders>
              <w:top w:val="nil"/>
              <w:left w:val="nil"/>
              <w:bottom w:val="single" w:sz="4" w:space="0" w:color="auto"/>
              <w:right w:val="single" w:sz="4" w:space="0" w:color="auto"/>
            </w:tcBorders>
            <w:shd w:val="clear" w:color="000000" w:fill="FFFFFF"/>
            <w:noWrap/>
            <w:vAlign w:val="center"/>
            <w:hideMark/>
          </w:tcPr>
          <w:p w14:paraId="616324FF"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21,895,483</w:t>
            </w:r>
          </w:p>
        </w:tc>
        <w:tc>
          <w:tcPr>
            <w:tcW w:w="1276" w:type="dxa"/>
            <w:tcBorders>
              <w:top w:val="nil"/>
              <w:left w:val="nil"/>
              <w:bottom w:val="single" w:sz="4" w:space="0" w:color="auto"/>
              <w:right w:val="single" w:sz="4" w:space="0" w:color="auto"/>
            </w:tcBorders>
            <w:shd w:val="clear" w:color="auto" w:fill="auto"/>
            <w:noWrap/>
            <w:vAlign w:val="center"/>
            <w:hideMark/>
          </w:tcPr>
          <w:p w14:paraId="338F2D3E"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0.03%</w:t>
            </w:r>
          </w:p>
        </w:tc>
      </w:tr>
      <w:tr w:rsidR="003D4DFD" w:rsidRPr="003D4DFD" w14:paraId="1355C5F4" w14:textId="77777777" w:rsidTr="00980E36">
        <w:trPr>
          <w:trHeight w:val="200"/>
        </w:trPr>
        <w:tc>
          <w:tcPr>
            <w:tcW w:w="453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E5AA7DE" w14:textId="77777777" w:rsidR="003D4DFD" w:rsidRPr="003D4DFD" w:rsidRDefault="003D4DFD" w:rsidP="003D4DFD">
            <w:pPr>
              <w:spacing w:after="0" w:line="240" w:lineRule="auto"/>
              <w:rPr>
                <w:rFonts w:eastAsia="Times New Roman" w:cs="Calibri"/>
                <w:b/>
                <w:bCs/>
                <w:color w:val="000000"/>
                <w:sz w:val="14"/>
                <w:szCs w:val="14"/>
                <w:lang w:eastAsia="es-MX"/>
              </w:rPr>
            </w:pPr>
            <w:r w:rsidRPr="003D4DFD">
              <w:rPr>
                <w:rFonts w:eastAsia="Times New Roman" w:cs="Calibri"/>
                <w:b/>
                <w:bCs/>
                <w:color w:val="000000"/>
                <w:sz w:val="14"/>
                <w:szCs w:val="14"/>
                <w:lang w:eastAsia="es-MX"/>
              </w:rPr>
              <w:t>Otros Gastos y Partidas Extraordinarias</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76E6E9B4" w14:textId="77777777" w:rsidR="003D4DFD" w:rsidRPr="003D4DFD" w:rsidRDefault="003D4DFD" w:rsidP="003D4DFD">
            <w:pPr>
              <w:spacing w:after="0" w:line="240" w:lineRule="auto"/>
              <w:jc w:val="right"/>
              <w:rPr>
                <w:rFonts w:eastAsia="Times New Roman" w:cs="Calibri"/>
                <w:b/>
                <w:bCs/>
                <w:color w:val="000000"/>
                <w:sz w:val="14"/>
                <w:szCs w:val="14"/>
                <w:lang w:eastAsia="es-MX"/>
              </w:rPr>
            </w:pPr>
            <w:r w:rsidRPr="003D4DFD">
              <w:rPr>
                <w:rFonts w:eastAsia="Times New Roman" w:cs="Calibri"/>
                <w:b/>
                <w:bCs/>
                <w:color w:val="000000"/>
                <w:sz w:val="14"/>
                <w:szCs w:val="14"/>
                <w:lang w:eastAsia="es-MX"/>
              </w:rPr>
              <w:t>912,214,647</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13A09A8D" w14:textId="77777777" w:rsidR="003D4DFD" w:rsidRPr="003D4DFD" w:rsidRDefault="003D4DFD" w:rsidP="003D4DFD">
            <w:pPr>
              <w:spacing w:after="0" w:line="240" w:lineRule="auto"/>
              <w:jc w:val="right"/>
              <w:rPr>
                <w:rFonts w:eastAsia="Times New Roman" w:cs="Calibri"/>
                <w:b/>
                <w:bCs/>
                <w:color w:val="000000"/>
                <w:sz w:val="14"/>
                <w:szCs w:val="14"/>
                <w:lang w:eastAsia="es-MX"/>
              </w:rPr>
            </w:pPr>
            <w:r w:rsidRPr="003D4DFD">
              <w:rPr>
                <w:rFonts w:eastAsia="Times New Roman" w:cs="Calibri"/>
                <w:b/>
                <w:bCs/>
                <w:color w:val="000000"/>
                <w:sz w:val="14"/>
                <w:szCs w:val="14"/>
                <w:lang w:eastAsia="es-MX"/>
              </w:rPr>
              <w:t>0.77%</w:t>
            </w:r>
          </w:p>
        </w:tc>
      </w:tr>
      <w:tr w:rsidR="003D4DFD" w:rsidRPr="003D4DFD" w14:paraId="21E52226" w14:textId="77777777" w:rsidTr="00EC7550">
        <w:trPr>
          <w:trHeight w:val="20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5C97D3FE"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Estimaciones, Depreciaciones, Deterioros, Obsolescencia y Amortizaciones</w:t>
            </w:r>
          </w:p>
        </w:tc>
        <w:tc>
          <w:tcPr>
            <w:tcW w:w="1701" w:type="dxa"/>
            <w:tcBorders>
              <w:top w:val="nil"/>
              <w:left w:val="nil"/>
              <w:bottom w:val="single" w:sz="4" w:space="0" w:color="auto"/>
              <w:right w:val="single" w:sz="4" w:space="0" w:color="auto"/>
            </w:tcBorders>
            <w:shd w:val="clear" w:color="000000" w:fill="FFFFFF"/>
            <w:noWrap/>
            <w:vAlign w:val="center"/>
            <w:hideMark/>
          </w:tcPr>
          <w:p w14:paraId="47AC9383"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912,214,647</w:t>
            </w:r>
          </w:p>
        </w:tc>
        <w:tc>
          <w:tcPr>
            <w:tcW w:w="1276" w:type="dxa"/>
            <w:tcBorders>
              <w:top w:val="nil"/>
              <w:left w:val="nil"/>
              <w:bottom w:val="single" w:sz="4" w:space="0" w:color="auto"/>
              <w:right w:val="single" w:sz="4" w:space="0" w:color="auto"/>
            </w:tcBorders>
            <w:shd w:val="clear" w:color="auto" w:fill="auto"/>
            <w:noWrap/>
            <w:vAlign w:val="center"/>
            <w:hideMark/>
          </w:tcPr>
          <w:p w14:paraId="42A3D312"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1.33%</w:t>
            </w:r>
          </w:p>
        </w:tc>
      </w:tr>
      <w:tr w:rsidR="003D4DFD" w:rsidRPr="003D4DFD" w14:paraId="4440A8E4" w14:textId="77777777" w:rsidTr="00980E36">
        <w:trPr>
          <w:trHeight w:val="140"/>
        </w:trPr>
        <w:tc>
          <w:tcPr>
            <w:tcW w:w="453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5BBFA7" w14:textId="77777777" w:rsidR="003D4DFD" w:rsidRPr="003D4DFD" w:rsidRDefault="003D4DFD" w:rsidP="003D4DFD">
            <w:pPr>
              <w:spacing w:after="0" w:line="240" w:lineRule="auto"/>
              <w:rPr>
                <w:rFonts w:eastAsia="Times New Roman" w:cs="Calibri"/>
                <w:b/>
                <w:bCs/>
                <w:color w:val="000000"/>
                <w:sz w:val="14"/>
                <w:szCs w:val="14"/>
                <w:lang w:eastAsia="es-MX"/>
              </w:rPr>
            </w:pPr>
            <w:r w:rsidRPr="003D4DFD">
              <w:rPr>
                <w:rFonts w:eastAsia="Times New Roman" w:cs="Calibri"/>
                <w:b/>
                <w:bCs/>
                <w:color w:val="000000"/>
                <w:sz w:val="14"/>
                <w:szCs w:val="14"/>
                <w:lang w:eastAsia="es-MX"/>
              </w:rPr>
              <w:t>Inversión Pública</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50D45E2E" w14:textId="77777777" w:rsidR="003D4DFD" w:rsidRPr="003D4DFD" w:rsidRDefault="003D4DFD" w:rsidP="003D4DFD">
            <w:pPr>
              <w:spacing w:after="0" w:line="240" w:lineRule="auto"/>
              <w:jc w:val="right"/>
              <w:rPr>
                <w:rFonts w:eastAsia="Times New Roman" w:cs="Calibri"/>
                <w:b/>
                <w:bCs/>
                <w:color w:val="000000"/>
                <w:sz w:val="14"/>
                <w:szCs w:val="14"/>
                <w:lang w:eastAsia="es-MX"/>
              </w:rPr>
            </w:pPr>
            <w:r w:rsidRPr="003D4DFD">
              <w:rPr>
                <w:rFonts w:eastAsia="Times New Roman" w:cs="Calibri"/>
                <w:b/>
                <w:bCs/>
                <w:color w:val="000000"/>
                <w:sz w:val="14"/>
                <w:szCs w:val="14"/>
                <w:lang w:eastAsia="es-MX"/>
              </w:rPr>
              <w:t>3,181,249,352</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7E2DF5EE" w14:textId="77777777" w:rsidR="003D4DFD" w:rsidRPr="003D4DFD" w:rsidRDefault="003D4DFD" w:rsidP="003D4DFD">
            <w:pPr>
              <w:spacing w:after="0" w:line="240" w:lineRule="auto"/>
              <w:jc w:val="right"/>
              <w:rPr>
                <w:rFonts w:eastAsia="Times New Roman" w:cs="Calibri"/>
                <w:b/>
                <w:bCs/>
                <w:color w:val="000000"/>
                <w:sz w:val="14"/>
                <w:szCs w:val="14"/>
                <w:lang w:eastAsia="es-MX"/>
              </w:rPr>
            </w:pPr>
            <w:r w:rsidRPr="003D4DFD">
              <w:rPr>
                <w:rFonts w:eastAsia="Times New Roman" w:cs="Calibri"/>
                <w:b/>
                <w:bCs/>
                <w:color w:val="000000"/>
                <w:sz w:val="14"/>
                <w:szCs w:val="14"/>
                <w:lang w:eastAsia="es-MX"/>
              </w:rPr>
              <w:t>4.65%</w:t>
            </w:r>
          </w:p>
        </w:tc>
      </w:tr>
      <w:tr w:rsidR="003D4DFD" w:rsidRPr="003D4DFD" w14:paraId="29D119FC" w14:textId="77777777" w:rsidTr="00EC7550">
        <w:trPr>
          <w:trHeight w:val="20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7F9C0F5C" w14:textId="77777777" w:rsidR="003D4DFD" w:rsidRPr="003D4DFD" w:rsidRDefault="003D4DFD" w:rsidP="003D4DFD">
            <w:pPr>
              <w:spacing w:after="0" w:line="240" w:lineRule="auto"/>
              <w:rPr>
                <w:rFonts w:eastAsia="Times New Roman" w:cs="Calibri"/>
                <w:color w:val="000000"/>
                <w:sz w:val="14"/>
                <w:szCs w:val="14"/>
                <w:lang w:eastAsia="es-MX"/>
              </w:rPr>
            </w:pPr>
            <w:r w:rsidRPr="003D4DFD">
              <w:rPr>
                <w:rFonts w:eastAsia="Times New Roman" w:cs="Calibri"/>
                <w:color w:val="000000"/>
                <w:sz w:val="14"/>
                <w:szCs w:val="14"/>
                <w:lang w:eastAsia="es-MX"/>
              </w:rPr>
              <w:t>Inversión Pública  No Capitalizable</w:t>
            </w:r>
          </w:p>
        </w:tc>
        <w:tc>
          <w:tcPr>
            <w:tcW w:w="1701" w:type="dxa"/>
            <w:tcBorders>
              <w:top w:val="nil"/>
              <w:left w:val="nil"/>
              <w:bottom w:val="single" w:sz="4" w:space="0" w:color="auto"/>
              <w:right w:val="single" w:sz="4" w:space="0" w:color="auto"/>
            </w:tcBorders>
            <w:shd w:val="clear" w:color="000000" w:fill="FFFFFF"/>
            <w:noWrap/>
            <w:vAlign w:val="center"/>
            <w:hideMark/>
          </w:tcPr>
          <w:p w14:paraId="21064924"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3,181,249,352</w:t>
            </w:r>
          </w:p>
        </w:tc>
        <w:tc>
          <w:tcPr>
            <w:tcW w:w="1276" w:type="dxa"/>
            <w:tcBorders>
              <w:top w:val="nil"/>
              <w:left w:val="nil"/>
              <w:bottom w:val="single" w:sz="4" w:space="0" w:color="auto"/>
              <w:right w:val="single" w:sz="4" w:space="0" w:color="auto"/>
            </w:tcBorders>
            <w:shd w:val="clear" w:color="auto" w:fill="auto"/>
            <w:noWrap/>
            <w:vAlign w:val="center"/>
            <w:hideMark/>
          </w:tcPr>
          <w:p w14:paraId="0930A25A" w14:textId="77777777" w:rsidR="003D4DFD" w:rsidRPr="003D4DFD" w:rsidRDefault="003D4DFD" w:rsidP="003D4DFD">
            <w:pPr>
              <w:spacing w:after="0" w:line="240" w:lineRule="auto"/>
              <w:jc w:val="right"/>
              <w:rPr>
                <w:rFonts w:eastAsia="Times New Roman" w:cs="Calibri"/>
                <w:color w:val="000000"/>
                <w:sz w:val="14"/>
                <w:szCs w:val="14"/>
                <w:lang w:eastAsia="es-MX"/>
              </w:rPr>
            </w:pPr>
            <w:r w:rsidRPr="003D4DFD">
              <w:rPr>
                <w:rFonts w:eastAsia="Times New Roman" w:cs="Calibri"/>
                <w:color w:val="000000"/>
                <w:sz w:val="14"/>
                <w:szCs w:val="14"/>
                <w:lang w:eastAsia="es-MX"/>
              </w:rPr>
              <w:t>4.65%</w:t>
            </w:r>
          </w:p>
        </w:tc>
      </w:tr>
      <w:tr w:rsidR="003D4DFD" w:rsidRPr="003D4DFD" w14:paraId="5126D37A" w14:textId="77777777" w:rsidTr="00EC7550">
        <w:trPr>
          <w:trHeight w:val="300"/>
        </w:trPr>
        <w:tc>
          <w:tcPr>
            <w:tcW w:w="4531" w:type="dxa"/>
            <w:tcBorders>
              <w:top w:val="nil"/>
              <w:left w:val="single" w:sz="4" w:space="0" w:color="auto"/>
              <w:bottom w:val="single" w:sz="4" w:space="0" w:color="auto"/>
              <w:right w:val="single" w:sz="4" w:space="0" w:color="auto"/>
            </w:tcBorders>
            <w:shd w:val="clear" w:color="000000" w:fill="DDC9A3"/>
            <w:noWrap/>
            <w:vAlign w:val="center"/>
            <w:hideMark/>
          </w:tcPr>
          <w:p w14:paraId="55DE905E" w14:textId="77777777" w:rsidR="003D4DFD" w:rsidRPr="003D4DFD" w:rsidRDefault="003D4DFD" w:rsidP="003D4DFD">
            <w:pPr>
              <w:spacing w:after="0" w:line="240" w:lineRule="auto"/>
              <w:jc w:val="center"/>
              <w:rPr>
                <w:rFonts w:eastAsia="Times New Roman" w:cs="Calibri"/>
                <w:b/>
                <w:bCs/>
                <w:color w:val="000000"/>
                <w:sz w:val="14"/>
                <w:szCs w:val="14"/>
                <w:lang w:eastAsia="es-MX"/>
              </w:rPr>
            </w:pPr>
            <w:r w:rsidRPr="003D4DFD">
              <w:rPr>
                <w:rFonts w:eastAsia="Times New Roman" w:cs="Calibri"/>
                <w:b/>
                <w:bCs/>
                <w:color w:val="000000"/>
                <w:sz w:val="14"/>
                <w:szCs w:val="14"/>
                <w:lang w:eastAsia="es-MX"/>
              </w:rPr>
              <w:t>Total de Gastos y Otras Pérdidas</w:t>
            </w:r>
          </w:p>
        </w:tc>
        <w:tc>
          <w:tcPr>
            <w:tcW w:w="1701" w:type="dxa"/>
            <w:tcBorders>
              <w:top w:val="nil"/>
              <w:left w:val="nil"/>
              <w:bottom w:val="single" w:sz="4" w:space="0" w:color="auto"/>
              <w:right w:val="single" w:sz="4" w:space="0" w:color="auto"/>
            </w:tcBorders>
            <w:shd w:val="clear" w:color="000000" w:fill="DDC9A3"/>
            <w:noWrap/>
            <w:vAlign w:val="center"/>
            <w:hideMark/>
          </w:tcPr>
          <w:p w14:paraId="56554C59" w14:textId="77777777" w:rsidR="003D4DFD" w:rsidRPr="003D4DFD" w:rsidRDefault="003D4DFD" w:rsidP="003D4DFD">
            <w:pPr>
              <w:spacing w:after="0" w:line="240" w:lineRule="auto"/>
              <w:jc w:val="right"/>
              <w:rPr>
                <w:rFonts w:eastAsia="Times New Roman" w:cs="Calibri"/>
                <w:b/>
                <w:bCs/>
                <w:color w:val="000000"/>
                <w:sz w:val="14"/>
                <w:szCs w:val="14"/>
                <w:lang w:eastAsia="es-MX"/>
              </w:rPr>
            </w:pPr>
            <w:r w:rsidRPr="003D4DFD">
              <w:rPr>
                <w:rFonts w:eastAsia="Times New Roman" w:cs="Calibri"/>
                <w:b/>
                <w:bCs/>
                <w:color w:val="000000"/>
                <w:sz w:val="14"/>
                <w:szCs w:val="14"/>
                <w:lang w:eastAsia="es-MX"/>
              </w:rPr>
              <w:t>68,391,959,187</w:t>
            </w:r>
          </w:p>
        </w:tc>
        <w:tc>
          <w:tcPr>
            <w:tcW w:w="1276" w:type="dxa"/>
            <w:tcBorders>
              <w:top w:val="nil"/>
              <w:left w:val="nil"/>
              <w:bottom w:val="single" w:sz="4" w:space="0" w:color="auto"/>
              <w:right w:val="single" w:sz="4" w:space="0" w:color="auto"/>
            </w:tcBorders>
            <w:shd w:val="clear" w:color="000000" w:fill="DDC9A3"/>
            <w:noWrap/>
            <w:vAlign w:val="center"/>
            <w:hideMark/>
          </w:tcPr>
          <w:p w14:paraId="215EE93F" w14:textId="77777777" w:rsidR="003D4DFD" w:rsidRPr="003D4DFD" w:rsidRDefault="003D4DFD" w:rsidP="003D4DFD">
            <w:pPr>
              <w:spacing w:after="0" w:line="240" w:lineRule="auto"/>
              <w:jc w:val="right"/>
              <w:rPr>
                <w:rFonts w:eastAsia="Times New Roman" w:cs="Calibri"/>
                <w:b/>
                <w:bCs/>
                <w:color w:val="000000"/>
                <w:sz w:val="14"/>
                <w:szCs w:val="14"/>
                <w:lang w:eastAsia="es-MX"/>
              </w:rPr>
            </w:pPr>
            <w:r w:rsidRPr="003D4DFD">
              <w:rPr>
                <w:rFonts w:eastAsia="Times New Roman" w:cs="Calibri"/>
                <w:b/>
                <w:bCs/>
                <w:color w:val="000000"/>
                <w:sz w:val="14"/>
                <w:szCs w:val="14"/>
                <w:lang w:eastAsia="es-MX"/>
              </w:rPr>
              <w:t>100.00%</w:t>
            </w:r>
          </w:p>
        </w:tc>
      </w:tr>
    </w:tbl>
    <w:p w14:paraId="36E078D8" w14:textId="77777777" w:rsidR="008027E0" w:rsidRPr="005F45A3" w:rsidRDefault="008027E0" w:rsidP="008027E0">
      <w:pPr>
        <w:pStyle w:val="Prrafodelista"/>
        <w:spacing w:after="0" w:line="240" w:lineRule="auto"/>
        <w:ind w:left="1080"/>
        <w:rPr>
          <w:rFonts w:asciiTheme="minorHAnsi" w:hAnsiTheme="minorHAnsi" w:cstheme="minorHAnsi"/>
          <w:b/>
          <w:sz w:val="12"/>
          <w:lang w:val="es-ES" w:eastAsia="es-ES"/>
        </w:rPr>
      </w:pPr>
    </w:p>
    <w:p w14:paraId="15335355" w14:textId="2247F479" w:rsidR="00EF6CE1" w:rsidRPr="001B4BF5" w:rsidRDefault="00EF6CE1" w:rsidP="006E75F7">
      <w:pPr>
        <w:spacing w:after="0" w:line="240" w:lineRule="auto"/>
        <w:jc w:val="both"/>
        <w:rPr>
          <w:rFonts w:asciiTheme="minorHAnsi" w:eastAsia="Times New Roman" w:hAnsiTheme="minorHAnsi" w:cstheme="minorHAnsi"/>
          <w:sz w:val="16"/>
          <w:szCs w:val="16"/>
          <w:lang w:eastAsia="es-ES"/>
        </w:rPr>
      </w:pPr>
      <w:r w:rsidRPr="001B4BF5">
        <w:rPr>
          <w:rFonts w:asciiTheme="minorHAnsi" w:eastAsia="Times New Roman" w:hAnsiTheme="minorHAnsi" w:cstheme="minorHAnsi"/>
          <w:sz w:val="16"/>
          <w:szCs w:val="16"/>
          <w:lang w:eastAsia="es-ES"/>
        </w:rPr>
        <w:t>El importe más significativo del apartado de Gastos y Otras pérdidas es el rubro de Servicios Personales, la cual acumula un monto de $</w:t>
      </w:r>
      <w:r w:rsidR="009B3320" w:rsidRPr="001B4BF5">
        <w:rPr>
          <w:rFonts w:asciiTheme="minorHAnsi" w:eastAsia="Times New Roman" w:hAnsiTheme="minorHAnsi" w:cstheme="minorHAnsi"/>
          <w:sz w:val="16"/>
          <w:szCs w:val="16"/>
          <w:lang w:eastAsia="es-ES"/>
        </w:rPr>
        <w:t>24,</w:t>
      </w:r>
      <w:r w:rsidR="003D4DFD" w:rsidRPr="001B4BF5">
        <w:rPr>
          <w:rFonts w:asciiTheme="minorHAnsi" w:eastAsia="Times New Roman" w:hAnsiTheme="minorHAnsi" w:cstheme="minorHAnsi"/>
          <w:sz w:val="16"/>
          <w:szCs w:val="16"/>
          <w:lang w:eastAsia="es-ES"/>
        </w:rPr>
        <w:t>546,840,389</w:t>
      </w:r>
      <w:r w:rsidR="00867519" w:rsidRPr="001B4BF5">
        <w:rPr>
          <w:rFonts w:asciiTheme="minorHAnsi" w:eastAsia="Times New Roman" w:hAnsiTheme="minorHAnsi" w:cstheme="minorHAnsi"/>
          <w:sz w:val="16"/>
          <w:szCs w:val="16"/>
          <w:lang w:eastAsia="es-ES"/>
        </w:rPr>
        <w:t>,</w:t>
      </w:r>
      <w:r w:rsidR="005E73FF" w:rsidRPr="001B4BF5">
        <w:rPr>
          <w:rFonts w:asciiTheme="minorHAnsi" w:eastAsia="Times New Roman" w:hAnsiTheme="minorHAnsi" w:cstheme="minorHAnsi"/>
          <w:sz w:val="16"/>
          <w:szCs w:val="16"/>
          <w:lang w:eastAsia="es-ES"/>
        </w:rPr>
        <w:t xml:space="preserve"> que representa el </w:t>
      </w:r>
      <w:r w:rsidR="003D4DFD" w:rsidRPr="001B4BF5">
        <w:rPr>
          <w:rFonts w:asciiTheme="minorHAnsi" w:eastAsia="Times New Roman" w:hAnsiTheme="minorHAnsi" w:cstheme="minorHAnsi"/>
          <w:sz w:val="16"/>
          <w:szCs w:val="16"/>
          <w:lang w:eastAsia="es-ES"/>
        </w:rPr>
        <w:t>35.89</w:t>
      </w:r>
      <w:r w:rsidR="00901096" w:rsidRPr="001B4BF5">
        <w:rPr>
          <w:rFonts w:asciiTheme="minorHAnsi" w:eastAsia="Times New Roman" w:hAnsiTheme="minorHAnsi" w:cstheme="minorHAnsi"/>
          <w:sz w:val="16"/>
          <w:szCs w:val="16"/>
          <w:lang w:eastAsia="es-ES"/>
        </w:rPr>
        <w:t xml:space="preserve"> % del gasto total.</w:t>
      </w:r>
    </w:p>
    <w:p w14:paraId="6D10ADD5" w14:textId="77777777" w:rsidR="00EF6CE1" w:rsidRPr="001B4BF5" w:rsidRDefault="00EF6CE1" w:rsidP="00EF6CE1">
      <w:pPr>
        <w:spacing w:after="0" w:line="240" w:lineRule="auto"/>
        <w:ind w:left="426"/>
        <w:jc w:val="both"/>
        <w:rPr>
          <w:rFonts w:asciiTheme="minorHAnsi" w:eastAsia="Times New Roman" w:hAnsiTheme="minorHAnsi" w:cstheme="minorHAnsi"/>
          <w:sz w:val="16"/>
          <w:szCs w:val="16"/>
          <w:lang w:eastAsia="es-ES"/>
        </w:rPr>
      </w:pPr>
    </w:p>
    <w:p w14:paraId="33E9A8EF" w14:textId="0375A8E1" w:rsidR="00EF6CE1" w:rsidRPr="001B4BF5" w:rsidRDefault="00EF6CE1" w:rsidP="006E75F7">
      <w:pPr>
        <w:spacing w:after="0" w:line="240" w:lineRule="auto"/>
        <w:jc w:val="both"/>
        <w:rPr>
          <w:rFonts w:asciiTheme="minorHAnsi" w:eastAsia="Times New Roman" w:hAnsiTheme="minorHAnsi" w:cstheme="minorHAnsi"/>
          <w:sz w:val="16"/>
          <w:szCs w:val="16"/>
          <w:lang w:eastAsia="es-ES"/>
        </w:rPr>
      </w:pPr>
      <w:r w:rsidRPr="001B4BF5">
        <w:rPr>
          <w:rFonts w:asciiTheme="minorHAnsi" w:eastAsia="Times New Roman" w:hAnsiTheme="minorHAnsi" w:cstheme="minorHAnsi"/>
          <w:sz w:val="16"/>
          <w:szCs w:val="16"/>
          <w:lang w:eastAsia="es-ES"/>
        </w:rPr>
        <w:t xml:space="preserve">En segundo lugar, el rubro de Transferencias, </w:t>
      </w:r>
      <w:r w:rsidR="003F26E2" w:rsidRPr="001B4BF5">
        <w:rPr>
          <w:rFonts w:asciiTheme="minorHAnsi" w:eastAsia="Times New Roman" w:hAnsiTheme="minorHAnsi" w:cstheme="minorHAnsi"/>
          <w:sz w:val="16"/>
          <w:szCs w:val="16"/>
          <w:lang w:eastAsia="es-ES"/>
        </w:rPr>
        <w:t>Asignaciones, Subsidios</w:t>
      </w:r>
      <w:r w:rsidRPr="001B4BF5">
        <w:rPr>
          <w:rFonts w:asciiTheme="minorHAnsi" w:eastAsia="Times New Roman" w:hAnsiTheme="minorHAnsi" w:cstheme="minorHAnsi"/>
          <w:sz w:val="16"/>
          <w:szCs w:val="16"/>
          <w:lang w:eastAsia="es-ES"/>
        </w:rPr>
        <w:t xml:space="preserve"> y Otras Ayudas </w:t>
      </w:r>
      <w:r w:rsidR="004916CF" w:rsidRPr="001B4BF5">
        <w:rPr>
          <w:rFonts w:asciiTheme="minorHAnsi" w:eastAsia="Times New Roman" w:hAnsiTheme="minorHAnsi" w:cstheme="minorHAnsi"/>
          <w:sz w:val="16"/>
          <w:szCs w:val="16"/>
          <w:lang w:eastAsia="es-ES"/>
        </w:rPr>
        <w:t>con un importe de</w:t>
      </w:r>
      <w:r w:rsidR="00C5273E" w:rsidRPr="001B4BF5">
        <w:rPr>
          <w:rFonts w:asciiTheme="minorHAnsi" w:eastAsia="Times New Roman" w:hAnsiTheme="minorHAnsi" w:cstheme="minorHAnsi"/>
          <w:sz w:val="16"/>
          <w:szCs w:val="16"/>
          <w:lang w:eastAsia="es-ES"/>
        </w:rPr>
        <w:t xml:space="preserve"> $</w:t>
      </w:r>
      <w:r w:rsidR="009B3320" w:rsidRPr="001B4BF5">
        <w:rPr>
          <w:rFonts w:asciiTheme="minorHAnsi" w:eastAsia="Times New Roman" w:hAnsiTheme="minorHAnsi" w:cstheme="minorHAnsi"/>
          <w:sz w:val="16"/>
          <w:szCs w:val="16"/>
          <w:lang w:eastAsia="es-ES"/>
        </w:rPr>
        <w:t>20,</w:t>
      </w:r>
      <w:r w:rsidR="003D4DFD" w:rsidRPr="001B4BF5">
        <w:rPr>
          <w:rFonts w:asciiTheme="minorHAnsi" w:eastAsia="Times New Roman" w:hAnsiTheme="minorHAnsi" w:cstheme="minorHAnsi"/>
          <w:sz w:val="16"/>
          <w:szCs w:val="16"/>
          <w:lang w:eastAsia="es-ES"/>
        </w:rPr>
        <w:t>265,555,934</w:t>
      </w:r>
      <w:r w:rsidR="00F608DA" w:rsidRPr="001B4BF5">
        <w:rPr>
          <w:rFonts w:asciiTheme="minorHAnsi" w:eastAsia="Times New Roman" w:hAnsiTheme="minorHAnsi" w:cstheme="minorHAnsi"/>
          <w:sz w:val="16"/>
          <w:szCs w:val="16"/>
          <w:lang w:eastAsia="es-ES"/>
        </w:rPr>
        <w:t>,</w:t>
      </w:r>
      <w:r w:rsidRPr="001B4BF5">
        <w:rPr>
          <w:rFonts w:asciiTheme="minorHAnsi" w:eastAsia="Times New Roman" w:hAnsiTheme="minorHAnsi" w:cstheme="minorHAnsi"/>
          <w:sz w:val="16"/>
          <w:szCs w:val="16"/>
          <w:lang w:eastAsia="es-ES"/>
        </w:rPr>
        <w:t xml:space="preserve"> el cual comprende las Asignaciones Presupuestales al Poder Legislati</w:t>
      </w:r>
      <w:r w:rsidR="00703372" w:rsidRPr="001B4BF5">
        <w:rPr>
          <w:rFonts w:asciiTheme="minorHAnsi" w:eastAsia="Times New Roman" w:hAnsiTheme="minorHAnsi" w:cstheme="minorHAnsi"/>
          <w:sz w:val="16"/>
          <w:szCs w:val="16"/>
          <w:lang w:eastAsia="es-ES"/>
        </w:rPr>
        <w:t xml:space="preserve">vo, Judicial, Órganos Autónomos, Organismos Públicos Descentralizados </w:t>
      </w:r>
      <w:r w:rsidR="00901096" w:rsidRPr="001B4BF5">
        <w:rPr>
          <w:rFonts w:asciiTheme="minorHAnsi" w:eastAsia="Times New Roman" w:hAnsiTheme="minorHAnsi" w:cstheme="minorHAnsi"/>
          <w:sz w:val="16"/>
          <w:szCs w:val="16"/>
          <w:lang w:eastAsia="es-ES"/>
        </w:rPr>
        <w:t xml:space="preserve">y Entidades Paraestatales y representan el </w:t>
      </w:r>
      <w:r w:rsidR="003D4DFD" w:rsidRPr="001B4BF5">
        <w:rPr>
          <w:rFonts w:asciiTheme="minorHAnsi" w:eastAsia="Times New Roman" w:hAnsiTheme="minorHAnsi" w:cstheme="minorHAnsi"/>
          <w:sz w:val="16"/>
          <w:szCs w:val="16"/>
          <w:lang w:eastAsia="es-ES"/>
        </w:rPr>
        <w:t>29.63</w:t>
      </w:r>
      <w:r w:rsidR="007532ED" w:rsidRPr="001B4BF5">
        <w:rPr>
          <w:rFonts w:asciiTheme="minorHAnsi" w:eastAsia="Times New Roman" w:hAnsiTheme="minorHAnsi" w:cstheme="minorHAnsi"/>
          <w:sz w:val="16"/>
          <w:szCs w:val="16"/>
          <w:lang w:eastAsia="es-ES"/>
        </w:rPr>
        <w:t>% del total del gasto de la Entidad.</w:t>
      </w:r>
    </w:p>
    <w:p w14:paraId="2602A9AC" w14:textId="77777777" w:rsidR="003E6C19" w:rsidRPr="001B4BF5" w:rsidRDefault="003E6C19" w:rsidP="00EF6CE1">
      <w:pPr>
        <w:spacing w:after="0" w:line="240" w:lineRule="auto"/>
        <w:jc w:val="both"/>
        <w:rPr>
          <w:rFonts w:asciiTheme="minorHAnsi" w:hAnsiTheme="minorHAnsi" w:cstheme="minorHAnsi"/>
          <w:sz w:val="12"/>
          <w:szCs w:val="12"/>
          <w:lang w:val="es-ES" w:eastAsia="es-ES"/>
        </w:rPr>
      </w:pPr>
    </w:p>
    <w:p w14:paraId="4F3404F3" w14:textId="77777777" w:rsidR="00ED0042" w:rsidRPr="001B4BF5" w:rsidRDefault="00ED0042" w:rsidP="00EF6CE1">
      <w:pPr>
        <w:spacing w:after="0" w:line="240" w:lineRule="auto"/>
        <w:jc w:val="both"/>
        <w:rPr>
          <w:rFonts w:asciiTheme="minorHAnsi" w:hAnsiTheme="minorHAnsi" w:cstheme="minorHAnsi"/>
          <w:sz w:val="12"/>
          <w:szCs w:val="12"/>
          <w:lang w:val="es-ES" w:eastAsia="es-ES"/>
        </w:rPr>
      </w:pPr>
    </w:p>
    <w:p w14:paraId="3D459D35" w14:textId="77777777" w:rsidR="00265FD9" w:rsidRPr="001B4BF5" w:rsidRDefault="00265FD9" w:rsidP="00B46FFA">
      <w:pPr>
        <w:pStyle w:val="Prrafodelista"/>
        <w:numPr>
          <w:ilvl w:val="0"/>
          <w:numId w:val="24"/>
        </w:numPr>
        <w:spacing w:after="0" w:line="240" w:lineRule="auto"/>
        <w:ind w:left="0" w:hanging="142"/>
        <w:rPr>
          <w:rFonts w:asciiTheme="minorHAnsi" w:hAnsiTheme="minorHAnsi" w:cstheme="minorHAnsi"/>
          <w:b/>
          <w:sz w:val="20"/>
          <w:szCs w:val="20"/>
          <w:lang w:val="es-ES" w:eastAsia="es-ES"/>
        </w:rPr>
      </w:pPr>
      <w:r w:rsidRPr="001B4BF5">
        <w:rPr>
          <w:rFonts w:asciiTheme="minorHAnsi" w:hAnsiTheme="minorHAnsi" w:cstheme="minorHAnsi"/>
          <w:b/>
          <w:sz w:val="20"/>
          <w:szCs w:val="20"/>
          <w:lang w:val="es-ES" w:eastAsia="es-ES"/>
        </w:rPr>
        <w:t>Notas al Estado de Variación en la Hacienda Pública</w:t>
      </w:r>
    </w:p>
    <w:p w14:paraId="32ACD79E" w14:textId="77777777" w:rsidR="00265FD9" w:rsidRPr="005F45A3" w:rsidRDefault="00265FD9" w:rsidP="0082143F">
      <w:pPr>
        <w:spacing w:after="0" w:line="240" w:lineRule="auto"/>
        <w:rPr>
          <w:rFonts w:asciiTheme="minorHAnsi" w:hAnsiTheme="minorHAnsi" w:cstheme="minorHAnsi"/>
          <w:b/>
          <w:sz w:val="18"/>
          <w:lang w:val="es-ES" w:eastAsia="es-ES"/>
        </w:rPr>
      </w:pPr>
    </w:p>
    <w:p w14:paraId="2BD88850" w14:textId="77777777" w:rsidR="00D931ED" w:rsidRPr="005F45A3" w:rsidRDefault="00D931ED" w:rsidP="00B46FFA">
      <w:pPr>
        <w:numPr>
          <w:ilvl w:val="0"/>
          <w:numId w:val="16"/>
        </w:numPr>
        <w:spacing w:after="0" w:line="240" w:lineRule="auto"/>
        <w:ind w:left="284" w:hanging="284"/>
        <w:jc w:val="both"/>
        <w:rPr>
          <w:rFonts w:asciiTheme="minorHAnsi" w:eastAsia="Times New Roman" w:hAnsiTheme="minorHAnsi" w:cstheme="minorHAnsi"/>
          <w:sz w:val="17"/>
          <w:szCs w:val="17"/>
          <w:lang w:eastAsia="es-ES"/>
        </w:rPr>
      </w:pPr>
      <w:r w:rsidRPr="005F45A3">
        <w:rPr>
          <w:rFonts w:asciiTheme="minorHAnsi" w:eastAsia="Times New Roman" w:hAnsiTheme="minorHAnsi" w:cstheme="minorHAnsi"/>
          <w:sz w:val="17"/>
          <w:szCs w:val="17"/>
          <w:lang w:eastAsia="es-ES"/>
        </w:rPr>
        <w:t>En el Ejercicio se registró en la Hacienda Pública/Patrimonio Contribuido:</w:t>
      </w:r>
    </w:p>
    <w:p w14:paraId="2CF23C95" w14:textId="77777777" w:rsidR="00D931ED" w:rsidRPr="005C3F40" w:rsidRDefault="00D931ED" w:rsidP="00184072">
      <w:pPr>
        <w:spacing w:after="0" w:line="240" w:lineRule="auto"/>
        <w:ind w:left="720"/>
        <w:jc w:val="both"/>
        <w:rPr>
          <w:rFonts w:asciiTheme="minorHAnsi" w:hAnsiTheme="minorHAnsi" w:cstheme="minorHAnsi"/>
          <w:sz w:val="14"/>
          <w:szCs w:val="17"/>
        </w:rPr>
      </w:pPr>
    </w:p>
    <w:p w14:paraId="497E9976" w14:textId="5831FE8D" w:rsidR="009A3BC2" w:rsidRPr="009A3BC2" w:rsidRDefault="009A3BC2" w:rsidP="00B46FFA">
      <w:pPr>
        <w:pStyle w:val="Prrafodelista"/>
        <w:numPr>
          <w:ilvl w:val="0"/>
          <w:numId w:val="34"/>
        </w:numPr>
        <w:spacing w:after="0" w:line="240" w:lineRule="auto"/>
        <w:jc w:val="both"/>
        <w:rPr>
          <w:rFonts w:asciiTheme="minorHAnsi" w:hAnsiTheme="minorHAnsi" w:cstheme="minorHAnsi"/>
          <w:sz w:val="17"/>
          <w:szCs w:val="17"/>
        </w:rPr>
      </w:pPr>
      <w:r w:rsidRPr="009A3BC2">
        <w:rPr>
          <w:rFonts w:asciiTheme="minorHAnsi" w:hAnsiTheme="minorHAnsi" w:cstheme="minorHAnsi"/>
          <w:sz w:val="17"/>
          <w:szCs w:val="17"/>
        </w:rPr>
        <w:t xml:space="preserve">Un decremento de Aportaciones por la cantidad de $47,529,230, dichas aportaciones registradas por el Fideicomiso del Puente de </w:t>
      </w:r>
      <w:r w:rsidR="00FA60D8" w:rsidRPr="009A3BC2">
        <w:rPr>
          <w:rFonts w:asciiTheme="minorHAnsi" w:hAnsiTheme="minorHAnsi" w:cstheme="minorHAnsi"/>
          <w:sz w:val="17"/>
          <w:szCs w:val="17"/>
        </w:rPr>
        <w:t>Nuevo Laredo</w:t>
      </w:r>
      <w:r w:rsidRPr="009A3BC2">
        <w:rPr>
          <w:rFonts w:asciiTheme="minorHAnsi" w:hAnsiTheme="minorHAnsi" w:cstheme="minorHAnsi"/>
          <w:sz w:val="17"/>
          <w:szCs w:val="17"/>
        </w:rPr>
        <w:t xml:space="preserve"> III por concepto de la actualización de la aportación inicial del Gobierno del Estado.</w:t>
      </w:r>
    </w:p>
    <w:p w14:paraId="18D2213B" w14:textId="77777777" w:rsidR="009A3BC2" w:rsidRPr="009A3BC2" w:rsidRDefault="009A3BC2" w:rsidP="009A3BC2">
      <w:pPr>
        <w:pStyle w:val="Prrafodelista"/>
        <w:spacing w:after="0" w:line="240" w:lineRule="auto"/>
        <w:jc w:val="both"/>
        <w:rPr>
          <w:rFonts w:asciiTheme="minorHAnsi" w:hAnsiTheme="minorHAnsi" w:cstheme="minorHAnsi"/>
          <w:sz w:val="17"/>
          <w:szCs w:val="17"/>
        </w:rPr>
      </w:pPr>
    </w:p>
    <w:p w14:paraId="50519459" w14:textId="77777777" w:rsidR="009A3BC2" w:rsidRPr="009A3BC2" w:rsidRDefault="009A3BC2" w:rsidP="00B46FFA">
      <w:pPr>
        <w:pStyle w:val="Prrafodelista"/>
        <w:numPr>
          <w:ilvl w:val="0"/>
          <w:numId w:val="34"/>
        </w:numPr>
        <w:spacing w:after="0" w:line="240" w:lineRule="auto"/>
        <w:jc w:val="both"/>
        <w:rPr>
          <w:rFonts w:asciiTheme="minorHAnsi" w:hAnsiTheme="minorHAnsi" w:cstheme="minorHAnsi"/>
          <w:sz w:val="17"/>
          <w:szCs w:val="17"/>
        </w:rPr>
      </w:pPr>
      <w:r w:rsidRPr="009A3BC2">
        <w:rPr>
          <w:rFonts w:asciiTheme="minorHAnsi" w:hAnsiTheme="minorHAnsi" w:cstheme="minorHAnsi"/>
          <w:sz w:val="17"/>
          <w:szCs w:val="17"/>
        </w:rPr>
        <w:t>Donativos por un total de $711,617,826, originado por el reconocimiento de bienes inmuebles realizada por la Dirección de Patrimonio derivado de su proceso de reconocimiento y registro de bienes.</w:t>
      </w:r>
    </w:p>
    <w:p w14:paraId="1D896DB2" w14:textId="77777777" w:rsidR="009A3BC2" w:rsidRPr="005C3F40" w:rsidRDefault="009A3BC2" w:rsidP="009A3BC2">
      <w:pPr>
        <w:spacing w:after="0" w:line="240" w:lineRule="auto"/>
        <w:jc w:val="both"/>
        <w:rPr>
          <w:rFonts w:asciiTheme="minorHAnsi" w:hAnsiTheme="minorHAnsi" w:cstheme="minorHAnsi"/>
          <w:sz w:val="18"/>
          <w:szCs w:val="17"/>
        </w:rPr>
      </w:pPr>
    </w:p>
    <w:p w14:paraId="0371BAC4" w14:textId="253C0954" w:rsidR="00D931ED" w:rsidRDefault="00D931ED" w:rsidP="00B46FFA">
      <w:pPr>
        <w:numPr>
          <w:ilvl w:val="0"/>
          <w:numId w:val="16"/>
        </w:numPr>
        <w:ind w:left="284" w:hanging="284"/>
        <w:jc w:val="both"/>
        <w:rPr>
          <w:rFonts w:asciiTheme="minorHAnsi" w:hAnsiTheme="minorHAnsi" w:cstheme="minorHAnsi"/>
          <w:sz w:val="18"/>
          <w:szCs w:val="18"/>
        </w:rPr>
      </w:pPr>
      <w:r w:rsidRPr="005F45A3">
        <w:rPr>
          <w:rFonts w:asciiTheme="minorHAnsi" w:hAnsiTheme="minorHAnsi" w:cstheme="minorHAnsi"/>
          <w:sz w:val="18"/>
          <w:szCs w:val="18"/>
        </w:rPr>
        <w:t>En Hacienda /Patrimonio Generado:</w:t>
      </w:r>
    </w:p>
    <w:p w14:paraId="3D169817" w14:textId="76BD0027" w:rsidR="005F5A90" w:rsidRDefault="005F5A90" w:rsidP="005C3F40">
      <w:pPr>
        <w:spacing w:after="0"/>
        <w:ind w:left="284"/>
        <w:jc w:val="both"/>
        <w:rPr>
          <w:rFonts w:asciiTheme="minorHAnsi" w:hAnsiTheme="minorHAnsi" w:cstheme="minorHAnsi"/>
          <w:b/>
          <w:sz w:val="18"/>
          <w:szCs w:val="18"/>
        </w:rPr>
      </w:pPr>
      <w:r w:rsidRPr="005F45A3">
        <w:rPr>
          <w:rFonts w:asciiTheme="minorHAnsi" w:hAnsiTheme="minorHAnsi" w:cstheme="minorHAnsi"/>
          <w:b/>
          <w:sz w:val="18"/>
          <w:szCs w:val="18"/>
        </w:rPr>
        <w:t>Resultado del Ejercicio (Ahorro/Desahorro)</w:t>
      </w:r>
    </w:p>
    <w:p w14:paraId="4BBBDA2B" w14:textId="77777777" w:rsidR="005C3F40" w:rsidRPr="005C3F40" w:rsidRDefault="005C3F40" w:rsidP="005C3F40">
      <w:pPr>
        <w:spacing w:after="0"/>
        <w:ind w:left="284"/>
        <w:jc w:val="both"/>
        <w:rPr>
          <w:rFonts w:asciiTheme="minorHAnsi" w:hAnsiTheme="minorHAnsi" w:cstheme="minorHAnsi"/>
          <w:b/>
          <w:sz w:val="12"/>
          <w:szCs w:val="18"/>
        </w:rPr>
      </w:pPr>
    </w:p>
    <w:p w14:paraId="07702B77" w14:textId="4665A585" w:rsidR="009A3BC2" w:rsidRDefault="0089028A" w:rsidP="005C3F40">
      <w:pPr>
        <w:spacing w:after="0"/>
        <w:ind w:left="284"/>
        <w:jc w:val="both"/>
        <w:rPr>
          <w:rFonts w:asciiTheme="minorHAnsi" w:hAnsiTheme="minorHAnsi" w:cstheme="minorHAnsi"/>
          <w:sz w:val="17"/>
          <w:szCs w:val="17"/>
        </w:rPr>
      </w:pPr>
      <w:r w:rsidRPr="005F45A3">
        <w:rPr>
          <w:rFonts w:asciiTheme="minorHAnsi" w:hAnsiTheme="minorHAnsi" w:cstheme="minorHAnsi"/>
          <w:sz w:val="17"/>
          <w:szCs w:val="17"/>
        </w:rPr>
        <w:t>Del</w:t>
      </w:r>
      <w:r w:rsidR="00D931ED" w:rsidRPr="005F45A3">
        <w:rPr>
          <w:rFonts w:asciiTheme="minorHAnsi" w:hAnsiTheme="minorHAnsi" w:cstheme="minorHAnsi"/>
          <w:sz w:val="17"/>
          <w:szCs w:val="17"/>
        </w:rPr>
        <w:t xml:space="preserve"> Patrimonio Generado del </w:t>
      </w:r>
      <w:r w:rsidR="00683D0A" w:rsidRPr="005F45A3">
        <w:rPr>
          <w:rFonts w:asciiTheme="minorHAnsi" w:hAnsiTheme="minorHAnsi" w:cstheme="minorHAnsi"/>
          <w:sz w:val="17"/>
          <w:szCs w:val="17"/>
        </w:rPr>
        <w:t xml:space="preserve">ejercicio </w:t>
      </w:r>
      <w:r w:rsidR="00FA60D8" w:rsidRPr="005F45A3">
        <w:rPr>
          <w:rFonts w:asciiTheme="minorHAnsi" w:hAnsiTheme="minorHAnsi" w:cstheme="minorHAnsi"/>
          <w:sz w:val="17"/>
          <w:szCs w:val="17"/>
        </w:rPr>
        <w:t xml:space="preserve">2021 </w:t>
      </w:r>
      <w:r w:rsidR="00FA60D8">
        <w:rPr>
          <w:rFonts w:asciiTheme="minorHAnsi" w:hAnsiTheme="minorHAnsi" w:cstheme="minorHAnsi"/>
          <w:sz w:val="17"/>
          <w:szCs w:val="17"/>
        </w:rPr>
        <w:t>de</w:t>
      </w:r>
      <w:r w:rsidR="009A3BC2">
        <w:rPr>
          <w:rFonts w:asciiTheme="minorHAnsi" w:hAnsiTheme="minorHAnsi" w:cstheme="minorHAnsi"/>
          <w:sz w:val="17"/>
          <w:szCs w:val="17"/>
        </w:rPr>
        <w:t xml:space="preserve"> la </w:t>
      </w:r>
      <w:r w:rsidR="00D931ED" w:rsidRPr="005F45A3">
        <w:rPr>
          <w:rFonts w:asciiTheme="minorHAnsi" w:hAnsiTheme="minorHAnsi" w:cstheme="minorHAnsi"/>
          <w:sz w:val="17"/>
          <w:szCs w:val="17"/>
        </w:rPr>
        <w:t>cuenta de Resultado del Ejercicio (Ahorro/De</w:t>
      </w:r>
      <w:r w:rsidR="00683D0A" w:rsidRPr="005F45A3">
        <w:rPr>
          <w:rFonts w:asciiTheme="minorHAnsi" w:hAnsiTheme="minorHAnsi" w:cstheme="minorHAnsi"/>
          <w:sz w:val="17"/>
          <w:szCs w:val="17"/>
        </w:rPr>
        <w:t>sahorro)</w:t>
      </w:r>
      <w:r w:rsidR="00D85D48" w:rsidRPr="005F45A3">
        <w:rPr>
          <w:rFonts w:asciiTheme="minorHAnsi" w:hAnsiTheme="minorHAnsi" w:cstheme="minorHAnsi"/>
          <w:sz w:val="17"/>
          <w:szCs w:val="17"/>
        </w:rPr>
        <w:t xml:space="preserve"> se </w:t>
      </w:r>
      <w:r w:rsidR="0095719F" w:rsidRPr="005F45A3">
        <w:rPr>
          <w:rFonts w:asciiTheme="minorHAnsi" w:hAnsiTheme="minorHAnsi" w:cstheme="minorHAnsi"/>
          <w:sz w:val="17"/>
          <w:szCs w:val="17"/>
        </w:rPr>
        <w:t>realizó</w:t>
      </w:r>
      <w:r w:rsidR="00D85D48" w:rsidRPr="005F45A3">
        <w:rPr>
          <w:rFonts w:asciiTheme="minorHAnsi" w:hAnsiTheme="minorHAnsi" w:cstheme="minorHAnsi"/>
          <w:sz w:val="17"/>
          <w:szCs w:val="17"/>
        </w:rPr>
        <w:t xml:space="preserve"> </w:t>
      </w:r>
      <w:r w:rsidR="000D15E5">
        <w:rPr>
          <w:rFonts w:asciiTheme="minorHAnsi" w:hAnsiTheme="minorHAnsi" w:cstheme="minorHAnsi"/>
          <w:sz w:val="17"/>
          <w:szCs w:val="17"/>
        </w:rPr>
        <w:t xml:space="preserve">el traslado a la cuenta de </w:t>
      </w:r>
      <w:r w:rsidR="00D85D48" w:rsidRPr="005F45A3">
        <w:rPr>
          <w:rFonts w:asciiTheme="minorHAnsi" w:hAnsiTheme="minorHAnsi" w:cstheme="minorHAnsi"/>
          <w:sz w:val="17"/>
          <w:szCs w:val="17"/>
        </w:rPr>
        <w:t xml:space="preserve">Resultado de Ejercicios Anteriores </w:t>
      </w:r>
      <w:r w:rsidR="00FA60D8" w:rsidRPr="005F45A3">
        <w:rPr>
          <w:rFonts w:asciiTheme="minorHAnsi" w:hAnsiTheme="minorHAnsi" w:cstheme="minorHAnsi"/>
          <w:sz w:val="17"/>
          <w:szCs w:val="17"/>
        </w:rPr>
        <w:t>por $</w:t>
      </w:r>
      <w:r w:rsidR="00303D0D" w:rsidRPr="005F45A3">
        <w:rPr>
          <w:rFonts w:asciiTheme="minorHAnsi" w:hAnsiTheme="minorHAnsi" w:cstheme="minorHAnsi"/>
          <w:sz w:val="17"/>
          <w:szCs w:val="17"/>
        </w:rPr>
        <w:t>94,522,599</w:t>
      </w:r>
      <w:r w:rsidR="009A3BC2">
        <w:rPr>
          <w:rFonts w:asciiTheme="minorHAnsi" w:hAnsiTheme="minorHAnsi" w:cstheme="minorHAnsi"/>
          <w:sz w:val="17"/>
          <w:szCs w:val="17"/>
        </w:rPr>
        <w:t>.</w:t>
      </w:r>
    </w:p>
    <w:p w14:paraId="26D58E9D" w14:textId="1C90FE05" w:rsidR="00A5485C" w:rsidRPr="005F45A3" w:rsidRDefault="009A3BC2" w:rsidP="000D15E5">
      <w:pPr>
        <w:spacing w:after="0"/>
        <w:ind w:left="284"/>
        <w:jc w:val="both"/>
        <w:rPr>
          <w:rFonts w:asciiTheme="minorHAnsi" w:hAnsiTheme="minorHAnsi" w:cstheme="minorHAnsi"/>
          <w:sz w:val="17"/>
          <w:szCs w:val="17"/>
        </w:rPr>
      </w:pPr>
      <w:r>
        <w:rPr>
          <w:rFonts w:asciiTheme="minorHAnsi" w:hAnsiTheme="minorHAnsi" w:cstheme="minorHAnsi"/>
          <w:sz w:val="17"/>
          <w:szCs w:val="17"/>
        </w:rPr>
        <w:t>A</w:t>
      </w:r>
      <w:r w:rsidR="003C1F50" w:rsidRPr="005F45A3">
        <w:rPr>
          <w:rFonts w:asciiTheme="minorHAnsi" w:hAnsiTheme="minorHAnsi" w:cstheme="minorHAnsi"/>
          <w:sz w:val="17"/>
          <w:szCs w:val="17"/>
        </w:rPr>
        <w:t>l cierre del</w:t>
      </w:r>
      <w:r w:rsidR="00B6177C" w:rsidRPr="005F45A3">
        <w:rPr>
          <w:rFonts w:asciiTheme="minorHAnsi" w:hAnsiTheme="minorHAnsi" w:cstheme="minorHAnsi"/>
          <w:sz w:val="17"/>
          <w:szCs w:val="17"/>
        </w:rPr>
        <w:t xml:space="preserve"> </w:t>
      </w:r>
      <w:r>
        <w:rPr>
          <w:rFonts w:asciiTheme="minorHAnsi" w:hAnsiTheme="minorHAnsi" w:cstheme="minorHAnsi"/>
          <w:sz w:val="17"/>
          <w:szCs w:val="17"/>
        </w:rPr>
        <w:t>ejercicio 2022</w:t>
      </w:r>
      <w:r w:rsidR="003C1F50" w:rsidRPr="005F45A3">
        <w:rPr>
          <w:rFonts w:asciiTheme="minorHAnsi" w:hAnsiTheme="minorHAnsi" w:cstheme="minorHAnsi"/>
          <w:sz w:val="17"/>
          <w:szCs w:val="17"/>
        </w:rPr>
        <w:t xml:space="preserve"> </w:t>
      </w:r>
      <w:r w:rsidR="00DB1245" w:rsidRPr="005F45A3">
        <w:rPr>
          <w:rFonts w:asciiTheme="minorHAnsi" w:hAnsiTheme="minorHAnsi" w:cstheme="minorHAnsi"/>
          <w:sz w:val="17"/>
          <w:szCs w:val="17"/>
        </w:rPr>
        <w:t xml:space="preserve">se </w:t>
      </w:r>
      <w:r w:rsidR="0095719F" w:rsidRPr="005F45A3">
        <w:rPr>
          <w:rFonts w:asciiTheme="minorHAnsi" w:hAnsiTheme="minorHAnsi" w:cstheme="minorHAnsi"/>
          <w:sz w:val="17"/>
          <w:szCs w:val="17"/>
        </w:rPr>
        <w:t xml:space="preserve">refleja </w:t>
      </w:r>
      <w:r w:rsidR="00683D0A" w:rsidRPr="005F45A3">
        <w:rPr>
          <w:rFonts w:asciiTheme="minorHAnsi" w:hAnsiTheme="minorHAnsi" w:cstheme="minorHAnsi"/>
          <w:sz w:val="17"/>
          <w:szCs w:val="17"/>
        </w:rPr>
        <w:t xml:space="preserve"> </w:t>
      </w:r>
      <w:r w:rsidR="00DB1245" w:rsidRPr="005F45A3">
        <w:rPr>
          <w:rFonts w:asciiTheme="minorHAnsi" w:hAnsiTheme="minorHAnsi" w:cstheme="minorHAnsi"/>
          <w:sz w:val="17"/>
          <w:szCs w:val="17"/>
        </w:rPr>
        <w:t xml:space="preserve">en el Resultado del Ejercicio (Ahorro/Desahorro) </w:t>
      </w:r>
      <w:r w:rsidR="00683D0A" w:rsidRPr="005F45A3">
        <w:rPr>
          <w:rFonts w:asciiTheme="minorHAnsi" w:hAnsiTheme="minorHAnsi" w:cstheme="minorHAnsi"/>
          <w:sz w:val="17"/>
          <w:szCs w:val="17"/>
        </w:rPr>
        <w:t xml:space="preserve"> </w:t>
      </w:r>
      <w:r w:rsidR="0095719F" w:rsidRPr="005F45A3">
        <w:rPr>
          <w:rFonts w:asciiTheme="minorHAnsi" w:hAnsiTheme="minorHAnsi" w:cstheme="minorHAnsi"/>
          <w:sz w:val="17"/>
          <w:szCs w:val="17"/>
        </w:rPr>
        <w:t xml:space="preserve">por </w:t>
      </w:r>
      <w:r w:rsidR="00683D0A" w:rsidRPr="005F45A3">
        <w:rPr>
          <w:rFonts w:asciiTheme="minorHAnsi" w:hAnsiTheme="minorHAnsi" w:cstheme="minorHAnsi"/>
          <w:sz w:val="17"/>
          <w:szCs w:val="17"/>
        </w:rPr>
        <w:t>la cantidad de</w:t>
      </w:r>
      <w:r w:rsidR="00A9440C" w:rsidRPr="005F45A3">
        <w:rPr>
          <w:rFonts w:asciiTheme="minorHAnsi" w:hAnsiTheme="minorHAnsi" w:cstheme="minorHAnsi"/>
          <w:sz w:val="17"/>
          <w:szCs w:val="17"/>
        </w:rPr>
        <w:t xml:space="preserve"> $</w:t>
      </w:r>
      <w:r w:rsidR="008C65AA">
        <w:rPr>
          <w:rFonts w:asciiTheme="minorHAnsi" w:hAnsiTheme="minorHAnsi" w:cstheme="minorHAnsi"/>
          <w:sz w:val="17"/>
          <w:szCs w:val="17"/>
        </w:rPr>
        <w:t>1</w:t>
      </w:r>
      <w:r w:rsidR="00E972C7">
        <w:rPr>
          <w:rFonts w:asciiTheme="minorHAnsi" w:hAnsiTheme="minorHAnsi" w:cstheme="minorHAnsi"/>
          <w:sz w:val="17"/>
          <w:szCs w:val="17"/>
        </w:rPr>
        <w:t>,</w:t>
      </w:r>
      <w:r w:rsidR="002D08E6">
        <w:rPr>
          <w:rFonts w:asciiTheme="minorHAnsi" w:hAnsiTheme="minorHAnsi" w:cstheme="minorHAnsi"/>
          <w:sz w:val="17"/>
          <w:szCs w:val="17"/>
        </w:rPr>
        <w:t>670,758,637</w:t>
      </w:r>
      <w:r w:rsidR="008C65AA">
        <w:rPr>
          <w:rFonts w:asciiTheme="minorHAnsi" w:hAnsiTheme="minorHAnsi" w:cstheme="minorHAnsi"/>
          <w:sz w:val="17"/>
          <w:szCs w:val="17"/>
        </w:rPr>
        <w:t>.</w:t>
      </w:r>
    </w:p>
    <w:p w14:paraId="22D3CC5D" w14:textId="77777777" w:rsidR="0098750F" w:rsidRPr="005F45A3" w:rsidRDefault="0098750F" w:rsidP="0098750F">
      <w:pPr>
        <w:spacing w:after="0"/>
        <w:ind w:left="1066"/>
        <w:jc w:val="both"/>
        <w:rPr>
          <w:rFonts w:asciiTheme="minorHAnsi" w:hAnsiTheme="minorHAnsi" w:cstheme="minorHAnsi"/>
          <w:b/>
          <w:sz w:val="14"/>
          <w:szCs w:val="18"/>
        </w:rPr>
      </w:pPr>
    </w:p>
    <w:p w14:paraId="69CCD1DB" w14:textId="06E4F0F9" w:rsidR="00D931ED" w:rsidRDefault="00D931ED" w:rsidP="000D15E5">
      <w:pPr>
        <w:spacing w:after="0"/>
        <w:ind w:left="1066" w:hanging="782"/>
        <w:jc w:val="both"/>
        <w:rPr>
          <w:rFonts w:asciiTheme="minorHAnsi" w:hAnsiTheme="minorHAnsi" w:cstheme="minorHAnsi"/>
          <w:b/>
          <w:sz w:val="18"/>
          <w:szCs w:val="18"/>
        </w:rPr>
      </w:pPr>
      <w:r w:rsidRPr="005F45A3">
        <w:rPr>
          <w:rFonts w:asciiTheme="minorHAnsi" w:hAnsiTheme="minorHAnsi" w:cstheme="minorHAnsi"/>
          <w:b/>
          <w:sz w:val="18"/>
          <w:szCs w:val="18"/>
        </w:rPr>
        <w:t>Resultado de Ejercicios Anteriores las variaciones más significativas comprenden:</w:t>
      </w:r>
    </w:p>
    <w:p w14:paraId="17FD29E5" w14:textId="77777777" w:rsidR="001B4BF5" w:rsidRPr="005F45A3" w:rsidRDefault="001B4BF5" w:rsidP="000D15E5">
      <w:pPr>
        <w:spacing w:after="0"/>
        <w:ind w:left="1066" w:hanging="782"/>
        <w:jc w:val="both"/>
        <w:rPr>
          <w:rFonts w:asciiTheme="minorHAnsi" w:hAnsiTheme="minorHAnsi" w:cstheme="minorHAnsi"/>
          <w:b/>
          <w:sz w:val="18"/>
          <w:szCs w:val="18"/>
        </w:rPr>
      </w:pPr>
    </w:p>
    <w:p w14:paraId="0C2032FA" w14:textId="77777777" w:rsidR="009A3BC2" w:rsidRDefault="009A3BC2" w:rsidP="00FA60D8">
      <w:pPr>
        <w:pStyle w:val="Prrafodelista"/>
        <w:numPr>
          <w:ilvl w:val="0"/>
          <w:numId w:val="35"/>
        </w:numPr>
        <w:spacing w:after="0"/>
        <w:ind w:left="709" w:hanging="425"/>
        <w:jc w:val="both"/>
        <w:rPr>
          <w:rFonts w:asciiTheme="minorHAnsi" w:hAnsiTheme="minorHAnsi" w:cstheme="minorHAnsi"/>
          <w:sz w:val="18"/>
          <w:szCs w:val="18"/>
        </w:rPr>
      </w:pPr>
      <w:r>
        <w:rPr>
          <w:rFonts w:asciiTheme="minorHAnsi" w:hAnsiTheme="minorHAnsi" w:cstheme="minorHAnsi"/>
          <w:sz w:val="18"/>
          <w:szCs w:val="18"/>
        </w:rPr>
        <w:t xml:space="preserve">El </w:t>
      </w:r>
      <w:r w:rsidRPr="00CC01CB">
        <w:rPr>
          <w:rFonts w:asciiTheme="minorHAnsi" w:hAnsiTheme="minorHAnsi" w:cstheme="minorHAnsi"/>
          <w:sz w:val="18"/>
          <w:szCs w:val="18"/>
        </w:rPr>
        <w:t>regist</w:t>
      </w:r>
      <w:r>
        <w:rPr>
          <w:rFonts w:asciiTheme="minorHAnsi" w:hAnsiTheme="minorHAnsi" w:cstheme="minorHAnsi"/>
          <w:sz w:val="18"/>
          <w:szCs w:val="18"/>
        </w:rPr>
        <w:t xml:space="preserve">ro de </w:t>
      </w:r>
      <w:r w:rsidRPr="00CC01CB">
        <w:rPr>
          <w:rFonts w:asciiTheme="minorHAnsi" w:hAnsiTheme="minorHAnsi" w:cstheme="minorHAnsi"/>
          <w:sz w:val="18"/>
          <w:szCs w:val="18"/>
        </w:rPr>
        <w:t>la cantidad de $139,954,835, correspondiente a la Devolución de Rendimientos Financieros y Recursos No Ejercidos de Convenios Federales</w:t>
      </w:r>
      <w:r>
        <w:rPr>
          <w:rFonts w:asciiTheme="minorHAnsi" w:hAnsiTheme="minorHAnsi" w:cstheme="minorHAnsi"/>
          <w:sz w:val="18"/>
          <w:szCs w:val="18"/>
        </w:rPr>
        <w:t>.</w:t>
      </w:r>
    </w:p>
    <w:p w14:paraId="4A504C21" w14:textId="77777777" w:rsidR="009A3BC2" w:rsidRDefault="009A3BC2" w:rsidP="00FA60D8">
      <w:pPr>
        <w:pStyle w:val="Prrafodelista"/>
        <w:spacing w:after="0"/>
        <w:ind w:left="709" w:hanging="425"/>
        <w:jc w:val="both"/>
        <w:rPr>
          <w:rFonts w:asciiTheme="minorHAnsi" w:hAnsiTheme="minorHAnsi" w:cstheme="minorHAnsi"/>
          <w:sz w:val="18"/>
          <w:szCs w:val="18"/>
        </w:rPr>
      </w:pPr>
    </w:p>
    <w:p w14:paraId="05856762" w14:textId="77777777" w:rsidR="009A3BC2" w:rsidRDefault="009A3BC2" w:rsidP="00FA60D8">
      <w:pPr>
        <w:pStyle w:val="Prrafodelista"/>
        <w:numPr>
          <w:ilvl w:val="0"/>
          <w:numId w:val="35"/>
        </w:numPr>
        <w:spacing w:after="0"/>
        <w:ind w:left="709" w:hanging="425"/>
        <w:jc w:val="both"/>
        <w:rPr>
          <w:rFonts w:asciiTheme="minorHAnsi" w:hAnsiTheme="minorHAnsi" w:cstheme="minorHAnsi"/>
          <w:sz w:val="18"/>
          <w:szCs w:val="18"/>
        </w:rPr>
      </w:pPr>
      <w:r>
        <w:rPr>
          <w:rFonts w:asciiTheme="minorHAnsi" w:hAnsiTheme="minorHAnsi" w:cstheme="minorHAnsi"/>
          <w:sz w:val="18"/>
          <w:szCs w:val="18"/>
        </w:rPr>
        <w:t>Se recibieron</w:t>
      </w:r>
      <w:r w:rsidRPr="00CC01CB">
        <w:rPr>
          <w:rFonts w:asciiTheme="minorHAnsi" w:hAnsiTheme="minorHAnsi" w:cstheme="minorHAnsi"/>
          <w:sz w:val="18"/>
          <w:szCs w:val="18"/>
        </w:rPr>
        <w:t xml:space="preserve"> devoluciones diversas de las dependencias y de los organismos descentralizados por la cantidad de $83,252,678</w:t>
      </w:r>
      <w:r>
        <w:rPr>
          <w:rFonts w:asciiTheme="minorHAnsi" w:hAnsiTheme="minorHAnsi" w:cstheme="minorHAnsi"/>
          <w:sz w:val="18"/>
          <w:szCs w:val="18"/>
        </w:rPr>
        <w:t>.</w:t>
      </w:r>
    </w:p>
    <w:p w14:paraId="69DBC276" w14:textId="77777777" w:rsidR="009A3BC2" w:rsidRPr="00CC01CB" w:rsidRDefault="009A3BC2" w:rsidP="00FA60D8">
      <w:pPr>
        <w:pStyle w:val="Prrafodelista"/>
        <w:ind w:left="709" w:hanging="425"/>
        <w:rPr>
          <w:rFonts w:asciiTheme="minorHAnsi" w:hAnsiTheme="minorHAnsi" w:cstheme="minorHAnsi"/>
          <w:sz w:val="18"/>
          <w:szCs w:val="18"/>
        </w:rPr>
      </w:pPr>
    </w:p>
    <w:p w14:paraId="2EC01AFC" w14:textId="77777777" w:rsidR="009A3BC2" w:rsidRDefault="009A3BC2" w:rsidP="00FA60D8">
      <w:pPr>
        <w:pStyle w:val="Prrafodelista"/>
        <w:numPr>
          <w:ilvl w:val="0"/>
          <w:numId w:val="35"/>
        </w:numPr>
        <w:spacing w:after="0"/>
        <w:ind w:left="709" w:hanging="425"/>
        <w:jc w:val="both"/>
        <w:rPr>
          <w:rFonts w:asciiTheme="minorHAnsi" w:hAnsiTheme="minorHAnsi" w:cstheme="minorHAnsi"/>
          <w:sz w:val="18"/>
          <w:szCs w:val="18"/>
        </w:rPr>
      </w:pPr>
      <w:r>
        <w:rPr>
          <w:rFonts w:asciiTheme="minorHAnsi" w:hAnsiTheme="minorHAnsi" w:cstheme="minorHAnsi"/>
          <w:sz w:val="18"/>
          <w:szCs w:val="18"/>
        </w:rPr>
        <w:t>E</w:t>
      </w:r>
      <w:r w:rsidRPr="00CC01CB">
        <w:rPr>
          <w:rFonts w:asciiTheme="minorHAnsi" w:hAnsiTheme="minorHAnsi" w:cstheme="minorHAnsi"/>
          <w:sz w:val="18"/>
          <w:szCs w:val="18"/>
        </w:rPr>
        <w:t>l registro de $585,754,526, solicitado por Secretaría de Obras Públicas por la Identificación de proyectos como OBRA-GASTO</w:t>
      </w:r>
      <w:r>
        <w:rPr>
          <w:rFonts w:asciiTheme="minorHAnsi" w:hAnsiTheme="minorHAnsi" w:cstheme="minorHAnsi"/>
          <w:sz w:val="18"/>
          <w:szCs w:val="18"/>
        </w:rPr>
        <w:t>.</w:t>
      </w:r>
    </w:p>
    <w:p w14:paraId="1AD80187" w14:textId="77777777" w:rsidR="009A3BC2" w:rsidRPr="00CC01CB" w:rsidRDefault="009A3BC2" w:rsidP="00FA60D8">
      <w:pPr>
        <w:pStyle w:val="Prrafodelista"/>
        <w:ind w:left="709" w:hanging="425"/>
        <w:rPr>
          <w:rFonts w:asciiTheme="minorHAnsi" w:hAnsiTheme="minorHAnsi" w:cstheme="minorHAnsi"/>
          <w:sz w:val="18"/>
          <w:szCs w:val="18"/>
        </w:rPr>
      </w:pPr>
    </w:p>
    <w:p w14:paraId="6BBF528F" w14:textId="77777777" w:rsidR="009A3BC2" w:rsidRDefault="009A3BC2" w:rsidP="00FA60D8">
      <w:pPr>
        <w:pStyle w:val="Prrafodelista"/>
        <w:numPr>
          <w:ilvl w:val="0"/>
          <w:numId w:val="35"/>
        </w:numPr>
        <w:spacing w:after="0"/>
        <w:ind w:left="709" w:hanging="425"/>
        <w:jc w:val="both"/>
        <w:rPr>
          <w:rFonts w:asciiTheme="minorHAnsi" w:hAnsiTheme="minorHAnsi" w:cstheme="minorHAnsi"/>
          <w:sz w:val="18"/>
          <w:szCs w:val="18"/>
        </w:rPr>
      </w:pPr>
      <w:r>
        <w:rPr>
          <w:rFonts w:asciiTheme="minorHAnsi" w:hAnsiTheme="minorHAnsi" w:cstheme="minorHAnsi"/>
          <w:sz w:val="18"/>
          <w:szCs w:val="18"/>
        </w:rPr>
        <w:t>A</w:t>
      </w:r>
      <w:r w:rsidRPr="00CC01CB">
        <w:rPr>
          <w:rFonts w:asciiTheme="minorHAnsi" w:hAnsiTheme="minorHAnsi" w:cstheme="minorHAnsi"/>
          <w:sz w:val="18"/>
          <w:szCs w:val="18"/>
        </w:rPr>
        <w:t>sí como reclasificaciones por cheques cancelados de $2,230,026</w:t>
      </w:r>
      <w:r>
        <w:rPr>
          <w:rFonts w:asciiTheme="minorHAnsi" w:hAnsiTheme="minorHAnsi" w:cstheme="minorHAnsi"/>
          <w:sz w:val="18"/>
          <w:szCs w:val="18"/>
        </w:rPr>
        <w:t xml:space="preserve"> y </w:t>
      </w:r>
      <w:r w:rsidRPr="00CC01CB">
        <w:rPr>
          <w:rFonts w:asciiTheme="minorHAnsi" w:hAnsiTheme="minorHAnsi" w:cstheme="minorHAnsi"/>
          <w:sz w:val="18"/>
          <w:szCs w:val="18"/>
        </w:rPr>
        <w:t>ajuste del ISPT 2021 por la cantidad de $5,281,113</w:t>
      </w:r>
      <w:r>
        <w:rPr>
          <w:rFonts w:asciiTheme="minorHAnsi" w:hAnsiTheme="minorHAnsi" w:cstheme="minorHAnsi"/>
          <w:sz w:val="18"/>
          <w:szCs w:val="18"/>
        </w:rPr>
        <w:t>.</w:t>
      </w:r>
    </w:p>
    <w:p w14:paraId="25CF32D5" w14:textId="77777777" w:rsidR="009A3BC2" w:rsidRPr="00CC01CB" w:rsidRDefault="009A3BC2" w:rsidP="00FA60D8">
      <w:pPr>
        <w:pStyle w:val="Prrafodelista"/>
        <w:ind w:left="709" w:hanging="425"/>
        <w:rPr>
          <w:rFonts w:asciiTheme="minorHAnsi" w:hAnsiTheme="minorHAnsi" w:cstheme="minorHAnsi"/>
          <w:sz w:val="18"/>
          <w:szCs w:val="18"/>
        </w:rPr>
      </w:pPr>
    </w:p>
    <w:p w14:paraId="18DDEB06" w14:textId="77777777" w:rsidR="009A3BC2" w:rsidRDefault="009A3BC2" w:rsidP="00FA60D8">
      <w:pPr>
        <w:pStyle w:val="Prrafodelista"/>
        <w:numPr>
          <w:ilvl w:val="0"/>
          <w:numId w:val="35"/>
        </w:numPr>
        <w:spacing w:after="0"/>
        <w:ind w:left="709" w:hanging="425"/>
        <w:jc w:val="both"/>
        <w:rPr>
          <w:rFonts w:asciiTheme="minorHAnsi" w:hAnsiTheme="minorHAnsi" w:cstheme="minorHAnsi"/>
          <w:sz w:val="18"/>
          <w:szCs w:val="18"/>
        </w:rPr>
      </w:pPr>
      <w:r>
        <w:rPr>
          <w:rFonts w:asciiTheme="minorHAnsi" w:hAnsiTheme="minorHAnsi" w:cstheme="minorHAnsi"/>
          <w:sz w:val="18"/>
          <w:szCs w:val="18"/>
        </w:rPr>
        <w:t>R</w:t>
      </w:r>
      <w:r w:rsidRPr="00CC01CB">
        <w:rPr>
          <w:rFonts w:asciiTheme="minorHAnsi" w:hAnsiTheme="minorHAnsi" w:cstheme="minorHAnsi"/>
          <w:sz w:val="18"/>
          <w:szCs w:val="18"/>
        </w:rPr>
        <w:t>econocimiento de bienes por la Dirección de Patrimonio por $397,208,062.</w:t>
      </w:r>
    </w:p>
    <w:p w14:paraId="148E1043" w14:textId="77777777" w:rsidR="009A3BC2" w:rsidRPr="00CC01CB" w:rsidRDefault="009A3BC2" w:rsidP="00FA60D8">
      <w:pPr>
        <w:pStyle w:val="Prrafodelista"/>
        <w:ind w:left="709" w:hanging="425"/>
        <w:rPr>
          <w:rFonts w:asciiTheme="minorHAnsi" w:hAnsiTheme="minorHAnsi" w:cstheme="minorHAnsi"/>
          <w:sz w:val="18"/>
          <w:szCs w:val="18"/>
        </w:rPr>
      </w:pPr>
    </w:p>
    <w:p w14:paraId="4E1DBAEA" w14:textId="524B1A9D" w:rsidR="00B04C2E" w:rsidRPr="00FF649B" w:rsidRDefault="009A3BC2" w:rsidP="00FA60D8">
      <w:pPr>
        <w:pStyle w:val="Prrafodelista"/>
        <w:numPr>
          <w:ilvl w:val="0"/>
          <w:numId w:val="35"/>
        </w:numPr>
        <w:spacing w:after="0"/>
        <w:ind w:left="709" w:hanging="425"/>
        <w:jc w:val="both"/>
        <w:rPr>
          <w:rFonts w:asciiTheme="minorHAnsi" w:hAnsiTheme="minorHAnsi" w:cstheme="minorHAnsi"/>
          <w:sz w:val="18"/>
          <w:szCs w:val="18"/>
        </w:rPr>
      </w:pPr>
      <w:r>
        <w:rPr>
          <w:rFonts w:asciiTheme="minorHAnsi" w:hAnsiTheme="minorHAnsi" w:cstheme="minorHAnsi"/>
          <w:sz w:val="18"/>
          <w:szCs w:val="18"/>
        </w:rPr>
        <w:t>A</w:t>
      </w:r>
      <w:r w:rsidRPr="00CC01CB">
        <w:rPr>
          <w:rFonts w:asciiTheme="minorHAnsi" w:hAnsiTheme="minorHAnsi" w:cstheme="minorHAnsi"/>
          <w:sz w:val="18"/>
          <w:szCs w:val="18"/>
        </w:rPr>
        <w:t>fectación acumulada por parte de los fideicomisos por $452,564,718, derivado de condonaciones de intereses en el</w:t>
      </w:r>
      <w:r>
        <w:rPr>
          <w:rFonts w:asciiTheme="minorHAnsi" w:hAnsiTheme="minorHAnsi" w:cstheme="minorHAnsi"/>
          <w:sz w:val="18"/>
          <w:szCs w:val="18"/>
        </w:rPr>
        <w:t xml:space="preserve"> </w:t>
      </w:r>
      <w:r w:rsidRPr="00CC01CB">
        <w:rPr>
          <w:rFonts w:asciiTheme="minorHAnsi" w:hAnsiTheme="minorHAnsi" w:cstheme="minorHAnsi"/>
          <w:sz w:val="18"/>
          <w:szCs w:val="18"/>
        </w:rPr>
        <w:t>Fideicomiso FITABEC, así como el reflejo de la cancelación de cuentas por la extinción de los fideicomisos de Justicia Penal y</w:t>
      </w:r>
      <w:r>
        <w:rPr>
          <w:rFonts w:asciiTheme="minorHAnsi" w:hAnsiTheme="minorHAnsi" w:cstheme="minorHAnsi"/>
          <w:sz w:val="18"/>
          <w:szCs w:val="18"/>
        </w:rPr>
        <w:t xml:space="preserve"> </w:t>
      </w:r>
      <w:r w:rsidRPr="00CC01CB">
        <w:rPr>
          <w:rFonts w:asciiTheme="minorHAnsi" w:hAnsiTheme="minorHAnsi" w:cstheme="minorHAnsi"/>
          <w:sz w:val="18"/>
          <w:szCs w:val="18"/>
        </w:rPr>
        <w:t>FISETAM, cancelación de ventas en el fideicomiso Santander y algunos reintegros derivada de la extinción de los fideicomisos</w:t>
      </w:r>
      <w:r>
        <w:rPr>
          <w:rFonts w:asciiTheme="minorHAnsi" w:hAnsiTheme="minorHAnsi" w:cstheme="minorHAnsi"/>
          <w:sz w:val="18"/>
          <w:szCs w:val="18"/>
        </w:rPr>
        <w:t xml:space="preserve"> </w:t>
      </w:r>
      <w:r w:rsidRPr="00CC01CB">
        <w:rPr>
          <w:rFonts w:asciiTheme="minorHAnsi" w:hAnsiTheme="minorHAnsi" w:cstheme="minorHAnsi"/>
          <w:sz w:val="18"/>
          <w:szCs w:val="18"/>
        </w:rPr>
        <w:t>antes mencionados.</w:t>
      </w:r>
    </w:p>
    <w:p w14:paraId="6044EA2D" w14:textId="77777777" w:rsidR="006E75F7" w:rsidRPr="005F45A3" w:rsidRDefault="006E75F7" w:rsidP="00C241B5">
      <w:pPr>
        <w:spacing w:after="0"/>
        <w:ind w:left="1069"/>
        <w:jc w:val="both"/>
        <w:rPr>
          <w:rFonts w:asciiTheme="minorHAnsi" w:hAnsiTheme="minorHAnsi" w:cstheme="minorHAnsi"/>
          <w:sz w:val="18"/>
          <w:szCs w:val="18"/>
        </w:rPr>
      </w:pPr>
    </w:p>
    <w:p w14:paraId="363E20DA" w14:textId="18C17F24" w:rsidR="000B2F9A" w:rsidRPr="005F45A3" w:rsidRDefault="005C3F40" w:rsidP="000D15E5">
      <w:pPr>
        <w:spacing w:after="0"/>
        <w:ind w:left="1069" w:hanging="785"/>
        <w:jc w:val="both"/>
        <w:rPr>
          <w:rFonts w:asciiTheme="minorHAnsi" w:hAnsiTheme="minorHAnsi" w:cstheme="minorHAnsi"/>
          <w:b/>
          <w:sz w:val="18"/>
          <w:szCs w:val="18"/>
        </w:rPr>
      </w:pPr>
      <w:r>
        <w:rPr>
          <w:rFonts w:asciiTheme="minorHAnsi" w:hAnsiTheme="minorHAnsi" w:cstheme="minorHAnsi"/>
          <w:b/>
          <w:sz w:val="18"/>
          <w:szCs w:val="18"/>
        </w:rPr>
        <w:t>Revalúos</w:t>
      </w:r>
      <w:r w:rsidR="001823C5">
        <w:rPr>
          <w:rFonts w:asciiTheme="minorHAnsi" w:hAnsiTheme="minorHAnsi" w:cstheme="minorHAnsi"/>
          <w:b/>
          <w:sz w:val="18"/>
          <w:szCs w:val="18"/>
        </w:rPr>
        <w:t>:</w:t>
      </w:r>
    </w:p>
    <w:p w14:paraId="32495DFF" w14:textId="3522FEF6" w:rsidR="000B2F9A" w:rsidRPr="005F45A3" w:rsidRDefault="001823C5" w:rsidP="000D15E5">
      <w:pPr>
        <w:spacing w:after="0"/>
        <w:ind w:left="284"/>
        <w:jc w:val="both"/>
        <w:rPr>
          <w:rFonts w:asciiTheme="minorHAnsi" w:hAnsiTheme="minorHAnsi" w:cstheme="minorHAnsi"/>
          <w:sz w:val="18"/>
          <w:szCs w:val="18"/>
        </w:rPr>
      </w:pPr>
      <w:r>
        <w:rPr>
          <w:rFonts w:asciiTheme="minorHAnsi" w:hAnsiTheme="minorHAnsi" w:cstheme="minorHAnsi"/>
          <w:sz w:val="18"/>
          <w:szCs w:val="18"/>
        </w:rPr>
        <w:t>Durante los meses de marzo y junio se realizaron revaluaciones de 5 terrenos por parte de la Dirección de Patr</w:t>
      </w:r>
      <w:r w:rsidR="00277641">
        <w:rPr>
          <w:rFonts w:asciiTheme="minorHAnsi" w:hAnsiTheme="minorHAnsi" w:cstheme="minorHAnsi"/>
          <w:sz w:val="18"/>
          <w:szCs w:val="18"/>
        </w:rPr>
        <w:t>imonio por la cantidad de $246,</w:t>
      </w:r>
      <w:r>
        <w:rPr>
          <w:rFonts w:asciiTheme="minorHAnsi" w:hAnsiTheme="minorHAnsi" w:cstheme="minorHAnsi"/>
          <w:sz w:val="18"/>
          <w:szCs w:val="18"/>
        </w:rPr>
        <w:t>920,054, así como la revaluación de 3 edificios no habitaciones por la cantidad de $7,559,953.</w:t>
      </w:r>
    </w:p>
    <w:p w14:paraId="7F456CC2" w14:textId="11A240E7" w:rsidR="0023660A" w:rsidRPr="005F45A3" w:rsidRDefault="0023660A" w:rsidP="0023660A">
      <w:pPr>
        <w:spacing w:after="0"/>
        <w:ind w:left="1069"/>
        <w:jc w:val="both"/>
        <w:rPr>
          <w:rFonts w:asciiTheme="minorHAnsi" w:hAnsiTheme="minorHAnsi" w:cstheme="minorHAnsi"/>
          <w:sz w:val="18"/>
          <w:szCs w:val="18"/>
        </w:rPr>
      </w:pPr>
    </w:p>
    <w:p w14:paraId="18A095E4" w14:textId="77777777" w:rsidR="0098750F" w:rsidRPr="005F45A3" w:rsidRDefault="0098750F" w:rsidP="0023660A">
      <w:pPr>
        <w:spacing w:after="0"/>
        <w:ind w:left="1069"/>
        <w:jc w:val="both"/>
        <w:rPr>
          <w:rFonts w:asciiTheme="minorHAnsi" w:hAnsiTheme="minorHAnsi" w:cstheme="minorHAnsi"/>
          <w:sz w:val="18"/>
          <w:szCs w:val="18"/>
        </w:rPr>
      </w:pPr>
    </w:p>
    <w:p w14:paraId="256A49E3" w14:textId="77777777" w:rsidR="00EF6CE1" w:rsidRPr="001B4BF5" w:rsidRDefault="002C5479" w:rsidP="006E75F7">
      <w:pPr>
        <w:spacing w:after="0" w:line="240" w:lineRule="auto"/>
        <w:ind w:left="-142"/>
        <w:rPr>
          <w:rFonts w:asciiTheme="minorHAnsi" w:hAnsiTheme="minorHAnsi" w:cstheme="minorHAnsi"/>
          <w:b/>
          <w:sz w:val="20"/>
          <w:szCs w:val="20"/>
          <w:lang w:val="es-ES" w:eastAsia="es-ES"/>
        </w:rPr>
      </w:pPr>
      <w:r w:rsidRPr="001B4BF5">
        <w:rPr>
          <w:rFonts w:asciiTheme="minorHAnsi" w:hAnsiTheme="minorHAnsi" w:cstheme="minorHAnsi"/>
          <w:b/>
          <w:sz w:val="20"/>
          <w:szCs w:val="20"/>
          <w:lang w:val="es-ES" w:eastAsia="es-ES"/>
        </w:rPr>
        <w:t>IV.</w:t>
      </w:r>
      <w:r w:rsidR="00551568" w:rsidRPr="001B4BF5">
        <w:rPr>
          <w:rFonts w:asciiTheme="minorHAnsi" w:hAnsiTheme="minorHAnsi" w:cstheme="minorHAnsi"/>
          <w:b/>
          <w:sz w:val="20"/>
          <w:szCs w:val="20"/>
          <w:lang w:val="es-ES" w:eastAsia="es-ES"/>
        </w:rPr>
        <w:t xml:space="preserve">  </w:t>
      </w:r>
      <w:r w:rsidR="00D931ED" w:rsidRPr="001B4BF5">
        <w:rPr>
          <w:rFonts w:asciiTheme="minorHAnsi" w:hAnsiTheme="minorHAnsi" w:cstheme="minorHAnsi"/>
          <w:b/>
          <w:sz w:val="20"/>
          <w:szCs w:val="20"/>
          <w:lang w:val="es-ES" w:eastAsia="es-ES"/>
        </w:rPr>
        <w:t>Notas al Estado de Flujo de Efectivo</w:t>
      </w:r>
      <w:r w:rsidR="000B02D6" w:rsidRPr="001B4BF5">
        <w:rPr>
          <w:rFonts w:asciiTheme="minorHAnsi" w:hAnsiTheme="minorHAnsi" w:cstheme="minorHAnsi"/>
          <w:b/>
          <w:sz w:val="20"/>
          <w:szCs w:val="20"/>
          <w:lang w:val="es-ES" w:eastAsia="es-ES"/>
        </w:rPr>
        <w:t xml:space="preserve">                                                                                                                                                                                                                                                                                                                                                                                                                                                                                                                                                                                                                                                                                                                                                                                                                                                                       </w:t>
      </w:r>
    </w:p>
    <w:p w14:paraId="79A1433B" w14:textId="77777777" w:rsidR="00D931ED" w:rsidRPr="005F45A3" w:rsidRDefault="00D931ED" w:rsidP="0082143F">
      <w:pPr>
        <w:spacing w:after="0" w:line="240" w:lineRule="auto"/>
        <w:rPr>
          <w:rFonts w:asciiTheme="minorHAnsi" w:hAnsiTheme="minorHAnsi" w:cstheme="minorHAnsi"/>
          <w:sz w:val="18"/>
          <w:lang w:val="es-ES" w:eastAsia="es-ES"/>
        </w:rPr>
      </w:pPr>
    </w:p>
    <w:p w14:paraId="3A9D305C" w14:textId="77777777" w:rsidR="00D931ED" w:rsidRPr="001B4BF5" w:rsidRDefault="00D931ED" w:rsidP="000D15E5">
      <w:pPr>
        <w:pStyle w:val="ROMANOS"/>
        <w:tabs>
          <w:tab w:val="left" w:pos="426"/>
        </w:tabs>
        <w:spacing w:after="0" w:line="240" w:lineRule="exact"/>
        <w:ind w:left="284" w:firstLine="0"/>
        <w:rPr>
          <w:rFonts w:asciiTheme="minorHAnsi" w:hAnsiTheme="minorHAnsi" w:cstheme="minorHAnsi"/>
          <w:b/>
          <w:sz w:val="20"/>
        </w:rPr>
      </w:pPr>
      <w:r w:rsidRPr="001B4BF5">
        <w:rPr>
          <w:rFonts w:asciiTheme="minorHAnsi" w:hAnsiTheme="minorHAnsi" w:cstheme="minorHAnsi"/>
          <w:b/>
          <w:sz w:val="20"/>
        </w:rPr>
        <w:t>EFECTIVO O EQUIVALENTES</w:t>
      </w:r>
    </w:p>
    <w:p w14:paraId="3B551210" w14:textId="77777777" w:rsidR="00D931ED" w:rsidRPr="000D15E5" w:rsidRDefault="00D931ED" w:rsidP="00D931ED">
      <w:pPr>
        <w:pStyle w:val="ROMANOS"/>
        <w:tabs>
          <w:tab w:val="left" w:pos="426"/>
        </w:tabs>
        <w:spacing w:after="0" w:line="240" w:lineRule="exact"/>
        <w:ind w:firstLine="0"/>
        <w:rPr>
          <w:rFonts w:asciiTheme="minorHAnsi" w:hAnsiTheme="minorHAnsi" w:cstheme="minorHAnsi"/>
          <w:b/>
        </w:rPr>
      </w:pPr>
    </w:p>
    <w:p w14:paraId="49A2C515" w14:textId="77777777" w:rsidR="00D931ED" w:rsidRPr="000D15E5" w:rsidRDefault="00D931ED" w:rsidP="00B46FFA">
      <w:pPr>
        <w:numPr>
          <w:ilvl w:val="0"/>
          <w:numId w:val="17"/>
        </w:numPr>
        <w:spacing w:after="0" w:line="240" w:lineRule="auto"/>
        <w:ind w:left="567" w:hanging="283"/>
        <w:jc w:val="both"/>
        <w:rPr>
          <w:rFonts w:asciiTheme="minorHAnsi" w:hAnsiTheme="minorHAnsi" w:cstheme="minorHAnsi"/>
          <w:sz w:val="18"/>
          <w:szCs w:val="18"/>
        </w:rPr>
      </w:pPr>
      <w:r w:rsidRPr="000D15E5">
        <w:rPr>
          <w:rFonts w:asciiTheme="minorHAnsi" w:hAnsiTheme="minorHAnsi" w:cstheme="minorHAnsi"/>
          <w:sz w:val="18"/>
          <w:szCs w:val="18"/>
        </w:rPr>
        <w:t>El análisis de los saldos inicial y final que figuran en la última parte del Estado de Flujo de Efectivo en la cuenta de Efectivo o Equivalentes es como sigue:</w:t>
      </w:r>
    </w:p>
    <w:p w14:paraId="046F853C" w14:textId="77777777" w:rsidR="00852B94" w:rsidRPr="005F45A3" w:rsidRDefault="00852B94" w:rsidP="00437C61">
      <w:pPr>
        <w:spacing w:after="0" w:line="240" w:lineRule="auto"/>
        <w:jc w:val="both"/>
        <w:rPr>
          <w:rFonts w:asciiTheme="minorHAnsi" w:hAnsiTheme="minorHAnsi" w:cstheme="minorHAnsi"/>
          <w:sz w:val="14"/>
          <w:szCs w:val="14"/>
        </w:rPr>
      </w:pPr>
      <w:r w:rsidRPr="005F45A3">
        <w:rPr>
          <w:rFonts w:asciiTheme="minorHAnsi" w:hAnsiTheme="minorHAnsi" w:cstheme="minorHAnsi"/>
          <w:sz w:val="18"/>
        </w:rPr>
        <w:t xml:space="preserve">                                  </w:t>
      </w:r>
    </w:p>
    <w:p w14:paraId="4556F0AA" w14:textId="2BDD964C" w:rsidR="008B32B3" w:rsidRPr="005F45A3" w:rsidRDefault="008B32B3" w:rsidP="00437C61">
      <w:pPr>
        <w:spacing w:after="0" w:line="240" w:lineRule="auto"/>
        <w:jc w:val="both"/>
        <w:rPr>
          <w:rFonts w:asciiTheme="minorHAnsi" w:hAnsiTheme="minorHAnsi" w:cstheme="minorHAnsi"/>
          <w:sz w:val="14"/>
          <w:szCs w:val="14"/>
        </w:rPr>
      </w:pPr>
      <w:r w:rsidRPr="005F45A3">
        <w:rPr>
          <w:rFonts w:asciiTheme="minorHAnsi" w:hAnsiTheme="minorHAnsi" w:cstheme="minorHAnsi"/>
          <w:sz w:val="14"/>
          <w:szCs w:val="14"/>
        </w:rPr>
        <w:t xml:space="preserve">                                   </w:t>
      </w:r>
    </w:p>
    <w:tbl>
      <w:tblPr>
        <w:tblW w:w="7238" w:type="dxa"/>
        <w:tblInd w:w="137" w:type="dxa"/>
        <w:tblCellMar>
          <w:left w:w="70" w:type="dxa"/>
          <w:right w:w="70" w:type="dxa"/>
        </w:tblCellMar>
        <w:tblLook w:val="04A0" w:firstRow="1" w:lastRow="0" w:firstColumn="1" w:lastColumn="0" w:noHBand="0" w:noVBand="1"/>
      </w:tblPr>
      <w:tblGrid>
        <w:gridCol w:w="3934"/>
        <w:gridCol w:w="1652"/>
        <w:gridCol w:w="1652"/>
      </w:tblGrid>
      <w:tr w:rsidR="00D916E7" w:rsidRPr="00D916E7" w14:paraId="4FE60FE7" w14:textId="77777777" w:rsidTr="00980E36">
        <w:trPr>
          <w:trHeight w:val="477"/>
        </w:trPr>
        <w:tc>
          <w:tcPr>
            <w:tcW w:w="3934"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07402A79" w14:textId="3AA895D4" w:rsidR="00D916E7" w:rsidRPr="00D916E7" w:rsidRDefault="00D916E7" w:rsidP="00EC7550">
            <w:pPr>
              <w:spacing w:after="0" w:line="240" w:lineRule="auto"/>
              <w:jc w:val="center"/>
              <w:rPr>
                <w:rFonts w:eastAsia="Times New Roman" w:cs="Calibri"/>
                <w:b/>
                <w:bCs/>
                <w:color w:val="FFFFFF"/>
                <w:sz w:val="16"/>
                <w:szCs w:val="16"/>
                <w:lang w:eastAsia="es-MX"/>
              </w:rPr>
            </w:pPr>
            <w:r w:rsidRPr="00D916E7">
              <w:rPr>
                <w:rFonts w:eastAsia="Times New Roman" w:cs="Calibri"/>
                <w:b/>
                <w:bCs/>
                <w:color w:val="FFFFFF"/>
                <w:sz w:val="16"/>
                <w:szCs w:val="16"/>
                <w:lang w:eastAsia="es-MX"/>
              </w:rPr>
              <w:t>C</w:t>
            </w:r>
            <w:r w:rsidR="00EC7550">
              <w:rPr>
                <w:rFonts w:eastAsia="Times New Roman" w:cs="Calibri"/>
                <w:b/>
                <w:bCs/>
                <w:color w:val="FFFFFF"/>
                <w:sz w:val="16"/>
                <w:szCs w:val="16"/>
                <w:lang w:eastAsia="es-MX"/>
              </w:rPr>
              <w:t>uenta</w:t>
            </w:r>
          </w:p>
        </w:tc>
        <w:tc>
          <w:tcPr>
            <w:tcW w:w="1652" w:type="dxa"/>
            <w:tcBorders>
              <w:top w:val="single" w:sz="4" w:space="0" w:color="auto"/>
              <w:left w:val="nil"/>
              <w:bottom w:val="single" w:sz="4" w:space="0" w:color="auto"/>
              <w:right w:val="single" w:sz="4" w:space="0" w:color="auto"/>
            </w:tcBorders>
            <w:shd w:val="clear" w:color="000000" w:fill="AB0033"/>
            <w:vAlign w:val="center"/>
            <w:hideMark/>
          </w:tcPr>
          <w:p w14:paraId="43AA1BA1" w14:textId="77777777" w:rsidR="00D916E7" w:rsidRPr="00D916E7" w:rsidRDefault="00D916E7" w:rsidP="00D916E7">
            <w:pPr>
              <w:spacing w:after="0" w:line="240" w:lineRule="auto"/>
              <w:jc w:val="center"/>
              <w:rPr>
                <w:rFonts w:eastAsia="Times New Roman" w:cs="Calibri"/>
                <w:b/>
                <w:bCs/>
                <w:color w:val="FFFFFF"/>
                <w:sz w:val="16"/>
                <w:szCs w:val="16"/>
                <w:lang w:eastAsia="es-MX"/>
              </w:rPr>
            </w:pPr>
            <w:r w:rsidRPr="00D916E7">
              <w:rPr>
                <w:rFonts w:eastAsia="Times New Roman" w:cs="Calibri"/>
                <w:b/>
                <w:bCs/>
                <w:color w:val="FFFFFF"/>
                <w:sz w:val="16"/>
                <w:szCs w:val="16"/>
                <w:lang w:eastAsia="es-MX"/>
              </w:rPr>
              <w:t>2022</w:t>
            </w:r>
          </w:p>
        </w:tc>
        <w:tc>
          <w:tcPr>
            <w:tcW w:w="1652" w:type="dxa"/>
            <w:tcBorders>
              <w:top w:val="single" w:sz="4" w:space="0" w:color="auto"/>
              <w:left w:val="nil"/>
              <w:bottom w:val="single" w:sz="4" w:space="0" w:color="auto"/>
              <w:right w:val="single" w:sz="4" w:space="0" w:color="auto"/>
            </w:tcBorders>
            <w:shd w:val="clear" w:color="000000" w:fill="AB0033"/>
            <w:vAlign w:val="center"/>
            <w:hideMark/>
          </w:tcPr>
          <w:p w14:paraId="6FF2C7C0" w14:textId="77777777" w:rsidR="00D916E7" w:rsidRPr="00D916E7" w:rsidRDefault="00D916E7" w:rsidP="00D916E7">
            <w:pPr>
              <w:spacing w:after="0" w:line="240" w:lineRule="auto"/>
              <w:jc w:val="center"/>
              <w:rPr>
                <w:rFonts w:eastAsia="Times New Roman" w:cs="Calibri"/>
                <w:b/>
                <w:bCs/>
                <w:color w:val="FFFFFF"/>
                <w:sz w:val="16"/>
                <w:szCs w:val="16"/>
                <w:lang w:eastAsia="es-MX"/>
              </w:rPr>
            </w:pPr>
            <w:r w:rsidRPr="00D916E7">
              <w:rPr>
                <w:rFonts w:eastAsia="Times New Roman" w:cs="Calibri"/>
                <w:b/>
                <w:bCs/>
                <w:color w:val="FFFFFF"/>
                <w:sz w:val="16"/>
                <w:szCs w:val="16"/>
                <w:lang w:eastAsia="es-MX"/>
              </w:rPr>
              <w:t>2021</w:t>
            </w:r>
          </w:p>
        </w:tc>
      </w:tr>
      <w:tr w:rsidR="00D916E7" w:rsidRPr="00D916E7" w14:paraId="0AFADAF1" w14:textId="77777777" w:rsidTr="00980E36">
        <w:trPr>
          <w:trHeight w:val="382"/>
        </w:trPr>
        <w:tc>
          <w:tcPr>
            <w:tcW w:w="3934" w:type="dxa"/>
            <w:tcBorders>
              <w:top w:val="nil"/>
              <w:left w:val="single" w:sz="4" w:space="0" w:color="auto"/>
              <w:bottom w:val="single" w:sz="4" w:space="0" w:color="auto"/>
              <w:right w:val="single" w:sz="4" w:space="0" w:color="auto"/>
            </w:tcBorders>
            <w:shd w:val="clear" w:color="auto" w:fill="auto"/>
            <w:vAlign w:val="center"/>
            <w:hideMark/>
          </w:tcPr>
          <w:p w14:paraId="47FCF433" w14:textId="77777777" w:rsidR="00D916E7" w:rsidRPr="00D916E7" w:rsidRDefault="00D916E7" w:rsidP="00D916E7">
            <w:pPr>
              <w:spacing w:after="0" w:line="240" w:lineRule="auto"/>
              <w:jc w:val="both"/>
              <w:rPr>
                <w:rFonts w:eastAsia="Times New Roman" w:cs="Calibri"/>
                <w:color w:val="000000"/>
                <w:sz w:val="14"/>
                <w:szCs w:val="14"/>
                <w:lang w:eastAsia="es-MX"/>
              </w:rPr>
            </w:pPr>
            <w:r w:rsidRPr="00D916E7">
              <w:rPr>
                <w:rFonts w:eastAsia="Times New Roman" w:cs="Calibri"/>
                <w:color w:val="000000"/>
                <w:sz w:val="14"/>
                <w:szCs w:val="14"/>
                <w:lang w:eastAsia="es-MX"/>
              </w:rPr>
              <w:t>Efectivo en Bancos / Tesorería</w:t>
            </w:r>
          </w:p>
        </w:tc>
        <w:tc>
          <w:tcPr>
            <w:tcW w:w="1652" w:type="dxa"/>
            <w:tcBorders>
              <w:top w:val="nil"/>
              <w:left w:val="nil"/>
              <w:bottom w:val="single" w:sz="4" w:space="0" w:color="auto"/>
              <w:right w:val="single" w:sz="4" w:space="0" w:color="auto"/>
            </w:tcBorders>
            <w:shd w:val="clear" w:color="auto" w:fill="auto"/>
            <w:noWrap/>
            <w:vAlign w:val="center"/>
            <w:hideMark/>
          </w:tcPr>
          <w:p w14:paraId="4E3115DA"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1,553,249,405</w:t>
            </w:r>
          </w:p>
        </w:tc>
        <w:tc>
          <w:tcPr>
            <w:tcW w:w="1652" w:type="dxa"/>
            <w:tcBorders>
              <w:top w:val="nil"/>
              <w:left w:val="nil"/>
              <w:bottom w:val="single" w:sz="4" w:space="0" w:color="auto"/>
              <w:right w:val="single" w:sz="4" w:space="0" w:color="auto"/>
            </w:tcBorders>
            <w:shd w:val="clear" w:color="auto" w:fill="auto"/>
            <w:vAlign w:val="center"/>
            <w:hideMark/>
          </w:tcPr>
          <w:p w14:paraId="4C20376B"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1,919,633,273</w:t>
            </w:r>
          </w:p>
        </w:tc>
      </w:tr>
      <w:tr w:rsidR="00D916E7" w:rsidRPr="00D916E7" w14:paraId="32D869A2" w14:textId="77777777" w:rsidTr="00980E36">
        <w:trPr>
          <w:trHeight w:val="382"/>
        </w:trPr>
        <w:tc>
          <w:tcPr>
            <w:tcW w:w="3934" w:type="dxa"/>
            <w:tcBorders>
              <w:top w:val="nil"/>
              <w:left w:val="single" w:sz="4" w:space="0" w:color="auto"/>
              <w:bottom w:val="single" w:sz="4" w:space="0" w:color="auto"/>
              <w:right w:val="single" w:sz="4" w:space="0" w:color="auto"/>
            </w:tcBorders>
            <w:shd w:val="clear" w:color="auto" w:fill="auto"/>
            <w:vAlign w:val="center"/>
            <w:hideMark/>
          </w:tcPr>
          <w:p w14:paraId="54AE0593" w14:textId="77777777" w:rsidR="00D916E7" w:rsidRPr="00D916E7" w:rsidRDefault="00D916E7" w:rsidP="00D916E7">
            <w:pPr>
              <w:spacing w:after="0" w:line="240" w:lineRule="auto"/>
              <w:jc w:val="both"/>
              <w:rPr>
                <w:rFonts w:eastAsia="Times New Roman" w:cs="Calibri"/>
                <w:color w:val="000000"/>
                <w:sz w:val="14"/>
                <w:szCs w:val="14"/>
                <w:lang w:eastAsia="es-MX"/>
              </w:rPr>
            </w:pPr>
            <w:r w:rsidRPr="00D916E7">
              <w:rPr>
                <w:rFonts w:eastAsia="Times New Roman" w:cs="Calibri"/>
                <w:color w:val="000000"/>
                <w:sz w:val="14"/>
                <w:szCs w:val="14"/>
                <w:lang w:eastAsia="es-MX"/>
              </w:rPr>
              <w:t>Inversiones Temporales (hasta 3 meses)</w:t>
            </w:r>
          </w:p>
        </w:tc>
        <w:tc>
          <w:tcPr>
            <w:tcW w:w="1652" w:type="dxa"/>
            <w:tcBorders>
              <w:top w:val="nil"/>
              <w:left w:val="nil"/>
              <w:bottom w:val="single" w:sz="4" w:space="0" w:color="auto"/>
              <w:right w:val="single" w:sz="4" w:space="0" w:color="auto"/>
            </w:tcBorders>
            <w:shd w:val="clear" w:color="auto" w:fill="auto"/>
            <w:noWrap/>
            <w:vAlign w:val="bottom"/>
            <w:hideMark/>
          </w:tcPr>
          <w:p w14:paraId="3318B0D2"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823,594,227</w:t>
            </w:r>
          </w:p>
        </w:tc>
        <w:tc>
          <w:tcPr>
            <w:tcW w:w="1652" w:type="dxa"/>
            <w:tcBorders>
              <w:top w:val="nil"/>
              <w:left w:val="nil"/>
              <w:bottom w:val="single" w:sz="4" w:space="0" w:color="auto"/>
              <w:right w:val="single" w:sz="4" w:space="0" w:color="auto"/>
            </w:tcBorders>
            <w:shd w:val="clear" w:color="auto" w:fill="auto"/>
            <w:vAlign w:val="center"/>
            <w:hideMark/>
          </w:tcPr>
          <w:p w14:paraId="554428A7"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396,100,162</w:t>
            </w:r>
          </w:p>
        </w:tc>
      </w:tr>
      <w:tr w:rsidR="00D916E7" w:rsidRPr="00D916E7" w14:paraId="19BA8D5F" w14:textId="77777777" w:rsidTr="00980E36">
        <w:trPr>
          <w:trHeight w:val="382"/>
        </w:trPr>
        <w:tc>
          <w:tcPr>
            <w:tcW w:w="3934" w:type="dxa"/>
            <w:tcBorders>
              <w:top w:val="nil"/>
              <w:left w:val="single" w:sz="4" w:space="0" w:color="auto"/>
              <w:bottom w:val="single" w:sz="4" w:space="0" w:color="auto"/>
              <w:right w:val="single" w:sz="4" w:space="0" w:color="auto"/>
            </w:tcBorders>
            <w:shd w:val="clear" w:color="auto" w:fill="auto"/>
            <w:vAlign w:val="center"/>
            <w:hideMark/>
          </w:tcPr>
          <w:p w14:paraId="335932F6" w14:textId="77777777" w:rsidR="00D916E7" w:rsidRPr="00D916E7" w:rsidRDefault="00D916E7" w:rsidP="00D916E7">
            <w:pPr>
              <w:spacing w:after="0" w:line="240" w:lineRule="auto"/>
              <w:jc w:val="both"/>
              <w:rPr>
                <w:rFonts w:eastAsia="Times New Roman" w:cs="Calibri"/>
                <w:color w:val="000000"/>
                <w:sz w:val="14"/>
                <w:szCs w:val="14"/>
                <w:lang w:eastAsia="es-MX"/>
              </w:rPr>
            </w:pPr>
            <w:r w:rsidRPr="00D916E7">
              <w:rPr>
                <w:rFonts w:eastAsia="Times New Roman" w:cs="Calibri"/>
                <w:color w:val="000000"/>
                <w:sz w:val="14"/>
                <w:szCs w:val="14"/>
                <w:lang w:eastAsia="es-MX"/>
              </w:rPr>
              <w:t>Fondos con Afectación Específica</w:t>
            </w:r>
          </w:p>
        </w:tc>
        <w:tc>
          <w:tcPr>
            <w:tcW w:w="1652" w:type="dxa"/>
            <w:tcBorders>
              <w:top w:val="nil"/>
              <w:left w:val="nil"/>
              <w:bottom w:val="single" w:sz="4" w:space="0" w:color="auto"/>
              <w:right w:val="single" w:sz="4" w:space="0" w:color="auto"/>
            </w:tcBorders>
            <w:shd w:val="clear" w:color="auto" w:fill="auto"/>
            <w:noWrap/>
            <w:vAlign w:val="center"/>
            <w:hideMark/>
          </w:tcPr>
          <w:p w14:paraId="0004C94F"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6,794,030</w:t>
            </w:r>
          </w:p>
        </w:tc>
        <w:tc>
          <w:tcPr>
            <w:tcW w:w="1652" w:type="dxa"/>
            <w:tcBorders>
              <w:top w:val="nil"/>
              <w:left w:val="nil"/>
              <w:bottom w:val="single" w:sz="4" w:space="0" w:color="auto"/>
              <w:right w:val="single" w:sz="4" w:space="0" w:color="auto"/>
            </w:tcBorders>
            <w:shd w:val="clear" w:color="auto" w:fill="auto"/>
            <w:vAlign w:val="center"/>
            <w:hideMark/>
          </w:tcPr>
          <w:p w14:paraId="52AB892E"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673,831</w:t>
            </w:r>
          </w:p>
        </w:tc>
      </w:tr>
      <w:tr w:rsidR="00D916E7" w:rsidRPr="00427752" w14:paraId="631B9AA9" w14:textId="77777777" w:rsidTr="00980E36">
        <w:trPr>
          <w:trHeight w:val="414"/>
        </w:trPr>
        <w:tc>
          <w:tcPr>
            <w:tcW w:w="3934" w:type="dxa"/>
            <w:tcBorders>
              <w:top w:val="nil"/>
              <w:left w:val="single" w:sz="4" w:space="0" w:color="auto"/>
              <w:bottom w:val="single" w:sz="4" w:space="0" w:color="auto"/>
              <w:right w:val="single" w:sz="4" w:space="0" w:color="auto"/>
            </w:tcBorders>
            <w:shd w:val="clear" w:color="000000" w:fill="DDC9A3"/>
            <w:vAlign w:val="center"/>
            <w:hideMark/>
          </w:tcPr>
          <w:p w14:paraId="24CE26D1" w14:textId="77777777" w:rsidR="00D916E7" w:rsidRPr="00427752" w:rsidRDefault="00D916E7" w:rsidP="00D916E7">
            <w:pPr>
              <w:spacing w:after="0" w:line="240" w:lineRule="auto"/>
              <w:rPr>
                <w:rFonts w:eastAsia="Times New Roman" w:cs="Calibri"/>
                <w:b/>
                <w:bCs/>
                <w:color w:val="000000"/>
                <w:sz w:val="16"/>
                <w:szCs w:val="14"/>
                <w:lang w:eastAsia="es-MX"/>
              </w:rPr>
            </w:pPr>
            <w:r w:rsidRPr="00427752">
              <w:rPr>
                <w:rFonts w:eastAsia="Times New Roman" w:cs="Calibri"/>
                <w:b/>
                <w:bCs/>
                <w:color w:val="000000"/>
                <w:sz w:val="16"/>
                <w:szCs w:val="14"/>
                <w:lang w:eastAsia="es-MX"/>
              </w:rPr>
              <w:t>Total de Efectivo o Equivalentes</w:t>
            </w:r>
          </w:p>
        </w:tc>
        <w:tc>
          <w:tcPr>
            <w:tcW w:w="1652" w:type="dxa"/>
            <w:tcBorders>
              <w:top w:val="nil"/>
              <w:left w:val="nil"/>
              <w:bottom w:val="single" w:sz="4" w:space="0" w:color="auto"/>
              <w:right w:val="single" w:sz="4" w:space="0" w:color="auto"/>
            </w:tcBorders>
            <w:shd w:val="clear" w:color="000000" w:fill="DDC9A3"/>
            <w:vAlign w:val="center"/>
            <w:hideMark/>
          </w:tcPr>
          <w:p w14:paraId="13B3E756" w14:textId="77777777" w:rsidR="00D916E7" w:rsidRPr="00427752" w:rsidRDefault="00D916E7" w:rsidP="00D916E7">
            <w:pPr>
              <w:spacing w:after="0" w:line="240" w:lineRule="auto"/>
              <w:jc w:val="right"/>
              <w:rPr>
                <w:rFonts w:eastAsia="Times New Roman" w:cs="Calibri"/>
                <w:b/>
                <w:bCs/>
                <w:color w:val="000000"/>
                <w:sz w:val="16"/>
                <w:szCs w:val="14"/>
                <w:lang w:eastAsia="es-MX"/>
              </w:rPr>
            </w:pPr>
            <w:r w:rsidRPr="00427752">
              <w:rPr>
                <w:rFonts w:eastAsia="Times New Roman" w:cs="Calibri"/>
                <w:b/>
                <w:bCs/>
                <w:color w:val="000000"/>
                <w:sz w:val="16"/>
                <w:szCs w:val="14"/>
                <w:lang w:eastAsia="es-MX"/>
              </w:rPr>
              <w:t>2,383,637,662</w:t>
            </w:r>
          </w:p>
        </w:tc>
        <w:tc>
          <w:tcPr>
            <w:tcW w:w="1652" w:type="dxa"/>
            <w:tcBorders>
              <w:top w:val="nil"/>
              <w:left w:val="nil"/>
              <w:bottom w:val="single" w:sz="4" w:space="0" w:color="auto"/>
              <w:right w:val="single" w:sz="4" w:space="0" w:color="auto"/>
            </w:tcBorders>
            <w:shd w:val="clear" w:color="000000" w:fill="DDC9A3"/>
            <w:vAlign w:val="center"/>
            <w:hideMark/>
          </w:tcPr>
          <w:p w14:paraId="77BE85B0" w14:textId="77777777" w:rsidR="00D916E7" w:rsidRPr="00427752" w:rsidRDefault="00D916E7" w:rsidP="00D916E7">
            <w:pPr>
              <w:spacing w:after="0" w:line="240" w:lineRule="auto"/>
              <w:jc w:val="right"/>
              <w:rPr>
                <w:rFonts w:eastAsia="Times New Roman" w:cs="Calibri"/>
                <w:b/>
                <w:bCs/>
                <w:color w:val="000000"/>
                <w:sz w:val="16"/>
                <w:szCs w:val="14"/>
                <w:lang w:eastAsia="es-MX"/>
              </w:rPr>
            </w:pPr>
            <w:r w:rsidRPr="00427752">
              <w:rPr>
                <w:rFonts w:eastAsia="Times New Roman" w:cs="Calibri"/>
                <w:b/>
                <w:bCs/>
                <w:color w:val="000000"/>
                <w:sz w:val="16"/>
                <w:szCs w:val="14"/>
                <w:lang w:eastAsia="es-MX"/>
              </w:rPr>
              <w:t>2,316,407,266</w:t>
            </w:r>
          </w:p>
        </w:tc>
      </w:tr>
    </w:tbl>
    <w:p w14:paraId="4A99A2B6" w14:textId="77777777" w:rsidR="00D916E7" w:rsidRDefault="001E1630" w:rsidP="00437C61">
      <w:pPr>
        <w:spacing w:after="0" w:line="240" w:lineRule="auto"/>
        <w:jc w:val="both"/>
        <w:rPr>
          <w:rFonts w:asciiTheme="minorHAnsi" w:hAnsiTheme="minorHAnsi" w:cstheme="minorHAnsi"/>
          <w:sz w:val="14"/>
          <w:szCs w:val="14"/>
        </w:rPr>
      </w:pPr>
      <w:r w:rsidRPr="005F45A3">
        <w:rPr>
          <w:rFonts w:asciiTheme="minorHAnsi" w:hAnsiTheme="minorHAnsi" w:cstheme="minorHAnsi"/>
          <w:sz w:val="14"/>
          <w:szCs w:val="14"/>
        </w:rPr>
        <w:t xml:space="preserve">            </w:t>
      </w:r>
    </w:p>
    <w:p w14:paraId="1670DAF2" w14:textId="0303EAD3" w:rsidR="004B4D76" w:rsidRPr="005F45A3" w:rsidRDefault="001E1630" w:rsidP="00437C61">
      <w:pPr>
        <w:spacing w:after="0" w:line="240" w:lineRule="auto"/>
        <w:jc w:val="both"/>
        <w:rPr>
          <w:rFonts w:asciiTheme="minorHAnsi" w:hAnsiTheme="minorHAnsi" w:cstheme="minorHAnsi"/>
          <w:sz w:val="14"/>
          <w:szCs w:val="14"/>
        </w:rPr>
      </w:pPr>
      <w:r w:rsidRPr="005F45A3">
        <w:rPr>
          <w:rFonts w:asciiTheme="minorHAnsi" w:hAnsiTheme="minorHAnsi" w:cstheme="minorHAnsi"/>
          <w:sz w:val="14"/>
          <w:szCs w:val="14"/>
        </w:rPr>
        <w:t xml:space="preserve">       </w:t>
      </w:r>
      <w:r w:rsidR="004B4D76">
        <w:rPr>
          <w:rFonts w:asciiTheme="minorHAnsi" w:hAnsiTheme="minorHAnsi" w:cstheme="minorHAnsi"/>
          <w:sz w:val="14"/>
          <w:szCs w:val="14"/>
        </w:rPr>
        <w:t xml:space="preserve">                       </w:t>
      </w:r>
    </w:p>
    <w:p w14:paraId="40EADBE2" w14:textId="5662B825" w:rsidR="008E3DEE" w:rsidRDefault="008E3DEE" w:rsidP="00437C61">
      <w:pPr>
        <w:spacing w:after="0" w:line="240" w:lineRule="auto"/>
        <w:jc w:val="both"/>
        <w:rPr>
          <w:rFonts w:asciiTheme="minorHAnsi" w:hAnsiTheme="minorHAnsi" w:cstheme="minorHAnsi"/>
          <w:sz w:val="14"/>
          <w:szCs w:val="14"/>
        </w:rPr>
      </w:pPr>
      <w:r w:rsidRPr="005F45A3">
        <w:rPr>
          <w:rFonts w:asciiTheme="minorHAnsi" w:hAnsiTheme="minorHAnsi" w:cstheme="minorHAnsi"/>
          <w:sz w:val="14"/>
          <w:szCs w:val="14"/>
        </w:rPr>
        <w:t xml:space="preserve">       </w:t>
      </w:r>
    </w:p>
    <w:p w14:paraId="66E2748C" w14:textId="77777777" w:rsidR="00D931ED" w:rsidRPr="000D15E5" w:rsidRDefault="00990AC7" w:rsidP="00B46FFA">
      <w:pPr>
        <w:pStyle w:val="Prrafodelista"/>
        <w:numPr>
          <w:ilvl w:val="0"/>
          <w:numId w:val="17"/>
        </w:numPr>
        <w:spacing w:after="0" w:line="240" w:lineRule="auto"/>
        <w:ind w:left="567"/>
        <w:jc w:val="both"/>
        <w:rPr>
          <w:rFonts w:asciiTheme="minorHAnsi" w:hAnsiTheme="minorHAnsi" w:cstheme="minorHAnsi"/>
          <w:b/>
          <w:sz w:val="18"/>
          <w:szCs w:val="18"/>
          <w:lang w:val="es-ES" w:eastAsia="es-ES"/>
        </w:rPr>
      </w:pPr>
      <w:r w:rsidRPr="000D15E5">
        <w:rPr>
          <w:rFonts w:asciiTheme="minorHAnsi" w:hAnsiTheme="minorHAnsi" w:cstheme="minorHAnsi"/>
          <w:sz w:val="18"/>
          <w:szCs w:val="18"/>
          <w:lang w:val="es-ES" w:eastAsia="es-ES"/>
        </w:rPr>
        <w:t xml:space="preserve">Adquisición de Bienes Muebles e Inmuebles </w:t>
      </w:r>
      <w:r w:rsidRPr="000D15E5">
        <w:rPr>
          <w:rFonts w:asciiTheme="minorHAnsi" w:hAnsiTheme="minorHAnsi" w:cstheme="minorHAnsi"/>
          <w:sz w:val="18"/>
          <w:szCs w:val="18"/>
        </w:rPr>
        <w:t xml:space="preserve">con subsidio de capital del sector central:   </w:t>
      </w:r>
      <w:r w:rsidRPr="000D15E5">
        <w:rPr>
          <w:rFonts w:asciiTheme="minorHAnsi" w:hAnsiTheme="minorHAnsi" w:cstheme="minorHAnsi"/>
          <w:b/>
          <w:sz w:val="18"/>
          <w:szCs w:val="18"/>
        </w:rPr>
        <w:t>No Aplica</w:t>
      </w:r>
    </w:p>
    <w:p w14:paraId="189DFBB3" w14:textId="41360EE5" w:rsidR="009E07CB" w:rsidRDefault="009E07CB" w:rsidP="009E07CB">
      <w:pPr>
        <w:pStyle w:val="Prrafodelista"/>
        <w:spacing w:after="0" w:line="240" w:lineRule="auto"/>
        <w:jc w:val="both"/>
        <w:rPr>
          <w:rFonts w:asciiTheme="minorHAnsi" w:hAnsiTheme="minorHAnsi" w:cstheme="minorHAnsi"/>
          <w:b/>
          <w:sz w:val="17"/>
          <w:szCs w:val="17"/>
          <w:lang w:val="es-ES" w:eastAsia="es-ES"/>
        </w:rPr>
      </w:pPr>
    </w:p>
    <w:p w14:paraId="51E63138" w14:textId="2F8933DF" w:rsidR="00EC7550" w:rsidRDefault="00EC7550" w:rsidP="009E07CB">
      <w:pPr>
        <w:pStyle w:val="Prrafodelista"/>
        <w:spacing w:after="0" w:line="240" w:lineRule="auto"/>
        <w:jc w:val="both"/>
        <w:rPr>
          <w:rFonts w:asciiTheme="minorHAnsi" w:hAnsiTheme="minorHAnsi" w:cstheme="minorHAnsi"/>
          <w:b/>
          <w:sz w:val="17"/>
          <w:szCs w:val="17"/>
          <w:lang w:val="es-ES" w:eastAsia="es-ES"/>
        </w:rPr>
      </w:pPr>
    </w:p>
    <w:p w14:paraId="3D97B72C" w14:textId="2A97723F" w:rsidR="00EC7550" w:rsidRDefault="00EC7550" w:rsidP="009E07CB">
      <w:pPr>
        <w:pStyle w:val="Prrafodelista"/>
        <w:spacing w:after="0" w:line="240" w:lineRule="auto"/>
        <w:jc w:val="both"/>
        <w:rPr>
          <w:rFonts w:asciiTheme="minorHAnsi" w:hAnsiTheme="minorHAnsi" w:cstheme="minorHAnsi"/>
          <w:b/>
          <w:sz w:val="17"/>
          <w:szCs w:val="17"/>
          <w:lang w:val="es-ES" w:eastAsia="es-ES"/>
        </w:rPr>
      </w:pPr>
    </w:p>
    <w:p w14:paraId="7D304353" w14:textId="144693DC" w:rsidR="00867519" w:rsidRDefault="00867519" w:rsidP="00277641">
      <w:pPr>
        <w:spacing w:after="0" w:line="240" w:lineRule="auto"/>
        <w:jc w:val="both"/>
        <w:rPr>
          <w:rFonts w:asciiTheme="minorHAnsi" w:hAnsiTheme="minorHAnsi" w:cstheme="minorHAnsi"/>
          <w:b/>
          <w:sz w:val="17"/>
          <w:szCs w:val="17"/>
          <w:lang w:val="es-ES" w:eastAsia="es-ES"/>
        </w:rPr>
      </w:pPr>
    </w:p>
    <w:p w14:paraId="72A32534" w14:textId="77777777" w:rsidR="00250D2A" w:rsidRPr="00277641" w:rsidRDefault="00250D2A" w:rsidP="00277641">
      <w:pPr>
        <w:spacing w:after="0" w:line="240" w:lineRule="auto"/>
        <w:jc w:val="both"/>
        <w:rPr>
          <w:rFonts w:asciiTheme="minorHAnsi" w:hAnsiTheme="minorHAnsi" w:cstheme="minorHAnsi"/>
          <w:b/>
          <w:sz w:val="17"/>
          <w:szCs w:val="17"/>
          <w:lang w:val="es-ES" w:eastAsia="es-ES"/>
        </w:rPr>
      </w:pPr>
    </w:p>
    <w:p w14:paraId="7FCDB786" w14:textId="413114B0" w:rsidR="00712AD2" w:rsidRPr="008C65AA" w:rsidRDefault="008307ED" w:rsidP="00B46FFA">
      <w:pPr>
        <w:pStyle w:val="Prrafodelista"/>
        <w:numPr>
          <w:ilvl w:val="0"/>
          <w:numId w:val="17"/>
        </w:numPr>
        <w:spacing w:after="0" w:line="240" w:lineRule="auto"/>
        <w:ind w:left="567"/>
        <w:jc w:val="both"/>
        <w:rPr>
          <w:rFonts w:asciiTheme="minorHAnsi" w:hAnsiTheme="minorHAnsi" w:cstheme="minorHAnsi"/>
          <w:sz w:val="18"/>
          <w:szCs w:val="20"/>
          <w:lang w:val="es-ES" w:eastAsia="es-ES"/>
        </w:rPr>
      </w:pPr>
      <w:r w:rsidRPr="005F45A3">
        <w:rPr>
          <w:rFonts w:asciiTheme="minorHAnsi" w:hAnsiTheme="minorHAnsi" w:cstheme="minorHAnsi"/>
          <w:sz w:val="17"/>
          <w:szCs w:val="17"/>
          <w:lang w:val="es-ES" w:eastAsia="es-ES"/>
        </w:rPr>
        <w:t xml:space="preserve">Conciliación de los Flujos de Efectivo </w:t>
      </w:r>
      <w:r w:rsidRPr="005F45A3">
        <w:rPr>
          <w:rFonts w:asciiTheme="minorHAnsi" w:hAnsiTheme="minorHAnsi" w:cstheme="minorHAnsi"/>
          <w:sz w:val="17"/>
          <w:szCs w:val="17"/>
        </w:rPr>
        <w:t>Netos de las Actividades de Operación y la cuenta de</w:t>
      </w:r>
      <w:r w:rsidR="00DA197F">
        <w:rPr>
          <w:rFonts w:asciiTheme="minorHAnsi" w:hAnsiTheme="minorHAnsi" w:cstheme="minorHAnsi"/>
          <w:sz w:val="17"/>
          <w:szCs w:val="17"/>
        </w:rPr>
        <w:t xml:space="preserve"> Resultado del Ejercicio </w:t>
      </w:r>
      <w:r w:rsidRPr="005F45A3">
        <w:rPr>
          <w:rFonts w:asciiTheme="minorHAnsi" w:hAnsiTheme="minorHAnsi" w:cstheme="minorHAnsi"/>
          <w:sz w:val="17"/>
          <w:szCs w:val="17"/>
        </w:rPr>
        <w:t xml:space="preserve"> </w:t>
      </w:r>
      <w:r w:rsidR="00DA197F">
        <w:rPr>
          <w:rFonts w:asciiTheme="minorHAnsi" w:hAnsiTheme="minorHAnsi" w:cstheme="minorHAnsi"/>
          <w:sz w:val="17"/>
          <w:szCs w:val="17"/>
        </w:rPr>
        <w:t>(</w:t>
      </w:r>
      <w:r w:rsidRPr="005F45A3">
        <w:rPr>
          <w:rFonts w:asciiTheme="minorHAnsi" w:hAnsiTheme="minorHAnsi" w:cstheme="minorHAnsi"/>
          <w:sz w:val="17"/>
          <w:szCs w:val="17"/>
        </w:rPr>
        <w:t>Ahorro/Desahorro</w:t>
      </w:r>
      <w:r w:rsidR="00DA197F">
        <w:rPr>
          <w:rFonts w:asciiTheme="minorHAnsi" w:hAnsiTheme="minorHAnsi" w:cstheme="minorHAnsi"/>
          <w:sz w:val="17"/>
          <w:szCs w:val="17"/>
        </w:rPr>
        <w:t>)</w:t>
      </w:r>
      <w:r w:rsidR="005E5558" w:rsidRPr="005F45A3">
        <w:rPr>
          <w:rFonts w:asciiTheme="minorHAnsi" w:hAnsiTheme="minorHAnsi" w:cstheme="minorHAnsi"/>
          <w:sz w:val="17"/>
          <w:szCs w:val="17"/>
        </w:rPr>
        <w:t>.</w:t>
      </w:r>
    </w:p>
    <w:p w14:paraId="5853FDE8" w14:textId="1BB169A8" w:rsidR="00277641" w:rsidRPr="001E604D" w:rsidRDefault="00277641" w:rsidP="008C65AA">
      <w:pPr>
        <w:pStyle w:val="Prrafodelista"/>
        <w:spacing w:after="0" w:line="240" w:lineRule="auto"/>
        <w:ind w:left="567"/>
        <w:jc w:val="both"/>
        <w:rPr>
          <w:rFonts w:asciiTheme="minorHAnsi" w:hAnsiTheme="minorHAnsi" w:cstheme="minorHAnsi"/>
          <w:sz w:val="14"/>
          <w:szCs w:val="20"/>
          <w:lang w:val="es-ES" w:eastAsia="es-ES"/>
        </w:rPr>
      </w:pPr>
    </w:p>
    <w:p w14:paraId="1206840C" w14:textId="0E76699E" w:rsidR="008B32B3" w:rsidRPr="005F45A3" w:rsidRDefault="008B32B3" w:rsidP="00712AD2">
      <w:pPr>
        <w:spacing w:after="0" w:line="240" w:lineRule="auto"/>
        <w:jc w:val="both"/>
        <w:rPr>
          <w:rFonts w:asciiTheme="minorHAnsi" w:hAnsiTheme="minorHAnsi" w:cstheme="minorHAnsi"/>
          <w:sz w:val="18"/>
          <w:szCs w:val="20"/>
          <w:lang w:val="es-ES" w:eastAsia="es-ES"/>
        </w:rPr>
      </w:pPr>
      <w:r w:rsidRPr="001E604D">
        <w:rPr>
          <w:rFonts w:asciiTheme="minorHAnsi" w:hAnsiTheme="minorHAnsi" w:cstheme="minorHAnsi"/>
          <w:sz w:val="14"/>
          <w:szCs w:val="20"/>
          <w:lang w:val="es-ES" w:eastAsia="es-ES"/>
        </w:rPr>
        <w:t xml:space="preserve">                 </w:t>
      </w:r>
      <w:r w:rsidRPr="005F45A3">
        <w:rPr>
          <w:rFonts w:asciiTheme="minorHAnsi" w:hAnsiTheme="minorHAnsi" w:cstheme="minorHAnsi"/>
          <w:sz w:val="18"/>
          <w:szCs w:val="20"/>
          <w:lang w:val="es-ES" w:eastAsia="es-ES"/>
        </w:rPr>
        <w:t xml:space="preserve">    </w:t>
      </w:r>
    </w:p>
    <w:tbl>
      <w:tblPr>
        <w:tblW w:w="8653" w:type="dxa"/>
        <w:tblInd w:w="137" w:type="dxa"/>
        <w:tblCellMar>
          <w:left w:w="70" w:type="dxa"/>
          <w:right w:w="70" w:type="dxa"/>
        </w:tblCellMar>
        <w:tblLook w:val="04A0" w:firstRow="1" w:lastRow="0" w:firstColumn="1" w:lastColumn="0" w:noHBand="0" w:noVBand="1"/>
      </w:tblPr>
      <w:tblGrid>
        <w:gridCol w:w="4678"/>
        <w:gridCol w:w="1985"/>
        <w:gridCol w:w="1984"/>
        <w:gridCol w:w="6"/>
      </w:tblGrid>
      <w:tr w:rsidR="00D916E7" w:rsidRPr="00D916E7" w14:paraId="07CD3EFB" w14:textId="77777777" w:rsidTr="00427752">
        <w:trPr>
          <w:trHeight w:val="249"/>
        </w:trPr>
        <w:tc>
          <w:tcPr>
            <w:tcW w:w="8653" w:type="dxa"/>
            <w:gridSpan w:val="4"/>
            <w:tcBorders>
              <w:top w:val="single" w:sz="4" w:space="0" w:color="auto"/>
              <w:left w:val="single" w:sz="4" w:space="0" w:color="auto"/>
              <w:right w:val="single" w:sz="4" w:space="0" w:color="000000"/>
            </w:tcBorders>
            <w:shd w:val="clear" w:color="000000" w:fill="AB0033"/>
            <w:vAlign w:val="center"/>
            <w:hideMark/>
          </w:tcPr>
          <w:p w14:paraId="7D42D408" w14:textId="77777777" w:rsidR="00D916E7" w:rsidRPr="00D916E7" w:rsidRDefault="00D916E7" w:rsidP="00D916E7">
            <w:pPr>
              <w:spacing w:after="0" w:line="240" w:lineRule="auto"/>
              <w:jc w:val="center"/>
              <w:rPr>
                <w:rFonts w:eastAsia="Times New Roman" w:cs="Calibri"/>
                <w:b/>
                <w:bCs/>
                <w:color w:val="FFFFFF"/>
                <w:sz w:val="16"/>
                <w:szCs w:val="16"/>
                <w:lang w:eastAsia="es-MX"/>
              </w:rPr>
            </w:pPr>
            <w:r w:rsidRPr="00D916E7">
              <w:rPr>
                <w:rFonts w:eastAsia="Times New Roman" w:cs="Calibri"/>
                <w:b/>
                <w:bCs/>
                <w:color w:val="FFFFFF"/>
                <w:sz w:val="16"/>
                <w:szCs w:val="16"/>
                <w:lang w:eastAsia="es-MX"/>
              </w:rPr>
              <w:t>Conciliación de Flujos de Efectivo Netos de las Actividades de Operación</w:t>
            </w:r>
          </w:p>
        </w:tc>
      </w:tr>
      <w:tr w:rsidR="00D916E7" w:rsidRPr="00D916E7" w14:paraId="5C69EC60" w14:textId="77777777" w:rsidTr="00427752">
        <w:trPr>
          <w:trHeight w:val="249"/>
        </w:trPr>
        <w:tc>
          <w:tcPr>
            <w:tcW w:w="8653" w:type="dxa"/>
            <w:gridSpan w:val="4"/>
            <w:tcBorders>
              <w:left w:val="single" w:sz="4" w:space="0" w:color="auto"/>
              <w:right w:val="single" w:sz="4" w:space="0" w:color="000000"/>
            </w:tcBorders>
            <w:shd w:val="clear" w:color="000000" w:fill="AB0033"/>
            <w:vAlign w:val="center"/>
            <w:hideMark/>
          </w:tcPr>
          <w:p w14:paraId="67F5D143" w14:textId="77777777" w:rsidR="00D916E7" w:rsidRPr="00D916E7" w:rsidRDefault="00D916E7" w:rsidP="00D916E7">
            <w:pPr>
              <w:spacing w:after="0" w:line="240" w:lineRule="auto"/>
              <w:jc w:val="center"/>
              <w:rPr>
                <w:rFonts w:eastAsia="Times New Roman" w:cs="Calibri"/>
                <w:b/>
                <w:bCs/>
                <w:color w:val="FFFFFF"/>
                <w:sz w:val="16"/>
                <w:szCs w:val="16"/>
                <w:lang w:eastAsia="es-MX"/>
              </w:rPr>
            </w:pPr>
            <w:r w:rsidRPr="00D916E7">
              <w:rPr>
                <w:rFonts w:eastAsia="Times New Roman" w:cs="Calibri"/>
                <w:b/>
                <w:bCs/>
                <w:color w:val="FFFFFF"/>
                <w:sz w:val="16"/>
                <w:szCs w:val="16"/>
                <w:lang w:eastAsia="es-MX"/>
              </w:rPr>
              <w:t>y los saldos de Resultados del Ejercicio (Ahorro/Desahorro)</w:t>
            </w:r>
          </w:p>
        </w:tc>
      </w:tr>
      <w:tr w:rsidR="00D916E7" w:rsidRPr="00D916E7" w14:paraId="5982E64D" w14:textId="77777777" w:rsidTr="00427752">
        <w:trPr>
          <w:trHeight w:val="249"/>
        </w:trPr>
        <w:tc>
          <w:tcPr>
            <w:tcW w:w="8653" w:type="dxa"/>
            <w:gridSpan w:val="4"/>
            <w:tcBorders>
              <w:left w:val="single" w:sz="4" w:space="0" w:color="auto"/>
              <w:bottom w:val="single" w:sz="4" w:space="0" w:color="auto"/>
              <w:right w:val="single" w:sz="4" w:space="0" w:color="000000"/>
            </w:tcBorders>
            <w:shd w:val="clear" w:color="000000" w:fill="AB0033"/>
            <w:vAlign w:val="center"/>
            <w:hideMark/>
          </w:tcPr>
          <w:p w14:paraId="669E146F" w14:textId="77777777" w:rsidR="00D916E7" w:rsidRPr="00D916E7" w:rsidRDefault="00D916E7" w:rsidP="00D916E7">
            <w:pPr>
              <w:spacing w:after="0" w:line="240" w:lineRule="auto"/>
              <w:jc w:val="center"/>
              <w:rPr>
                <w:rFonts w:eastAsia="Times New Roman" w:cs="Calibri"/>
                <w:b/>
                <w:bCs/>
                <w:color w:val="FFFFFF"/>
                <w:sz w:val="16"/>
                <w:szCs w:val="16"/>
                <w:lang w:eastAsia="es-MX"/>
              </w:rPr>
            </w:pPr>
            <w:r w:rsidRPr="00D916E7">
              <w:rPr>
                <w:rFonts w:eastAsia="Times New Roman" w:cs="Calibri"/>
                <w:b/>
                <w:bCs/>
                <w:color w:val="FFFFFF"/>
                <w:sz w:val="16"/>
                <w:szCs w:val="16"/>
                <w:lang w:eastAsia="es-MX"/>
              </w:rPr>
              <w:t>al 31 de Diciembre 2022</w:t>
            </w:r>
          </w:p>
        </w:tc>
      </w:tr>
      <w:tr w:rsidR="00D916E7" w:rsidRPr="00D916E7" w14:paraId="07704DCF" w14:textId="77777777" w:rsidTr="00427752">
        <w:trPr>
          <w:gridAfter w:val="1"/>
          <w:wAfter w:w="6" w:type="dxa"/>
          <w:trHeight w:val="249"/>
        </w:trPr>
        <w:tc>
          <w:tcPr>
            <w:tcW w:w="4678" w:type="dxa"/>
            <w:tcBorders>
              <w:top w:val="nil"/>
              <w:left w:val="single" w:sz="4" w:space="0" w:color="auto"/>
              <w:bottom w:val="single" w:sz="4" w:space="0" w:color="auto"/>
              <w:right w:val="single" w:sz="4" w:space="0" w:color="auto"/>
            </w:tcBorders>
            <w:shd w:val="clear" w:color="000000" w:fill="AB0033"/>
            <w:vAlign w:val="center"/>
            <w:hideMark/>
          </w:tcPr>
          <w:p w14:paraId="0DC9FB1B" w14:textId="77777777" w:rsidR="00D916E7" w:rsidRPr="00D916E7" w:rsidRDefault="00D916E7" w:rsidP="00D916E7">
            <w:pPr>
              <w:spacing w:after="0" w:line="240" w:lineRule="auto"/>
              <w:jc w:val="center"/>
              <w:rPr>
                <w:rFonts w:eastAsia="Times New Roman" w:cs="Calibri"/>
                <w:b/>
                <w:bCs/>
                <w:color w:val="FFFFFF"/>
                <w:sz w:val="16"/>
                <w:szCs w:val="16"/>
                <w:lang w:eastAsia="es-MX"/>
              </w:rPr>
            </w:pPr>
            <w:r w:rsidRPr="00D916E7">
              <w:rPr>
                <w:rFonts w:eastAsia="Times New Roman" w:cs="Calibri"/>
                <w:b/>
                <w:bCs/>
                <w:color w:val="FFFFFF"/>
                <w:sz w:val="16"/>
                <w:szCs w:val="16"/>
                <w:lang w:eastAsia="es-MX"/>
              </w:rPr>
              <w:t>C O N C E P T O</w:t>
            </w:r>
          </w:p>
        </w:tc>
        <w:tc>
          <w:tcPr>
            <w:tcW w:w="1985" w:type="dxa"/>
            <w:tcBorders>
              <w:top w:val="nil"/>
              <w:left w:val="nil"/>
              <w:bottom w:val="single" w:sz="4" w:space="0" w:color="auto"/>
              <w:right w:val="single" w:sz="4" w:space="0" w:color="auto"/>
            </w:tcBorders>
            <w:shd w:val="clear" w:color="000000" w:fill="AB0033"/>
            <w:vAlign w:val="center"/>
            <w:hideMark/>
          </w:tcPr>
          <w:p w14:paraId="18B2FA33" w14:textId="77777777" w:rsidR="00D916E7" w:rsidRPr="00D916E7" w:rsidRDefault="00D916E7" w:rsidP="00D916E7">
            <w:pPr>
              <w:spacing w:after="0" w:line="240" w:lineRule="auto"/>
              <w:jc w:val="center"/>
              <w:rPr>
                <w:rFonts w:eastAsia="Times New Roman" w:cs="Calibri"/>
                <w:b/>
                <w:bCs/>
                <w:color w:val="FFFFFF"/>
                <w:sz w:val="16"/>
                <w:szCs w:val="16"/>
                <w:lang w:eastAsia="es-MX"/>
              </w:rPr>
            </w:pPr>
            <w:r w:rsidRPr="00D916E7">
              <w:rPr>
                <w:rFonts w:eastAsia="Times New Roman" w:cs="Calibri"/>
                <w:b/>
                <w:bCs/>
                <w:color w:val="FFFFFF"/>
                <w:sz w:val="16"/>
                <w:szCs w:val="16"/>
                <w:lang w:eastAsia="es-MX"/>
              </w:rPr>
              <w:t>2022</w:t>
            </w:r>
          </w:p>
        </w:tc>
        <w:tc>
          <w:tcPr>
            <w:tcW w:w="1984" w:type="dxa"/>
            <w:tcBorders>
              <w:top w:val="nil"/>
              <w:left w:val="nil"/>
              <w:bottom w:val="single" w:sz="4" w:space="0" w:color="auto"/>
              <w:right w:val="single" w:sz="4" w:space="0" w:color="auto"/>
            </w:tcBorders>
            <w:shd w:val="clear" w:color="000000" w:fill="AB0033"/>
            <w:vAlign w:val="center"/>
            <w:hideMark/>
          </w:tcPr>
          <w:p w14:paraId="253543A1" w14:textId="77777777" w:rsidR="00D916E7" w:rsidRPr="00D916E7" w:rsidRDefault="00D916E7" w:rsidP="00D916E7">
            <w:pPr>
              <w:spacing w:after="0" w:line="240" w:lineRule="auto"/>
              <w:jc w:val="center"/>
              <w:rPr>
                <w:rFonts w:eastAsia="Times New Roman" w:cs="Calibri"/>
                <w:b/>
                <w:bCs/>
                <w:color w:val="FFFFFF"/>
                <w:sz w:val="16"/>
                <w:szCs w:val="16"/>
                <w:lang w:eastAsia="es-MX"/>
              </w:rPr>
            </w:pPr>
            <w:r w:rsidRPr="00D916E7">
              <w:rPr>
                <w:rFonts w:eastAsia="Times New Roman" w:cs="Calibri"/>
                <w:b/>
                <w:bCs/>
                <w:color w:val="FFFFFF"/>
                <w:sz w:val="16"/>
                <w:szCs w:val="16"/>
                <w:lang w:eastAsia="es-MX"/>
              </w:rPr>
              <w:t>2021</w:t>
            </w:r>
          </w:p>
        </w:tc>
      </w:tr>
      <w:tr w:rsidR="00D916E7" w:rsidRPr="00427752" w14:paraId="60BDB5AC" w14:textId="77777777" w:rsidTr="00427752">
        <w:trPr>
          <w:gridAfter w:val="1"/>
          <w:wAfter w:w="6" w:type="dxa"/>
          <w:trHeight w:val="567"/>
        </w:trPr>
        <w:tc>
          <w:tcPr>
            <w:tcW w:w="4678" w:type="dxa"/>
            <w:tcBorders>
              <w:top w:val="nil"/>
              <w:left w:val="single" w:sz="4" w:space="0" w:color="auto"/>
              <w:bottom w:val="single" w:sz="4" w:space="0" w:color="auto"/>
              <w:right w:val="single" w:sz="4" w:space="0" w:color="auto"/>
            </w:tcBorders>
            <w:shd w:val="clear" w:color="000000" w:fill="D9D9D9"/>
            <w:vAlign w:val="center"/>
            <w:hideMark/>
          </w:tcPr>
          <w:p w14:paraId="7A65BB43" w14:textId="77777777" w:rsidR="00D916E7" w:rsidRPr="00427752" w:rsidRDefault="00D916E7" w:rsidP="00D916E7">
            <w:pPr>
              <w:spacing w:after="0" w:line="240" w:lineRule="auto"/>
              <w:jc w:val="both"/>
              <w:rPr>
                <w:rFonts w:eastAsia="Times New Roman" w:cs="Calibri"/>
                <w:b/>
                <w:bCs/>
                <w:color w:val="000000"/>
                <w:sz w:val="16"/>
                <w:szCs w:val="14"/>
                <w:lang w:eastAsia="es-MX"/>
              </w:rPr>
            </w:pPr>
            <w:r w:rsidRPr="00427752">
              <w:rPr>
                <w:rFonts w:eastAsia="Times New Roman" w:cs="Calibri"/>
                <w:b/>
                <w:bCs/>
                <w:color w:val="000000"/>
                <w:sz w:val="16"/>
                <w:szCs w:val="14"/>
                <w:lang w:eastAsia="es-MX"/>
              </w:rPr>
              <w:t>Resultados del Ejercicio (Ahorro/ Desahorro)</w:t>
            </w:r>
          </w:p>
        </w:tc>
        <w:tc>
          <w:tcPr>
            <w:tcW w:w="1985" w:type="dxa"/>
            <w:tcBorders>
              <w:top w:val="nil"/>
              <w:left w:val="nil"/>
              <w:bottom w:val="single" w:sz="4" w:space="0" w:color="auto"/>
              <w:right w:val="single" w:sz="4" w:space="0" w:color="auto"/>
            </w:tcBorders>
            <w:shd w:val="clear" w:color="000000" w:fill="D9D9D9"/>
            <w:vAlign w:val="center"/>
            <w:hideMark/>
          </w:tcPr>
          <w:p w14:paraId="2BCDFAF8" w14:textId="77777777" w:rsidR="00D916E7" w:rsidRPr="00427752" w:rsidRDefault="00D916E7" w:rsidP="00D916E7">
            <w:pPr>
              <w:spacing w:after="0" w:line="240" w:lineRule="auto"/>
              <w:jc w:val="right"/>
              <w:rPr>
                <w:rFonts w:eastAsia="Times New Roman" w:cs="Calibri"/>
                <w:b/>
                <w:bCs/>
                <w:color w:val="000000"/>
                <w:sz w:val="16"/>
                <w:szCs w:val="14"/>
                <w:lang w:eastAsia="es-MX"/>
              </w:rPr>
            </w:pPr>
            <w:r w:rsidRPr="00427752">
              <w:rPr>
                <w:rFonts w:eastAsia="Times New Roman" w:cs="Calibri"/>
                <w:b/>
                <w:bCs/>
                <w:color w:val="000000"/>
                <w:sz w:val="16"/>
                <w:szCs w:val="14"/>
                <w:lang w:eastAsia="es-MX"/>
              </w:rPr>
              <w:t>1,670,758,637</w:t>
            </w:r>
          </w:p>
        </w:tc>
        <w:tc>
          <w:tcPr>
            <w:tcW w:w="1984" w:type="dxa"/>
            <w:tcBorders>
              <w:top w:val="nil"/>
              <w:left w:val="nil"/>
              <w:bottom w:val="single" w:sz="4" w:space="0" w:color="auto"/>
              <w:right w:val="single" w:sz="4" w:space="0" w:color="auto"/>
            </w:tcBorders>
            <w:shd w:val="clear" w:color="000000" w:fill="D9D9D9"/>
            <w:vAlign w:val="center"/>
            <w:hideMark/>
          </w:tcPr>
          <w:p w14:paraId="1821B8DD" w14:textId="77777777" w:rsidR="00D916E7" w:rsidRPr="00427752" w:rsidRDefault="00D916E7" w:rsidP="00D916E7">
            <w:pPr>
              <w:spacing w:after="0" w:line="240" w:lineRule="auto"/>
              <w:jc w:val="right"/>
              <w:rPr>
                <w:rFonts w:eastAsia="Times New Roman" w:cs="Calibri"/>
                <w:b/>
                <w:bCs/>
                <w:color w:val="000000"/>
                <w:sz w:val="16"/>
                <w:szCs w:val="14"/>
                <w:lang w:eastAsia="es-MX"/>
              </w:rPr>
            </w:pPr>
            <w:r w:rsidRPr="00427752">
              <w:rPr>
                <w:rFonts w:eastAsia="Times New Roman" w:cs="Calibri"/>
                <w:b/>
                <w:bCs/>
                <w:color w:val="000000"/>
                <w:sz w:val="16"/>
                <w:szCs w:val="14"/>
                <w:lang w:eastAsia="es-MX"/>
              </w:rPr>
              <w:t>94,522,599</w:t>
            </w:r>
          </w:p>
        </w:tc>
      </w:tr>
      <w:tr w:rsidR="00D916E7" w:rsidRPr="00D916E7" w14:paraId="6A3F1F91" w14:textId="77777777" w:rsidTr="00427752">
        <w:trPr>
          <w:gridAfter w:val="1"/>
          <w:wAfter w:w="6" w:type="dxa"/>
          <w:trHeight w:val="389"/>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68EF7AF2" w14:textId="77777777" w:rsidR="00D916E7" w:rsidRPr="00D916E7" w:rsidRDefault="00D916E7" w:rsidP="00D916E7">
            <w:pPr>
              <w:spacing w:after="0" w:line="240" w:lineRule="auto"/>
              <w:jc w:val="both"/>
              <w:rPr>
                <w:rFonts w:eastAsia="Times New Roman" w:cs="Calibri"/>
                <w:color w:val="000000"/>
                <w:sz w:val="14"/>
                <w:szCs w:val="14"/>
                <w:lang w:eastAsia="es-MX"/>
              </w:rPr>
            </w:pPr>
            <w:r w:rsidRPr="00D916E7">
              <w:rPr>
                <w:rFonts w:eastAsia="Times New Roman" w:cs="Calibri"/>
                <w:color w:val="000000"/>
                <w:sz w:val="14"/>
                <w:szCs w:val="14"/>
                <w:lang w:eastAsia="es-MX"/>
              </w:rPr>
              <w:t xml:space="preserve">     Movimientos de partidas (o rubros) que no afectan al Efectivo</w:t>
            </w:r>
          </w:p>
        </w:tc>
        <w:tc>
          <w:tcPr>
            <w:tcW w:w="1985" w:type="dxa"/>
            <w:tcBorders>
              <w:top w:val="nil"/>
              <w:left w:val="nil"/>
              <w:bottom w:val="single" w:sz="4" w:space="0" w:color="auto"/>
              <w:right w:val="single" w:sz="4" w:space="0" w:color="auto"/>
            </w:tcBorders>
            <w:shd w:val="clear" w:color="auto" w:fill="auto"/>
            <w:vAlign w:val="center"/>
            <w:hideMark/>
          </w:tcPr>
          <w:p w14:paraId="464C9298"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14:paraId="02A0B4A7"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 </w:t>
            </w:r>
          </w:p>
        </w:tc>
      </w:tr>
      <w:tr w:rsidR="00D916E7" w:rsidRPr="00D916E7" w14:paraId="4E7DC659" w14:textId="77777777" w:rsidTr="00427752">
        <w:trPr>
          <w:gridAfter w:val="1"/>
          <w:wAfter w:w="6" w:type="dxa"/>
          <w:trHeight w:val="249"/>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12AAE0A9" w14:textId="77777777" w:rsidR="00D916E7" w:rsidRPr="00D916E7" w:rsidRDefault="00D916E7" w:rsidP="00D916E7">
            <w:pPr>
              <w:spacing w:after="0" w:line="240" w:lineRule="auto"/>
              <w:jc w:val="both"/>
              <w:rPr>
                <w:rFonts w:eastAsia="Times New Roman" w:cs="Calibri"/>
                <w:color w:val="000000"/>
                <w:sz w:val="14"/>
                <w:szCs w:val="14"/>
                <w:lang w:eastAsia="es-MX"/>
              </w:rPr>
            </w:pPr>
            <w:r w:rsidRPr="00D916E7">
              <w:rPr>
                <w:rFonts w:eastAsia="Times New Roman" w:cs="Calibri"/>
                <w:color w:val="000000"/>
                <w:sz w:val="14"/>
                <w:szCs w:val="14"/>
                <w:lang w:eastAsia="es-MX"/>
              </w:rPr>
              <w:t xml:space="preserve">     Estimaciones</w:t>
            </w:r>
          </w:p>
        </w:tc>
        <w:tc>
          <w:tcPr>
            <w:tcW w:w="1985" w:type="dxa"/>
            <w:tcBorders>
              <w:top w:val="nil"/>
              <w:left w:val="nil"/>
              <w:bottom w:val="single" w:sz="4" w:space="0" w:color="auto"/>
              <w:right w:val="single" w:sz="4" w:space="0" w:color="auto"/>
            </w:tcBorders>
            <w:shd w:val="clear" w:color="auto" w:fill="auto"/>
            <w:vAlign w:val="center"/>
            <w:hideMark/>
          </w:tcPr>
          <w:p w14:paraId="40797BDA"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14:paraId="0F91267A"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 </w:t>
            </w:r>
          </w:p>
        </w:tc>
      </w:tr>
      <w:tr w:rsidR="00D916E7" w:rsidRPr="00D916E7" w14:paraId="5FD06F45" w14:textId="77777777" w:rsidTr="00427752">
        <w:trPr>
          <w:gridAfter w:val="1"/>
          <w:wAfter w:w="6" w:type="dxa"/>
          <w:trHeight w:val="249"/>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4A2F2EBB" w14:textId="77777777" w:rsidR="00D916E7" w:rsidRPr="00D916E7" w:rsidRDefault="00D916E7" w:rsidP="00D916E7">
            <w:pPr>
              <w:spacing w:after="0" w:line="240" w:lineRule="auto"/>
              <w:jc w:val="both"/>
              <w:rPr>
                <w:rFonts w:eastAsia="Times New Roman" w:cs="Calibri"/>
                <w:color w:val="000000"/>
                <w:sz w:val="14"/>
                <w:szCs w:val="14"/>
                <w:lang w:eastAsia="es-MX"/>
              </w:rPr>
            </w:pPr>
            <w:r w:rsidRPr="00D916E7">
              <w:rPr>
                <w:rFonts w:eastAsia="Times New Roman" w:cs="Calibri"/>
                <w:color w:val="000000"/>
                <w:sz w:val="14"/>
                <w:szCs w:val="14"/>
                <w:lang w:eastAsia="es-MX"/>
              </w:rPr>
              <w:t xml:space="preserve">     Depreciación</w:t>
            </w:r>
          </w:p>
        </w:tc>
        <w:tc>
          <w:tcPr>
            <w:tcW w:w="1985" w:type="dxa"/>
            <w:tcBorders>
              <w:top w:val="nil"/>
              <w:left w:val="nil"/>
              <w:bottom w:val="single" w:sz="4" w:space="0" w:color="auto"/>
              <w:right w:val="single" w:sz="4" w:space="0" w:color="auto"/>
            </w:tcBorders>
            <w:shd w:val="clear" w:color="auto" w:fill="auto"/>
            <w:vAlign w:val="center"/>
            <w:hideMark/>
          </w:tcPr>
          <w:p w14:paraId="0F209314"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912,214,647</w:t>
            </w:r>
          </w:p>
        </w:tc>
        <w:tc>
          <w:tcPr>
            <w:tcW w:w="1984" w:type="dxa"/>
            <w:tcBorders>
              <w:top w:val="nil"/>
              <w:left w:val="nil"/>
              <w:bottom w:val="single" w:sz="4" w:space="0" w:color="auto"/>
              <w:right w:val="single" w:sz="4" w:space="0" w:color="auto"/>
            </w:tcBorders>
            <w:shd w:val="clear" w:color="auto" w:fill="auto"/>
            <w:vAlign w:val="center"/>
            <w:hideMark/>
          </w:tcPr>
          <w:p w14:paraId="6FB72341"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457,424,442</w:t>
            </w:r>
          </w:p>
        </w:tc>
      </w:tr>
      <w:tr w:rsidR="00D916E7" w:rsidRPr="00D916E7" w14:paraId="6BF1D339" w14:textId="77777777" w:rsidTr="00427752">
        <w:trPr>
          <w:gridAfter w:val="1"/>
          <w:wAfter w:w="6" w:type="dxa"/>
          <w:trHeight w:val="249"/>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5A49913E" w14:textId="77777777" w:rsidR="00D916E7" w:rsidRPr="00D916E7" w:rsidRDefault="00D916E7" w:rsidP="00D916E7">
            <w:pPr>
              <w:spacing w:after="0" w:line="240" w:lineRule="auto"/>
              <w:jc w:val="both"/>
              <w:rPr>
                <w:rFonts w:eastAsia="Times New Roman" w:cs="Calibri"/>
                <w:color w:val="000000"/>
                <w:sz w:val="14"/>
                <w:szCs w:val="14"/>
                <w:lang w:eastAsia="es-MX"/>
              </w:rPr>
            </w:pPr>
            <w:r w:rsidRPr="00D916E7">
              <w:rPr>
                <w:rFonts w:eastAsia="Times New Roman" w:cs="Calibri"/>
                <w:color w:val="000000"/>
                <w:sz w:val="14"/>
                <w:szCs w:val="14"/>
                <w:lang w:eastAsia="es-MX"/>
              </w:rPr>
              <w:t xml:space="preserve">     Amortización</w:t>
            </w:r>
          </w:p>
        </w:tc>
        <w:tc>
          <w:tcPr>
            <w:tcW w:w="1985" w:type="dxa"/>
            <w:tcBorders>
              <w:top w:val="nil"/>
              <w:left w:val="nil"/>
              <w:bottom w:val="single" w:sz="4" w:space="0" w:color="auto"/>
              <w:right w:val="single" w:sz="4" w:space="0" w:color="auto"/>
            </w:tcBorders>
            <w:shd w:val="clear" w:color="auto" w:fill="auto"/>
            <w:vAlign w:val="center"/>
            <w:hideMark/>
          </w:tcPr>
          <w:p w14:paraId="5355D5EF"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14:paraId="1EFD0692"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 </w:t>
            </w:r>
          </w:p>
        </w:tc>
      </w:tr>
      <w:tr w:rsidR="00D916E7" w:rsidRPr="00D916E7" w14:paraId="2CD93DA4" w14:textId="77777777" w:rsidTr="00427752">
        <w:trPr>
          <w:gridAfter w:val="1"/>
          <w:wAfter w:w="6" w:type="dxa"/>
          <w:trHeight w:val="249"/>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374116C9" w14:textId="77777777" w:rsidR="00D916E7" w:rsidRPr="00D916E7" w:rsidRDefault="00D916E7" w:rsidP="00D916E7">
            <w:pPr>
              <w:spacing w:after="0" w:line="240" w:lineRule="auto"/>
              <w:jc w:val="both"/>
              <w:rPr>
                <w:rFonts w:eastAsia="Times New Roman" w:cs="Calibri"/>
                <w:color w:val="000000"/>
                <w:sz w:val="14"/>
                <w:szCs w:val="14"/>
                <w:lang w:eastAsia="es-MX"/>
              </w:rPr>
            </w:pPr>
            <w:r w:rsidRPr="00D916E7">
              <w:rPr>
                <w:rFonts w:eastAsia="Times New Roman" w:cs="Calibri"/>
                <w:color w:val="000000"/>
                <w:sz w:val="14"/>
                <w:szCs w:val="14"/>
                <w:lang w:eastAsia="es-MX"/>
              </w:rPr>
              <w:t xml:space="preserve">     Pasivos (Adeudos por pagar)</w:t>
            </w:r>
          </w:p>
        </w:tc>
        <w:tc>
          <w:tcPr>
            <w:tcW w:w="1985" w:type="dxa"/>
            <w:tcBorders>
              <w:top w:val="nil"/>
              <w:left w:val="nil"/>
              <w:bottom w:val="single" w:sz="4" w:space="0" w:color="auto"/>
              <w:right w:val="single" w:sz="4" w:space="0" w:color="auto"/>
            </w:tcBorders>
            <w:shd w:val="clear" w:color="auto" w:fill="auto"/>
            <w:vAlign w:val="center"/>
            <w:hideMark/>
          </w:tcPr>
          <w:p w14:paraId="5713F835"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3,772,530,112</w:t>
            </w:r>
          </w:p>
        </w:tc>
        <w:tc>
          <w:tcPr>
            <w:tcW w:w="1984" w:type="dxa"/>
            <w:tcBorders>
              <w:top w:val="nil"/>
              <w:left w:val="nil"/>
              <w:bottom w:val="single" w:sz="4" w:space="0" w:color="auto"/>
              <w:right w:val="single" w:sz="4" w:space="0" w:color="auto"/>
            </w:tcBorders>
            <w:shd w:val="clear" w:color="auto" w:fill="auto"/>
            <w:vAlign w:val="center"/>
            <w:hideMark/>
          </w:tcPr>
          <w:p w14:paraId="3425E544"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2,535,624,567</w:t>
            </w:r>
          </w:p>
        </w:tc>
      </w:tr>
      <w:tr w:rsidR="00D916E7" w:rsidRPr="00D916E7" w14:paraId="1D1A6683" w14:textId="77777777" w:rsidTr="00427752">
        <w:trPr>
          <w:gridAfter w:val="1"/>
          <w:wAfter w:w="6" w:type="dxa"/>
          <w:trHeight w:val="34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251E918C" w14:textId="77777777" w:rsidR="00D916E7" w:rsidRPr="00D916E7" w:rsidRDefault="00D916E7" w:rsidP="00D916E7">
            <w:pPr>
              <w:spacing w:after="0" w:line="240" w:lineRule="auto"/>
              <w:jc w:val="both"/>
              <w:rPr>
                <w:rFonts w:eastAsia="Times New Roman" w:cs="Calibri"/>
                <w:color w:val="000000"/>
                <w:sz w:val="14"/>
                <w:szCs w:val="14"/>
                <w:lang w:eastAsia="es-MX"/>
              </w:rPr>
            </w:pPr>
            <w:r w:rsidRPr="00D916E7">
              <w:rPr>
                <w:rFonts w:eastAsia="Times New Roman" w:cs="Calibri"/>
                <w:color w:val="000000"/>
                <w:sz w:val="14"/>
                <w:szCs w:val="14"/>
                <w:lang w:eastAsia="es-MX"/>
              </w:rPr>
              <w:t xml:space="preserve">     Incremento en Inversiones Producido por Revaluaciones</w:t>
            </w:r>
          </w:p>
        </w:tc>
        <w:tc>
          <w:tcPr>
            <w:tcW w:w="1985" w:type="dxa"/>
            <w:tcBorders>
              <w:top w:val="nil"/>
              <w:left w:val="nil"/>
              <w:bottom w:val="single" w:sz="4" w:space="0" w:color="auto"/>
              <w:right w:val="single" w:sz="4" w:space="0" w:color="auto"/>
            </w:tcBorders>
            <w:shd w:val="clear" w:color="auto" w:fill="auto"/>
            <w:vAlign w:val="center"/>
            <w:hideMark/>
          </w:tcPr>
          <w:p w14:paraId="20C280F4"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14:paraId="60D9C2FE"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 </w:t>
            </w:r>
          </w:p>
        </w:tc>
      </w:tr>
      <w:tr w:rsidR="00D916E7" w:rsidRPr="00D916E7" w14:paraId="1F62A12F" w14:textId="77777777" w:rsidTr="00427752">
        <w:trPr>
          <w:gridAfter w:val="1"/>
          <w:wAfter w:w="6" w:type="dxa"/>
          <w:trHeight w:val="397"/>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18DB7A12" w14:textId="44B06C18" w:rsidR="00D916E7" w:rsidRPr="00D916E7" w:rsidRDefault="00427752" w:rsidP="00D916E7">
            <w:pPr>
              <w:spacing w:after="0" w:line="240" w:lineRule="auto"/>
              <w:jc w:val="both"/>
              <w:rPr>
                <w:rFonts w:eastAsia="Times New Roman" w:cs="Calibri"/>
                <w:color w:val="000000"/>
                <w:sz w:val="14"/>
                <w:szCs w:val="14"/>
                <w:lang w:eastAsia="es-MX"/>
              </w:rPr>
            </w:pPr>
            <w:r>
              <w:rPr>
                <w:rFonts w:eastAsia="Times New Roman" w:cs="Calibri"/>
                <w:color w:val="000000"/>
                <w:sz w:val="14"/>
                <w:szCs w:val="14"/>
                <w:lang w:eastAsia="es-MX"/>
              </w:rPr>
              <w:t xml:space="preserve">    </w:t>
            </w:r>
            <w:r w:rsidR="00D916E7" w:rsidRPr="00D916E7">
              <w:rPr>
                <w:rFonts w:eastAsia="Times New Roman" w:cs="Calibri"/>
                <w:color w:val="000000"/>
                <w:sz w:val="14"/>
                <w:szCs w:val="14"/>
                <w:lang w:eastAsia="es-MX"/>
              </w:rPr>
              <w:t>Ganancia/pérdida en venta de Bienes muebles, inmuebles e intangibles</w:t>
            </w:r>
          </w:p>
        </w:tc>
        <w:tc>
          <w:tcPr>
            <w:tcW w:w="1985" w:type="dxa"/>
            <w:tcBorders>
              <w:top w:val="nil"/>
              <w:left w:val="nil"/>
              <w:bottom w:val="single" w:sz="4" w:space="0" w:color="auto"/>
              <w:right w:val="single" w:sz="4" w:space="0" w:color="auto"/>
            </w:tcBorders>
            <w:shd w:val="clear" w:color="auto" w:fill="auto"/>
            <w:vAlign w:val="center"/>
            <w:hideMark/>
          </w:tcPr>
          <w:p w14:paraId="36E6CD25"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14:paraId="4F58DEA8"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 </w:t>
            </w:r>
          </w:p>
        </w:tc>
      </w:tr>
      <w:tr w:rsidR="00D916E7" w:rsidRPr="00D916E7" w14:paraId="5CCDEC31" w14:textId="77777777" w:rsidTr="00427752">
        <w:trPr>
          <w:gridAfter w:val="1"/>
          <w:wAfter w:w="6" w:type="dxa"/>
          <w:trHeight w:val="249"/>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25CE4CDC" w14:textId="77777777" w:rsidR="00D916E7" w:rsidRPr="00D916E7" w:rsidRDefault="00D916E7" w:rsidP="00D916E7">
            <w:pPr>
              <w:spacing w:after="0" w:line="240" w:lineRule="auto"/>
              <w:jc w:val="both"/>
              <w:rPr>
                <w:rFonts w:eastAsia="Times New Roman" w:cs="Calibri"/>
                <w:color w:val="000000"/>
                <w:sz w:val="14"/>
                <w:szCs w:val="14"/>
                <w:lang w:eastAsia="es-MX"/>
              </w:rPr>
            </w:pPr>
            <w:r w:rsidRPr="00D916E7">
              <w:rPr>
                <w:rFonts w:eastAsia="Times New Roman" w:cs="Calibri"/>
                <w:color w:val="000000"/>
                <w:sz w:val="14"/>
                <w:szCs w:val="14"/>
                <w:lang w:eastAsia="es-MX"/>
              </w:rPr>
              <w:t xml:space="preserve">     Incremento en Cuentas por Cobrar </w:t>
            </w:r>
          </w:p>
        </w:tc>
        <w:tc>
          <w:tcPr>
            <w:tcW w:w="1985" w:type="dxa"/>
            <w:tcBorders>
              <w:top w:val="nil"/>
              <w:left w:val="nil"/>
              <w:bottom w:val="single" w:sz="4" w:space="0" w:color="auto"/>
              <w:right w:val="single" w:sz="4" w:space="0" w:color="auto"/>
            </w:tcBorders>
            <w:shd w:val="clear" w:color="auto" w:fill="auto"/>
            <w:vAlign w:val="center"/>
            <w:hideMark/>
          </w:tcPr>
          <w:p w14:paraId="76676404" w14:textId="1A4187DE" w:rsidR="00D916E7" w:rsidRPr="00D916E7" w:rsidRDefault="00095078" w:rsidP="00D916E7">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 xml:space="preserve"> - </w:t>
            </w:r>
            <w:r w:rsidR="00D916E7" w:rsidRPr="00D916E7">
              <w:rPr>
                <w:rFonts w:eastAsia="Times New Roman" w:cs="Calibri"/>
                <w:color w:val="000000"/>
                <w:sz w:val="14"/>
                <w:szCs w:val="14"/>
                <w:lang w:eastAsia="es-MX"/>
              </w:rPr>
              <w:t>49,916,398</w:t>
            </w:r>
          </w:p>
        </w:tc>
        <w:tc>
          <w:tcPr>
            <w:tcW w:w="1984" w:type="dxa"/>
            <w:tcBorders>
              <w:top w:val="nil"/>
              <w:left w:val="nil"/>
              <w:bottom w:val="single" w:sz="4" w:space="0" w:color="auto"/>
              <w:right w:val="single" w:sz="4" w:space="0" w:color="auto"/>
            </w:tcBorders>
            <w:shd w:val="clear" w:color="auto" w:fill="auto"/>
            <w:vAlign w:val="center"/>
            <w:hideMark/>
          </w:tcPr>
          <w:p w14:paraId="7774F452" w14:textId="6AEF4385" w:rsidR="00D916E7" w:rsidRPr="00D916E7" w:rsidRDefault="00095078" w:rsidP="00D916E7">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w:t>
            </w:r>
            <w:r w:rsidR="00D916E7" w:rsidRPr="00D916E7">
              <w:rPr>
                <w:rFonts w:eastAsia="Times New Roman" w:cs="Calibri"/>
                <w:color w:val="000000"/>
                <w:sz w:val="14"/>
                <w:szCs w:val="14"/>
                <w:lang w:eastAsia="es-MX"/>
              </w:rPr>
              <w:t>4,710,973</w:t>
            </w:r>
          </w:p>
        </w:tc>
      </w:tr>
      <w:tr w:rsidR="00D916E7" w:rsidRPr="00D916E7" w14:paraId="322CEC7D" w14:textId="77777777" w:rsidTr="00427752">
        <w:trPr>
          <w:gridAfter w:val="1"/>
          <w:wAfter w:w="6" w:type="dxa"/>
          <w:trHeight w:val="249"/>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62EAFE1F" w14:textId="77777777" w:rsidR="00D916E7" w:rsidRPr="00D916E7" w:rsidRDefault="00D916E7" w:rsidP="00D916E7">
            <w:pPr>
              <w:spacing w:after="0" w:line="240" w:lineRule="auto"/>
              <w:jc w:val="both"/>
              <w:rPr>
                <w:rFonts w:eastAsia="Times New Roman" w:cs="Calibri"/>
                <w:color w:val="000000"/>
                <w:sz w:val="14"/>
                <w:szCs w:val="14"/>
                <w:lang w:eastAsia="es-MX"/>
              </w:rPr>
            </w:pPr>
            <w:r w:rsidRPr="00D916E7">
              <w:rPr>
                <w:rFonts w:eastAsia="Times New Roman" w:cs="Calibri"/>
                <w:color w:val="000000"/>
                <w:sz w:val="14"/>
                <w:szCs w:val="14"/>
                <w:lang w:eastAsia="es-MX"/>
              </w:rPr>
              <w:t xml:space="preserve">     Donativos</w:t>
            </w:r>
          </w:p>
        </w:tc>
        <w:tc>
          <w:tcPr>
            <w:tcW w:w="1985" w:type="dxa"/>
            <w:tcBorders>
              <w:top w:val="nil"/>
              <w:left w:val="nil"/>
              <w:bottom w:val="single" w:sz="4" w:space="0" w:color="auto"/>
              <w:right w:val="single" w:sz="4" w:space="0" w:color="auto"/>
            </w:tcBorders>
            <w:shd w:val="clear" w:color="auto" w:fill="auto"/>
            <w:vAlign w:val="center"/>
            <w:hideMark/>
          </w:tcPr>
          <w:p w14:paraId="6C23E1CC"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14:paraId="379A3696"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 </w:t>
            </w:r>
          </w:p>
        </w:tc>
      </w:tr>
      <w:tr w:rsidR="00D916E7" w:rsidRPr="00D916E7" w14:paraId="14A4C5C7" w14:textId="77777777" w:rsidTr="00427752">
        <w:trPr>
          <w:gridAfter w:val="1"/>
          <w:wAfter w:w="6" w:type="dxa"/>
          <w:trHeight w:val="249"/>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007942A4" w14:textId="77777777" w:rsidR="00D916E7" w:rsidRPr="00D916E7" w:rsidRDefault="00D916E7" w:rsidP="00D916E7">
            <w:pPr>
              <w:spacing w:after="0" w:line="240" w:lineRule="auto"/>
              <w:jc w:val="both"/>
              <w:rPr>
                <w:rFonts w:eastAsia="Times New Roman" w:cs="Calibri"/>
                <w:color w:val="000000"/>
                <w:sz w:val="14"/>
                <w:szCs w:val="14"/>
                <w:lang w:eastAsia="es-MX"/>
              </w:rPr>
            </w:pPr>
            <w:r w:rsidRPr="00D916E7">
              <w:rPr>
                <w:rFonts w:eastAsia="Times New Roman" w:cs="Calibri"/>
                <w:color w:val="000000"/>
                <w:sz w:val="14"/>
                <w:szCs w:val="14"/>
                <w:lang w:eastAsia="es-MX"/>
              </w:rPr>
              <w:t xml:space="preserve">     Perdidas Extraordinarias</w:t>
            </w:r>
          </w:p>
        </w:tc>
        <w:tc>
          <w:tcPr>
            <w:tcW w:w="1985" w:type="dxa"/>
            <w:tcBorders>
              <w:top w:val="nil"/>
              <w:left w:val="nil"/>
              <w:bottom w:val="single" w:sz="4" w:space="0" w:color="auto"/>
              <w:right w:val="single" w:sz="4" w:space="0" w:color="auto"/>
            </w:tcBorders>
            <w:shd w:val="clear" w:color="auto" w:fill="auto"/>
            <w:vAlign w:val="center"/>
            <w:hideMark/>
          </w:tcPr>
          <w:p w14:paraId="46FE4F24"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1,215,937,121</w:t>
            </w:r>
          </w:p>
        </w:tc>
        <w:tc>
          <w:tcPr>
            <w:tcW w:w="1984" w:type="dxa"/>
            <w:tcBorders>
              <w:top w:val="nil"/>
              <w:left w:val="nil"/>
              <w:bottom w:val="single" w:sz="4" w:space="0" w:color="auto"/>
              <w:right w:val="single" w:sz="4" w:space="0" w:color="auto"/>
            </w:tcBorders>
            <w:shd w:val="clear" w:color="auto" w:fill="auto"/>
            <w:vAlign w:val="center"/>
            <w:hideMark/>
          </w:tcPr>
          <w:p w14:paraId="252EEF73"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1,092,418,733</w:t>
            </w:r>
          </w:p>
        </w:tc>
      </w:tr>
      <w:tr w:rsidR="00D916E7" w:rsidRPr="00427752" w14:paraId="7D26971B" w14:textId="77777777" w:rsidTr="00427752">
        <w:trPr>
          <w:gridAfter w:val="1"/>
          <w:wAfter w:w="6" w:type="dxa"/>
          <w:trHeight w:val="363"/>
        </w:trPr>
        <w:tc>
          <w:tcPr>
            <w:tcW w:w="4678" w:type="dxa"/>
            <w:tcBorders>
              <w:top w:val="nil"/>
              <w:left w:val="single" w:sz="4" w:space="0" w:color="auto"/>
              <w:bottom w:val="single" w:sz="4" w:space="0" w:color="auto"/>
              <w:right w:val="single" w:sz="4" w:space="0" w:color="auto"/>
            </w:tcBorders>
            <w:shd w:val="clear" w:color="000000" w:fill="DDC9A3"/>
            <w:vAlign w:val="center"/>
            <w:hideMark/>
          </w:tcPr>
          <w:p w14:paraId="10442336" w14:textId="77777777" w:rsidR="00D916E7" w:rsidRPr="00427752" w:rsidRDefault="00D916E7" w:rsidP="00D916E7">
            <w:pPr>
              <w:spacing w:after="0" w:line="240" w:lineRule="auto"/>
              <w:jc w:val="both"/>
              <w:rPr>
                <w:rFonts w:eastAsia="Times New Roman" w:cs="Calibri"/>
                <w:b/>
                <w:bCs/>
                <w:color w:val="000000"/>
                <w:sz w:val="16"/>
                <w:szCs w:val="14"/>
                <w:lang w:eastAsia="es-MX"/>
              </w:rPr>
            </w:pPr>
            <w:r w:rsidRPr="00427752">
              <w:rPr>
                <w:rFonts w:eastAsia="Times New Roman" w:cs="Calibri"/>
                <w:b/>
                <w:bCs/>
                <w:color w:val="000000"/>
                <w:sz w:val="16"/>
                <w:szCs w:val="14"/>
                <w:lang w:eastAsia="es-MX"/>
              </w:rPr>
              <w:t>Flujos de Efectivo Netos de las Actividades de Operación.</w:t>
            </w:r>
          </w:p>
        </w:tc>
        <w:tc>
          <w:tcPr>
            <w:tcW w:w="1985" w:type="dxa"/>
            <w:tcBorders>
              <w:top w:val="nil"/>
              <w:left w:val="nil"/>
              <w:bottom w:val="single" w:sz="4" w:space="0" w:color="auto"/>
              <w:right w:val="single" w:sz="4" w:space="0" w:color="auto"/>
            </w:tcBorders>
            <w:shd w:val="clear" w:color="000000" w:fill="DDC9A3"/>
            <w:vAlign w:val="center"/>
            <w:hideMark/>
          </w:tcPr>
          <w:p w14:paraId="21077FC6" w14:textId="77777777" w:rsidR="00D916E7" w:rsidRPr="00427752" w:rsidRDefault="00D916E7" w:rsidP="00D916E7">
            <w:pPr>
              <w:spacing w:after="0" w:line="240" w:lineRule="auto"/>
              <w:jc w:val="right"/>
              <w:rPr>
                <w:rFonts w:eastAsia="Times New Roman" w:cs="Calibri"/>
                <w:b/>
                <w:bCs/>
                <w:color w:val="000000"/>
                <w:sz w:val="16"/>
                <w:szCs w:val="14"/>
                <w:lang w:eastAsia="es-MX"/>
              </w:rPr>
            </w:pPr>
            <w:r w:rsidRPr="00427752">
              <w:rPr>
                <w:rFonts w:eastAsia="Times New Roman" w:cs="Calibri"/>
                <w:b/>
                <w:bCs/>
                <w:color w:val="000000"/>
                <w:sz w:val="16"/>
                <w:szCs w:val="14"/>
                <w:lang w:eastAsia="es-MX"/>
              </w:rPr>
              <w:t>7,521,524,119</w:t>
            </w:r>
          </w:p>
        </w:tc>
        <w:tc>
          <w:tcPr>
            <w:tcW w:w="1984" w:type="dxa"/>
            <w:tcBorders>
              <w:top w:val="nil"/>
              <w:left w:val="nil"/>
              <w:bottom w:val="single" w:sz="4" w:space="0" w:color="auto"/>
              <w:right w:val="single" w:sz="4" w:space="0" w:color="auto"/>
            </w:tcBorders>
            <w:shd w:val="clear" w:color="000000" w:fill="DDC9A3"/>
            <w:vAlign w:val="center"/>
            <w:hideMark/>
          </w:tcPr>
          <w:p w14:paraId="37BD8867" w14:textId="77777777" w:rsidR="00D916E7" w:rsidRPr="00427752" w:rsidRDefault="00D916E7" w:rsidP="00D916E7">
            <w:pPr>
              <w:spacing w:after="0" w:line="240" w:lineRule="auto"/>
              <w:jc w:val="right"/>
              <w:rPr>
                <w:rFonts w:eastAsia="Times New Roman" w:cs="Calibri"/>
                <w:b/>
                <w:bCs/>
                <w:color w:val="000000"/>
                <w:sz w:val="16"/>
                <w:szCs w:val="14"/>
                <w:lang w:eastAsia="es-MX"/>
              </w:rPr>
            </w:pPr>
            <w:r w:rsidRPr="00427752">
              <w:rPr>
                <w:rFonts w:eastAsia="Times New Roman" w:cs="Calibri"/>
                <w:b/>
                <w:bCs/>
                <w:color w:val="000000"/>
                <w:sz w:val="16"/>
                <w:szCs w:val="14"/>
                <w:lang w:eastAsia="es-MX"/>
              </w:rPr>
              <w:t>4,175,279,368</w:t>
            </w:r>
          </w:p>
        </w:tc>
      </w:tr>
    </w:tbl>
    <w:p w14:paraId="386804B4" w14:textId="434046D4" w:rsidR="0098750F" w:rsidRPr="005F45A3" w:rsidRDefault="0098750F" w:rsidP="00712AD2">
      <w:pPr>
        <w:spacing w:after="0" w:line="240" w:lineRule="auto"/>
        <w:jc w:val="both"/>
        <w:rPr>
          <w:rFonts w:asciiTheme="minorHAnsi" w:hAnsiTheme="minorHAnsi" w:cstheme="minorHAnsi"/>
          <w:sz w:val="18"/>
          <w:szCs w:val="20"/>
          <w:lang w:val="es-ES" w:eastAsia="es-ES"/>
        </w:rPr>
      </w:pPr>
    </w:p>
    <w:p w14:paraId="26385AE3" w14:textId="77777777" w:rsidR="00B37511" w:rsidRPr="005F45A3" w:rsidRDefault="00B37511" w:rsidP="007F04E0">
      <w:pPr>
        <w:spacing w:after="0" w:line="240" w:lineRule="auto"/>
        <w:jc w:val="both"/>
        <w:rPr>
          <w:rFonts w:asciiTheme="minorHAnsi" w:hAnsiTheme="minorHAnsi" w:cstheme="minorHAnsi"/>
          <w:b/>
          <w:sz w:val="14"/>
          <w:szCs w:val="18"/>
          <w:lang w:val="es-ES" w:eastAsia="es-ES"/>
        </w:rPr>
      </w:pPr>
    </w:p>
    <w:p w14:paraId="5B038B48" w14:textId="77777777" w:rsidR="007F04E0" w:rsidRPr="001E604D" w:rsidRDefault="007F04E0" w:rsidP="007F04E0">
      <w:pPr>
        <w:spacing w:after="0" w:line="240" w:lineRule="auto"/>
        <w:jc w:val="both"/>
        <w:rPr>
          <w:rFonts w:asciiTheme="minorHAnsi" w:hAnsiTheme="minorHAnsi" w:cstheme="minorHAnsi"/>
          <w:b/>
          <w:sz w:val="20"/>
          <w:szCs w:val="20"/>
          <w:lang w:eastAsia="es-ES"/>
        </w:rPr>
      </w:pPr>
      <w:r w:rsidRPr="001E604D">
        <w:rPr>
          <w:rFonts w:asciiTheme="minorHAnsi" w:hAnsiTheme="minorHAnsi" w:cstheme="minorHAnsi"/>
          <w:b/>
          <w:sz w:val="20"/>
          <w:szCs w:val="20"/>
          <w:lang w:val="es-ES" w:eastAsia="es-ES"/>
        </w:rPr>
        <w:t xml:space="preserve">Conciliación entre los Ingresos Presupuestarios </w:t>
      </w:r>
      <w:r w:rsidRPr="001E604D">
        <w:rPr>
          <w:rFonts w:asciiTheme="minorHAnsi" w:hAnsiTheme="minorHAnsi" w:cstheme="minorHAnsi"/>
          <w:b/>
          <w:sz w:val="20"/>
          <w:szCs w:val="20"/>
          <w:lang w:eastAsia="es-ES"/>
        </w:rPr>
        <w:t>y Contables, así como entre los Egresos Presupuestarios y los Gastos Contables</w:t>
      </w:r>
    </w:p>
    <w:p w14:paraId="32EC4D72" w14:textId="77777777" w:rsidR="00D916E7" w:rsidRDefault="00D916E7" w:rsidP="007F04E0">
      <w:pPr>
        <w:spacing w:after="0" w:line="240" w:lineRule="auto"/>
        <w:jc w:val="both"/>
        <w:rPr>
          <w:rFonts w:asciiTheme="minorHAnsi" w:hAnsiTheme="minorHAnsi" w:cstheme="minorHAnsi"/>
          <w:b/>
          <w:sz w:val="18"/>
          <w:szCs w:val="18"/>
          <w:lang w:eastAsia="es-ES"/>
        </w:rPr>
      </w:pPr>
    </w:p>
    <w:tbl>
      <w:tblPr>
        <w:tblW w:w="8784" w:type="dxa"/>
        <w:tblInd w:w="137" w:type="dxa"/>
        <w:tblCellMar>
          <w:left w:w="70" w:type="dxa"/>
          <w:right w:w="70" w:type="dxa"/>
        </w:tblCellMar>
        <w:tblLook w:val="04A0" w:firstRow="1" w:lastRow="0" w:firstColumn="1" w:lastColumn="0" w:noHBand="0" w:noVBand="1"/>
      </w:tblPr>
      <w:tblGrid>
        <w:gridCol w:w="5665"/>
        <w:gridCol w:w="1560"/>
        <w:gridCol w:w="1559"/>
      </w:tblGrid>
      <w:tr w:rsidR="00D916E7" w:rsidRPr="00D916E7" w14:paraId="71D1A102" w14:textId="77777777" w:rsidTr="00427752">
        <w:trPr>
          <w:trHeight w:val="397"/>
        </w:trPr>
        <w:tc>
          <w:tcPr>
            <w:tcW w:w="8784" w:type="dxa"/>
            <w:gridSpan w:val="3"/>
            <w:tcBorders>
              <w:top w:val="single" w:sz="4" w:space="0" w:color="auto"/>
              <w:left w:val="single" w:sz="4" w:space="0" w:color="auto"/>
              <w:bottom w:val="single" w:sz="4" w:space="0" w:color="auto"/>
              <w:right w:val="single" w:sz="4" w:space="0" w:color="000000"/>
            </w:tcBorders>
            <w:shd w:val="clear" w:color="000000" w:fill="AB0033"/>
            <w:vAlign w:val="center"/>
            <w:hideMark/>
          </w:tcPr>
          <w:p w14:paraId="1E605CB7" w14:textId="77777777" w:rsidR="00D916E7" w:rsidRPr="00D916E7" w:rsidRDefault="00D916E7" w:rsidP="00D916E7">
            <w:pPr>
              <w:spacing w:after="0" w:line="240" w:lineRule="auto"/>
              <w:jc w:val="center"/>
              <w:rPr>
                <w:rFonts w:eastAsia="Times New Roman" w:cs="Calibri"/>
                <w:b/>
                <w:bCs/>
                <w:color w:val="FFFFFF"/>
                <w:sz w:val="16"/>
                <w:szCs w:val="16"/>
                <w:lang w:eastAsia="es-MX"/>
              </w:rPr>
            </w:pPr>
            <w:r w:rsidRPr="00D916E7">
              <w:rPr>
                <w:rFonts w:eastAsia="Times New Roman" w:cs="Calibri"/>
                <w:b/>
                <w:bCs/>
                <w:color w:val="FFFFFF"/>
                <w:sz w:val="16"/>
                <w:szCs w:val="16"/>
                <w:lang w:eastAsia="es-MX"/>
              </w:rPr>
              <w:t>Conciliación de Ingresos Presupuestarios / Contables</w:t>
            </w:r>
          </w:p>
        </w:tc>
      </w:tr>
      <w:tr w:rsidR="00D916E7" w:rsidRPr="00D916E7" w14:paraId="01A9F54D" w14:textId="77777777" w:rsidTr="00427752">
        <w:trPr>
          <w:trHeight w:val="369"/>
        </w:trPr>
        <w:tc>
          <w:tcPr>
            <w:tcW w:w="5665" w:type="dxa"/>
            <w:tcBorders>
              <w:top w:val="nil"/>
              <w:left w:val="single" w:sz="4" w:space="0" w:color="auto"/>
              <w:bottom w:val="single" w:sz="4" w:space="0" w:color="auto"/>
              <w:right w:val="single" w:sz="4" w:space="0" w:color="auto"/>
            </w:tcBorders>
            <w:shd w:val="clear" w:color="000000" w:fill="D9D9D9"/>
            <w:vAlign w:val="center"/>
            <w:hideMark/>
          </w:tcPr>
          <w:p w14:paraId="121AC357" w14:textId="77777777" w:rsidR="00D916E7" w:rsidRPr="00D916E7" w:rsidRDefault="00D916E7" w:rsidP="00D916E7">
            <w:pPr>
              <w:spacing w:after="0" w:line="240" w:lineRule="auto"/>
              <w:rPr>
                <w:rFonts w:eastAsia="Times New Roman" w:cs="Calibri"/>
                <w:b/>
                <w:bCs/>
                <w:color w:val="000000"/>
                <w:sz w:val="16"/>
                <w:szCs w:val="16"/>
                <w:lang w:eastAsia="es-MX"/>
              </w:rPr>
            </w:pPr>
            <w:r w:rsidRPr="00D916E7">
              <w:rPr>
                <w:rFonts w:eastAsia="Times New Roman" w:cs="Calibri"/>
                <w:b/>
                <w:bCs/>
                <w:color w:val="000000"/>
                <w:sz w:val="16"/>
                <w:szCs w:val="16"/>
                <w:lang w:eastAsia="es-MX"/>
              </w:rPr>
              <w:t>1.</w:t>
            </w:r>
            <w:r w:rsidRPr="00D916E7">
              <w:rPr>
                <w:rFonts w:eastAsia="Times New Roman" w:cs="Calibri"/>
                <w:b/>
                <w:bCs/>
                <w:color w:val="000000"/>
                <w:sz w:val="14"/>
                <w:szCs w:val="14"/>
                <w:lang w:eastAsia="es-MX"/>
              </w:rPr>
              <w:t xml:space="preserve">      </w:t>
            </w:r>
            <w:r w:rsidRPr="00D916E7">
              <w:rPr>
                <w:rFonts w:eastAsia="Times New Roman" w:cs="Calibri"/>
                <w:b/>
                <w:bCs/>
                <w:color w:val="000000"/>
                <w:sz w:val="16"/>
                <w:szCs w:val="16"/>
                <w:lang w:eastAsia="es-MX"/>
              </w:rPr>
              <w:t>Ingresos Presupuestarios</w:t>
            </w:r>
          </w:p>
        </w:tc>
        <w:tc>
          <w:tcPr>
            <w:tcW w:w="1560" w:type="dxa"/>
            <w:tcBorders>
              <w:top w:val="nil"/>
              <w:left w:val="nil"/>
              <w:bottom w:val="single" w:sz="4" w:space="0" w:color="auto"/>
              <w:right w:val="single" w:sz="4" w:space="0" w:color="auto"/>
            </w:tcBorders>
            <w:shd w:val="clear" w:color="000000" w:fill="D9D9D9"/>
            <w:vAlign w:val="center"/>
            <w:hideMark/>
          </w:tcPr>
          <w:p w14:paraId="27C48C97" w14:textId="77777777" w:rsidR="00D916E7" w:rsidRPr="00D916E7" w:rsidRDefault="00D916E7" w:rsidP="00D916E7">
            <w:pPr>
              <w:spacing w:after="0" w:line="240" w:lineRule="auto"/>
              <w:rPr>
                <w:rFonts w:eastAsia="Times New Roman" w:cs="Calibri"/>
                <w:b/>
                <w:bCs/>
                <w:color w:val="000000"/>
                <w:sz w:val="16"/>
                <w:szCs w:val="16"/>
                <w:lang w:eastAsia="es-MX"/>
              </w:rPr>
            </w:pPr>
            <w:r w:rsidRPr="00D916E7">
              <w:rPr>
                <w:rFonts w:eastAsia="Times New Roman" w:cs="Calibri"/>
                <w:b/>
                <w:bCs/>
                <w:color w:val="000000"/>
                <w:sz w:val="16"/>
                <w:szCs w:val="16"/>
                <w:lang w:eastAsia="es-MX"/>
              </w:rPr>
              <w:t> </w:t>
            </w:r>
          </w:p>
        </w:tc>
        <w:tc>
          <w:tcPr>
            <w:tcW w:w="1559" w:type="dxa"/>
            <w:tcBorders>
              <w:top w:val="nil"/>
              <w:left w:val="nil"/>
              <w:bottom w:val="single" w:sz="4" w:space="0" w:color="auto"/>
              <w:right w:val="single" w:sz="4" w:space="0" w:color="auto"/>
            </w:tcBorders>
            <w:shd w:val="clear" w:color="000000" w:fill="D9D9D9"/>
            <w:vAlign w:val="center"/>
            <w:hideMark/>
          </w:tcPr>
          <w:p w14:paraId="3A52483C"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71,875,801,426</w:t>
            </w:r>
          </w:p>
        </w:tc>
      </w:tr>
      <w:tr w:rsidR="00D916E7" w:rsidRPr="00D916E7" w14:paraId="5EE20ACE" w14:textId="77777777" w:rsidTr="00427752">
        <w:trPr>
          <w:trHeight w:val="137"/>
        </w:trPr>
        <w:tc>
          <w:tcPr>
            <w:tcW w:w="5665" w:type="dxa"/>
            <w:tcBorders>
              <w:top w:val="nil"/>
              <w:left w:val="nil"/>
              <w:bottom w:val="nil"/>
              <w:right w:val="nil"/>
            </w:tcBorders>
            <w:shd w:val="clear" w:color="auto" w:fill="auto"/>
            <w:vAlign w:val="center"/>
            <w:hideMark/>
          </w:tcPr>
          <w:p w14:paraId="703433BB" w14:textId="77777777" w:rsidR="00D916E7" w:rsidRPr="00D916E7" w:rsidRDefault="00D916E7" w:rsidP="00D916E7">
            <w:pPr>
              <w:spacing w:after="0" w:line="240" w:lineRule="auto"/>
              <w:jc w:val="right"/>
              <w:rPr>
                <w:rFonts w:eastAsia="Times New Roman" w:cs="Calibri"/>
                <w:b/>
                <w:bCs/>
                <w:color w:val="000000"/>
                <w:sz w:val="16"/>
                <w:szCs w:val="16"/>
                <w:lang w:eastAsia="es-MX"/>
              </w:rPr>
            </w:pPr>
          </w:p>
        </w:tc>
        <w:tc>
          <w:tcPr>
            <w:tcW w:w="1560" w:type="dxa"/>
            <w:tcBorders>
              <w:top w:val="nil"/>
              <w:left w:val="nil"/>
              <w:bottom w:val="nil"/>
              <w:right w:val="nil"/>
            </w:tcBorders>
            <w:shd w:val="clear" w:color="auto" w:fill="auto"/>
            <w:vAlign w:val="center"/>
            <w:hideMark/>
          </w:tcPr>
          <w:p w14:paraId="1DB185F2" w14:textId="77777777" w:rsidR="00D916E7" w:rsidRPr="00D916E7" w:rsidRDefault="00D916E7" w:rsidP="00D916E7">
            <w:pPr>
              <w:spacing w:after="0" w:line="240" w:lineRule="auto"/>
              <w:rPr>
                <w:rFonts w:ascii="Times New Roman" w:eastAsia="Times New Roman" w:hAnsi="Times New Roman"/>
                <w:sz w:val="20"/>
                <w:szCs w:val="20"/>
                <w:lang w:eastAsia="es-MX"/>
              </w:rPr>
            </w:pPr>
          </w:p>
        </w:tc>
        <w:tc>
          <w:tcPr>
            <w:tcW w:w="1559" w:type="dxa"/>
            <w:tcBorders>
              <w:top w:val="nil"/>
              <w:left w:val="nil"/>
              <w:bottom w:val="nil"/>
              <w:right w:val="nil"/>
            </w:tcBorders>
            <w:shd w:val="clear" w:color="auto" w:fill="auto"/>
            <w:vAlign w:val="center"/>
            <w:hideMark/>
          </w:tcPr>
          <w:p w14:paraId="3E6C616B" w14:textId="77777777" w:rsidR="00D916E7" w:rsidRPr="00D916E7" w:rsidRDefault="00D916E7" w:rsidP="00D916E7">
            <w:pPr>
              <w:spacing w:after="0" w:line="240" w:lineRule="auto"/>
              <w:rPr>
                <w:rFonts w:ascii="Times New Roman" w:eastAsia="Times New Roman" w:hAnsi="Times New Roman"/>
                <w:sz w:val="20"/>
                <w:szCs w:val="20"/>
                <w:lang w:eastAsia="es-MX"/>
              </w:rPr>
            </w:pPr>
          </w:p>
        </w:tc>
      </w:tr>
      <w:tr w:rsidR="00D916E7" w:rsidRPr="00D916E7" w14:paraId="6C34A195" w14:textId="77777777" w:rsidTr="00427752">
        <w:trPr>
          <w:trHeight w:val="350"/>
        </w:trPr>
        <w:tc>
          <w:tcPr>
            <w:tcW w:w="722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0C55EE0" w14:textId="77777777" w:rsidR="00D916E7" w:rsidRPr="00D916E7" w:rsidRDefault="00D916E7" w:rsidP="00D916E7">
            <w:pPr>
              <w:spacing w:after="0" w:line="240" w:lineRule="auto"/>
              <w:rPr>
                <w:rFonts w:eastAsia="Times New Roman" w:cs="Calibri"/>
                <w:b/>
                <w:bCs/>
                <w:color w:val="000000"/>
                <w:sz w:val="16"/>
                <w:szCs w:val="16"/>
                <w:lang w:eastAsia="es-MX"/>
              </w:rPr>
            </w:pPr>
            <w:r w:rsidRPr="00D916E7">
              <w:rPr>
                <w:rFonts w:eastAsia="Times New Roman" w:cs="Calibri"/>
                <w:b/>
                <w:bCs/>
                <w:color w:val="000000"/>
                <w:sz w:val="16"/>
                <w:szCs w:val="16"/>
                <w:lang w:eastAsia="es-MX"/>
              </w:rPr>
              <w:t>2.      Más Ingresos Contables no Presupuestarios</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4ED56947"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49,916,398</w:t>
            </w:r>
          </w:p>
        </w:tc>
      </w:tr>
      <w:tr w:rsidR="00D916E7" w:rsidRPr="00D916E7" w14:paraId="1D307BCB" w14:textId="77777777" w:rsidTr="00427752">
        <w:trPr>
          <w:trHeight w:val="294"/>
        </w:trPr>
        <w:tc>
          <w:tcPr>
            <w:tcW w:w="5665" w:type="dxa"/>
            <w:tcBorders>
              <w:top w:val="nil"/>
              <w:left w:val="single" w:sz="4" w:space="0" w:color="auto"/>
              <w:bottom w:val="single" w:sz="4" w:space="0" w:color="auto"/>
              <w:right w:val="nil"/>
            </w:tcBorders>
            <w:shd w:val="clear" w:color="auto" w:fill="auto"/>
            <w:vAlign w:val="center"/>
            <w:hideMark/>
          </w:tcPr>
          <w:p w14:paraId="3A27B456"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Ingresos Financieros</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203E0D9A"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14:paraId="079C95EE"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 </w:t>
            </w:r>
          </w:p>
        </w:tc>
      </w:tr>
      <w:tr w:rsidR="00D916E7" w:rsidRPr="00D916E7" w14:paraId="379B2B23" w14:textId="77777777" w:rsidTr="00427752">
        <w:trPr>
          <w:trHeight w:val="294"/>
        </w:trPr>
        <w:tc>
          <w:tcPr>
            <w:tcW w:w="5665" w:type="dxa"/>
            <w:tcBorders>
              <w:top w:val="nil"/>
              <w:left w:val="single" w:sz="4" w:space="0" w:color="auto"/>
              <w:bottom w:val="single" w:sz="4" w:space="0" w:color="auto"/>
              <w:right w:val="nil"/>
            </w:tcBorders>
            <w:shd w:val="clear" w:color="auto" w:fill="auto"/>
            <w:vAlign w:val="center"/>
            <w:hideMark/>
          </w:tcPr>
          <w:p w14:paraId="6809D44A"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Incremento por variación de inventarios.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C2207E7" w14:textId="77777777" w:rsidR="00D916E7" w:rsidRPr="00D916E7" w:rsidRDefault="00D916E7" w:rsidP="00D916E7">
            <w:pPr>
              <w:spacing w:after="0" w:line="240" w:lineRule="auto"/>
              <w:rPr>
                <w:rFonts w:eastAsia="Times New Roman" w:cs="Calibri"/>
                <w:color w:val="000000"/>
                <w:sz w:val="20"/>
                <w:szCs w:val="20"/>
                <w:lang w:eastAsia="es-MX"/>
              </w:rPr>
            </w:pPr>
            <w:r w:rsidRPr="00D916E7">
              <w:rPr>
                <w:rFonts w:eastAsia="Times New Roman" w:cs="Calibri"/>
                <w:color w:val="000000"/>
                <w:sz w:val="20"/>
                <w:szCs w:val="20"/>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14:paraId="20960DC6" w14:textId="77777777" w:rsidR="00D916E7" w:rsidRPr="00D916E7" w:rsidRDefault="00D916E7" w:rsidP="00D916E7">
            <w:pPr>
              <w:spacing w:after="0" w:line="240" w:lineRule="auto"/>
              <w:rPr>
                <w:rFonts w:eastAsia="Times New Roman" w:cs="Calibri"/>
                <w:color w:val="000000"/>
                <w:sz w:val="20"/>
                <w:szCs w:val="20"/>
                <w:lang w:eastAsia="es-MX"/>
              </w:rPr>
            </w:pPr>
            <w:r w:rsidRPr="00D916E7">
              <w:rPr>
                <w:rFonts w:eastAsia="Times New Roman" w:cs="Calibri"/>
                <w:color w:val="000000"/>
                <w:sz w:val="20"/>
                <w:szCs w:val="20"/>
                <w:lang w:eastAsia="es-MX"/>
              </w:rPr>
              <w:t> </w:t>
            </w:r>
          </w:p>
        </w:tc>
      </w:tr>
      <w:tr w:rsidR="00D916E7" w:rsidRPr="00D916E7" w14:paraId="66D76600" w14:textId="77777777" w:rsidTr="00427752">
        <w:trPr>
          <w:trHeight w:val="397"/>
        </w:trPr>
        <w:tc>
          <w:tcPr>
            <w:tcW w:w="5665" w:type="dxa"/>
            <w:tcBorders>
              <w:top w:val="nil"/>
              <w:left w:val="single" w:sz="4" w:space="0" w:color="auto"/>
              <w:bottom w:val="single" w:sz="4" w:space="0" w:color="auto"/>
              <w:right w:val="nil"/>
            </w:tcBorders>
            <w:shd w:val="clear" w:color="auto" w:fill="auto"/>
            <w:vAlign w:val="center"/>
            <w:hideMark/>
          </w:tcPr>
          <w:p w14:paraId="56D2BF1F"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Disminución del exceso de estimaciones por pérdida o deterioro     u obsolescencia</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DFAE732" w14:textId="77777777" w:rsidR="00D916E7" w:rsidRPr="00D916E7" w:rsidRDefault="00D916E7" w:rsidP="00D916E7">
            <w:pPr>
              <w:spacing w:after="0" w:line="240" w:lineRule="auto"/>
              <w:rPr>
                <w:rFonts w:eastAsia="Times New Roman" w:cs="Calibri"/>
                <w:color w:val="000000"/>
                <w:sz w:val="20"/>
                <w:szCs w:val="20"/>
                <w:lang w:eastAsia="es-MX"/>
              </w:rPr>
            </w:pPr>
            <w:r w:rsidRPr="00D916E7">
              <w:rPr>
                <w:rFonts w:eastAsia="Times New Roman" w:cs="Calibri"/>
                <w:color w:val="000000"/>
                <w:sz w:val="20"/>
                <w:szCs w:val="20"/>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14:paraId="4D844853" w14:textId="77777777" w:rsidR="00D916E7" w:rsidRPr="00D916E7" w:rsidRDefault="00D916E7" w:rsidP="00D916E7">
            <w:pPr>
              <w:spacing w:after="0" w:line="240" w:lineRule="auto"/>
              <w:rPr>
                <w:rFonts w:eastAsia="Times New Roman" w:cs="Calibri"/>
                <w:color w:val="000000"/>
                <w:sz w:val="20"/>
                <w:szCs w:val="20"/>
                <w:lang w:eastAsia="es-MX"/>
              </w:rPr>
            </w:pPr>
            <w:r w:rsidRPr="00D916E7">
              <w:rPr>
                <w:rFonts w:eastAsia="Times New Roman" w:cs="Calibri"/>
                <w:color w:val="000000"/>
                <w:sz w:val="20"/>
                <w:szCs w:val="20"/>
                <w:lang w:eastAsia="es-MX"/>
              </w:rPr>
              <w:t> </w:t>
            </w:r>
          </w:p>
        </w:tc>
      </w:tr>
      <w:tr w:rsidR="00D916E7" w:rsidRPr="00D916E7" w14:paraId="2F51D5E6" w14:textId="77777777" w:rsidTr="00427752">
        <w:trPr>
          <w:trHeight w:val="294"/>
        </w:trPr>
        <w:tc>
          <w:tcPr>
            <w:tcW w:w="5665" w:type="dxa"/>
            <w:tcBorders>
              <w:top w:val="nil"/>
              <w:left w:val="single" w:sz="4" w:space="0" w:color="auto"/>
              <w:bottom w:val="single" w:sz="4" w:space="0" w:color="auto"/>
              <w:right w:val="nil"/>
            </w:tcBorders>
            <w:shd w:val="clear" w:color="auto" w:fill="auto"/>
            <w:vAlign w:val="center"/>
            <w:hideMark/>
          </w:tcPr>
          <w:p w14:paraId="707103A3"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Disminución del exceso de provisiones</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AA564CC"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14:paraId="7618C531"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 </w:t>
            </w:r>
          </w:p>
        </w:tc>
      </w:tr>
      <w:tr w:rsidR="00D916E7" w:rsidRPr="00D916E7" w14:paraId="5562283C" w14:textId="77777777" w:rsidTr="00427752">
        <w:trPr>
          <w:trHeight w:val="294"/>
        </w:trPr>
        <w:tc>
          <w:tcPr>
            <w:tcW w:w="5665" w:type="dxa"/>
            <w:tcBorders>
              <w:top w:val="nil"/>
              <w:left w:val="single" w:sz="4" w:space="0" w:color="auto"/>
              <w:bottom w:val="single" w:sz="4" w:space="0" w:color="auto"/>
              <w:right w:val="nil"/>
            </w:tcBorders>
            <w:shd w:val="clear" w:color="auto" w:fill="auto"/>
            <w:vAlign w:val="center"/>
            <w:hideMark/>
          </w:tcPr>
          <w:p w14:paraId="71879E03"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Otros Ingresos y Beneficios Varios</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7AC5C189"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2,815,872</w:t>
            </w:r>
          </w:p>
        </w:tc>
        <w:tc>
          <w:tcPr>
            <w:tcW w:w="1559" w:type="dxa"/>
            <w:tcBorders>
              <w:top w:val="nil"/>
              <w:left w:val="nil"/>
              <w:bottom w:val="single" w:sz="4" w:space="0" w:color="auto"/>
              <w:right w:val="single" w:sz="4" w:space="0" w:color="auto"/>
            </w:tcBorders>
            <w:shd w:val="clear" w:color="auto" w:fill="auto"/>
            <w:vAlign w:val="center"/>
            <w:hideMark/>
          </w:tcPr>
          <w:p w14:paraId="0F9EAD11"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 </w:t>
            </w:r>
          </w:p>
        </w:tc>
      </w:tr>
      <w:tr w:rsidR="00D916E7" w:rsidRPr="00D916E7" w14:paraId="40649CCA" w14:textId="77777777" w:rsidTr="00427752">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1AE7571"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Otros Ingresos Contables no Presupuestarios</w:t>
            </w:r>
          </w:p>
        </w:tc>
        <w:tc>
          <w:tcPr>
            <w:tcW w:w="1560" w:type="dxa"/>
            <w:tcBorders>
              <w:top w:val="nil"/>
              <w:left w:val="nil"/>
              <w:bottom w:val="single" w:sz="4" w:space="0" w:color="auto"/>
              <w:right w:val="single" w:sz="4" w:space="0" w:color="auto"/>
            </w:tcBorders>
            <w:shd w:val="clear" w:color="auto" w:fill="auto"/>
            <w:vAlign w:val="center"/>
            <w:hideMark/>
          </w:tcPr>
          <w:p w14:paraId="0CDC3C42"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47,100,526</w:t>
            </w:r>
          </w:p>
        </w:tc>
        <w:tc>
          <w:tcPr>
            <w:tcW w:w="1559" w:type="dxa"/>
            <w:tcBorders>
              <w:top w:val="nil"/>
              <w:left w:val="nil"/>
              <w:bottom w:val="nil"/>
              <w:right w:val="single" w:sz="4" w:space="0" w:color="auto"/>
            </w:tcBorders>
            <w:shd w:val="clear" w:color="auto" w:fill="auto"/>
            <w:vAlign w:val="center"/>
            <w:hideMark/>
          </w:tcPr>
          <w:p w14:paraId="78005909" w14:textId="77777777" w:rsidR="00D916E7" w:rsidRPr="00D916E7" w:rsidRDefault="00D916E7" w:rsidP="00D916E7">
            <w:pPr>
              <w:spacing w:after="0" w:line="240" w:lineRule="auto"/>
              <w:rPr>
                <w:rFonts w:eastAsia="Times New Roman" w:cs="Calibri"/>
                <w:color w:val="000000"/>
                <w:sz w:val="20"/>
                <w:szCs w:val="20"/>
                <w:lang w:eastAsia="es-MX"/>
              </w:rPr>
            </w:pPr>
            <w:r w:rsidRPr="00D916E7">
              <w:rPr>
                <w:rFonts w:eastAsia="Times New Roman" w:cs="Calibri"/>
                <w:color w:val="000000"/>
                <w:sz w:val="20"/>
                <w:szCs w:val="20"/>
                <w:lang w:eastAsia="es-MX"/>
              </w:rPr>
              <w:t> </w:t>
            </w:r>
          </w:p>
        </w:tc>
      </w:tr>
      <w:tr w:rsidR="00D916E7" w:rsidRPr="00D916E7" w14:paraId="1E1AA627" w14:textId="77777777" w:rsidTr="00427752">
        <w:trPr>
          <w:trHeight w:val="369"/>
        </w:trPr>
        <w:tc>
          <w:tcPr>
            <w:tcW w:w="722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EDFC839" w14:textId="77777777" w:rsidR="00D916E7" w:rsidRPr="00D916E7" w:rsidRDefault="00D916E7" w:rsidP="00D916E7">
            <w:pPr>
              <w:spacing w:after="0" w:line="240" w:lineRule="auto"/>
              <w:rPr>
                <w:rFonts w:eastAsia="Times New Roman" w:cs="Calibri"/>
                <w:b/>
                <w:bCs/>
                <w:color w:val="000000"/>
                <w:sz w:val="16"/>
                <w:szCs w:val="16"/>
                <w:lang w:eastAsia="es-MX"/>
              </w:rPr>
            </w:pPr>
            <w:r w:rsidRPr="00D916E7">
              <w:rPr>
                <w:rFonts w:eastAsia="Times New Roman" w:cs="Calibri"/>
                <w:b/>
                <w:bCs/>
                <w:color w:val="000000"/>
                <w:sz w:val="16"/>
                <w:szCs w:val="16"/>
                <w:lang w:eastAsia="es-MX"/>
              </w:rPr>
              <w:t>3.</w:t>
            </w:r>
            <w:r w:rsidRPr="00D916E7">
              <w:rPr>
                <w:rFonts w:eastAsia="Times New Roman" w:cs="Calibri"/>
                <w:b/>
                <w:bCs/>
                <w:color w:val="000000"/>
                <w:sz w:val="14"/>
                <w:szCs w:val="14"/>
                <w:lang w:eastAsia="es-MX"/>
              </w:rPr>
              <w:t xml:space="preserve">      </w:t>
            </w:r>
            <w:r w:rsidRPr="00D916E7">
              <w:rPr>
                <w:rFonts w:eastAsia="Times New Roman" w:cs="Calibri"/>
                <w:b/>
                <w:bCs/>
                <w:color w:val="000000"/>
                <w:sz w:val="16"/>
                <w:szCs w:val="16"/>
                <w:lang w:eastAsia="es-MX"/>
              </w:rPr>
              <w:t>Menos Ingresos Presupuestarios no Contables</w:t>
            </w:r>
          </w:p>
        </w:tc>
        <w:tc>
          <w:tcPr>
            <w:tcW w:w="1559" w:type="dxa"/>
            <w:tcBorders>
              <w:top w:val="nil"/>
              <w:left w:val="nil"/>
              <w:bottom w:val="single" w:sz="4" w:space="0" w:color="auto"/>
              <w:right w:val="single" w:sz="4" w:space="0" w:color="auto"/>
            </w:tcBorders>
            <w:shd w:val="clear" w:color="000000" w:fill="D9D9D9"/>
            <w:vAlign w:val="center"/>
            <w:hideMark/>
          </w:tcPr>
          <w:p w14:paraId="1A11208E"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1,863,000,000</w:t>
            </w:r>
          </w:p>
        </w:tc>
      </w:tr>
      <w:tr w:rsidR="00D916E7" w:rsidRPr="00D916E7" w14:paraId="276FB93F" w14:textId="77777777" w:rsidTr="00427752">
        <w:trPr>
          <w:trHeight w:val="294"/>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F64F357"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Aprovechamientos Patrimoniales</w:t>
            </w:r>
          </w:p>
        </w:tc>
        <w:tc>
          <w:tcPr>
            <w:tcW w:w="1560" w:type="dxa"/>
            <w:tcBorders>
              <w:top w:val="nil"/>
              <w:left w:val="nil"/>
              <w:bottom w:val="single" w:sz="4" w:space="0" w:color="auto"/>
              <w:right w:val="single" w:sz="4" w:space="0" w:color="auto"/>
            </w:tcBorders>
            <w:shd w:val="clear" w:color="auto" w:fill="auto"/>
            <w:vAlign w:val="center"/>
            <w:hideMark/>
          </w:tcPr>
          <w:p w14:paraId="5ED85441"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14:paraId="2C252100"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 </w:t>
            </w:r>
          </w:p>
        </w:tc>
      </w:tr>
      <w:tr w:rsidR="00D916E7" w:rsidRPr="00D916E7" w14:paraId="0646E67A" w14:textId="77777777" w:rsidTr="00427752">
        <w:trPr>
          <w:trHeight w:val="294"/>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4225ADD"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Ingresos Derivados de Financiamientos </w:t>
            </w:r>
          </w:p>
        </w:tc>
        <w:tc>
          <w:tcPr>
            <w:tcW w:w="1560" w:type="dxa"/>
            <w:tcBorders>
              <w:top w:val="nil"/>
              <w:left w:val="nil"/>
              <w:bottom w:val="single" w:sz="4" w:space="0" w:color="auto"/>
              <w:right w:val="single" w:sz="4" w:space="0" w:color="auto"/>
            </w:tcBorders>
            <w:shd w:val="clear" w:color="auto" w:fill="auto"/>
            <w:vAlign w:val="center"/>
            <w:hideMark/>
          </w:tcPr>
          <w:p w14:paraId="350493DF"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1,863,000,000</w:t>
            </w:r>
          </w:p>
        </w:tc>
        <w:tc>
          <w:tcPr>
            <w:tcW w:w="1559" w:type="dxa"/>
            <w:tcBorders>
              <w:top w:val="nil"/>
              <w:left w:val="nil"/>
              <w:bottom w:val="single" w:sz="4" w:space="0" w:color="auto"/>
              <w:right w:val="single" w:sz="4" w:space="0" w:color="auto"/>
            </w:tcBorders>
            <w:shd w:val="clear" w:color="auto" w:fill="auto"/>
            <w:vAlign w:val="center"/>
            <w:hideMark/>
          </w:tcPr>
          <w:p w14:paraId="0BA9A5B6"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 </w:t>
            </w:r>
          </w:p>
        </w:tc>
      </w:tr>
      <w:tr w:rsidR="00D916E7" w:rsidRPr="00D916E7" w14:paraId="3B0EB793" w14:textId="77777777" w:rsidTr="00427752">
        <w:trPr>
          <w:trHeight w:val="294"/>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9048200"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Otros Ingresos Presupuestarios no Contables  </w:t>
            </w:r>
          </w:p>
        </w:tc>
        <w:tc>
          <w:tcPr>
            <w:tcW w:w="1560" w:type="dxa"/>
            <w:tcBorders>
              <w:top w:val="nil"/>
              <w:left w:val="nil"/>
              <w:bottom w:val="single" w:sz="4" w:space="0" w:color="auto"/>
              <w:right w:val="single" w:sz="4" w:space="0" w:color="auto"/>
            </w:tcBorders>
            <w:shd w:val="clear" w:color="auto" w:fill="auto"/>
            <w:vAlign w:val="center"/>
            <w:hideMark/>
          </w:tcPr>
          <w:p w14:paraId="6CFC363B" w14:textId="77777777" w:rsidR="00D916E7" w:rsidRPr="00D916E7" w:rsidRDefault="00D916E7" w:rsidP="00D916E7">
            <w:pPr>
              <w:spacing w:after="0" w:line="240" w:lineRule="auto"/>
              <w:rPr>
                <w:rFonts w:eastAsia="Times New Roman" w:cs="Calibri"/>
                <w:color w:val="000000"/>
                <w:sz w:val="20"/>
                <w:szCs w:val="20"/>
                <w:lang w:eastAsia="es-MX"/>
              </w:rPr>
            </w:pPr>
            <w:r w:rsidRPr="00D916E7">
              <w:rPr>
                <w:rFonts w:eastAsia="Times New Roman" w:cs="Calibri"/>
                <w:color w:val="000000"/>
                <w:sz w:val="20"/>
                <w:szCs w:val="20"/>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14:paraId="22B9556B" w14:textId="77777777" w:rsidR="00D916E7" w:rsidRPr="00D916E7" w:rsidRDefault="00D916E7" w:rsidP="00D916E7">
            <w:pPr>
              <w:spacing w:after="0" w:line="240" w:lineRule="auto"/>
              <w:rPr>
                <w:rFonts w:eastAsia="Times New Roman" w:cs="Calibri"/>
                <w:color w:val="000000"/>
                <w:sz w:val="20"/>
                <w:szCs w:val="20"/>
                <w:lang w:eastAsia="es-MX"/>
              </w:rPr>
            </w:pPr>
            <w:r w:rsidRPr="00D916E7">
              <w:rPr>
                <w:rFonts w:eastAsia="Times New Roman" w:cs="Calibri"/>
                <w:color w:val="000000"/>
                <w:sz w:val="20"/>
                <w:szCs w:val="20"/>
                <w:lang w:eastAsia="es-MX"/>
              </w:rPr>
              <w:t> </w:t>
            </w:r>
          </w:p>
        </w:tc>
      </w:tr>
      <w:tr w:rsidR="00D916E7" w:rsidRPr="00D916E7" w14:paraId="78180681" w14:textId="77777777" w:rsidTr="00427752">
        <w:trPr>
          <w:trHeight w:val="397"/>
        </w:trPr>
        <w:tc>
          <w:tcPr>
            <w:tcW w:w="5665" w:type="dxa"/>
            <w:tcBorders>
              <w:top w:val="nil"/>
              <w:left w:val="single" w:sz="4" w:space="0" w:color="auto"/>
              <w:bottom w:val="single" w:sz="4" w:space="0" w:color="auto"/>
              <w:right w:val="single" w:sz="4" w:space="0" w:color="auto"/>
            </w:tcBorders>
            <w:shd w:val="clear" w:color="000000" w:fill="DDC9A3"/>
            <w:vAlign w:val="center"/>
            <w:hideMark/>
          </w:tcPr>
          <w:p w14:paraId="3EA543BD" w14:textId="77777777" w:rsidR="00D916E7" w:rsidRPr="00D916E7" w:rsidRDefault="00D916E7" w:rsidP="00D916E7">
            <w:pPr>
              <w:spacing w:after="0" w:line="240" w:lineRule="auto"/>
              <w:jc w:val="center"/>
              <w:rPr>
                <w:rFonts w:eastAsia="Times New Roman" w:cs="Calibri"/>
                <w:b/>
                <w:bCs/>
                <w:color w:val="000000"/>
                <w:sz w:val="14"/>
                <w:szCs w:val="14"/>
                <w:lang w:eastAsia="es-MX"/>
              </w:rPr>
            </w:pPr>
            <w:r w:rsidRPr="00D916E7">
              <w:rPr>
                <w:rFonts w:eastAsia="Times New Roman" w:cs="Calibri"/>
                <w:b/>
                <w:bCs/>
                <w:color w:val="000000"/>
                <w:sz w:val="14"/>
                <w:szCs w:val="14"/>
                <w:lang w:eastAsia="es-MX"/>
              </w:rPr>
              <w:t>4.      Ingresos Contables (4 = 1 + 2 – 3)</w:t>
            </w:r>
          </w:p>
        </w:tc>
        <w:tc>
          <w:tcPr>
            <w:tcW w:w="1560" w:type="dxa"/>
            <w:tcBorders>
              <w:top w:val="nil"/>
              <w:left w:val="nil"/>
              <w:bottom w:val="single" w:sz="4" w:space="0" w:color="auto"/>
              <w:right w:val="single" w:sz="4" w:space="0" w:color="auto"/>
            </w:tcBorders>
            <w:shd w:val="clear" w:color="000000" w:fill="DDC9A3"/>
            <w:vAlign w:val="center"/>
            <w:hideMark/>
          </w:tcPr>
          <w:p w14:paraId="6524927C" w14:textId="77777777" w:rsidR="00D916E7" w:rsidRPr="00D916E7" w:rsidRDefault="00D916E7" w:rsidP="00D916E7">
            <w:pPr>
              <w:spacing w:after="0" w:line="240" w:lineRule="auto"/>
              <w:jc w:val="center"/>
              <w:rPr>
                <w:rFonts w:eastAsia="Times New Roman" w:cs="Calibri"/>
                <w:b/>
                <w:bCs/>
                <w:color w:val="000000"/>
                <w:sz w:val="14"/>
                <w:szCs w:val="14"/>
                <w:lang w:eastAsia="es-MX"/>
              </w:rPr>
            </w:pPr>
            <w:r w:rsidRPr="00D916E7">
              <w:rPr>
                <w:rFonts w:eastAsia="Times New Roman" w:cs="Calibri"/>
                <w:b/>
                <w:bCs/>
                <w:color w:val="000000"/>
                <w:sz w:val="14"/>
                <w:szCs w:val="14"/>
                <w:lang w:eastAsia="es-MX"/>
              </w:rPr>
              <w:t> </w:t>
            </w:r>
          </w:p>
        </w:tc>
        <w:tc>
          <w:tcPr>
            <w:tcW w:w="1559" w:type="dxa"/>
            <w:tcBorders>
              <w:top w:val="nil"/>
              <w:left w:val="nil"/>
              <w:bottom w:val="single" w:sz="4" w:space="0" w:color="auto"/>
              <w:right w:val="single" w:sz="4" w:space="0" w:color="auto"/>
            </w:tcBorders>
            <w:shd w:val="clear" w:color="000000" w:fill="DDC9A3"/>
            <w:vAlign w:val="center"/>
            <w:hideMark/>
          </w:tcPr>
          <w:p w14:paraId="47147D4E" w14:textId="77777777" w:rsidR="00D916E7" w:rsidRPr="00D916E7" w:rsidRDefault="00D916E7" w:rsidP="00D916E7">
            <w:pPr>
              <w:spacing w:after="0" w:line="240" w:lineRule="auto"/>
              <w:jc w:val="right"/>
              <w:rPr>
                <w:rFonts w:eastAsia="Times New Roman" w:cs="Calibri"/>
                <w:b/>
                <w:bCs/>
                <w:color w:val="000000"/>
                <w:sz w:val="14"/>
                <w:szCs w:val="14"/>
                <w:lang w:eastAsia="es-MX"/>
              </w:rPr>
            </w:pPr>
            <w:r w:rsidRPr="00D916E7">
              <w:rPr>
                <w:rFonts w:eastAsia="Times New Roman" w:cs="Calibri"/>
                <w:b/>
                <w:bCs/>
                <w:color w:val="000000"/>
                <w:sz w:val="14"/>
                <w:szCs w:val="14"/>
                <w:lang w:eastAsia="es-MX"/>
              </w:rPr>
              <w:t>70,062,717,824</w:t>
            </w:r>
          </w:p>
        </w:tc>
      </w:tr>
    </w:tbl>
    <w:p w14:paraId="49D1D749" w14:textId="77777777" w:rsidR="00D916E7" w:rsidRDefault="00D916E7" w:rsidP="007F04E0">
      <w:pPr>
        <w:spacing w:after="0" w:line="240" w:lineRule="auto"/>
        <w:jc w:val="both"/>
        <w:rPr>
          <w:rFonts w:asciiTheme="minorHAnsi" w:hAnsiTheme="minorHAnsi" w:cstheme="minorHAnsi"/>
          <w:b/>
          <w:sz w:val="18"/>
          <w:szCs w:val="18"/>
          <w:lang w:eastAsia="es-ES"/>
        </w:rPr>
      </w:pPr>
    </w:p>
    <w:p w14:paraId="39B6EAE7" w14:textId="2C3CAA79" w:rsidR="00E7359E" w:rsidRDefault="00E7359E" w:rsidP="001E604D">
      <w:pPr>
        <w:pStyle w:val="NormalWeb"/>
        <w:spacing w:before="0" w:beforeAutospacing="0" w:after="0" w:afterAutospacing="0"/>
        <w:jc w:val="both"/>
        <w:rPr>
          <w:rFonts w:asciiTheme="minorHAnsi" w:hAnsiTheme="minorHAnsi" w:cstheme="minorHAnsi"/>
          <w:b/>
          <w:color w:val="000000"/>
          <w:sz w:val="20"/>
          <w:szCs w:val="27"/>
        </w:rPr>
      </w:pPr>
      <w:r w:rsidRPr="001E604D">
        <w:rPr>
          <w:rFonts w:asciiTheme="minorHAnsi" w:hAnsiTheme="minorHAnsi" w:cstheme="minorHAnsi"/>
          <w:b/>
          <w:color w:val="000000"/>
          <w:sz w:val="20"/>
          <w:szCs w:val="27"/>
        </w:rPr>
        <w:t>Ingresos Estatales</w:t>
      </w:r>
    </w:p>
    <w:p w14:paraId="2E64BF99" w14:textId="77777777" w:rsidR="001E604D" w:rsidRPr="001E604D" w:rsidRDefault="001E604D" w:rsidP="001E604D">
      <w:pPr>
        <w:pStyle w:val="NormalWeb"/>
        <w:spacing w:before="0" w:beforeAutospacing="0" w:after="0" w:afterAutospacing="0"/>
        <w:jc w:val="both"/>
        <w:rPr>
          <w:rFonts w:asciiTheme="minorHAnsi" w:hAnsiTheme="minorHAnsi" w:cstheme="minorHAnsi"/>
          <w:b/>
          <w:color w:val="000000"/>
          <w:sz w:val="20"/>
          <w:szCs w:val="27"/>
        </w:rPr>
      </w:pPr>
    </w:p>
    <w:p w14:paraId="395E70EB" w14:textId="53B8C55C" w:rsidR="00E7359E" w:rsidRDefault="00E7359E" w:rsidP="001E604D">
      <w:pPr>
        <w:pStyle w:val="NormalWeb"/>
        <w:spacing w:before="0" w:beforeAutospacing="0" w:after="0" w:afterAutospacing="0"/>
        <w:jc w:val="both"/>
        <w:rPr>
          <w:rFonts w:asciiTheme="minorHAnsi" w:hAnsiTheme="minorHAnsi" w:cstheme="minorHAnsi"/>
          <w:color w:val="000000"/>
          <w:sz w:val="18"/>
          <w:szCs w:val="27"/>
        </w:rPr>
      </w:pPr>
      <w:r w:rsidRPr="00147D80">
        <w:rPr>
          <w:rFonts w:asciiTheme="minorHAnsi" w:hAnsiTheme="minorHAnsi" w:cstheme="minorHAnsi"/>
          <w:color w:val="000000"/>
          <w:sz w:val="18"/>
          <w:szCs w:val="27"/>
        </w:rPr>
        <w:t>Por lo que concierne a los Ingresos Estatales del Ejercicio 2022, en el rubro del Impuesto sobre</w:t>
      </w:r>
      <w:r w:rsidR="002D1E75">
        <w:rPr>
          <w:rFonts w:asciiTheme="minorHAnsi" w:hAnsiTheme="minorHAnsi" w:cstheme="minorHAnsi"/>
          <w:color w:val="000000"/>
          <w:sz w:val="18"/>
          <w:szCs w:val="27"/>
        </w:rPr>
        <w:t xml:space="preserve"> Remuneraciones al Trabajo Personal Subordinado, </w:t>
      </w:r>
      <w:r w:rsidRPr="00147D80">
        <w:rPr>
          <w:rFonts w:asciiTheme="minorHAnsi" w:hAnsiTheme="minorHAnsi" w:cstheme="minorHAnsi"/>
          <w:color w:val="000000"/>
          <w:sz w:val="18"/>
          <w:szCs w:val="27"/>
        </w:rPr>
        <w:t>se obtuvo un incremento en la recaudación en un 12.03%.</w:t>
      </w:r>
    </w:p>
    <w:p w14:paraId="35E40B90" w14:textId="77777777" w:rsidR="001E604D" w:rsidRPr="00147D80" w:rsidRDefault="001E604D" w:rsidP="001E604D">
      <w:pPr>
        <w:pStyle w:val="NormalWeb"/>
        <w:spacing w:before="0" w:beforeAutospacing="0" w:after="0" w:afterAutospacing="0"/>
        <w:jc w:val="both"/>
        <w:rPr>
          <w:rFonts w:asciiTheme="minorHAnsi" w:hAnsiTheme="minorHAnsi" w:cstheme="minorHAnsi"/>
          <w:color w:val="000000"/>
          <w:sz w:val="18"/>
          <w:szCs w:val="27"/>
        </w:rPr>
      </w:pPr>
    </w:p>
    <w:p w14:paraId="55F0A8F7" w14:textId="76772C0C" w:rsidR="00FF649B" w:rsidRDefault="00FF649B" w:rsidP="001E604D">
      <w:pPr>
        <w:pStyle w:val="NormalWeb"/>
        <w:spacing w:before="0" w:beforeAutospacing="0" w:after="0" w:afterAutospacing="0"/>
        <w:jc w:val="both"/>
        <w:rPr>
          <w:rFonts w:asciiTheme="minorHAnsi" w:hAnsiTheme="minorHAnsi" w:cstheme="minorHAnsi"/>
          <w:color w:val="000000"/>
          <w:sz w:val="18"/>
          <w:szCs w:val="27"/>
        </w:rPr>
      </w:pPr>
      <w:r w:rsidRPr="00147D80">
        <w:rPr>
          <w:rFonts w:asciiTheme="minorHAnsi" w:hAnsiTheme="minorHAnsi" w:cstheme="minorHAnsi"/>
          <w:color w:val="000000"/>
          <w:sz w:val="18"/>
          <w:szCs w:val="27"/>
        </w:rPr>
        <w:t>Así mismo en el rubro de Derechos se observa un incremento de un 30%, predominando básicamente los Derechos de Control Vehicular.</w:t>
      </w:r>
    </w:p>
    <w:p w14:paraId="54E1BB4C" w14:textId="77777777" w:rsidR="001E604D" w:rsidRPr="00147D80" w:rsidRDefault="001E604D" w:rsidP="001E604D">
      <w:pPr>
        <w:pStyle w:val="NormalWeb"/>
        <w:spacing w:before="0" w:beforeAutospacing="0" w:after="0" w:afterAutospacing="0"/>
        <w:jc w:val="both"/>
        <w:rPr>
          <w:rFonts w:asciiTheme="minorHAnsi" w:hAnsiTheme="minorHAnsi" w:cstheme="minorHAnsi"/>
          <w:color w:val="000000"/>
          <w:sz w:val="18"/>
          <w:szCs w:val="27"/>
        </w:rPr>
      </w:pPr>
    </w:p>
    <w:p w14:paraId="659D1207" w14:textId="5F05C86E" w:rsidR="00E7359E" w:rsidRPr="001E604D" w:rsidRDefault="00E7359E" w:rsidP="00C8321C">
      <w:pPr>
        <w:pStyle w:val="NormalWeb"/>
        <w:spacing w:before="0" w:beforeAutospacing="0" w:after="0" w:afterAutospacing="0"/>
        <w:jc w:val="both"/>
        <w:rPr>
          <w:rFonts w:asciiTheme="minorHAnsi" w:hAnsiTheme="minorHAnsi" w:cstheme="minorHAnsi"/>
          <w:b/>
          <w:color w:val="000000"/>
          <w:sz w:val="20"/>
          <w:szCs w:val="27"/>
        </w:rPr>
      </w:pPr>
      <w:r w:rsidRPr="001E604D">
        <w:rPr>
          <w:rFonts w:asciiTheme="minorHAnsi" w:hAnsiTheme="minorHAnsi" w:cstheme="minorHAnsi"/>
          <w:b/>
          <w:color w:val="000000"/>
          <w:sz w:val="20"/>
          <w:szCs w:val="27"/>
        </w:rPr>
        <w:t>Participaciones Federales Ramo 28.</w:t>
      </w:r>
    </w:p>
    <w:p w14:paraId="7BE6F9FA" w14:textId="77777777" w:rsidR="00C8321C" w:rsidRPr="00147D80" w:rsidRDefault="00C8321C" w:rsidP="00C8321C">
      <w:pPr>
        <w:pStyle w:val="NormalWeb"/>
        <w:spacing w:before="0" w:beforeAutospacing="0" w:after="0" w:afterAutospacing="0"/>
        <w:jc w:val="both"/>
        <w:rPr>
          <w:rFonts w:asciiTheme="minorHAnsi" w:hAnsiTheme="minorHAnsi" w:cstheme="minorHAnsi"/>
          <w:b/>
          <w:color w:val="000000"/>
          <w:sz w:val="18"/>
          <w:szCs w:val="27"/>
        </w:rPr>
      </w:pPr>
    </w:p>
    <w:p w14:paraId="70A127B5" w14:textId="77777777" w:rsidR="00C8321C" w:rsidRPr="00147D80" w:rsidRDefault="00E7359E" w:rsidP="00C8321C">
      <w:pPr>
        <w:pStyle w:val="NormalWeb"/>
        <w:spacing w:before="0" w:beforeAutospacing="0" w:after="0" w:afterAutospacing="0"/>
        <w:jc w:val="both"/>
        <w:rPr>
          <w:rFonts w:asciiTheme="minorHAnsi" w:hAnsiTheme="minorHAnsi" w:cstheme="minorHAnsi"/>
          <w:b/>
          <w:sz w:val="18"/>
          <w:szCs w:val="18"/>
          <w:lang w:eastAsia="es-ES"/>
        </w:rPr>
      </w:pPr>
      <w:r w:rsidRPr="00147D80">
        <w:rPr>
          <w:rFonts w:asciiTheme="minorHAnsi" w:hAnsiTheme="minorHAnsi" w:cstheme="minorHAnsi"/>
          <w:color w:val="000000"/>
          <w:sz w:val="18"/>
          <w:szCs w:val="27"/>
        </w:rPr>
        <w:t xml:space="preserve">En este punto puede apreciarse el incremento de un 4.65% en el caso de las Participaciones, particularmente en el Fondo General de Participaciones y el Fondo de Fiscalización y Recaudación, referenciados a la Recaudación Federal Participable, cuyos resultados benefician tanto los Municipios como al Gobierno del Estado. </w:t>
      </w:r>
      <w:r w:rsidR="00B73312" w:rsidRPr="00147D80">
        <w:rPr>
          <w:rFonts w:asciiTheme="minorHAnsi" w:hAnsiTheme="minorHAnsi" w:cstheme="minorHAnsi"/>
          <w:b/>
          <w:sz w:val="18"/>
          <w:szCs w:val="18"/>
          <w:lang w:eastAsia="es-ES"/>
        </w:rPr>
        <w:t xml:space="preserve"> </w:t>
      </w:r>
    </w:p>
    <w:p w14:paraId="29C48657" w14:textId="50C35503" w:rsidR="00D916E7" w:rsidRPr="005F45A3" w:rsidRDefault="00B73312" w:rsidP="00C8321C">
      <w:pPr>
        <w:pStyle w:val="NormalWeb"/>
        <w:spacing w:before="0" w:beforeAutospacing="0" w:after="0" w:afterAutospacing="0"/>
        <w:jc w:val="both"/>
        <w:rPr>
          <w:rFonts w:asciiTheme="minorHAnsi" w:hAnsiTheme="minorHAnsi" w:cstheme="minorHAnsi"/>
          <w:b/>
          <w:sz w:val="18"/>
          <w:szCs w:val="18"/>
          <w:lang w:eastAsia="es-ES"/>
        </w:rPr>
      </w:pPr>
      <w:r w:rsidRPr="005F45A3">
        <w:rPr>
          <w:rFonts w:asciiTheme="minorHAnsi" w:hAnsiTheme="minorHAnsi" w:cstheme="minorHAnsi"/>
          <w:b/>
          <w:sz w:val="18"/>
          <w:szCs w:val="18"/>
          <w:lang w:eastAsia="es-ES"/>
        </w:rPr>
        <w:t xml:space="preserve"> </w:t>
      </w:r>
    </w:p>
    <w:tbl>
      <w:tblPr>
        <w:tblW w:w="9504" w:type="dxa"/>
        <w:tblCellMar>
          <w:left w:w="70" w:type="dxa"/>
          <w:right w:w="70" w:type="dxa"/>
        </w:tblCellMar>
        <w:tblLook w:val="04A0" w:firstRow="1" w:lastRow="0" w:firstColumn="1" w:lastColumn="0" w:noHBand="0" w:noVBand="1"/>
      </w:tblPr>
      <w:tblGrid>
        <w:gridCol w:w="5524"/>
        <w:gridCol w:w="2268"/>
        <w:gridCol w:w="11"/>
        <w:gridCol w:w="1690"/>
        <w:gridCol w:w="11"/>
      </w:tblGrid>
      <w:tr w:rsidR="00D916E7" w:rsidRPr="00C8321C" w14:paraId="2630A293" w14:textId="77777777" w:rsidTr="00C8321C">
        <w:trPr>
          <w:trHeight w:val="340"/>
        </w:trPr>
        <w:tc>
          <w:tcPr>
            <w:tcW w:w="9504" w:type="dxa"/>
            <w:gridSpan w:val="5"/>
            <w:tcBorders>
              <w:top w:val="single" w:sz="4" w:space="0" w:color="auto"/>
              <w:left w:val="single" w:sz="4" w:space="0" w:color="auto"/>
              <w:bottom w:val="single" w:sz="4" w:space="0" w:color="auto"/>
              <w:right w:val="single" w:sz="4" w:space="0" w:color="auto"/>
            </w:tcBorders>
            <w:shd w:val="clear" w:color="000000" w:fill="AB0033"/>
            <w:vAlign w:val="center"/>
            <w:hideMark/>
          </w:tcPr>
          <w:p w14:paraId="7362890D" w14:textId="77777777" w:rsidR="00D916E7" w:rsidRPr="00C8321C" w:rsidRDefault="00D916E7" w:rsidP="00D916E7">
            <w:pPr>
              <w:spacing w:after="0" w:line="240" w:lineRule="auto"/>
              <w:jc w:val="center"/>
              <w:rPr>
                <w:rFonts w:eastAsia="Times New Roman" w:cs="Calibri"/>
                <w:b/>
                <w:bCs/>
                <w:color w:val="FFFFFF"/>
                <w:sz w:val="16"/>
                <w:szCs w:val="14"/>
                <w:lang w:eastAsia="es-MX"/>
              </w:rPr>
            </w:pPr>
            <w:r w:rsidRPr="00C8321C">
              <w:rPr>
                <w:rFonts w:eastAsia="Times New Roman" w:cs="Calibri"/>
                <w:b/>
                <w:bCs/>
                <w:color w:val="FFFFFF"/>
                <w:sz w:val="16"/>
                <w:szCs w:val="14"/>
                <w:lang w:eastAsia="es-MX"/>
              </w:rPr>
              <w:t>Conciliación de Egresos Presupuestarios / Contables</w:t>
            </w:r>
          </w:p>
        </w:tc>
      </w:tr>
      <w:tr w:rsidR="00D916E7" w:rsidRPr="00D916E7" w14:paraId="09C0853A" w14:textId="77777777" w:rsidTr="00C8321C">
        <w:trPr>
          <w:trHeight w:val="284"/>
        </w:trPr>
        <w:tc>
          <w:tcPr>
            <w:tcW w:w="780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32D995C7" w14:textId="77777777" w:rsidR="00D916E7" w:rsidRPr="00D916E7" w:rsidRDefault="00D916E7" w:rsidP="00D916E7">
            <w:pPr>
              <w:spacing w:after="0" w:line="240" w:lineRule="auto"/>
              <w:ind w:firstLineChars="400" w:firstLine="643"/>
              <w:rPr>
                <w:rFonts w:eastAsia="Times New Roman" w:cs="Calibri"/>
                <w:b/>
                <w:bCs/>
                <w:color w:val="000000"/>
                <w:sz w:val="16"/>
                <w:szCs w:val="16"/>
                <w:lang w:eastAsia="es-MX"/>
              </w:rPr>
            </w:pPr>
            <w:r w:rsidRPr="00D916E7">
              <w:rPr>
                <w:rFonts w:eastAsia="Times New Roman" w:cs="Calibri"/>
                <w:b/>
                <w:bCs/>
                <w:color w:val="000000"/>
                <w:sz w:val="16"/>
                <w:szCs w:val="16"/>
                <w:lang w:eastAsia="es-MX"/>
              </w:rPr>
              <w:t>1.     Total de Egresos (presupuestarios)</w:t>
            </w:r>
          </w:p>
        </w:tc>
        <w:tc>
          <w:tcPr>
            <w:tcW w:w="1701" w:type="dxa"/>
            <w:gridSpan w:val="2"/>
            <w:tcBorders>
              <w:top w:val="nil"/>
              <w:left w:val="nil"/>
              <w:bottom w:val="single" w:sz="4" w:space="0" w:color="auto"/>
              <w:right w:val="single" w:sz="4" w:space="0" w:color="auto"/>
            </w:tcBorders>
            <w:shd w:val="clear" w:color="000000" w:fill="D9D9D9"/>
            <w:vAlign w:val="center"/>
            <w:hideMark/>
          </w:tcPr>
          <w:p w14:paraId="6053CBDB"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71,719,997,728</w:t>
            </w:r>
          </w:p>
        </w:tc>
      </w:tr>
      <w:tr w:rsidR="00D916E7" w:rsidRPr="00D916E7" w14:paraId="70D9282E" w14:textId="77777777" w:rsidTr="00C8321C">
        <w:trPr>
          <w:trHeight w:val="113"/>
        </w:trPr>
        <w:tc>
          <w:tcPr>
            <w:tcW w:w="78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C3AE6E" w14:textId="77777777" w:rsidR="00D916E7" w:rsidRPr="00D916E7" w:rsidRDefault="00D916E7" w:rsidP="00D916E7">
            <w:pPr>
              <w:spacing w:after="0" w:line="240" w:lineRule="auto"/>
              <w:rPr>
                <w:rFonts w:eastAsia="Times New Roman" w:cs="Calibri"/>
                <w:color w:val="000000"/>
                <w:sz w:val="20"/>
                <w:szCs w:val="20"/>
                <w:lang w:eastAsia="es-MX"/>
              </w:rPr>
            </w:pPr>
            <w:r w:rsidRPr="00D916E7">
              <w:rPr>
                <w:rFonts w:eastAsia="Times New Roman" w:cs="Calibri"/>
                <w:color w:val="000000"/>
                <w:sz w:val="20"/>
                <w:szCs w:val="20"/>
                <w:lang w:eastAsia="es-MX"/>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230779D2" w14:textId="77777777" w:rsidR="00D916E7" w:rsidRPr="00D916E7" w:rsidRDefault="00D916E7" w:rsidP="00D916E7">
            <w:pPr>
              <w:spacing w:after="0" w:line="240" w:lineRule="auto"/>
              <w:rPr>
                <w:rFonts w:eastAsia="Times New Roman" w:cs="Calibri"/>
                <w:color w:val="000000"/>
                <w:sz w:val="20"/>
                <w:szCs w:val="20"/>
                <w:lang w:eastAsia="es-MX"/>
              </w:rPr>
            </w:pPr>
            <w:r w:rsidRPr="00D916E7">
              <w:rPr>
                <w:rFonts w:eastAsia="Times New Roman" w:cs="Calibri"/>
                <w:color w:val="000000"/>
                <w:sz w:val="20"/>
                <w:szCs w:val="20"/>
                <w:lang w:eastAsia="es-MX"/>
              </w:rPr>
              <w:t> </w:t>
            </w:r>
          </w:p>
        </w:tc>
      </w:tr>
      <w:tr w:rsidR="00D916E7" w:rsidRPr="00D916E7" w14:paraId="2415E360" w14:textId="77777777" w:rsidTr="00C8321C">
        <w:trPr>
          <w:trHeight w:val="284"/>
        </w:trPr>
        <w:tc>
          <w:tcPr>
            <w:tcW w:w="780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5E76412" w14:textId="77777777" w:rsidR="00D916E7" w:rsidRPr="00D916E7" w:rsidRDefault="00D916E7" w:rsidP="00D916E7">
            <w:pPr>
              <w:spacing w:after="0" w:line="240" w:lineRule="auto"/>
              <w:ind w:firstLineChars="400" w:firstLine="643"/>
              <w:rPr>
                <w:rFonts w:eastAsia="Times New Roman" w:cs="Calibri"/>
                <w:b/>
                <w:bCs/>
                <w:color w:val="000000"/>
                <w:sz w:val="16"/>
                <w:szCs w:val="16"/>
                <w:lang w:eastAsia="es-MX"/>
              </w:rPr>
            </w:pPr>
            <w:r w:rsidRPr="00D916E7">
              <w:rPr>
                <w:rFonts w:eastAsia="Times New Roman" w:cs="Calibri"/>
                <w:b/>
                <w:bCs/>
                <w:color w:val="000000"/>
                <w:sz w:val="16"/>
                <w:szCs w:val="16"/>
                <w:lang w:eastAsia="es-MX"/>
              </w:rPr>
              <w:t>2.     Menos Egresos Presupuestarios no Contables</w:t>
            </w:r>
          </w:p>
        </w:tc>
        <w:tc>
          <w:tcPr>
            <w:tcW w:w="1701" w:type="dxa"/>
            <w:gridSpan w:val="2"/>
            <w:tcBorders>
              <w:top w:val="nil"/>
              <w:left w:val="nil"/>
              <w:bottom w:val="single" w:sz="4" w:space="0" w:color="auto"/>
              <w:right w:val="single" w:sz="4" w:space="0" w:color="auto"/>
            </w:tcBorders>
            <w:shd w:val="clear" w:color="000000" w:fill="D9D9D9"/>
            <w:vAlign w:val="center"/>
            <w:hideMark/>
          </w:tcPr>
          <w:p w14:paraId="28F6EE04"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4,774,125,597</w:t>
            </w:r>
          </w:p>
        </w:tc>
      </w:tr>
      <w:tr w:rsidR="00D916E7" w:rsidRPr="00D916E7" w14:paraId="32583B85"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6C09E22"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Materias Primas y Materiales de Producción y Comercialización</w:t>
            </w:r>
          </w:p>
        </w:tc>
        <w:tc>
          <w:tcPr>
            <w:tcW w:w="2268" w:type="dxa"/>
            <w:tcBorders>
              <w:top w:val="nil"/>
              <w:left w:val="nil"/>
              <w:bottom w:val="single" w:sz="4" w:space="0" w:color="auto"/>
              <w:right w:val="single" w:sz="4" w:space="0" w:color="auto"/>
            </w:tcBorders>
            <w:shd w:val="clear" w:color="auto" w:fill="auto"/>
            <w:vAlign w:val="center"/>
            <w:hideMark/>
          </w:tcPr>
          <w:p w14:paraId="567F6A66"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0</w:t>
            </w:r>
          </w:p>
        </w:tc>
        <w:tc>
          <w:tcPr>
            <w:tcW w:w="1701" w:type="dxa"/>
            <w:gridSpan w:val="2"/>
            <w:tcBorders>
              <w:top w:val="nil"/>
              <w:left w:val="nil"/>
              <w:bottom w:val="single" w:sz="4" w:space="0" w:color="auto"/>
              <w:right w:val="single" w:sz="4" w:space="0" w:color="auto"/>
            </w:tcBorders>
            <w:shd w:val="clear" w:color="auto" w:fill="auto"/>
            <w:vAlign w:val="center"/>
            <w:hideMark/>
          </w:tcPr>
          <w:p w14:paraId="7121A232"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 </w:t>
            </w:r>
          </w:p>
        </w:tc>
      </w:tr>
      <w:tr w:rsidR="00D916E7" w:rsidRPr="00D916E7" w14:paraId="5F7CC086"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DF031C2"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Materiales y Suministros</w:t>
            </w:r>
          </w:p>
        </w:tc>
        <w:tc>
          <w:tcPr>
            <w:tcW w:w="2268" w:type="dxa"/>
            <w:tcBorders>
              <w:top w:val="nil"/>
              <w:left w:val="nil"/>
              <w:bottom w:val="single" w:sz="4" w:space="0" w:color="auto"/>
              <w:right w:val="single" w:sz="4" w:space="0" w:color="auto"/>
            </w:tcBorders>
            <w:shd w:val="clear" w:color="auto" w:fill="auto"/>
            <w:vAlign w:val="center"/>
            <w:hideMark/>
          </w:tcPr>
          <w:p w14:paraId="02B1D485"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0</w:t>
            </w:r>
          </w:p>
        </w:tc>
        <w:tc>
          <w:tcPr>
            <w:tcW w:w="1701" w:type="dxa"/>
            <w:gridSpan w:val="2"/>
            <w:tcBorders>
              <w:top w:val="nil"/>
              <w:left w:val="nil"/>
              <w:bottom w:val="single" w:sz="4" w:space="0" w:color="auto"/>
              <w:right w:val="single" w:sz="4" w:space="0" w:color="auto"/>
            </w:tcBorders>
            <w:shd w:val="clear" w:color="auto" w:fill="auto"/>
            <w:vAlign w:val="center"/>
            <w:hideMark/>
          </w:tcPr>
          <w:p w14:paraId="7B329B4D"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 </w:t>
            </w:r>
          </w:p>
        </w:tc>
      </w:tr>
      <w:tr w:rsidR="00D916E7" w:rsidRPr="00D916E7" w14:paraId="37DE6D7D"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FF2C6A5"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Mobiliario y Equipo de Administración </w:t>
            </w:r>
          </w:p>
        </w:tc>
        <w:tc>
          <w:tcPr>
            <w:tcW w:w="2268" w:type="dxa"/>
            <w:tcBorders>
              <w:top w:val="nil"/>
              <w:left w:val="nil"/>
              <w:bottom w:val="single" w:sz="4" w:space="0" w:color="auto"/>
              <w:right w:val="single" w:sz="4" w:space="0" w:color="auto"/>
            </w:tcBorders>
            <w:shd w:val="clear" w:color="auto" w:fill="auto"/>
            <w:vAlign w:val="center"/>
            <w:hideMark/>
          </w:tcPr>
          <w:p w14:paraId="2FBB8C59"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55,337,997</w:t>
            </w:r>
          </w:p>
        </w:tc>
        <w:tc>
          <w:tcPr>
            <w:tcW w:w="1701" w:type="dxa"/>
            <w:gridSpan w:val="2"/>
            <w:tcBorders>
              <w:top w:val="nil"/>
              <w:left w:val="nil"/>
              <w:bottom w:val="single" w:sz="4" w:space="0" w:color="auto"/>
              <w:right w:val="single" w:sz="4" w:space="0" w:color="auto"/>
            </w:tcBorders>
            <w:shd w:val="clear" w:color="auto" w:fill="auto"/>
            <w:vAlign w:val="center"/>
            <w:hideMark/>
          </w:tcPr>
          <w:p w14:paraId="4903F518"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 </w:t>
            </w:r>
          </w:p>
        </w:tc>
      </w:tr>
      <w:tr w:rsidR="00D916E7" w:rsidRPr="00D916E7" w14:paraId="45EB0A8E"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B1B3118"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Mobiliario y Equipo Educacional y recreativo</w:t>
            </w:r>
          </w:p>
        </w:tc>
        <w:tc>
          <w:tcPr>
            <w:tcW w:w="2268" w:type="dxa"/>
            <w:tcBorders>
              <w:top w:val="nil"/>
              <w:left w:val="nil"/>
              <w:bottom w:val="single" w:sz="4" w:space="0" w:color="auto"/>
              <w:right w:val="single" w:sz="4" w:space="0" w:color="auto"/>
            </w:tcBorders>
            <w:shd w:val="clear" w:color="auto" w:fill="auto"/>
            <w:vAlign w:val="center"/>
            <w:hideMark/>
          </w:tcPr>
          <w:p w14:paraId="0D375A03"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12,748,050</w:t>
            </w:r>
          </w:p>
        </w:tc>
        <w:tc>
          <w:tcPr>
            <w:tcW w:w="1701" w:type="dxa"/>
            <w:gridSpan w:val="2"/>
            <w:tcBorders>
              <w:top w:val="nil"/>
              <w:left w:val="nil"/>
              <w:bottom w:val="single" w:sz="4" w:space="0" w:color="auto"/>
              <w:right w:val="single" w:sz="4" w:space="0" w:color="auto"/>
            </w:tcBorders>
            <w:shd w:val="clear" w:color="auto" w:fill="auto"/>
            <w:vAlign w:val="center"/>
            <w:hideMark/>
          </w:tcPr>
          <w:p w14:paraId="1F84D4F9"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 </w:t>
            </w:r>
          </w:p>
        </w:tc>
      </w:tr>
      <w:tr w:rsidR="00D916E7" w:rsidRPr="00D916E7" w14:paraId="0AC463BD"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500C8F8"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Equipo e Instrumental Médico y de Laboratorio</w:t>
            </w:r>
          </w:p>
        </w:tc>
        <w:tc>
          <w:tcPr>
            <w:tcW w:w="2268" w:type="dxa"/>
            <w:tcBorders>
              <w:top w:val="nil"/>
              <w:left w:val="nil"/>
              <w:bottom w:val="single" w:sz="4" w:space="0" w:color="auto"/>
              <w:right w:val="single" w:sz="4" w:space="0" w:color="auto"/>
            </w:tcBorders>
            <w:shd w:val="clear" w:color="auto" w:fill="auto"/>
            <w:vAlign w:val="center"/>
            <w:hideMark/>
          </w:tcPr>
          <w:p w14:paraId="6A2AB4B2"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1,113,600</w:t>
            </w:r>
          </w:p>
        </w:tc>
        <w:tc>
          <w:tcPr>
            <w:tcW w:w="1701" w:type="dxa"/>
            <w:gridSpan w:val="2"/>
            <w:tcBorders>
              <w:top w:val="nil"/>
              <w:left w:val="nil"/>
              <w:bottom w:val="single" w:sz="4" w:space="0" w:color="auto"/>
              <w:right w:val="single" w:sz="4" w:space="0" w:color="auto"/>
            </w:tcBorders>
            <w:shd w:val="clear" w:color="auto" w:fill="auto"/>
            <w:vAlign w:val="center"/>
            <w:hideMark/>
          </w:tcPr>
          <w:p w14:paraId="0363125E" w14:textId="77777777" w:rsidR="00D916E7" w:rsidRPr="00D916E7" w:rsidRDefault="00D916E7" w:rsidP="00D916E7">
            <w:pPr>
              <w:spacing w:after="0" w:line="240" w:lineRule="auto"/>
              <w:rPr>
                <w:rFonts w:eastAsia="Times New Roman" w:cs="Calibri"/>
                <w:color w:val="000000"/>
                <w:sz w:val="20"/>
                <w:szCs w:val="20"/>
                <w:lang w:eastAsia="es-MX"/>
              </w:rPr>
            </w:pPr>
            <w:r w:rsidRPr="00D916E7">
              <w:rPr>
                <w:rFonts w:eastAsia="Times New Roman" w:cs="Calibri"/>
                <w:color w:val="000000"/>
                <w:sz w:val="20"/>
                <w:szCs w:val="20"/>
                <w:lang w:eastAsia="es-MX"/>
              </w:rPr>
              <w:t> </w:t>
            </w:r>
          </w:p>
        </w:tc>
      </w:tr>
      <w:tr w:rsidR="00D916E7" w:rsidRPr="00D916E7" w14:paraId="3D56D4A8"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B32F6FE"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Vehículos y Equipos de Transporte</w:t>
            </w:r>
          </w:p>
        </w:tc>
        <w:tc>
          <w:tcPr>
            <w:tcW w:w="2268" w:type="dxa"/>
            <w:tcBorders>
              <w:top w:val="nil"/>
              <w:left w:val="nil"/>
              <w:bottom w:val="single" w:sz="4" w:space="0" w:color="auto"/>
              <w:right w:val="single" w:sz="4" w:space="0" w:color="auto"/>
            </w:tcBorders>
            <w:shd w:val="clear" w:color="auto" w:fill="auto"/>
            <w:vAlign w:val="center"/>
            <w:hideMark/>
          </w:tcPr>
          <w:p w14:paraId="5D3A43FD"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307,902,547</w:t>
            </w:r>
          </w:p>
        </w:tc>
        <w:tc>
          <w:tcPr>
            <w:tcW w:w="1701" w:type="dxa"/>
            <w:gridSpan w:val="2"/>
            <w:tcBorders>
              <w:top w:val="nil"/>
              <w:left w:val="nil"/>
              <w:bottom w:val="single" w:sz="4" w:space="0" w:color="auto"/>
              <w:right w:val="single" w:sz="4" w:space="0" w:color="auto"/>
            </w:tcBorders>
            <w:shd w:val="clear" w:color="auto" w:fill="auto"/>
            <w:vAlign w:val="center"/>
            <w:hideMark/>
          </w:tcPr>
          <w:p w14:paraId="1F4F3952"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 </w:t>
            </w:r>
          </w:p>
        </w:tc>
      </w:tr>
      <w:tr w:rsidR="00D916E7" w:rsidRPr="00D916E7" w14:paraId="42B75A95"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7291104"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Equipo de Defensa y Seguridad</w:t>
            </w:r>
          </w:p>
        </w:tc>
        <w:tc>
          <w:tcPr>
            <w:tcW w:w="2268" w:type="dxa"/>
            <w:tcBorders>
              <w:top w:val="nil"/>
              <w:left w:val="nil"/>
              <w:bottom w:val="single" w:sz="4" w:space="0" w:color="auto"/>
              <w:right w:val="single" w:sz="4" w:space="0" w:color="auto"/>
            </w:tcBorders>
            <w:shd w:val="clear" w:color="auto" w:fill="auto"/>
            <w:vAlign w:val="center"/>
            <w:hideMark/>
          </w:tcPr>
          <w:p w14:paraId="0D7E9415"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4,238,090</w:t>
            </w:r>
          </w:p>
        </w:tc>
        <w:tc>
          <w:tcPr>
            <w:tcW w:w="1701" w:type="dxa"/>
            <w:gridSpan w:val="2"/>
            <w:tcBorders>
              <w:top w:val="nil"/>
              <w:left w:val="nil"/>
              <w:bottom w:val="single" w:sz="4" w:space="0" w:color="auto"/>
              <w:right w:val="single" w:sz="4" w:space="0" w:color="auto"/>
            </w:tcBorders>
            <w:shd w:val="clear" w:color="auto" w:fill="auto"/>
            <w:vAlign w:val="center"/>
            <w:hideMark/>
          </w:tcPr>
          <w:p w14:paraId="4C03A3FF"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 </w:t>
            </w:r>
          </w:p>
        </w:tc>
      </w:tr>
      <w:tr w:rsidR="00D916E7" w:rsidRPr="00D916E7" w14:paraId="0C2E4666"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F1AE404"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Maquinaria, otros Equipos y Herramientas</w:t>
            </w:r>
          </w:p>
        </w:tc>
        <w:tc>
          <w:tcPr>
            <w:tcW w:w="2268" w:type="dxa"/>
            <w:tcBorders>
              <w:top w:val="nil"/>
              <w:left w:val="nil"/>
              <w:bottom w:val="single" w:sz="4" w:space="0" w:color="auto"/>
              <w:right w:val="single" w:sz="4" w:space="0" w:color="auto"/>
            </w:tcBorders>
            <w:shd w:val="clear" w:color="auto" w:fill="auto"/>
            <w:vAlign w:val="center"/>
            <w:hideMark/>
          </w:tcPr>
          <w:p w14:paraId="15AA37C9"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100,804,589</w:t>
            </w:r>
          </w:p>
        </w:tc>
        <w:tc>
          <w:tcPr>
            <w:tcW w:w="1701" w:type="dxa"/>
            <w:gridSpan w:val="2"/>
            <w:tcBorders>
              <w:top w:val="nil"/>
              <w:left w:val="nil"/>
              <w:bottom w:val="single" w:sz="4" w:space="0" w:color="auto"/>
              <w:right w:val="single" w:sz="4" w:space="0" w:color="auto"/>
            </w:tcBorders>
            <w:shd w:val="clear" w:color="auto" w:fill="auto"/>
            <w:vAlign w:val="center"/>
            <w:hideMark/>
          </w:tcPr>
          <w:p w14:paraId="3E2AD4B0"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 </w:t>
            </w:r>
          </w:p>
        </w:tc>
      </w:tr>
      <w:tr w:rsidR="00D916E7" w:rsidRPr="00D916E7" w14:paraId="6B908E98"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64F5E17"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Activos Biológicos</w:t>
            </w:r>
          </w:p>
        </w:tc>
        <w:tc>
          <w:tcPr>
            <w:tcW w:w="2268" w:type="dxa"/>
            <w:tcBorders>
              <w:top w:val="nil"/>
              <w:left w:val="nil"/>
              <w:bottom w:val="single" w:sz="4" w:space="0" w:color="auto"/>
              <w:right w:val="single" w:sz="4" w:space="0" w:color="auto"/>
            </w:tcBorders>
            <w:shd w:val="clear" w:color="auto" w:fill="auto"/>
            <w:vAlign w:val="center"/>
            <w:hideMark/>
          </w:tcPr>
          <w:p w14:paraId="0DD98A8D"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285,360</w:t>
            </w:r>
          </w:p>
        </w:tc>
        <w:tc>
          <w:tcPr>
            <w:tcW w:w="1701" w:type="dxa"/>
            <w:gridSpan w:val="2"/>
            <w:tcBorders>
              <w:top w:val="nil"/>
              <w:left w:val="nil"/>
              <w:bottom w:val="single" w:sz="4" w:space="0" w:color="auto"/>
              <w:right w:val="single" w:sz="4" w:space="0" w:color="auto"/>
            </w:tcBorders>
            <w:shd w:val="clear" w:color="auto" w:fill="auto"/>
            <w:vAlign w:val="center"/>
            <w:hideMark/>
          </w:tcPr>
          <w:p w14:paraId="6DA4EFCD"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 </w:t>
            </w:r>
          </w:p>
        </w:tc>
      </w:tr>
      <w:tr w:rsidR="00D916E7" w:rsidRPr="00D916E7" w14:paraId="1508CBA0"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3BB58A1"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Bienes Inmuebles</w:t>
            </w:r>
          </w:p>
        </w:tc>
        <w:tc>
          <w:tcPr>
            <w:tcW w:w="2268" w:type="dxa"/>
            <w:tcBorders>
              <w:top w:val="nil"/>
              <w:left w:val="nil"/>
              <w:bottom w:val="single" w:sz="4" w:space="0" w:color="auto"/>
              <w:right w:val="single" w:sz="4" w:space="0" w:color="auto"/>
            </w:tcBorders>
            <w:shd w:val="clear" w:color="auto" w:fill="auto"/>
            <w:vAlign w:val="center"/>
            <w:hideMark/>
          </w:tcPr>
          <w:p w14:paraId="6543D242"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61,918,958</w:t>
            </w:r>
          </w:p>
        </w:tc>
        <w:tc>
          <w:tcPr>
            <w:tcW w:w="1701" w:type="dxa"/>
            <w:gridSpan w:val="2"/>
            <w:tcBorders>
              <w:top w:val="nil"/>
              <w:left w:val="nil"/>
              <w:bottom w:val="single" w:sz="4" w:space="0" w:color="auto"/>
              <w:right w:val="single" w:sz="4" w:space="0" w:color="auto"/>
            </w:tcBorders>
            <w:shd w:val="clear" w:color="auto" w:fill="auto"/>
            <w:vAlign w:val="center"/>
            <w:hideMark/>
          </w:tcPr>
          <w:p w14:paraId="75E60989"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 </w:t>
            </w:r>
          </w:p>
        </w:tc>
      </w:tr>
      <w:tr w:rsidR="00D916E7" w:rsidRPr="00D916E7" w14:paraId="5699008B"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D788089"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Activos Intangibles</w:t>
            </w:r>
          </w:p>
        </w:tc>
        <w:tc>
          <w:tcPr>
            <w:tcW w:w="2268" w:type="dxa"/>
            <w:tcBorders>
              <w:top w:val="nil"/>
              <w:left w:val="nil"/>
              <w:bottom w:val="single" w:sz="4" w:space="0" w:color="auto"/>
              <w:right w:val="single" w:sz="4" w:space="0" w:color="auto"/>
            </w:tcBorders>
            <w:shd w:val="clear" w:color="auto" w:fill="auto"/>
            <w:vAlign w:val="center"/>
            <w:hideMark/>
          </w:tcPr>
          <w:p w14:paraId="62E7BF37"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57,504,809</w:t>
            </w:r>
          </w:p>
        </w:tc>
        <w:tc>
          <w:tcPr>
            <w:tcW w:w="1701" w:type="dxa"/>
            <w:gridSpan w:val="2"/>
            <w:tcBorders>
              <w:top w:val="nil"/>
              <w:left w:val="nil"/>
              <w:bottom w:val="single" w:sz="4" w:space="0" w:color="auto"/>
              <w:right w:val="single" w:sz="4" w:space="0" w:color="auto"/>
            </w:tcBorders>
            <w:shd w:val="clear" w:color="auto" w:fill="auto"/>
            <w:vAlign w:val="center"/>
            <w:hideMark/>
          </w:tcPr>
          <w:p w14:paraId="6F9F8AB4"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 </w:t>
            </w:r>
          </w:p>
        </w:tc>
      </w:tr>
      <w:tr w:rsidR="00D916E7" w:rsidRPr="00D916E7" w14:paraId="1A36E9FE"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6B6B6BA"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Obra Pública en Bienes de Dominio Público*</w:t>
            </w:r>
          </w:p>
        </w:tc>
        <w:tc>
          <w:tcPr>
            <w:tcW w:w="2268" w:type="dxa"/>
            <w:tcBorders>
              <w:top w:val="nil"/>
              <w:left w:val="nil"/>
              <w:bottom w:val="single" w:sz="4" w:space="0" w:color="auto"/>
              <w:right w:val="single" w:sz="4" w:space="0" w:color="auto"/>
            </w:tcBorders>
            <w:shd w:val="clear" w:color="auto" w:fill="auto"/>
            <w:vAlign w:val="center"/>
            <w:hideMark/>
          </w:tcPr>
          <w:p w14:paraId="6A8CDC6D"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710,515,067</w:t>
            </w:r>
          </w:p>
        </w:tc>
        <w:tc>
          <w:tcPr>
            <w:tcW w:w="1701" w:type="dxa"/>
            <w:gridSpan w:val="2"/>
            <w:tcBorders>
              <w:top w:val="nil"/>
              <w:left w:val="nil"/>
              <w:bottom w:val="single" w:sz="4" w:space="0" w:color="auto"/>
              <w:right w:val="single" w:sz="4" w:space="0" w:color="auto"/>
            </w:tcBorders>
            <w:shd w:val="clear" w:color="auto" w:fill="auto"/>
            <w:vAlign w:val="center"/>
            <w:hideMark/>
          </w:tcPr>
          <w:p w14:paraId="38F14027"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 </w:t>
            </w:r>
          </w:p>
        </w:tc>
      </w:tr>
      <w:tr w:rsidR="00D916E7" w:rsidRPr="00D916E7" w14:paraId="4E94ABEC"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7BB763C"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Obra Pública en Bienes Propios *</w:t>
            </w:r>
          </w:p>
        </w:tc>
        <w:tc>
          <w:tcPr>
            <w:tcW w:w="2268" w:type="dxa"/>
            <w:tcBorders>
              <w:top w:val="nil"/>
              <w:left w:val="nil"/>
              <w:bottom w:val="single" w:sz="4" w:space="0" w:color="auto"/>
              <w:right w:val="single" w:sz="4" w:space="0" w:color="auto"/>
            </w:tcBorders>
            <w:shd w:val="clear" w:color="auto" w:fill="auto"/>
            <w:vAlign w:val="center"/>
            <w:hideMark/>
          </w:tcPr>
          <w:p w14:paraId="7DB3C824"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460,666,214</w:t>
            </w:r>
          </w:p>
        </w:tc>
        <w:tc>
          <w:tcPr>
            <w:tcW w:w="1701" w:type="dxa"/>
            <w:gridSpan w:val="2"/>
            <w:tcBorders>
              <w:top w:val="nil"/>
              <w:left w:val="nil"/>
              <w:bottom w:val="single" w:sz="4" w:space="0" w:color="auto"/>
              <w:right w:val="single" w:sz="4" w:space="0" w:color="auto"/>
            </w:tcBorders>
            <w:shd w:val="clear" w:color="auto" w:fill="auto"/>
            <w:vAlign w:val="center"/>
            <w:hideMark/>
          </w:tcPr>
          <w:p w14:paraId="7511FFF1"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 </w:t>
            </w:r>
          </w:p>
        </w:tc>
      </w:tr>
      <w:tr w:rsidR="00D916E7" w:rsidRPr="00D916E7" w14:paraId="0295C2E4"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89461D0"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Acciones y Participaciones de Capital</w:t>
            </w:r>
          </w:p>
        </w:tc>
        <w:tc>
          <w:tcPr>
            <w:tcW w:w="2268" w:type="dxa"/>
            <w:tcBorders>
              <w:top w:val="nil"/>
              <w:left w:val="nil"/>
              <w:bottom w:val="single" w:sz="4" w:space="0" w:color="auto"/>
              <w:right w:val="single" w:sz="4" w:space="0" w:color="auto"/>
            </w:tcBorders>
            <w:shd w:val="clear" w:color="auto" w:fill="auto"/>
            <w:vAlign w:val="center"/>
            <w:hideMark/>
          </w:tcPr>
          <w:p w14:paraId="2F7943AD"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48,060,795</w:t>
            </w:r>
          </w:p>
        </w:tc>
        <w:tc>
          <w:tcPr>
            <w:tcW w:w="1701" w:type="dxa"/>
            <w:gridSpan w:val="2"/>
            <w:tcBorders>
              <w:top w:val="nil"/>
              <w:left w:val="nil"/>
              <w:bottom w:val="single" w:sz="4" w:space="0" w:color="auto"/>
              <w:right w:val="single" w:sz="4" w:space="0" w:color="auto"/>
            </w:tcBorders>
            <w:shd w:val="clear" w:color="auto" w:fill="auto"/>
            <w:vAlign w:val="center"/>
            <w:hideMark/>
          </w:tcPr>
          <w:p w14:paraId="5A2618E4"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 </w:t>
            </w:r>
          </w:p>
        </w:tc>
      </w:tr>
      <w:tr w:rsidR="00D916E7" w:rsidRPr="00D916E7" w14:paraId="17F46F3B"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662530F"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Compra de Títulos y Valores</w:t>
            </w:r>
          </w:p>
        </w:tc>
        <w:tc>
          <w:tcPr>
            <w:tcW w:w="2268" w:type="dxa"/>
            <w:tcBorders>
              <w:top w:val="nil"/>
              <w:left w:val="nil"/>
              <w:bottom w:val="single" w:sz="4" w:space="0" w:color="auto"/>
              <w:right w:val="single" w:sz="4" w:space="0" w:color="auto"/>
            </w:tcBorders>
            <w:shd w:val="clear" w:color="auto" w:fill="auto"/>
            <w:vAlign w:val="center"/>
            <w:hideMark/>
          </w:tcPr>
          <w:p w14:paraId="45194310"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0</w:t>
            </w:r>
          </w:p>
        </w:tc>
        <w:tc>
          <w:tcPr>
            <w:tcW w:w="1701" w:type="dxa"/>
            <w:gridSpan w:val="2"/>
            <w:tcBorders>
              <w:top w:val="nil"/>
              <w:left w:val="nil"/>
              <w:bottom w:val="single" w:sz="4" w:space="0" w:color="auto"/>
              <w:right w:val="single" w:sz="4" w:space="0" w:color="auto"/>
            </w:tcBorders>
            <w:shd w:val="clear" w:color="auto" w:fill="auto"/>
            <w:vAlign w:val="center"/>
            <w:hideMark/>
          </w:tcPr>
          <w:p w14:paraId="752E9AC5"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 </w:t>
            </w:r>
          </w:p>
        </w:tc>
      </w:tr>
      <w:tr w:rsidR="00D916E7" w:rsidRPr="00D916E7" w14:paraId="6DE6C1AA"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75BE10F"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Concesión de Préstamos</w:t>
            </w:r>
          </w:p>
        </w:tc>
        <w:tc>
          <w:tcPr>
            <w:tcW w:w="2268" w:type="dxa"/>
            <w:tcBorders>
              <w:top w:val="nil"/>
              <w:left w:val="nil"/>
              <w:bottom w:val="single" w:sz="4" w:space="0" w:color="auto"/>
              <w:right w:val="single" w:sz="4" w:space="0" w:color="auto"/>
            </w:tcBorders>
            <w:shd w:val="clear" w:color="auto" w:fill="auto"/>
            <w:vAlign w:val="center"/>
            <w:hideMark/>
          </w:tcPr>
          <w:p w14:paraId="3AD5BFE3"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0</w:t>
            </w:r>
          </w:p>
        </w:tc>
        <w:tc>
          <w:tcPr>
            <w:tcW w:w="1701" w:type="dxa"/>
            <w:gridSpan w:val="2"/>
            <w:tcBorders>
              <w:top w:val="nil"/>
              <w:left w:val="nil"/>
              <w:bottom w:val="single" w:sz="4" w:space="0" w:color="auto"/>
              <w:right w:val="single" w:sz="4" w:space="0" w:color="auto"/>
            </w:tcBorders>
            <w:shd w:val="clear" w:color="auto" w:fill="auto"/>
            <w:vAlign w:val="center"/>
            <w:hideMark/>
          </w:tcPr>
          <w:p w14:paraId="352F2D39"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 </w:t>
            </w:r>
          </w:p>
        </w:tc>
      </w:tr>
      <w:tr w:rsidR="00D916E7" w:rsidRPr="00D916E7" w14:paraId="224D112F"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8A08E6B"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Inversiones en Fideicomisos, mandatos y otros Análogos</w:t>
            </w:r>
          </w:p>
        </w:tc>
        <w:tc>
          <w:tcPr>
            <w:tcW w:w="2268" w:type="dxa"/>
            <w:tcBorders>
              <w:top w:val="nil"/>
              <w:left w:val="nil"/>
              <w:bottom w:val="single" w:sz="4" w:space="0" w:color="auto"/>
              <w:right w:val="single" w:sz="4" w:space="0" w:color="auto"/>
            </w:tcBorders>
            <w:shd w:val="clear" w:color="auto" w:fill="auto"/>
            <w:vAlign w:val="center"/>
            <w:hideMark/>
          </w:tcPr>
          <w:p w14:paraId="52847BDB"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140,206,412</w:t>
            </w:r>
          </w:p>
        </w:tc>
        <w:tc>
          <w:tcPr>
            <w:tcW w:w="1701" w:type="dxa"/>
            <w:gridSpan w:val="2"/>
            <w:tcBorders>
              <w:top w:val="nil"/>
              <w:left w:val="nil"/>
              <w:bottom w:val="single" w:sz="4" w:space="0" w:color="auto"/>
              <w:right w:val="single" w:sz="4" w:space="0" w:color="auto"/>
            </w:tcBorders>
            <w:shd w:val="clear" w:color="auto" w:fill="auto"/>
            <w:vAlign w:val="center"/>
            <w:hideMark/>
          </w:tcPr>
          <w:p w14:paraId="3F906A5C" w14:textId="77777777" w:rsidR="00D916E7" w:rsidRPr="00D916E7" w:rsidRDefault="00D916E7" w:rsidP="00D916E7">
            <w:pPr>
              <w:spacing w:after="0" w:line="240" w:lineRule="auto"/>
              <w:rPr>
                <w:rFonts w:eastAsia="Times New Roman" w:cs="Calibri"/>
                <w:color w:val="000000"/>
                <w:sz w:val="20"/>
                <w:szCs w:val="20"/>
                <w:lang w:eastAsia="es-MX"/>
              </w:rPr>
            </w:pPr>
            <w:r w:rsidRPr="00D916E7">
              <w:rPr>
                <w:rFonts w:eastAsia="Times New Roman" w:cs="Calibri"/>
                <w:color w:val="000000"/>
                <w:sz w:val="20"/>
                <w:szCs w:val="20"/>
                <w:lang w:eastAsia="es-MX"/>
              </w:rPr>
              <w:t> </w:t>
            </w:r>
          </w:p>
        </w:tc>
      </w:tr>
      <w:tr w:rsidR="00D916E7" w:rsidRPr="00D916E7" w14:paraId="4CCC43F8"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198EFAD"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Provisiones para contingencias y otras Erogaciones Especiales</w:t>
            </w:r>
          </w:p>
        </w:tc>
        <w:tc>
          <w:tcPr>
            <w:tcW w:w="2268" w:type="dxa"/>
            <w:tcBorders>
              <w:top w:val="nil"/>
              <w:left w:val="nil"/>
              <w:bottom w:val="single" w:sz="4" w:space="0" w:color="auto"/>
              <w:right w:val="single" w:sz="4" w:space="0" w:color="auto"/>
            </w:tcBorders>
            <w:shd w:val="clear" w:color="auto" w:fill="auto"/>
            <w:vAlign w:val="center"/>
            <w:hideMark/>
          </w:tcPr>
          <w:p w14:paraId="632F6AC8" w14:textId="77777777" w:rsidR="00D916E7" w:rsidRPr="00D916E7" w:rsidRDefault="00D916E7" w:rsidP="00D916E7">
            <w:pPr>
              <w:spacing w:after="0" w:line="240" w:lineRule="auto"/>
              <w:rPr>
                <w:rFonts w:eastAsia="Times New Roman" w:cs="Calibri"/>
                <w:color w:val="000000"/>
                <w:sz w:val="20"/>
                <w:szCs w:val="20"/>
                <w:lang w:eastAsia="es-MX"/>
              </w:rPr>
            </w:pPr>
            <w:r w:rsidRPr="00D916E7">
              <w:rPr>
                <w:rFonts w:eastAsia="Times New Roman" w:cs="Calibri"/>
                <w:color w:val="000000"/>
                <w:sz w:val="20"/>
                <w:szCs w:val="20"/>
                <w:lang w:eastAsia="es-MX"/>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2D205792" w14:textId="77777777" w:rsidR="00D916E7" w:rsidRPr="00D916E7" w:rsidRDefault="00D916E7" w:rsidP="00D916E7">
            <w:pPr>
              <w:spacing w:after="0" w:line="240" w:lineRule="auto"/>
              <w:rPr>
                <w:rFonts w:eastAsia="Times New Roman" w:cs="Calibri"/>
                <w:color w:val="000000"/>
                <w:sz w:val="20"/>
                <w:szCs w:val="20"/>
                <w:lang w:eastAsia="es-MX"/>
              </w:rPr>
            </w:pPr>
            <w:r w:rsidRPr="00D916E7">
              <w:rPr>
                <w:rFonts w:eastAsia="Times New Roman" w:cs="Calibri"/>
                <w:color w:val="000000"/>
                <w:sz w:val="20"/>
                <w:szCs w:val="20"/>
                <w:lang w:eastAsia="es-MX"/>
              </w:rPr>
              <w:t> </w:t>
            </w:r>
          </w:p>
        </w:tc>
      </w:tr>
      <w:tr w:rsidR="00D916E7" w:rsidRPr="00D916E7" w14:paraId="1E2AE134"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3586951"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Amortización de la Deuda Pública</w:t>
            </w:r>
          </w:p>
        </w:tc>
        <w:tc>
          <w:tcPr>
            <w:tcW w:w="2268" w:type="dxa"/>
            <w:tcBorders>
              <w:top w:val="nil"/>
              <w:left w:val="nil"/>
              <w:bottom w:val="single" w:sz="4" w:space="0" w:color="auto"/>
              <w:right w:val="single" w:sz="4" w:space="0" w:color="auto"/>
            </w:tcBorders>
            <w:shd w:val="clear" w:color="auto" w:fill="auto"/>
            <w:vAlign w:val="center"/>
            <w:hideMark/>
          </w:tcPr>
          <w:p w14:paraId="01CD3BAB"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2,078,830,036</w:t>
            </w:r>
          </w:p>
        </w:tc>
        <w:tc>
          <w:tcPr>
            <w:tcW w:w="1701" w:type="dxa"/>
            <w:gridSpan w:val="2"/>
            <w:tcBorders>
              <w:top w:val="nil"/>
              <w:left w:val="nil"/>
              <w:bottom w:val="single" w:sz="4" w:space="0" w:color="auto"/>
              <w:right w:val="single" w:sz="4" w:space="0" w:color="auto"/>
            </w:tcBorders>
            <w:shd w:val="clear" w:color="auto" w:fill="auto"/>
            <w:vAlign w:val="center"/>
            <w:hideMark/>
          </w:tcPr>
          <w:p w14:paraId="3976D089"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 </w:t>
            </w:r>
          </w:p>
        </w:tc>
      </w:tr>
      <w:tr w:rsidR="00D916E7" w:rsidRPr="00D916E7" w14:paraId="7308235D"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E0E52AB"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Adeudos de Ejercicios Fiscales anteriores (ADEFAS)</w:t>
            </w:r>
          </w:p>
        </w:tc>
        <w:tc>
          <w:tcPr>
            <w:tcW w:w="2268" w:type="dxa"/>
            <w:tcBorders>
              <w:top w:val="nil"/>
              <w:left w:val="nil"/>
              <w:bottom w:val="single" w:sz="4" w:space="0" w:color="auto"/>
              <w:right w:val="single" w:sz="4" w:space="0" w:color="auto"/>
            </w:tcBorders>
            <w:shd w:val="clear" w:color="auto" w:fill="auto"/>
            <w:vAlign w:val="center"/>
            <w:hideMark/>
          </w:tcPr>
          <w:p w14:paraId="36864E9A"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733,993,073</w:t>
            </w:r>
          </w:p>
        </w:tc>
        <w:tc>
          <w:tcPr>
            <w:tcW w:w="1701" w:type="dxa"/>
            <w:gridSpan w:val="2"/>
            <w:tcBorders>
              <w:top w:val="nil"/>
              <w:left w:val="nil"/>
              <w:bottom w:val="single" w:sz="4" w:space="0" w:color="auto"/>
              <w:right w:val="single" w:sz="4" w:space="0" w:color="auto"/>
            </w:tcBorders>
            <w:shd w:val="clear" w:color="auto" w:fill="auto"/>
            <w:vAlign w:val="center"/>
            <w:hideMark/>
          </w:tcPr>
          <w:p w14:paraId="598233C0" w14:textId="77777777" w:rsidR="00D916E7" w:rsidRPr="00D916E7" w:rsidRDefault="00D916E7" w:rsidP="00D916E7">
            <w:pPr>
              <w:spacing w:after="0" w:line="240" w:lineRule="auto"/>
              <w:rPr>
                <w:rFonts w:eastAsia="Times New Roman" w:cs="Calibri"/>
                <w:color w:val="000000"/>
                <w:sz w:val="20"/>
                <w:szCs w:val="20"/>
                <w:lang w:eastAsia="es-MX"/>
              </w:rPr>
            </w:pPr>
            <w:r w:rsidRPr="00D916E7">
              <w:rPr>
                <w:rFonts w:eastAsia="Times New Roman" w:cs="Calibri"/>
                <w:color w:val="000000"/>
                <w:sz w:val="20"/>
                <w:szCs w:val="20"/>
                <w:lang w:eastAsia="es-MX"/>
              </w:rPr>
              <w:t> </w:t>
            </w:r>
          </w:p>
        </w:tc>
      </w:tr>
      <w:tr w:rsidR="00D916E7" w:rsidRPr="00D916E7" w14:paraId="6924CDFF"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A41A617"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Otros Egresos Presupuestarios no Contables</w:t>
            </w:r>
          </w:p>
        </w:tc>
        <w:tc>
          <w:tcPr>
            <w:tcW w:w="2268" w:type="dxa"/>
            <w:tcBorders>
              <w:top w:val="nil"/>
              <w:left w:val="nil"/>
              <w:bottom w:val="single" w:sz="4" w:space="0" w:color="auto"/>
              <w:right w:val="single" w:sz="4" w:space="0" w:color="auto"/>
            </w:tcBorders>
            <w:shd w:val="clear" w:color="auto" w:fill="auto"/>
            <w:vAlign w:val="center"/>
            <w:hideMark/>
          </w:tcPr>
          <w:p w14:paraId="638D8B35"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48225BB3"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 </w:t>
            </w:r>
          </w:p>
        </w:tc>
      </w:tr>
      <w:tr w:rsidR="00D916E7" w:rsidRPr="00D916E7" w14:paraId="49F3C652" w14:textId="77777777" w:rsidTr="00C8321C">
        <w:trPr>
          <w:gridAfter w:val="1"/>
          <w:wAfter w:w="11" w:type="dxa"/>
          <w:trHeight w:val="293"/>
        </w:trPr>
        <w:tc>
          <w:tcPr>
            <w:tcW w:w="5524" w:type="dxa"/>
            <w:tcBorders>
              <w:top w:val="nil"/>
              <w:left w:val="single" w:sz="4" w:space="0" w:color="auto"/>
              <w:bottom w:val="single" w:sz="4" w:space="0" w:color="auto"/>
              <w:right w:val="single" w:sz="4" w:space="0" w:color="auto"/>
            </w:tcBorders>
            <w:shd w:val="clear" w:color="000000" w:fill="D9D9D9"/>
            <w:vAlign w:val="center"/>
            <w:hideMark/>
          </w:tcPr>
          <w:p w14:paraId="2DE428F7" w14:textId="77777777" w:rsidR="00D916E7" w:rsidRPr="00D916E7" w:rsidRDefault="00D916E7" w:rsidP="00D916E7">
            <w:pPr>
              <w:spacing w:after="0" w:line="240" w:lineRule="auto"/>
              <w:ind w:firstLineChars="400" w:firstLine="643"/>
              <w:rPr>
                <w:rFonts w:eastAsia="Times New Roman" w:cs="Calibri"/>
                <w:b/>
                <w:bCs/>
                <w:color w:val="000000"/>
                <w:sz w:val="16"/>
                <w:szCs w:val="16"/>
                <w:lang w:eastAsia="es-MX"/>
              </w:rPr>
            </w:pPr>
            <w:r w:rsidRPr="00D916E7">
              <w:rPr>
                <w:rFonts w:eastAsia="Times New Roman" w:cs="Calibri"/>
                <w:b/>
                <w:bCs/>
                <w:color w:val="000000"/>
                <w:sz w:val="16"/>
                <w:szCs w:val="16"/>
                <w:lang w:eastAsia="es-MX"/>
              </w:rPr>
              <w:t>3.     Más Gastos Contables no Presupuestarios</w:t>
            </w:r>
          </w:p>
        </w:tc>
        <w:tc>
          <w:tcPr>
            <w:tcW w:w="2268" w:type="dxa"/>
            <w:tcBorders>
              <w:top w:val="nil"/>
              <w:left w:val="nil"/>
              <w:bottom w:val="single" w:sz="4" w:space="0" w:color="auto"/>
              <w:right w:val="single" w:sz="4" w:space="0" w:color="auto"/>
            </w:tcBorders>
            <w:shd w:val="clear" w:color="000000" w:fill="D9D9D9"/>
            <w:vAlign w:val="center"/>
            <w:hideMark/>
          </w:tcPr>
          <w:p w14:paraId="2504462D" w14:textId="77777777" w:rsidR="00D916E7" w:rsidRPr="00D916E7" w:rsidRDefault="00D916E7" w:rsidP="00D916E7">
            <w:pPr>
              <w:spacing w:after="0" w:line="240" w:lineRule="auto"/>
              <w:ind w:firstLineChars="400" w:firstLine="643"/>
              <w:rPr>
                <w:rFonts w:eastAsia="Times New Roman" w:cs="Calibri"/>
                <w:b/>
                <w:bCs/>
                <w:color w:val="000000"/>
                <w:sz w:val="16"/>
                <w:szCs w:val="16"/>
                <w:lang w:eastAsia="es-MX"/>
              </w:rPr>
            </w:pPr>
            <w:r w:rsidRPr="00D916E7">
              <w:rPr>
                <w:rFonts w:eastAsia="Times New Roman" w:cs="Calibri"/>
                <w:b/>
                <w:bCs/>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000000" w:fill="D9D9D9"/>
            <w:vAlign w:val="center"/>
            <w:hideMark/>
          </w:tcPr>
          <w:p w14:paraId="3004F9E6" w14:textId="77777777" w:rsidR="00D916E7" w:rsidRPr="00D916E7" w:rsidRDefault="00D916E7" w:rsidP="00D916E7">
            <w:pPr>
              <w:spacing w:after="0" w:line="240" w:lineRule="auto"/>
              <w:jc w:val="right"/>
              <w:rPr>
                <w:rFonts w:eastAsia="Times New Roman" w:cs="Calibri"/>
                <w:b/>
                <w:bCs/>
                <w:color w:val="000000"/>
                <w:sz w:val="16"/>
                <w:szCs w:val="16"/>
                <w:lang w:eastAsia="es-MX"/>
              </w:rPr>
            </w:pPr>
            <w:r w:rsidRPr="00D916E7">
              <w:rPr>
                <w:rFonts w:eastAsia="Times New Roman" w:cs="Calibri"/>
                <w:b/>
                <w:bCs/>
                <w:color w:val="000000"/>
                <w:sz w:val="16"/>
                <w:szCs w:val="16"/>
                <w:lang w:eastAsia="es-MX"/>
              </w:rPr>
              <w:t>1,446,087,056</w:t>
            </w:r>
          </w:p>
        </w:tc>
      </w:tr>
      <w:tr w:rsidR="00D916E7" w:rsidRPr="00D916E7" w14:paraId="05AB12DD"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80C027F"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Estimaciones, depreciaciones, deterioro, Obsolescencia y Amortizaciones</w:t>
            </w:r>
          </w:p>
        </w:tc>
        <w:tc>
          <w:tcPr>
            <w:tcW w:w="2268" w:type="dxa"/>
            <w:tcBorders>
              <w:top w:val="nil"/>
              <w:left w:val="nil"/>
              <w:bottom w:val="single" w:sz="4" w:space="0" w:color="auto"/>
              <w:right w:val="single" w:sz="4" w:space="0" w:color="auto"/>
            </w:tcBorders>
            <w:shd w:val="clear" w:color="auto" w:fill="auto"/>
            <w:vAlign w:val="center"/>
            <w:hideMark/>
          </w:tcPr>
          <w:p w14:paraId="6FC87948"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912,214,647</w:t>
            </w:r>
          </w:p>
        </w:tc>
        <w:tc>
          <w:tcPr>
            <w:tcW w:w="1701" w:type="dxa"/>
            <w:gridSpan w:val="2"/>
            <w:tcBorders>
              <w:top w:val="nil"/>
              <w:left w:val="nil"/>
              <w:bottom w:val="single" w:sz="4" w:space="0" w:color="auto"/>
              <w:right w:val="single" w:sz="4" w:space="0" w:color="auto"/>
            </w:tcBorders>
            <w:shd w:val="clear" w:color="auto" w:fill="auto"/>
            <w:vAlign w:val="center"/>
            <w:hideMark/>
          </w:tcPr>
          <w:p w14:paraId="78E1B35E" w14:textId="77777777" w:rsidR="00D916E7" w:rsidRPr="00D916E7" w:rsidRDefault="00D916E7" w:rsidP="00D916E7">
            <w:pPr>
              <w:spacing w:after="0" w:line="240" w:lineRule="auto"/>
              <w:rPr>
                <w:rFonts w:eastAsia="Times New Roman" w:cs="Calibri"/>
                <w:color w:val="000000"/>
                <w:sz w:val="20"/>
                <w:szCs w:val="20"/>
                <w:lang w:eastAsia="es-MX"/>
              </w:rPr>
            </w:pPr>
            <w:r w:rsidRPr="00D916E7">
              <w:rPr>
                <w:rFonts w:eastAsia="Times New Roman" w:cs="Calibri"/>
                <w:color w:val="000000"/>
                <w:sz w:val="20"/>
                <w:szCs w:val="20"/>
                <w:lang w:eastAsia="es-MX"/>
              </w:rPr>
              <w:t> </w:t>
            </w:r>
          </w:p>
        </w:tc>
      </w:tr>
      <w:tr w:rsidR="00D916E7" w:rsidRPr="00D916E7" w14:paraId="456D03CB"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EFF698D"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Provisiones</w:t>
            </w:r>
          </w:p>
        </w:tc>
        <w:tc>
          <w:tcPr>
            <w:tcW w:w="2268" w:type="dxa"/>
            <w:tcBorders>
              <w:top w:val="nil"/>
              <w:left w:val="nil"/>
              <w:bottom w:val="single" w:sz="4" w:space="0" w:color="auto"/>
              <w:right w:val="single" w:sz="4" w:space="0" w:color="auto"/>
            </w:tcBorders>
            <w:shd w:val="clear" w:color="auto" w:fill="auto"/>
            <w:vAlign w:val="center"/>
            <w:hideMark/>
          </w:tcPr>
          <w:p w14:paraId="778101B6" w14:textId="77777777" w:rsidR="00D916E7" w:rsidRPr="00D916E7" w:rsidRDefault="00D916E7" w:rsidP="00D916E7">
            <w:pPr>
              <w:spacing w:after="0" w:line="240" w:lineRule="auto"/>
              <w:rPr>
                <w:rFonts w:eastAsia="Times New Roman" w:cs="Calibri"/>
                <w:color w:val="000000"/>
                <w:sz w:val="20"/>
                <w:szCs w:val="20"/>
                <w:lang w:eastAsia="es-MX"/>
              </w:rPr>
            </w:pPr>
            <w:r w:rsidRPr="00D916E7">
              <w:rPr>
                <w:rFonts w:eastAsia="Times New Roman" w:cs="Calibri"/>
                <w:color w:val="000000"/>
                <w:sz w:val="20"/>
                <w:szCs w:val="20"/>
                <w:lang w:eastAsia="es-MX"/>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2B2BABDD" w14:textId="77777777" w:rsidR="00D916E7" w:rsidRPr="00D916E7" w:rsidRDefault="00D916E7" w:rsidP="00D916E7">
            <w:pPr>
              <w:spacing w:after="0" w:line="240" w:lineRule="auto"/>
              <w:rPr>
                <w:rFonts w:eastAsia="Times New Roman" w:cs="Calibri"/>
                <w:color w:val="000000"/>
                <w:sz w:val="20"/>
                <w:szCs w:val="20"/>
                <w:lang w:eastAsia="es-MX"/>
              </w:rPr>
            </w:pPr>
            <w:r w:rsidRPr="00D916E7">
              <w:rPr>
                <w:rFonts w:eastAsia="Times New Roman" w:cs="Calibri"/>
                <w:color w:val="000000"/>
                <w:sz w:val="20"/>
                <w:szCs w:val="20"/>
                <w:lang w:eastAsia="es-MX"/>
              </w:rPr>
              <w:t> </w:t>
            </w:r>
          </w:p>
        </w:tc>
      </w:tr>
      <w:tr w:rsidR="00D916E7" w:rsidRPr="00D916E7" w14:paraId="7899199F"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23759AB"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Disminución de Inventarios</w:t>
            </w:r>
          </w:p>
        </w:tc>
        <w:tc>
          <w:tcPr>
            <w:tcW w:w="2268" w:type="dxa"/>
            <w:tcBorders>
              <w:top w:val="nil"/>
              <w:left w:val="nil"/>
              <w:bottom w:val="single" w:sz="4" w:space="0" w:color="auto"/>
              <w:right w:val="single" w:sz="4" w:space="0" w:color="auto"/>
            </w:tcBorders>
            <w:shd w:val="clear" w:color="auto" w:fill="auto"/>
            <w:vAlign w:val="center"/>
            <w:hideMark/>
          </w:tcPr>
          <w:p w14:paraId="20779D36" w14:textId="77777777" w:rsidR="00D916E7" w:rsidRPr="00D916E7" w:rsidRDefault="00D916E7" w:rsidP="00D916E7">
            <w:pPr>
              <w:spacing w:after="0" w:line="240" w:lineRule="auto"/>
              <w:rPr>
                <w:rFonts w:eastAsia="Times New Roman" w:cs="Calibri"/>
                <w:color w:val="000000"/>
                <w:sz w:val="20"/>
                <w:szCs w:val="20"/>
                <w:lang w:eastAsia="es-MX"/>
              </w:rPr>
            </w:pPr>
            <w:r w:rsidRPr="00D916E7">
              <w:rPr>
                <w:rFonts w:eastAsia="Times New Roman" w:cs="Calibri"/>
                <w:color w:val="000000"/>
                <w:sz w:val="20"/>
                <w:szCs w:val="20"/>
                <w:lang w:eastAsia="es-MX"/>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27D6DAEA" w14:textId="77777777" w:rsidR="00D916E7" w:rsidRPr="00D916E7" w:rsidRDefault="00D916E7" w:rsidP="00D916E7">
            <w:pPr>
              <w:spacing w:after="0" w:line="240" w:lineRule="auto"/>
              <w:rPr>
                <w:rFonts w:eastAsia="Times New Roman" w:cs="Calibri"/>
                <w:color w:val="000000"/>
                <w:sz w:val="20"/>
                <w:szCs w:val="20"/>
                <w:lang w:eastAsia="es-MX"/>
              </w:rPr>
            </w:pPr>
            <w:r w:rsidRPr="00D916E7">
              <w:rPr>
                <w:rFonts w:eastAsia="Times New Roman" w:cs="Calibri"/>
                <w:color w:val="000000"/>
                <w:sz w:val="20"/>
                <w:szCs w:val="20"/>
                <w:lang w:eastAsia="es-MX"/>
              </w:rPr>
              <w:t> </w:t>
            </w:r>
          </w:p>
        </w:tc>
      </w:tr>
      <w:tr w:rsidR="00D916E7" w:rsidRPr="00D916E7" w14:paraId="60D267E1"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478E811"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Aumento por Insuficiencia de Estimaciones por Pérdida o Deterioro u Obsolescencia</w:t>
            </w:r>
          </w:p>
        </w:tc>
        <w:tc>
          <w:tcPr>
            <w:tcW w:w="2268" w:type="dxa"/>
            <w:tcBorders>
              <w:top w:val="nil"/>
              <w:left w:val="nil"/>
              <w:bottom w:val="single" w:sz="4" w:space="0" w:color="auto"/>
              <w:right w:val="single" w:sz="4" w:space="0" w:color="auto"/>
            </w:tcBorders>
            <w:shd w:val="clear" w:color="auto" w:fill="auto"/>
            <w:vAlign w:val="center"/>
            <w:hideMark/>
          </w:tcPr>
          <w:p w14:paraId="4D6B9F07" w14:textId="77777777" w:rsidR="00D916E7" w:rsidRPr="00D916E7" w:rsidRDefault="00D916E7" w:rsidP="00D916E7">
            <w:pPr>
              <w:spacing w:after="0" w:line="240" w:lineRule="auto"/>
              <w:rPr>
                <w:rFonts w:eastAsia="Times New Roman" w:cs="Calibri"/>
                <w:color w:val="000000"/>
                <w:sz w:val="20"/>
                <w:szCs w:val="20"/>
                <w:lang w:eastAsia="es-MX"/>
              </w:rPr>
            </w:pPr>
            <w:r w:rsidRPr="00D916E7">
              <w:rPr>
                <w:rFonts w:eastAsia="Times New Roman" w:cs="Calibri"/>
                <w:color w:val="000000"/>
                <w:sz w:val="20"/>
                <w:szCs w:val="20"/>
                <w:lang w:eastAsia="es-MX"/>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34C0BAFE" w14:textId="77777777" w:rsidR="00D916E7" w:rsidRPr="00D916E7" w:rsidRDefault="00D916E7" w:rsidP="00D916E7">
            <w:pPr>
              <w:spacing w:after="0" w:line="240" w:lineRule="auto"/>
              <w:rPr>
                <w:rFonts w:eastAsia="Times New Roman" w:cs="Calibri"/>
                <w:color w:val="000000"/>
                <w:sz w:val="20"/>
                <w:szCs w:val="20"/>
                <w:lang w:eastAsia="es-MX"/>
              </w:rPr>
            </w:pPr>
            <w:r w:rsidRPr="00D916E7">
              <w:rPr>
                <w:rFonts w:eastAsia="Times New Roman" w:cs="Calibri"/>
                <w:color w:val="000000"/>
                <w:sz w:val="20"/>
                <w:szCs w:val="20"/>
                <w:lang w:eastAsia="es-MX"/>
              </w:rPr>
              <w:t> </w:t>
            </w:r>
          </w:p>
        </w:tc>
      </w:tr>
      <w:tr w:rsidR="00D916E7" w:rsidRPr="00D916E7" w14:paraId="28983EC0"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2E81921"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Aumento por insuficiencia por provisiones</w:t>
            </w:r>
          </w:p>
        </w:tc>
        <w:tc>
          <w:tcPr>
            <w:tcW w:w="2268" w:type="dxa"/>
            <w:tcBorders>
              <w:top w:val="nil"/>
              <w:left w:val="nil"/>
              <w:bottom w:val="single" w:sz="4" w:space="0" w:color="auto"/>
              <w:right w:val="single" w:sz="4" w:space="0" w:color="auto"/>
            </w:tcBorders>
            <w:shd w:val="clear" w:color="auto" w:fill="auto"/>
            <w:vAlign w:val="center"/>
            <w:hideMark/>
          </w:tcPr>
          <w:p w14:paraId="1D18BA2B" w14:textId="77777777" w:rsidR="00D916E7" w:rsidRPr="00D916E7" w:rsidRDefault="00D916E7" w:rsidP="00D916E7">
            <w:pPr>
              <w:spacing w:after="0" w:line="240" w:lineRule="auto"/>
              <w:rPr>
                <w:rFonts w:eastAsia="Times New Roman" w:cs="Calibri"/>
                <w:color w:val="000000"/>
                <w:sz w:val="20"/>
                <w:szCs w:val="20"/>
                <w:lang w:eastAsia="es-MX"/>
              </w:rPr>
            </w:pPr>
            <w:r w:rsidRPr="00D916E7">
              <w:rPr>
                <w:rFonts w:eastAsia="Times New Roman" w:cs="Calibri"/>
                <w:color w:val="000000"/>
                <w:sz w:val="20"/>
                <w:szCs w:val="20"/>
                <w:lang w:eastAsia="es-MX"/>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58AAB96C" w14:textId="77777777" w:rsidR="00D916E7" w:rsidRPr="00D916E7" w:rsidRDefault="00D916E7" w:rsidP="00D916E7">
            <w:pPr>
              <w:spacing w:after="0" w:line="240" w:lineRule="auto"/>
              <w:rPr>
                <w:rFonts w:eastAsia="Times New Roman" w:cs="Calibri"/>
                <w:color w:val="000000"/>
                <w:sz w:val="20"/>
                <w:szCs w:val="20"/>
                <w:lang w:eastAsia="es-MX"/>
              </w:rPr>
            </w:pPr>
            <w:r w:rsidRPr="00D916E7">
              <w:rPr>
                <w:rFonts w:eastAsia="Times New Roman" w:cs="Calibri"/>
                <w:color w:val="000000"/>
                <w:sz w:val="20"/>
                <w:szCs w:val="20"/>
                <w:lang w:eastAsia="es-MX"/>
              </w:rPr>
              <w:t> </w:t>
            </w:r>
          </w:p>
        </w:tc>
      </w:tr>
      <w:tr w:rsidR="00D916E7" w:rsidRPr="00D916E7" w14:paraId="5525F345"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3AC0F68"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Otros Gastos </w:t>
            </w:r>
          </w:p>
        </w:tc>
        <w:tc>
          <w:tcPr>
            <w:tcW w:w="2268" w:type="dxa"/>
            <w:tcBorders>
              <w:top w:val="nil"/>
              <w:left w:val="nil"/>
              <w:bottom w:val="single" w:sz="4" w:space="0" w:color="auto"/>
              <w:right w:val="single" w:sz="4" w:space="0" w:color="auto"/>
            </w:tcBorders>
            <w:shd w:val="clear" w:color="auto" w:fill="auto"/>
            <w:vAlign w:val="center"/>
            <w:hideMark/>
          </w:tcPr>
          <w:p w14:paraId="2AD809CF"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3CFD1BF2" w14:textId="77777777" w:rsidR="00D916E7" w:rsidRPr="00D916E7" w:rsidRDefault="00D916E7" w:rsidP="00D916E7">
            <w:pPr>
              <w:spacing w:after="0" w:line="240" w:lineRule="auto"/>
              <w:rPr>
                <w:rFonts w:eastAsia="Times New Roman" w:cs="Calibri"/>
                <w:color w:val="000000"/>
                <w:sz w:val="20"/>
                <w:szCs w:val="20"/>
                <w:lang w:eastAsia="es-MX"/>
              </w:rPr>
            </w:pPr>
            <w:r w:rsidRPr="00D916E7">
              <w:rPr>
                <w:rFonts w:eastAsia="Times New Roman" w:cs="Calibri"/>
                <w:color w:val="000000"/>
                <w:sz w:val="20"/>
                <w:szCs w:val="20"/>
                <w:lang w:eastAsia="es-MX"/>
              </w:rPr>
              <w:t> </w:t>
            </w:r>
          </w:p>
        </w:tc>
      </w:tr>
      <w:tr w:rsidR="00D916E7" w:rsidRPr="00D916E7" w14:paraId="37D5705E" w14:textId="77777777" w:rsidTr="00C8321C">
        <w:trPr>
          <w:gridAfter w:val="1"/>
          <w:wAfter w:w="11" w:type="dxa"/>
          <w:trHeight w:val="22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BF28E89" w14:textId="77777777" w:rsidR="00D916E7" w:rsidRPr="00D916E7" w:rsidRDefault="00D916E7" w:rsidP="00D916E7">
            <w:pPr>
              <w:spacing w:after="0" w:line="240" w:lineRule="auto"/>
              <w:rPr>
                <w:rFonts w:eastAsia="Times New Roman" w:cs="Calibri"/>
                <w:color w:val="000000"/>
                <w:sz w:val="14"/>
                <w:szCs w:val="14"/>
                <w:lang w:eastAsia="es-MX"/>
              </w:rPr>
            </w:pPr>
            <w:r w:rsidRPr="00D916E7">
              <w:rPr>
                <w:rFonts w:eastAsia="Times New Roman" w:cs="Calibri"/>
                <w:color w:val="000000"/>
                <w:sz w:val="14"/>
                <w:szCs w:val="14"/>
                <w:lang w:eastAsia="es-MX"/>
              </w:rPr>
              <w:t xml:space="preserve">        Otros Gastos Contables no Presupuestales</w:t>
            </w:r>
          </w:p>
        </w:tc>
        <w:tc>
          <w:tcPr>
            <w:tcW w:w="2268" w:type="dxa"/>
            <w:tcBorders>
              <w:top w:val="nil"/>
              <w:left w:val="nil"/>
              <w:bottom w:val="single" w:sz="4" w:space="0" w:color="auto"/>
              <w:right w:val="single" w:sz="4" w:space="0" w:color="auto"/>
            </w:tcBorders>
            <w:shd w:val="clear" w:color="auto" w:fill="auto"/>
            <w:vAlign w:val="center"/>
            <w:hideMark/>
          </w:tcPr>
          <w:p w14:paraId="1352E9E6" w14:textId="77777777" w:rsidR="00D916E7" w:rsidRPr="00D916E7" w:rsidRDefault="00D916E7" w:rsidP="00D916E7">
            <w:pPr>
              <w:spacing w:after="0" w:line="240" w:lineRule="auto"/>
              <w:jc w:val="right"/>
              <w:rPr>
                <w:rFonts w:eastAsia="Times New Roman" w:cs="Calibri"/>
                <w:color w:val="000000"/>
                <w:sz w:val="14"/>
                <w:szCs w:val="14"/>
                <w:lang w:eastAsia="es-MX"/>
              </w:rPr>
            </w:pPr>
            <w:r w:rsidRPr="00D916E7">
              <w:rPr>
                <w:rFonts w:eastAsia="Times New Roman" w:cs="Calibri"/>
                <w:color w:val="000000"/>
                <w:sz w:val="14"/>
                <w:szCs w:val="14"/>
                <w:lang w:eastAsia="es-MX"/>
              </w:rPr>
              <w:t>533,872,409</w:t>
            </w:r>
          </w:p>
        </w:tc>
        <w:tc>
          <w:tcPr>
            <w:tcW w:w="1701" w:type="dxa"/>
            <w:gridSpan w:val="2"/>
            <w:tcBorders>
              <w:top w:val="nil"/>
              <w:left w:val="nil"/>
              <w:bottom w:val="single" w:sz="4" w:space="0" w:color="auto"/>
              <w:right w:val="single" w:sz="4" w:space="0" w:color="auto"/>
            </w:tcBorders>
            <w:shd w:val="clear" w:color="auto" w:fill="auto"/>
            <w:vAlign w:val="center"/>
            <w:hideMark/>
          </w:tcPr>
          <w:p w14:paraId="6EE3E502" w14:textId="77777777" w:rsidR="00D916E7" w:rsidRPr="00D916E7" w:rsidRDefault="00D916E7" w:rsidP="00D916E7">
            <w:pPr>
              <w:spacing w:after="0" w:line="240" w:lineRule="auto"/>
              <w:rPr>
                <w:rFonts w:eastAsia="Times New Roman" w:cs="Calibri"/>
                <w:color w:val="000000"/>
                <w:sz w:val="20"/>
                <w:szCs w:val="20"/>
                <w:lang w:eastAsia="es-MX"/>
              </w:rPr>
            </w:pPr>
            <w:r w:rsidRPr="00D916E7">
              <w:rPr>
                <w:rFonts w:eastAsia="Times New Roman" w:cs="Calibri"/>
                <w:color w:val="000000"/>
                <w:sz w:val="20"/>
                <w:szCs w:val="20"/>
                <w:lang w:eastAsia="es-MX"/>
              </w:rPr>
              <w:t> </w:t>
            </w:r>
          </w:p>
        </w:tc>
      </w:tr>
      <w:tr w:rsidR="00D916E7" w:rsidRPr="00C8321C" w14:paraId="76EB3AB1" w14:textId="77777777" w:rsidTr="00C8321C">
        <w:trPr>
          <w:gridAfter w:val="1"/>
          <w:wAfter w:w="11" w:type="dxa"/>
          <w:trHeight w:val="340"/>
        </w:trPr>
        <w:tc>
          <w:tcPr>
            <w:tcW w:w="5524" w:type="dxa"/>
            <w:tcBorders>
              <w:top w:val="nil"/>
              <w:left w:val="single" w:sz="4" w:space="0" w:color="auto"/>
              <w:bottom w:val="single" w:sz="4" w:space="0" w:color="auto"/>
              <w:right w:val="single" w:sz="4" w:space="0" w:color="auto"/>
            </w:tcBorders>
            <w:shd w:val="clear" w:color="000000" w:fill="DDC9A3"/>
            <w:vAlign w:val="center"/>
            <w:hideMark/>
          </w:tcPr>
          <w:p w14:paraId="12449CB2" w14:textId="77777777" w:rsidR="00D916E7" w:rsidRPr="00C8321C" w:rsidRDefault="00D916E7" w:rsidP="00D916E7">
            <w:pPr>
              <w:spacing w:after="0" w:line="240" w:lineRule="auto"/>
              <w:jc w:val="center"/>
              <w:rPr>
                <w:rFonts w:eastAsia="Times New Roman" w:cs="Calibri"/>
                <w:b/>
                <w:bCs/>
                <w:color w:val="000000"/>
                <w:sz w:val="16"/>
                <w:szCs w:val="14"/>
                <w:lang w:eastAsia="es-MX"/>
              </w:rPr>
            </w:pPr>
            <w:r w:rsidRPr="00C8321C">
              <w:rPr>
                <w:rFonts w:eastAsia="Times New Roman" w:cs="Calibri"/>
                <w:b/>
                <w:bCs/>
                <w:color w:val="000000"/>
                <w:sz w:val="16"/>
                <w:szCs w:val="14"/>
                <w:lang w:eastAsia="es-MX"/>
              </w:rPr>
              <w:t>4.      Total de Gastos Contables (4 = 1- 2 + 3)</w:t>
            </w:r>
          </w:p>
        </w:tc>
        <w:tc>
          <w:tcPr>
            <w:tcW w:w="2268" w:type="dxa"/>
            <w:tcBorders>
              <w:top w:val="nil"/>
              <w:left w:val="nil"/>
              <w:bottom w:val="single" w:sz="4" w:space="0" w:color="auto"/>
              <w:right w:val="single" w:sz="4" w:space="0" w:color="auto"/>
            </w:tcBorders>
            <w:shd w:val="clear" w:color="000000" w:fill="DDC9A3"/>
            <w:vAlign w:val="center"/>
            <w:hideMark/>
          </w:tcPr>
          <w:p w14:paraId="6D3C0445" w14:textId="77777777" w:rsidR="00D916E7" w:rsidRPr="00C8321C" w:rsidRDefault="00D916E7" w:rsidP="00D916E7">
            <w:pPr>
              <w:spacing w:after="0" w:line="240" w:lineRule="auto"/>
              <w:jc w:val="center"/>
              <w:rPr>
                <w:rFonts w:eastAsia="Times New Roman" w:cs="Calibri"/>
                <w:b/>
                <w:bCs/>
                <w:color w:val="000000"/>
                <w:sz w:val="16"/>
                <w:szCs w:val="14"/>
                <w:lang w:eastAsia="es-MX"/>
              </w:rPr>
            </w:pPr>
            <w:r w:rsidRPr="00C8321C">
              <w:rPr>
                <w:rFonts w:eastAsia="Times New Roman" w:cs="Calibri"/>
                <w:b/>
                <w:bCs/>
                <w:color w:val="000000"/>
                <w:sz w:val="16"/>
                <w:szCs w:val="14"/>
                <w:lang w:eastAsia="es-MX"/>
              </w:rPr>
              <w:t> </w:t>
            </w:r>
          </w:p>
        </w:tc>
        <w:tc>
          <w:tcPr>
            <w:tcW w:w="1701" w:type="dxa"/>
            <w:gridSpan w:val="2"/>
            <w:tcBorders>
              <w:top w:val="nil"/>
              <w:left w:val="nil"/>
              <w:bottom w:val="single" w:sz="4" w:space="0" w:color="auto"/>
              <w:right w:val="single" w:sz="4" w:space="0" w:color="auto"/>
            </w:tcBorders>
            <w:shd w:val="clear" w:color="000000" w:fill="DDC9A3"/>
            <w:vAlign w:val="center"/>
            <w:hideMark/>
          </w:tcPr>
          <w:p w14:paraId="327CC055" w14:textId="77777777" w:rsidR="00D916E7" w:rsidRPr="00C8321C" w:rsidRDefault="00D916E7" w:rsidP="00D916E7">
            <w:pPr>
              <w:spacing w:after="0" w:line="240" w:lineRule="auto"/>
              <w:jc w:val="right"/>
              <w:rPr>
                <w:rFonts w:eastAsia="Times New Roman" w:cs="Calibri"/>
                <w:b/>
                <w:bCs/>
                <w:color w:val="000000"/>
                <w:sz w:val="16"/>
                <w:szCs w:val="14"/>
                <w:lang w:eastAsia="es-MX"/>
              </w:rPr>
            </w:pPr>
            <w:r w:rsidRPr="00C8321C">
              <w:rPr>
                <w:rFonts w:eastAsia="Times New Roman" w:cs="Calibri"/>
                <w:b/>
                <w:bCs/>
                <w:color w:val="000000"/>
                <w:sz w:val="16"/>
                <w:szCs w:val="14"/>
                <w:lang w:eastAsia="es-MX"/>
              </w:rPr>
              <w:t>68,391,959,187</w:t>
            </w:r>
          </w:p>
        </w:tc>
      </w:tr>
    </w:tbl>
    <w:p w14:paraId="3EC82FDC" w14:textId="58B4C3B3" w:rsidR="007A6501" w:rsidRPr="005F45A3" w:rsidRDefault="00B73312" w:rsidP="007F04E0">
      <w:pPr>
        <w:spacing w:after="0" w:line="240" w:lineRule="auto"/>
        <w:jc w:val="both"/>
        <w:rPr>
          <w:rFonts w:asciiTheme="minorHAnsi" w:hAnsiTheme="minorHAnsi" w:cstheme="minorHAnsi"/>
          <w:b/>
          <w:sz w:val="18"/>
          <w:szCs w:val="18"/>
          <w:lang w:eastAsia="es-ES"/>
        </w:rPr>
      </w:pPr>
      <w:r w:rsidRPr="005F45A3">
        <w:rPr>
          <w:rFonts w:asciiTheme="minorHAnsi" w:hAnsiTheme="minorHAnsi" w:cstheme="minorHAnsi"/>
          <w:b/>
          <w:sz w:val="18"/>
          <w:szCs w:val="18"/>
          <w:lang w:eastAsia="es-ES"/>
        </w:rPr>
        <w:t xml:space="preserve">       </w:t>
      </w:r>
      <w:r w:rsidR="00855C55" w:rsidRPr="005F45A3">
        <w:rPr>
          <w:rFonts w:asciiTheme="minorHAnsi" w:hAnsiTheme="minorHAnsi" w:cstheme="minorHAnsi"/>
          <w:b/>
          <w:sz w:val="18"/>
          <w:szCs w:val="18"/>
          <w:lang w:eastAsia="es-ES"/>
        </w:rPr>
        <w:t xml:space="preserve">           </w:t>
      </w:r>
      <w:r w:rsidR="007A6501">
        <w:rPr>
          <w:rFonts w:asciiTheme="minorHAnsi" w:hAnsiTheme="minorHAnsi" w:cstheme="minorHAnsi"/>
          <w:b/>
          <w:sz w:val="18"/>
          <w:szCs w:val="18"/>
          <w:lang w:eastAsia="es-ES"/>
        </w:rPr>
        <w:t xml:space="preserve">                     </w:t>
      </w:r>
    </w:p>
    <w:p w14:paraId="422D7285" w14:textId="77777777" w:rsidR="00DE1549" w:rsidRPr="00B34B21" w:rsidRDefault="00DE1549" w:rsidP="00DE1549">
      <w:pPr>
        <w:spacing w:line="240" w:lineRule="auto"/>
        <w:jc w:val="both"/>
        <w:rPr>
          <w:rFonts w:asciiTheme="minorHAnsi" w:hAnsiTheme="minorHAnsi" w:cstheme="minorHAnsi"/>
          <w:b/>
          <w:sz w:val="20"/>
          <w:szCs w:val="18"/>
        </w:rPr>
      </w:pPr>
      <w:r w:rsidRPr="00B34B21">
        <w:rPr>
          <w:rFonts w:asciiTheme="minorHAnsi" w:hAnsiTheme="minorHAnsi" w:cstheme="minorHAnsi"/>
          <w:b/>
          <w:sz w:val="20"/>
          <w:szCs w:val="18"/>
        </w:rPr>
        <w:t>Servicios Personales:</w:t>
      </w:r>
    </w:p>
    <w:p w14:paraId="648F2604" w14:textId="77777777" w:rsidR="00DE1549" w:rsidRPr="004A64F4" w:rsidRDefault="00DE1549" w:rsidP="00DE1549">
      <w:pPr>
        <w:spacing w:line="240" w:lineRule="auto"/>
        <w:jc w:val="both"/>
        <w:rPr>
          <w:rFonts w:asciiTheme="minorHAnsi" w:hAnsiTheme="minorHAnsi" w:cstheme="minorHAnsi"/>
          <w:b/>
          <w:sz w:val="18"/>
          <w:szCs w:val="18"/>
        </w:rPr>
      </w:pPr>
      <w:r w:rsidRPr="004A64F4">
        <w:rPr>
          <w:rFonts w:asciiTheme="minorHAnsi" w:hAnsiTheme="minorHAnsi" w:cstheme="minorHAnsi"/>
          <w:sz w:val="18"/>
          <w:szCs w:val="18"/>
        </w:rPr>
        <w:t>En el capítulo de Servicios Personales la principal modificación se presenta en el recurso federal del Ramo 33 Fondo de Aportaciones para la Nómina Educativa (FONE Nómina) al verse reflejado un incremento del 11% en su aplicación.</w:t>
      </w:r>
    </w:p>
    <w:p w14:paraId="62B24F27" w14:textId="77777777" w:rsidR="00DE1549" w:rsidRPr="00B34B21" w:rsidRDefault="00DE1549" w:rsidP="00DE1549">
      <w:pPr>
        <w:spacing w:line="240" w:lineRule="auto"/>
        <w:jc w:val="both"/>
        <w:rPr>
          <w:rFonts w:asciiTheme="minorHAnsi" w:hAnsiTheme="minorHAnsi" w:cstheme="minorHAnsi"/>
          <w:b/>
          <w:sz w:val="20"/>
          <w:szCs w:val="18"/>
        </w:rPr>
      </w:pPr>
      <w:r w:rsidRPr="00B34B21">
        <w:rPr>
          <w:rFonts w:asciiTheme="minorHAnsi" w:hAnsiTheme="minorHAnsi" w:cstheme="minorHAnsi"/>
          <w:b/>
          <w:sz w:val="20"/>
          <w:szCs w:val="18"/>
        </w:rPr>
        <w:t>Materiales y Suministros:</w:t>
      </w:r>
    </w:p>
    <w:p w14:paraId="6D9373FD" w14:textId="77777777" w:rsidR="00DE1549" w:rsidRPr="004A64F4" w:rsidRDefault="00DE1549" w:rsidP="00DE1549">
      <w:pPr>
        <w:spacing w:line="240" w:lineRule="auto"/>
        <w:jc w:val="both"/>
        <w:rPr>
          <w:rFonts w:asciiTheme="minorHAnsi" w:hAnsiTheme="minorHAnsi" w:cstheme="minorHAnsi"/>
          <w:b/>
          <w:sz w:val="18"/>
          <w:szCs w:val="18"/>
        </w:rPr>
      </w:pPr>
      <w:r w:rsidRPr="004A64F4">
        <w:rPr>
          <w:rFonts w:asciiTheme="minorHAnsi" w:hAnsiTheme="minorHAnsi" w:cstheme="minorHAnsi"/>
          <w:sz w:val="18"/>
          <w:szCs w:val="18"/>
        </w:rPr>
        <w:t>En el capítulo de Materiales y Suministros se presentan algunas diferencias en diferentes conceptos de gasto. En lo que respecta a las disminuciones con recurso estatal, corresponden a partidas como Alimentos y utensilios y Productos químicos, farmacéuticos y de Laboratorio; en las partidas Materiales de Administración y herramientas, refacciones y accesorios menores presentan incrementos, principalmente para los operativos de seguridad pública.</w:t>
      </w:r>
    </w:p>
    <w:p w14:paraId="4CD5B588" w14:textId="77777777" w:rsidR="00DE1549" w:rsidRPr="004A64F4" w:rsidRDefault="00DE1549" w:rsidP="00DE1549">
      <w:pPr>
        <w:spacing w:line="240" w:lineRule="auto"/>
        <w:jc w:val="both"/>
        <w:rPr>
          <w:rFonts w:asciiTheme="minorHAnsi" w:hAnsiTheme="minorHAnsi" w:cstheme="minorHAnsi"/>
          <w:sz w:val="18"/>
          <w:szCs w:val="18"/>
        </w:rPr>
      </w:pPr>
      <w:r w:rsidRPr="004A64F4">
        <w:rPr>
          <w:rFonts w:asciiTheme="minorHAnsi" w:hAnsiTheme="minorHAnsi" w:cstheme="minorHAnsi"/>
          <w:sz w:val="18"/>
          <w:szCs w:val="18"/>
        </w:rPr>
        <w:t>En lo que respecta a recurso federal, los incrementos más significativos se presentan en el concepto de Alimentos y Utensilios y disminuye considerablemente los productos químicos, farmacéuticos y de laboratorio, así como materiales y suministros para seguridad.</w:t>
      </w:r>
    </w:p>
    <w:p w14:paraId="3DA20FBA" w14:textId="77777777" w:rsidR="00DE1549" w:rsidRPr="00B34B21" w:rsidRDefault="00DE1549" w:rsidP="00DE1549">
      <w:pPr>
        <w:spacing w:line="240" w:lineRule="auto"/>
        <w:jc w:val="both"/>
        <w:rPr>
          <w:rFonts w:asciiTheme="minorHAnsi" w:hAnsiTheme="minorHAnsi" w:cstheme="minorHAnsi"/>
          <w:b/>
          <w:sz w:val="20"/>
          <w:szCs w:val="18"/>
        </w:rPr>
      </w:pPr>
      <w:r w:rsidRPr="00B34B21">
        <w:rPr>
          <w:rFonts w:asciiTheme="minorHAnsi" w:hAnsiTheme="minorHAnsi" w:cstheme="minorHAnsi"/>
          <w:b/>
          <w:sz w:val="20"/>
          <w:szCs w:val="18"/>
        </w:rPr>
        <w:t>Servicios Generales:</w:t>
      </w:r>
    </w:p>
    <w:p w14:paraId="0D422CF0" w14:textId="77777777" w:rsidR="00DE1549" w:rsidRPr="004A64F4" w:rsidRDefault="00DE1549" w:rsidP="00DE1549">
      <w:pPr>
        <w:spacing w:line="240" w:lineRule="auto"/>
        <w:jc w:val="both"/>
        <w:rPr>
          <w:rFonts w:asciiTheme="minorHAnsi" w:hAnsiTheme="minorHAnsi" w:cstheme="minorHAnsi"/>
          <w:sz w:val="18"/>
          <w:szCs w:val="18"/>
        </w:rPr>
      </w:pPr>
      <w:r w:rsidRPr="004A64F4">
        <w:rPr>
          <w:rFonts w:asciiTheme="minorHAnsi" w:hAnsiTheme="minorHAnsi" w:cstheme="minorHAnsi"/>
          <w:sz w:val="18"/>
          <w:szCs w:val="18"/>
        </w:rPr>
        <w:t>En el capítulo de Servicios Generales se presentan algunas ampliaciones en diferentes conceptos de gasto. En lo que respecta a recurso estatal, los incrementos más significativos son ocasionados por los servicios profesionales, científicos, técnicos y otros servicios y disminuciones en servicios de arrendamiento.</w:t>
      </w:r>
    </w:p>
    <w:p w14:paraId="3EC2A8E9" w14:textId="77777777" w:rsidR="00DE1549" w:rsidRPr="004A64F4" w:rsidRDefault="00DE1549" w:rsidP="00DE1549">
      <w:pPr>
        <w:spacing w:line="240" w:lineRule="auto"/>
        <w:jc w:val="both"/>
        <w:rPr>
          <w:rFonts w:asciiTheme="minorHAnsi" w:hAnsiTheme="minorHAnsi" w:cstheme="minorHAnsi"/>
          <w:b/>
          <w:sz w:val="18"/>
          <w:szCs w:val="18"/>
        </w:rPr>
      </w:pPr>
      <w:r w:rsidRPr="004A64F4">
        <w:rPr>
          <w:rFonts w:asciiTheme="minorHAnsi" w:hAnsiTheme="minorHAnsi" w:cstheme="minorHAnsi"/>
          <w:sz w:val="18"/>
          <w:szCs w:val="18"/>
        </w:rPr>
        <w:t>En lo que respecta a recurso federal, los incrementos más significativos se presentan por el Fondo de Aportaciones para Nómina Educativa y Gasto Operativo (Educación-Gastos de Operación), Fondo de Aportaciones para la Seguridad Pública, Fondo para el fortalecimiento de las Entidades Federativas y Programa Nacional de inglés. Cabe mencionar que los recursos para algunos de estos fondos y programas se reciben después de haber iniciado el ejercicio fiscal correspondiente.</w:t>
      </w:r>
    </w:p>
    <w:p w14:paraId="4CD6D58D" w14:textId="77777777" w:rsidR="00DE1549" w:rsidRPr="00B34B21" w:rsidRDefault="00DE1549" w:rsidP="00DE1549">
      <w:pPr>
        <w:spacing w:line="240" w:lineRule="auto"/>
        <w:jc w:val="both"/>
        <w:rPr>
          <w:rFonts w:asciiTheme="minorHAnsi" w:hAnsiTheme="minorHAnsi" w:cstheme="minorHAnsi"/>
          <w:b/>
          <w:sz w:val="20"/>
          <w:szCs w:val="18"/>
        </w:rPr>
      </w:pPr>
      <w:r w:rsidRPr="00B34B21">
        <w:rPr>
          <w:rFonts w:asciiTheme="minorHAnsi" w:hAnsiTheme="minorHAnsi" w:cstheme="minorHAnsi"/>
          <w:b/>
          <w:sz w:val="20"/>
          <w:szCs w:val="18"/>
        </w:rPr>
        <w:t xml:space="preserve">Transferencias, Asignaciones, Subsidios y Otras Ayudas </w:t>
      </w:r>
    </w:p>
    <w:p w14:paraId="68CB5311" w14:textId="77777777" w:rsidR="00DE1549" w:rsidRPr="004A64F4" w:rsidRDefault="00DE1549" w:rsidP="00DE1549">
      <w:pPr>
        <w:spacing w:line="240" w:lineRule="auto"/>
        <w:jc w:val="both"/>
        <w:rPr>
          <w:rFonts w:asciiTheme="minorHAnsi" w:hAnsiTheme="minorHAnsi" w:cstheme="minorHAnsi"/>
          <w:sz w:val="18"/>
          <w:szCs w:val="18"/>
        </w:rPr>
      </w:pPr>
      <w:r w:rsidRPr="004A64F4">
        <w:rPr>
          <w:rFonts w:asciiTheme="minorHAnsi" w:hAnsiTheme="minorHAnsi" w:cstheme="minorHAnsi"/>
          <w:sz w:val="18"/>
          <w:szCs w:val="18"/>
        </w:rPr>
        <w:t>Es importante destacar que este capítulo de gasto principalmente se refiere a los subsidios y ayudas que se entregan a la población; sin embargo, también es el mecanismo por medio del cual se asignan transferencias relativas al presupuesto correspondiente a los Poderes, Organismos Autónomos y Organismos Públicos Descentralizados.</w:t>
      </w:r>
    </w:p>
    <w:p w14:paraId="5B3EB301" w14:textId="77777777" w:rsidR="00DE1549" w:rsidRPr="004A64F4" w:rsidRDefault="00DE1549" w:rsidP="00DE1549">
      <w:pPr>
        <w:spacing w:line="240" w:lineRule="auto"/>
        <w:jc w:val="both"/>
        <w:rPr>
          <w:rFonts w:asciiTheme="minorHAnsi" w:hAnsiTheme="minorHAnsi" w:cstheme="minorHAnsi"/>
          <w:sz w:val="18"/>
          <w:szCs w:val="18"/>
        </w:rPr>
      </w:pPr>
      <w:r w:rsidRPr="004A64F4">
        <w:rPr>
          <w:rFonts w:asciiTheme="minorHAnsi" w:hAnsiTheme="minorHAnsi" w:cstheme="minorHAnsi"/>
          <w:sz w:val="18"/>
          <w:szCs w:val="18"/>
        </w:rPr>
        <w:t>Las ampliaciones que se reflejan en este capítulo de gasto corresponden en términos generales a proyectos productivos con recursos federales recibidos una vez iniciado el ejercicio fiscal correspondiente, como son los Programas de Salud, el Fondo de Aportaciones Múltiples para Educación Básica y Superior Universidad Autónoma de Tamaulipas y Universidades Politécnicas y Tecnológicas.</w:t>
      </w:r>
    </w:p>
    <w:p w14:paraId="0F66028F" w14:textId="77777777" w:rsidR="00DE1549" w:rsidRPr="004A64F4" w:rsidRDefault="00DE1549" w:rsidP="00DE1549">
      <w:pPr>
        <w:spacing w:line="240" w:lineRule="auto"/>
        <w:jc w:val="both"/>
        <w:rPr>
          <w:rFonts w:asciiTheme="minorHAnsi" w:hAnsiTheme="minorHAnsi" w:cstheme="minorHAnsi"/>
          <w:sz w:val="18"/>
          <w:szCs w:val="18"/>
        </w:rPr>
      </w:pPr>
      <w:r w:rsidRPr="004A64F4">
        <w:rPr>
          <w:rFonts w:asciiTheme="minorHAnsi" w:hAnsiTheme="minorHAnsi" w:cstheme="minorHAnsi"/>
          <w:sz w:val="18"/>
          <w:szCs w:val="18"/>
        </w:rPr>
        <w:t>En lo que respecta al concepto de gasto de pensiones y jubilaciones, se presenta una disminución ya que los gastos de seguro de vida y funerarios del personal pensionado de las Entidades del Gobierno del Estado se les otorgan como subsidios, dado que así lo establece la ley del Instituto de Previsión y Seguridad Social del Estado de Tamaulipas.</w:t>
      </w:r>
    </w:p>
    <w:p w14:paraId="577CEF94" w14:textId="77777777" w:rsidR="00DE1549" w:rsidRPr="00B34B21" w:rsidRDefault="00DE1549" w:rsidP="00DE1549">
      <w:pPr>
        <w:spacing w:line="240" w:lineRule="auto"/>
        <w:jc w:val="both"/>
        <w:rPr>
          <w:rFonts w:asciiTheme="minorHAnsi" w:hAnsiTheme="minorHAnsi" w:cstheme="minorHAnsi"/>
          <w:b/>
          <w:sz w:val="20"/>
          <w:szCs w:val="18"/>
        </w:rPr>
      </w:pPr>
      <w:r w:rsidRPr="00B34B21">
        <w:rPr>
          <w:rFonts w:asciiTheme="minorHAnsi" w:hAnsiTheme="minorHAnsi" w:cstheme="minorHAnsi"/>
          <w:b/>
          <w:sz w:val="20"/>
          <w:szCs w:val="18"/>
        </w:rPr>
        <w:t xml:space="preserve">Bienes Muebles, Inmuebles e Intangibles </w:t>
      </w:r>
    </w:p>
    <w:p w14:paraId="6EFFF37A" w14:textId="77777777" w:rsidR="00DE1549" w:rsidRPr="004A64F4" w:rsidRDefault="00DE1549" w:rsidP="00DE1549">
      <w:pPr>
        <w:spacing w:line="240" w:lineRule="auto"/>
        <w:jc w:val="both"/>
        <w:rPr>
          <w:rFonts w:asciiTheme="minorHAnsi" w:hAnsiTheme="minorHAnsi" w:cstheme="minorHAnsi"/>
          <w:sz w:val="18"/>
          <w:szCs w:val="18"/>
        </w:rPr>
      </w:pPr>
      <w:r w:rsidRPr="004A64F4">
        <w:rPr>
          <w:rFonts w:asciiTheme="minorHAnsi" w:hAnsiTheme="minorHAnsi" w:cstheme="minorHAnsi"/>
          <w:sz w:val="18"/>
          <w:szCs w:val="18"/>
        </w:rPr>
        <w:t>Este capítulo conforme se va autorizando Proyectos Productivos se va asignando presupuesto a este capítulo conforme a los requerimientos que se identifican en el marco de la operación de los Programas Presupuestarios correspondientes.</w:t>
      </w:r>
    </w:p>
    <w:p w14:paraId="6C2C930B" w14:textId="77777777" w:rsidR="00DE1549" w:rsidRPr="004A64F4" w:rsidRDefault="00DE1549" w:rsidP="00DE1549">
      <w:pPr>
        <w:spacing w:line="240" w:lineRule="auto"/>
        <w:jc w:val="both"/>
        <w:rPr>
          <w:rFonts w:asciiTheme="minorHAnsi" w:hAnsiTheme="minorHAnsi" w:cstheme="minorHAnsi"/>
          <w:sz w:val="18"/>
          <w:szCs w:val="18"/>
        </w:rPr>
      </w:pPr>
      <w:r w:rsidRPr="004A64F4">
        <w:rPr>
          <w:rFonts w:asciiTheme="minorHAnsi" w:hAnsiTheme="minorHAnsi" w:cstheme="minorHAnsi"/>
          <w:sz w:val="18"/>
          <w:szCs w:val="18"/>
        </w:rPr>
        <w:t>Por tal motivo, las partidas presupuestales solicitadas inicialmente a través del capítulo 5000, forman parte de un Proyecto, el cuál responderá a una necesidad identificada al amparo de la operación de un Programa Presupuestario.</w:t>
      </w:r>
    </w:p>
    <w:p w14:paraId="0511F36D" w14:textId="77777777" w:rsidR="00DE1549" w:rsidRPr="00B34B21" w:rsidRDefault="00DE1549" w:rsidP="00DE1549">
      <w:pPr>
        <w:spacing w:line="240" w:lineRule="auto"/>
        <w:jc w:val="both"/>
        <w:rPr>
          <w:rFonts w:asciiTheme="minorHAnsi" w:hAnsiTheme="minorHAnsi" w:cstheme="minorHAnsi"/>
          <w:b/>
          <w:sz w:val="20"/>
          <w:szCs w:val="18"/>
        </w:rPr>
      </w:pPr>
      <w:r w:rsidRPr="00B34B21">
        <w:rPr>
          <w:rFonts w:asciiTheme="minorHAnsi" w:hAnsiTheme="minorHAnsi" w:cstheme="minorHAnsi"/>
          <w:b/>
          <w:sz w:val="20"/>
          <w:szCs w:val="18"/>
        </w:rPr>
        <w:t>Inversión Pública</w:t>
      </w:r>
    </w:p>
    <w:p w14:paraId="1CB45BC4" w14:textId="77777777" w:rsidR="00DE1549" w:rsidRPr="004A64F4" w:rsidRDefault="00DE1549" w:rsidP="00DE1549">
      <w:pPr>
        <w:spacing w:line="240" w:lineRule="auto"/>
        <w:jc w:val="both"/>
        <w:rPr>
          <w:rFonts w:asciiTheme="minorHAnsi" w:hAnsiTheme="minorHAnsi" w:cstheme="minorHAnsi"/>
          <w:sz w:val="18"/>
          <w:szCs w:val="18"/>
        </w:rPr>
      </w:pPr>
      <w:r w:rsidRPr="004A64F4">
        <w:rPr>
          <w:rFonts w:asciiTheme="minorHAnsi" w:hAnsiTheme="minorHAnsi" w:cstheme="minorHAnsi"/>
          <w:sz w:val="18"/>
          <w:szCs w:val="18"/>
        </w:rPr>
        <w:t>Las partidas del capítulo 6000, están presupuestadas en un Proyecto de Inversión, el cual se registra al amparo del Programa Presupuestario de modalidad "K” que corresponda, de acuerdo con el destino que se determine para cada Proyecto.</w:t>
      </w:r>
    </w:p>
    <w:p w14:paraId="4E312666" w14:textId="0A0ED7D8" w:rsidR="00DE1549" w:rsidRPr="004A64F4" w:rsidRDefault="00DE1549" w:rsidP="00DE1549">
      <w:pPr>
        <w:spacing w:line="240" w:lineRule="auto"/>
        <w:jc w:val="both"/>
        <w:rPr>
          <w:rFonts w:asciiTheme="minorHAnsi" w:hAnsiTheme="minorHAnsi" w:cstheme="minorHAnsi"/>
          <w:sz w:val="18"/>
          <w:szCs w:val="18"/>
        </w:rPr>
      </w:pPr>
      <w:r w:rsidRPr="004A64F4">
        <w:rPr>
          <w:rFonts w:asciiTheme="minorHAnsi" w:hAnsiTheme="minorHAnsi" w:cstheme="minorHAnsi"/>
          <w:sz w:val="18"/>
          <w:szCs w:val="18"/>
        </w:rPr>
        <w:t>Se entenderá como inversión pública, el presupuesto que comprende aquellas erogaciones que contribuyen a ampliar la infraestructura social y productiva, así como incrementar y preservar el patrimonio público del Estado de Tamaulipas, que contribuye a mejorar las condiciones de vida de su población.</w:t>
      </w:r>
    </w:p>
    <w:p w14:paraId="4E9AF9BC" w14:textId="1AB9BACA" w:rsidR="00DE1549" w:rsidRPr="004A64F4" w:rsidRDefault="00DE1549" w:rsidP="00DE1549">
      <w:pPr>
        <w:spacing w:line="240" w:lineRule="auto"/>
        <w:jc w:val="both"/>
        <w:rPr>
          <w:rFonts w:asciiTheme="minorHAnsi" w:hAnsiTheme="minorHAnsi" w:cstheme="minorHAnsi"/>
          <w:sz w:val="18"/>
          <w:szCs w:val="18"/>
        </w:rPr>
      </w:pPr>
      <w:r w:rsidRPr="004A64F4">
        <w:rPr>
          <w:rFonts w:asciiTheme="minorHAnsi" w:hAnsiTheme="minorHAnsi" w:cstheme="minorHAnsi"/>
          <w:sz w:val="18"/>
          <w:szCs w:val="18"/>
        </w:rPr>
        <w:t>La ampliación registrada en este capítulo de gasto corresponde, entre otras cosas, por el financiamiento para inversión pública y remanentes del Fondo de Aportaciones para el Fortalecimiento de las Entidades Federativas y Fondo para Entidades Federativas y Municipios Productores de Hidrocarburos.</w:t>
      </w:r>
    </w:p>
    <w:p w14:paraId="2A6B839B" w14:textId="2A7A59F3" w:rsidR="00DE1549" w:rsidRPr="00B34B21" w:rsidRDefault="00DE1549" w:rsidP="00DE1549">
      <w:pPr>
        <w:spacing w:line="240" w:lineRule="auto"/>
        <w:jc w:val="both"/>
        <w:rPr>
          <w:rFonts w:asciiTheme="minorHAnsi" w:hAnsiTheme="minorHAnsi" w:cstheme="minorHAnsi"/>
          <w:b/>
          <w:sz w:val="20"/>
          <w:szCs w:val="18"/>
        </w:rPr>
      </w:pPr>
      <w:r w:rsidRPr="00B34B21">
        <w:rPr>
          <w:rFonts w:asciiTheme="minorHAnsi" w:hAnsiTheme="minorHAnsi" w:cstheme="minorHAnsi"/>
          <w:b/>
          <w:sz w:val="20"/>
          <w:szCs w:val="18"/>
        </w:rPr>
        <w:t>Inversiones Financieras y Otras Provisiones</w:t>
      </w:r>
    </w:p>
    <w:p w14:paraId="79A490C5" w14:textId="57C9C948" w:rsidR="00DE1549" w:rsidRPr="004A64F4" w:rsidRDefault="00DE1549" w:rsidP="00DE1549">
      <w:pPr>
        <w:spacing w:line="240" w:lineRule="auto"/>
        <w:jc w:val="both"/>
        <w:rPr>
          <w:rFonts w:asciiTheme="minorHAnsi" w:hAnsiTheme="minorHAnsi" w:cstheme="minorHAnsi"/>
          <w:sz w:val="18"/>
          <w:szCs w:val="18"/>
        </w:rPr>
      </w:pPr>
      <w:r w:rsidRPr="004A64F4">
        <w:rPr>
          <w:rFonts w:asciiTheme="minorHAnsi" w:hAnsiTheme="minorHAnsi" w:cstheme="minorHAnsi"/>
          <w:sz w:val="18"/>
          <w:szCs w:val="18"/>
        </w:rPr>
        <w:t>El incremento para el concepto de gasto, inversiones en fideicomisos, mandatos y otros análogos, se origina por la radicación por parte de la federación de recursos extraordinarios para el fideicomiso Fondo de Fom</w:t>
      </w:r>
      <w:r w:rsidR="00E30E86">
        <w:rPr>
          <w:rFonts w:asciiTheme="minorHAnsi" w:hAnsiTheme="minorHAnsi" w:cstheme="minorHAnsi"/>
          <w:sz w:val="18"/>
          <w:szCs w:val="18"/>
        </w:rPr>
        <w:t>ento Agropecuario de Tamaulipas.</w:t>
      </w:r>
      <w:r w:rsidRPr="004A64F4">
        <w:rPr>
          <w:rFonts w:asciiTheme="minorHAnsi" w:hAnsiTheme="minorHAnsi" w:cstheme="minorHAnsi"/>
          <w:sz w:val="18"/>
          <w:szCs w:val="18"/>
        </w:rPr>
        <w:t xml:space="preserve"> La presupuestación la realizan exclusivamente las Dependencias o Entidades que en función de sus atribuciones lo requieran, quedando sujeta a su aprobación conforme a la normatividad aplicable.</w:t>
      </w:r>
    </w:p>
    <w:p w14:paraId="3952D000" w14:textId="16D0A47D" w:rsidR="00DE1549" w:rsidRPr="00B34B21" w:rsidRDefault="00DE1549" w:rsidP="00DE1549">
      <w:pPr>
        <w:spacing w:line="240" w:lineRule="auto"/>
        <w:jc w:val="both"/>
        <w:rPr>
          <w:rFonts w:asciiTheme="minorHAnsi" w:hAnsiTheme="minorHAnsi" w:cstheme="minorHAnsi"/>
          <w:b/>
          <w:sz w:val="20"/>
          <w:szCs w:val="18"/>
        </w:rPr>
      </w:pPr>
      <w:r w:rsidRPr="00B34B21">
        <w:rPr>
          <w:rFonts w:asciiTheme="minorHAnsi" w:hAnsiTheme="minorHAnsi" w:cstheme="minorHAnsi"/>
          <w:b/>
          <w:sz w:val="20"/>
          <w:szCs w:val="18"/>
        </w:rPr>
        <w:t>Deuda Pública</w:t>
      </w:r>
    </w:p>
    <w:p w14:paraId="39026259" w14:textId="0563BD2F" w:rsidR="00DE1549" w:rsidRPr="004A64F4" w:rsidRDefault="00DE1549" w:rsidP="00DE1549">
      <w:pPr>
        <w:spacing w:line="240" w:lineRule="auto"/>
        <w:jc w:val="both"/>
        <w:rPr>
          <w:rFonts w:asciiTheme="minorHAnsi" w:hAnsiTheme="minorHAnsi" w:cstheme="minorHAnsi"/>
          <w:b/>
          <w:sz w:val="18"/>
          <w:szCs w:val="18"/>
        </w:rPr>
      </w:pPr>
      <w:r w:rsidRPr="004A64F4">
        <w:rPr>
          <w:rFonts w:asciiTheme="minorHAnsi" w:hAnsiTheme="minorHAnsi" w:cstheme="minorHAnsi"/>
          <w:sz w:val="18"/>
          <w:szCs w:val="18"/>
        </w:rPr>
        <w:t>El monto destinado en este capítulo de gasto es presupuestado por la Secretaría de Finanzas conforme a las obligaciones crediticias del Gobierno del Estado, en cumplimiento a los programas de pago correspondientes se llevaron a cabo de acuerdo con las tablas de amortización y los intereses generados a la fecha de pago.</w:t>
      </w:r>
    </w:p>
    <w:p w14:paraId="2B83BBB6" w14:textId="3CEE785E" w:rsidR="00DE1549" w:rsidRPr="00B34B21" w:rsidRDefault="00DE1549" w:rsidP="00DE1549">
      <w:pPr>
        <w:spacing w:line="240" w:lineRule="auto"/>
        <w:jc w:val="both"/>
        <w:rPr>
          <w:rFonts w:asciiTheme="minorHAnsi" w:hAnsiTheme="minorHAnsi" w:cstheme="minorHAnsi"/>
          <w:b/>
          <w:sz w:val="20"/>
          <w:szCs w:val="18"/>
        </w:rPr>
      </w:pPr>
      <w:r w:rsidRPr="00B34B21">
        <w:rPr>
          <w:rFonts w:asciiTheme="minorHAnsi" w:hAnsiTheme="minorHAnsi" w:cstheme="minorHAnsi"/>
          <w:b/>
          <w:sz w:val="20"/>
          <w:szCs w:val="18"/>
        </w:rPr>
        <w:t>Intereses y Comisiones de la Deuda Pública</w:t>
      </w:r>
    </w:p>
    <w:p w14:paraId="77C5049D" w14:textId="1049EE0E" w:rsidR="00DE1549" w:rsidRPr="004A64F4" w:rsidRDefault="00DE1549" w:rsidP="00DE1549">
      <w:pPr>
        <w:spacing w:line="240" w:lineRule="auto"/>
        <w:jc w:val="both"/>
        <w:rPr>
          <w:rFonts w:asciiTheme="minorHAnsi" w:hAnsiTheme="minorHAnsi" w:cstheme="minorHAnsi"/>
          <w:sz w:val="18"/>
          <w:szCs w:val="18"/>
        </w:rPr>
      </w:pPr>
      <w:r w:rsidRPr="004A64F4">
        <w:rPr>
          <w:rFonts w:asciiTheme="minorHAnsi" w:hAnsiTheme="minorHAnsi" w:cstheme="minorHAnsi"/>
          <w:sz w:val="18"/>
          <w:szCs w:val="18"/>
        </w:rPr>
        <w:t>Con respecto a los intereses de la deuda pública se tuvo un incremento en la tasa TIlE a 28 días durante el año 2022, sin embargo, ésta no se ve como una afectación real en el total pagado contra lo presupuestado debido a que las contrataciones de las coberturas financieras cubrieron las diferencias de tasas estipuladas en los contratos.</w:t>
      </w:r>
    </w:p>
    <w:p w14:paraId="5C4EF085" w14:textId="3209AA1B" w:rsidR="00DE1549" w:rsidRPr="00B34B21" w:rsidRDefault="00DE1549" w:rsidP="00DE1549">
      <w:pPr>
        <w:spacing w:line="240" w:lineRule="auto"/>
        <w:jc w:val="both"/>
        <w:rPr>
          <w:rFonts w:asciiTheme="minorHAnsi" w:hAnsiTheme="minorHAnsi" w:cstheme="minorHAnsi"/>
          <w:b/>
          <w:sz w:val="20"/>
          <w:szCs w:val="18"/>
        </w:rPr>
      </w:pPr>
      <w:r w:rsidRPr="00B34B21">
        <w:rPr>
          <w:rFonts w:asciiTheme="minorHAnsi" w:hAnsiTheme="minorHAnsi" w:cstheme="minorHAnsi"/>
          <w:b/>
          <w:sz w:val="20"/>
          <w:szCs w:val="18"/>
        </w:rPr>
        <w:t>Adeudos de Ejercicios Fiscales Anteriores.</w:t>
      </w:r>
    </w:p>
    <w:p w14:paraId="5B6E1753" w14:textId="0650690F" w:rsidR="00DE1549" w:rsidRPr="004A64F4" w:rsidRDefault="00DE1549" w:rsidP="00DE1549">
      <w:pPr>
        <w:spacing w:line="240" w:lineRule="auto"/>
        <w:jc w:val="both"/>
        <w:rPr>
          <w:rFonts w:asciiTheme="minorHAnsi" w:hAnsiTheme="minorHAnsi" w:cstheme="minorHAnsi"/>
          <w:sz w:val="18"/>
          <w:szCs w:val="18"/>
        </w:rPr>
      </w:pPr>
      <w:r w:rsidRPr="004A64F4">
        <w:rPr>
          <w:rFonts w:asciiTheme="minorHAnsi" w:hAnsiTheme="minorHAnsi" w:cstheme="minorHAnsi"/>
          <w:sz w:val="18"/>
          <w:szCs w:val="18"/>
        </w:rPr>
        <w:t>En el Proyecto de Presupuesto de Egresos para el siguiente ejercicio fiscal, se considera para ADEFAS lo permitido en la Ley de Disciplina Financiera para las Entidades Federativas y los Municipios sin embargo, el proyecto antes mencionado se envía al H. Congreso del Estado durante los primero</w:t>
      </w:r>
      <w:r w:rsidR="00DA77F1">
        <w:rPr>
          <w:rFonts w:asciiTheme="minorHAnsi" w:hAnsiTheme="minorHAnsi" w:cstheme="minorHAnsi"/>
          <w:sz w:val="18"/>
          <w:szCs w:val="18"/>
        </w:rPr>
        <w:t>s</w:t>
      </w:r>
      <w:r w:rsidRPr="004A64F4">
        <w:rPr>
          <w:rFonts w:asciiTheme="minorHAnsi" w:hAnsiTheme="minorHAnsi" w:cstheme="minorHAnsi"/>
          <w:sz w:val="18"/>
          <w:szCs w:val="18"/>
        </w:rPr>
        <w:t xml:space="preserve"> diez días del mes de diciembre, después de esa fecha se determinó una cantidad menor para este tema derivado de ingresos que pudieron cubrir parte de esos adeudos de ejercicios fiscales anteriores, que ya estaban considerados en el Proyecto de Presupuesto de Egresos enviado previamente al H. Congreso del Estado para su autorización y publicación en el Periódico Oficial del Estado.</w:t>
      </w:r>
    </w:p>
    <w:p w14:paraId="2981B268" w14:textId="759C9A9C" w:rsidR="00DE1549" w:rsidRDefault="00DE1549" w:rsidP="00DE1549">
      <w:pPr>
        <w:spacing w:after="0" w:line="240" w:lineRule="auto"/>
        <w:rPr>
          <w:rFonts w:asciiTheme="minorHAnsi" w:hAnsiTheme="minorHAnsi" w:cstheme="minorHAnsi"/>
          <w:sz w:val="18"/>
          <w:szCs w:val="18"/>
        </w:rPr>
      </w:pPr>
      <w:r w:rsidRPr="004A64F4">
        <w:rPr>
          <w:rFonts w:asciiTheme="minorHAnsi" w:hAnsiTheme="minorHAnsi" w:cstheme="minorHAnsi"/>
          <w:sz w:val="18"/>
          <w:szCs w:val="18"/>
        </w:rPr>
        <w:t>Con respecto a las Participaciones y Aportaciones, no presentan modificaciones relevantes</w:t>
      </w:r>
      <w:r w:rsidR="00B34B21">
        <w:rPr>
          <w:rFonts w:asciiTheme="minorHAnsi" w:hAnsiTheme="minorHAnsi" w:cstheme="minorHAnsi"/>
          <w:sz w:val="18"/>
          <w:szCs w:val="18"/>
        </w:rPr>
        <w:t>.</w:t>
      </w:r>
    </w:p>
    <w:p w14:paraId="3F67D432" w14:textId="5A56B4B9" w:rsidR="00B34B21" w:rsidRPr="004A64F4" w:rsidRDefault="00B34B21" w:rsidP="00DE1549">
      <w:pPr>
        <w:spacing w:after="0" w:line="240" w:lineRule="auto"/>
        <w:rPr>
          <w:rFonts w:asciiTheme="minorHAnsi" w:hAnsiTheme="minorHAnsi" w:cstheme="minorHAnsi"/>
          <w:sz w:val="18"/>
          <w:szCs w:val="18"/>
        </w:rPr>
      </w:pPr>
    </w:p>
    <w:p w14:paraId="73338569" w14:textId="68EBCAB4" w:rsidR="0049640B" w:rsidRPr="005F45A3" w:rsidRDefault="00855C55" w:rsidP="001B03F0">
      <w:pPr>
        <w:spacing w:after="0" w:line="240" w:lineRule="auto"/>
        <w:jc w:val="both"/>
        <w:rPr>
          <w:rFonts w:asciiTheme="minorHAnsi" w:hAnsiTheme="minorHAnsi" w:cstheme="minorHAnsi"/>
          <w:sz w:val="17"/>
          <w:szCs w:val="17"/>
          <w:lang w:val="es-ES" w:eastAsia="es-ES"/>
        </w:rPr>
      </w:pPr>
      <w:r w:rsidRPr="005F45A3">
        <w:rPr>
          <w:rFonts w:asciiTheme="minorHAnsi" w:hAnsiTheme="minorHAnsi" w:cstheme="minorHAnsi"/>
          <w:b/>
          <w:sz w:val="18"/>
          <w:szCs w:val="18"/>
          <w:lang w:eastAsia="es-ES"/>
        </w:rPr>
        <w:t xml:space="preserve">       </w:t>
      </w:r>
    </w:p>
    <w:p w14:paraId="4C2607A7" w14:textId="4CF204C7" w:rsidR="00A869D5" w:rsidRPr="005F45A3" w:rsidRDefault="00A869D5" w:rsidP="00A869D5">
      <w:pPr>
        <w:spacing w:after="0" w:line="240" w:lineRule="auto"/>
        <w:jc w:val="both"/>
        <w:rPr>
          <w:rFonts w:asciiTheme="minorHAnsi" w:eastAsia="Times New Roman" w:hAnsiTheme="minorHAnsi" w:cstheme="minorHAnsi"/>
          <w:sz w:val="14"/>
          <w:szCs w:val="14"/>
          <w:lang w:val="es-ES" w:eastAsia="es-ES"/>
        </w:rPr>
      </w:pPr>
      <w:r w:rsidRPr="005F45A3">
        <w:rPr>
          <w:rFonts w:asciiTheme="minorHAnsi" w:hAnsiTheme="minorHAnsi" w:cstheme="minorHAnsi"/>
          <w:sz w:val="14"/>
          <w:szCs w:val="14"/>
          <w:lang w:val="es-ES" w:eastAsia="es-ES"/>
        </w:rPr>
        <w:t xml:space="preserve">* El monto del concepto de Obra pública </w:t>
      </w:r>
      <w:r w:rsidRPr="005F45A3">
        <w:rPr>
          <w:rFonts w:asciiTheme="minorHAnsi" w:eastAsia="Times New Roman" w:hAnsiTheme="minorHAnsi" w:cstheme="minorHAnsi"/>
          <w:sz w:val="14"/>
          <w:szCs w:val="14"/>
          <w:lang w:val="es-ES" w:eastAsia="es-ES"/>
        </w:rPr>
        <w:t>corresponde a la suma- resta del importe de recursos ejercidos en Inversión Pública en el Estado Analítico del Presupuesto de Egresos Clasificación por Objeto del Gasto (Capítulo y Concepto) y el reporte financiero contable del Estado de Actividades en el renglón de Inversión Pública.</w:t>
      </w:r>
    </w:p>
    <w:p w14:paraId="6A007552" w14:textId="192F4976" w:rsidR="00A869D5" w:rsidRDefault="00A869D5" w:rsidP="00A869D5">
      <w:pPr>
        <w:spacing w:after="0" w:line="240" w:lineRule="auto"/>
        <w:rPr>
          <w:rFonts w:asciiTheme="minorHAnsi" w:eastAsia="Times New Roman" w:hAnsiTheme="minorHAnsi" w:cstheme="minorHAnsi"/>
          <w:sz w:val="14"/>
          <w:szCs w:val="14"/>
          <w:lang w:val="es-ES" w:eastAsia="es-ES"/>
        </w:rPr>
      </w:pPr>
    </w:p>
    <w:p w14:paraId="2CF1C363" w14:textId="58456922" w:rsidR="00A869D5" w:rsidRDefault="00A869D5" w:rsidP="007320A7">
      <w:pPr>
        <w:spacing w:after="0" w:line="240" w:lineRule="auto"/>
        <w:rPr>
          <w:rFonts w:asciiTheme="minorHAnsi" w:eastAsia="Times New Roman" w:hAnsiTheme="minorHAnsi" w:cstheme="minorHAnsi"/>
          <w:sz w:val="14"/>
          <w:szCs w:val="14"/>
          <w:lang w:val="es-ES" w:eastAsia="es-ES"/>
        </w:rPr>
      </w:pPr>
    </w:p>
    <w:p w14:paraId="51A49989" w14:textId="43991BBD" w:rsidR="00A869D5" w:rsidRDefault="00A869D5" w:rsidP="007320A7">
      <w:pPr>
        <w:spacing w:after="0" w:line="240" w:lineRule="auto"/>
        <w:rPr>
          <w:rFonts w:asciiTheme="minorHAnsi" w:eastAsia="Times New Roman" w:hAnsiTheme="minorHAnsi" w:cstheme="minorHAnsi"/>
          <w:sz w:val="14"/>
          <w:szCs w:val="14"/>
          <w:lang w:val="es-ES" w:eastAsia="es-ES"/>
        </w:rPr>
      </w:pPr>
    </w:p>
    <w:p w14:paraId="3362533F" w14:textId="0C7BEBF3" w:rsidR="00A869D5" w:rsidRDefault="00A869D5" w:rsidP="007320A7">
      <w:pPr>
        <w:spacing w:after="0" w:line="240" w:lineRule="auto"/>
        <w:rPr>
          <w:rFonts w:asciiTheme="minorHAnsi" w:eastAsia="Times New Roman" w:hAnsiTheme="minorHAnsi" w:cstheme="minorHAnsi"/>
          <w:sz w:val="14"/>
          <w:szCs w:val="14"/>
          <w:lang w:val="es-ES" w:eastAsia="es-ES"/>
        </w:rPr>
      </w:pPr>
    </w:p>
    <w:p w14:paraId="1CAC6A46" w14:textId="5B8EA27B" w:rsidR="00A869D5" w:rsidRDefault="00A869D5" w:rsidP="007320A7">
      <w:pPr>
        <w:spacing w:after="0" w:line="240" w:lineRule="auto"/>
        <w:rPr>
          <w:rFonts w:asciiTheme="minorHAnsi" w:eastAsia="Times New Roman" w:hAnsiTheme="minorHAnsi" w:cstheme="minorHAnsi"/>
          <w:sz w:val="14"/>
          <w:szCs w:val="14"/>
          <w:lang w:val="es-ES" w:eastAsia="es-ES"/>
        </w:rPr>
      </w:pPr>
    </w:p>
    <w:p w14:paraId="1B839107" w14:textId="7280EC48" w:rsidR="000E7075" w:rsidRPr="005F45A3" w:rsidRDefault="006261BD" w:rsidP="00AC7D32">
      <w:pPr>
        <w:spacing w:after="0" w:line="240" w:lineRule="auto"/>
        <w:rPr>
          <w:rFonts w:asciiTheme="minorHAnsi" w:eastAsia="Times New Roman" w:hAnsiTheme="minorHAnsi" w:cstheme="minorHAnsi"/>
          <w:sz w:val="14"/>
          <w:szCs w:val="14"/>
          <w:lang w:val="es-ES" w:eastAsia="es-ES"/>
        </w:rPr>
      </w:pPr>
      <w:r w:rsidRPr="005F45A3">
        <w:rPr>
          <w:rFonts w:asciiTheme="minorHAnsi" w:eastAsia="Times New Roman" w:hAnsiTheme="minorHAnsi" w:cstheme="minorHAnsi"/>
          <w:sz w:val="14"/>
          <w:szCs w:val="14"/>
          <w:lang w:val="es-ES" w:eastAsia="es-ES"/>
        </w:rPr>
        <w:t xml:space="preserve">“ </w:t>
      </w:r>
      <w:r w:rsidR="00A00E5E" w:rsidRPr="005F45A3">
        <w:rPr>
          <w:rFonts w:asciiTheme="minorHAnsi" w:eastAsia="Times New Roman" w:hAnsiTheme="minorHAnsi" w:cstheme="minorHAnsi"/>
          <w:sz w:val="14"/>
          <w:szCs w:val="14"/>
          <w:lang w:val="es-ES" w:eastAsia="es-ES"/>
        </w:rPr>
        <w:t>Bajo protesta de decir verdad declaramos que los Estados Financieros y sus Notas</w:t>
      </w:r>
      <w:r w:rsidR="008913B6">
        <w:rPr>
          <w:rFonts w:asciiTheme="minorHAnsi" w:eastAsia="Times New Roman" w:hAnsiTheme="minorHAnsi" w:cstheme="minorHAnsi"/>
          <w:sz w:val="14"/>
          <w:szCs w:val="14"/>
          <w:lang w:val="es-ES" w:eastAsia="es-ES"/>
        </w:rPr>
        <w:t>,</w:t>
      </w:r>
      <w:r w:rsidR="00A00E5E" w:rsidRPr="005F45A3">
        <w:rPr>
          <w:rFonts w:asciiTheme="minorHAnsi" w:eastAsia="Times New Roman" w:hAnsiTheme="minorHAnsi" w:cstheme="minorHAnsi"/>
          <w:sz w:val="14"/>
          <w:szCs w:val="14"/>
          <w:lang w:val="es-ES" w:eastAsia="es-ES"/>
        </w:rPr>
        <w:t xml:space="preserve"> son razonablemente correctos y son responsabilidad del emisor</w:t>
      </w:r>
      <w:r w:rsidRPr="005F45A3">
        <w:rPr>
          <w:rFonts w:asciiTheme="minorHAnsi" w:eastAsia="Times New Roman" w:hAnsiTheme="minorHAnsi" w:cstheme="minorHAnsi"/>
          <w:sz w:val="14"/>
          <w:szCs w:val="14"/>
          <w:lang w:val="es-ES" w:eastAsia="es-ES"/>
        </w:rPr>
        <w:t xml:space="preserve"> “</w:t>
      </w:r>
    </w:p>
    <w:p w14:paraId="215F71D1" w14:textId="7A70A9E4" w:rsidR="000E7075" w:rsidRPr="005F45A3" w:rsidRDefault="000E7075" w:rsidP="00AC7D32">
      <w:pPr>
        <w:spacing w:after="0" w:line="240" w:lineRule="auto"/>
        <w:rPr>
          <w:rFonts w:asciiTheme="minorHAnsi" w:eastAsia="Times New Roman" w:hAnsiTheme="minorHAnsi" w:cstheme="minorHAnsi"/>
          <w:sz w:val="14"/>
          <w:szCs w:val="14"/>
          <w:lang w:val="es-ES" w:eastAsia="es-ES"/>
        </w:rPr>
      </w:pPr>
    </w:p>
    <w:p w14:paraId="4EBA48B8" w14:textId="6FBBF747" w:rsidR="00D30FA3" w:rsidRDefault="00D30FA3" w:rsidP="00AC7D32">
      <w:pPr>
        <w:spacing w:after="0" w:line="240" w:lineRule="auto"/>
        <w:rPr>
          <w:rFonts w:asciiTheme="minorHAnsi" w:eastAsia="Times New Roman" w:hAnsiTheme="minorHAnsi" w:cstheme="minorHAnsi"/>
          <w:sz w:val="14"/>
          <w:szCs w:val="14"/>
          <w:lang w:val="es-ES" w:eastAsia="es-ES"/>
        </w:rPr>
      </w:pPr>
    </w:p>
    <w:p w14:paraId="5352ADF7" w14:textId="36E056D2" w:rsidR="00E30E86" w:rsidRDefault="00E30E86" w:rsidP="00AC7D32">
      <w:pPr>
        <w:spacing w:after="0" w:line="240" w:lineRule="auto"/>
        <w:rPr>
          <w:rFonts w:asciiTheme="minorHAnsi" w:eastAsia="Times New Roman" w:hAnsiTheme="minorHAnsi" w:cstheme="minorHAnsi"/>
          <w:sz w:val="14"/>
          <w:szCs w:val="14"/>
          <w:lang w:val="es-ES" w:eastAsia="es-ES"/>
        </w:rPr>
      </w:pPr>
    </w:p>
    <w:p w14:paraId="602FDE17" w14:textId="448B5BDA" w:rsidR="00E30E86" w:rsidRDefault="00E30E86" w:rsidP="00AC7D32">
      <w:pPr>
        <w:spacing w:after="0" w:line="240" w:lineRule="auto"/>
        <w:rPr>
          <w:rFonts w:asciiTheme="minorHAnsi" w:eastAsia="Times New Roman" w:hAnsiTheme="minorHAnsi" w:cstheme="minorHAnsi"/>
          <w:sz w:val="14"/>
          <w:szCs w:val="14"/>
          <w:lang w:val="es-ES" w:eastAsia="es-ES"/>
        </w:rPr>
      </w:pPr>
    </w:p>
    <w:p w14:paraId="4476C196" w14:textId="6C7BFB16" w:rsidR="00E30E86" w:rsidRDefault="00E30E86" w:rsidP="00AC7D32">
      <w:pPr>
        <w:spacing w:after="0" w:line="240" w:lineRule="auto"/>
        <w:rPr>
          <w:rFonts w:asciiTheme="minorHAnsi" w:eastAsia="Times New Roman" w:hAnsiTheme="minorHAnsi" w:cstheme="minorHAnsi"/>
          <w:sz w:val="14"/>
          <w:szCs w:val="14"/>
          <w:lang w:val="es-ES" w:eastAsia="es-ES"/>
        </w:rPr>
      </w:pPr>
    </w:p>
    <w:p w14:paraId="106A393B" w14:textId="59D940F1" w:rsidR="00E30E86" w:rsidRPr="005F45A3" w:rsidRDefault="00975776" w:rsidP="00AC7D32">
      <w:pPr>
        <w:spacing w:after="0" w:line="240" w:lineRule="auto"/>
        <w:rPr>
          <w:rFonts w:asciiTheme="minorHAnsi" w:eastAsia="Times New Roman" w:hAnsiTheme="minorHAnsi" w:cstheme="minorHAnsi"/>
          <w:sz w:val="14"/>
          <w:szCs w:val="14"/>
          <w:lang w:val="es-ES" w:eastAsia="es-ES"/>
        </w:rPr>
      </w:pPr>
      <w:r w:rsidRPr="00BD1898">
        <w:rPr>
          <w:noProof/>
          <w:lang w:eastAsia="es-MX"/>
        </w:rPr>
        <mc:AlternateContent>
          <mc:Choice Requires="wps">
            <w:drawing>
              <wp:anchor distT="0" distB="0" distL="114300" distR="114300" simplePos="0" relativeHeight="251659264" behindDoc="0" locked="0" layoutInCell="1" allowOverlap="1" wp14:anchorId="1A5D2335" wp14:editId="7E9D422D">
                <wp:simplePos x="0" y="0"/>
                <wp:positionH relativeFrom="column">
                  <wp:posOffset>-128905</wp:posOffset>
                </wp:positionH>
                <wp:positionV relativeFrom="paragraph">
                  <wp:posOffset>116840</wp:posOffset>
                </wp:positionV>
                <wp:extent cx="1666875" cy="648335"/>
                <wp:effectExtent l="0" t="0" r="0" b="0"/>
                <wp:wrapSquare wrapText="bothSides"/>
                <wp:docPr id="7" name="7 CuadroTexto"/>
                <wp:cNvGraphicFramePr/>
                <a:graphic xmlns:a="http://schemas.openxmlformats.org/drawingml/2006/main">
                  <a:graphicData uri="http://schemas.microsoft.com/office/word/2010/wordprocessingShape">
                    <wps:wsp>
                      <wps:cNvSpPr txBox="1"/>
                      <wps:spPr>
                        <a:xfrm>
                          <a:off x="0" y="0"/>
                          <a:ext cx="1666875" cy="648335"/>
                        </a:xfrm>
                        <a:prstGeom prst="rect">
                          <a:avLst/>
                        </a:prstGeom>
                        <a:noFill/>
                        <a:ln>
                          <a:noFill/>
                        </a:ln>
                      </wps:spPr>
                      <wps:style>
                        <a:lnRef idx="0">
                          <a:scrgbClr r="0" g="0" b="0"/>
                        </a:lnRef>
                        <a:fillRef idx="0">
                          <a:scrgbClr r="0" g="0" b="0"/>
                        </a:fillRef>
                        <a:effectRef idx="0">
                          <a:scrgbClr r="0" g="0" b="0"/>
                        </a:effectRef>
                        <a:fontRef idx="minor">
                          <a:schemeClr val="tx1"/>
                        </a:fontRef>
                      </wps:style>
                      <wps:txbx>
                        <w:txbxContent>
                          <w:p w14:paraId="4E8167D3" w14:textId="30E05489" w:rsidR="00155D42" w:rsidRPr="00975776" w:rsidRDefault="00155D42" w:rsidP="00BD1898">
                            <w:pPr>
                              <w:pStyle w:val="NormalWeb"/>
                              <w:spacing w:before="0" w:beforeAutospacing="0" w:after="0" w:afterAutospacing="0"/>
                              <w:jc w:val="center"/>
                              <w:rPr>
                                <w:rFonts w:ascii="Encode Sans" w:hAnsi="Encode Sans"/>
                                <w:sz w:val="16"/>
                                <w:szCs w:val="16"/>
                              </w:rPr>
                            </w:pPr>
                          </w:p>
                        </w:txbxContent>
                      </wps:txbx>
                      <wps:bodyPr vertOverflow="clip" horzOverflow="clip" wrap="square" rtlCol="0" anchor="t">
                        <a:noAutofit/>
                      </wps:bodyPr>
                    </wps:wsp>
                  </a:graphicData>
                </a:graphic>
                <wp14:sizeRelH relativeFrom="margin">
                  <wp14:pctWidth>0</wp14:pctWidth>
                </wp14:sizeRelH>
              </wp:anchor>
            </w:drawing>
          </mc:Choice>
          <mc:Fallback>
            <w:pict>
              <v:shapetype w14:anchorId="1A5D2335" id="_x0000_t202" coordsize="21600,21600" o:spt="202" path="m,l,21600r21600,l21600,xe">
                <v:stroke joinstyle="miter"/>
                <v:path gradientshapeok="t" o:connecttype="rect"/>
              </v:shapetype>
              <v:shape id="7 CuadroTexto" o:spid="_x0000_s1026" type="#_x0000_t202" style="position:absolute;margin-left:-10.15pt;margin-top:9.2pt;width:131.25pt;height:51.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" filled="f" stroked="f">
                <v:textbox>
                  <w:txbxContent>
                    <w:p w14:paraId="4E8167D3" w14:textId="30E05489" w:rsidR="00155D42" w:rsidRPr="00975776" w:rsidRDefault="00155D42" w:rsidP="00BD1898">
                      <w:pPr>
                        <w:pStyle w:val="NormalWeb"/>
                        <w:spacing w:before="0" w:beforeAutospacing="0" w:after="0" w:afterAutospacing="0"/>
                        <w:jc w:val="center"/>
                        <w:rPr>
                          <w:rFonts w:ascii="Encode Sans" w:hAnsi="Encode Sans"/>
                          <w:sz w:val="16"/>
                          <w:szCs w:val="16"/>
                        </w:rPr>
                      </w:pPr>
                    </w:p>
                  </w:txbxContent>
                </v:textbox>
                <w10:wrap type="square"/>
              </v:shape>
            </w:pict>
          </mc:Fallback>
        </mc:AlternateContent>
      </w:r>
    </w:p>
    <w:p w14:paraId="5B84A77D" w14:textId="52B813A1" w:rsidR="00D30FA3" w:rsidRPr="005F45A3" w:rsidRDefault="00D30FA3" w:rsidP="00AC7D32">
      <w:pPr>
        <w:spacing w:after="0" w:line="240" w:lineRule="auto"/>
        <w:rPr>
          <w:rFonts w:asciiTheme="minorHAnsi" w:eastAsia="Times New Roman" w:hAnsiTheme="minorHAnsi" w:cstheme="minorHAnsi"/>
          <w:sz w:val="14"/>
          <w:szCs w:val="14"/>
          <w:lang w:val="es-ES" w:eastAsia="es-ES"/>
        </w:rPr>
      </w:pPr>
    </w:p>
    <w:p w14:paraId="630DAD39" w14:textId="58B1008A" w:rsidR="00975776" w:rsidRDefault="00975776" w:rsidP="00D30FA3">
      <w:pPr>
        <w:spacing w:after="0" w:line="240" w:lineRule="auto"/>
        <w:jc w:val="center"/>
        <w:rPr>
          <w:rFonts w:asciiTheme="minorHAnsi" w:eastAsia="Times New Roman" w:hAnsiTheme="minorHAnsi" w:cstheme="minorHAnsi"/>
          <w:b/>
          <w:szCs w:val="14"/>
          <w:lang w:val="es-ES" w:eastAsia="es-ES"/>
        </w:rPr>
      </w:pPr>
    </w:p>
    <w:p w14:paraId="7200B660" w14:textId="77777777" w:rsidR="00372473" w:rsidRDefault="00372473" w:rsidP="00D30FA3">
      <w:pPr>
        <w:spacing w:after="0" w:line="240" w:lineRule="auto"/>
        <w:jc w:val="center"/>
        <w:rPr>
          <w:rFonts w:asciiTheme="minorHAnsi" w:eastAsia="Times New Roman" w:hAnsiTheme="minorHAnsi" w:cstheme="minorHAnsi"/>
          <w:b/>
          <w:szCs w:val="14"/>
          <w:lang w:val="es-ES" w:eastAsia="es-ES"/>
        </w:rPr>
      </w:pPr>
    </w:p>
    <w:p w14:paraId="55809C20" w14:textId="77777777" w:rsidR="00372473" w:rsidRDefault="00372473" w:rsidP="00D30FA3">
      <w:pPr>
        <w:spacing w:after="0" w:line="240" w:lineRule="auto"/>
        <w:jc w:val="center"/>
        <w:rPr>
          <w:rFonts w:asciiTheme="minorHAnsi" w:eastAsia="Times New Roman" w:hAnsiTheme="minorHAnsi" w:cstheme="minorHAnsi"/>
          <w:b/>
          <w:szCs w:val="14"/>
          <w:lang w:val="es-ES" w:eastAsia="es-ES"/>
        </w:rPr>
      </w:pPr>
    </w:p>
    <w:p w14:paraId="41F25968" w14:textId="77777777" w:rsidR="00372473" w:rsidRDefault="00372473" w:rsidP="00D30FA3">
      <w:pPr>
        <w:spacing w:after="0" w:line="240" w:lineRule="auto"/>
        <w:jc w:val="center"/>
        <w:rPr>
          <w:rFonts w:asciiTheme="minorHAnsi" w:eastAsia="Times New Roman" w:hAnsiTheme="minorHAnsi" w:cstheme="minorHAnsi"/>
          <w:b/>
          <w:szCs w:val="14"/>
          <w:lang w:val="es-ES" w:eastAsia="es-ES"/>
        </w:rPr>
      </w:pPr>
    </w:p>
    <w:p w14:paraId="0CACDE49" w14:textId="05B30C6D" w:rsidR="00975776" w:rsidRDefault="00975776" w:rsidP="00D30FA3">
      <w:pPr>
        <w:spacing w:after="0" w:line="240" w:lineRule="auto"/>
        <w:jc w:val="center"/>
        <w:rPr>
          <w:rFonts w:asciiTheme="minorHAnsi" w:eastAsia="Times New Roman" w:hAnsiTheme="minorHAnsi" w:cstheme="minorHAnsi"/>
          <w:b/>
          <w:szCs w:val="14"/>
          <w:lang w:val="es-ES" w:eastAsia="es-ES"/>
        </w:rPr>
      </w:pPr>
    </w:p>
    <w:p w14:paraId="3C90EC76" w14:textId="6B03D26F" w:rsidR="00D30FA3" w:rsidRPr="005F45A3" w:rsidRDefault="00D30FA3" w:rsidP="00D30FA3">
      <w:pPr>
        <w:spacing w:after="0" w:line="240" w:lineRule="auto"/>
        <w:jc w:val="center"/>
        <w:rPr>
          <w:rFonts w:asciiTheme="minorHAnsi" w:eastAsia="Times New Roman" w:hAnsiTheme="minorHAnsi" w:cstheme="minorHAnsi"/>
          <w:b/>
          <w:szCs w:val="14"/>
          <w:lang w:val="es-ES" w:eastAsia="es-ES"/>
        </w:rPr>
      </w:pPr>
      <w:r w:rsidRPr="005F45A3">
        <w:rPr>
          <w:rFonts w:asciiTheme="minorHAnsi" w:eastAsia="Times New Roman" w:hAnsiTheme="minorHAnsi" w:cstheme="minorHAnsi"/>
          <w:b/>
          <w:szCs w:val="14"/>
          <w:lang w:val="es-ES" w:eastAsia="es-ES"/>
        </w:rPr>
        <w:t>NOTAS A LOS ESTADOS FINANCIEROS</w:t>
      </w:r>
    </w:p>
    <w:p w14:paraId="1ECC3DBD" w14:textId="77777777" w:rsidR="00643961" w:rsidRPr="005F45A3" w:rsidRDefault="00643961" w:rsidP="00D30FA3">
      <w:pPr>
        <w:spacing w:after="0" w:line="240" w:lineRule="auto"/>
        <w:jc w:val="center"/>
        <w:rPr>
          <w:rFonts w:asciiTheme="minorHAnsi" w:eastAsia="Times New Roman" w:hAnsiTheme="minorHAnsi" w:cstheme="minorHAnsi"/>
          <w:b/>
          <w:szCs w:val="14"/>
          <w:lang w:val="es-ES" w:eastAsia="es-ES"/>
        </w:rPr>
      </w:pPr>
    </w:p>
    <w:p w14:paraId="1C695175" w14:textId="77777777" w:rsidR="00D30FA3" w:rsidRPr="005F45A3" w:rsidRDefault="00D30FA3" w:rsidP="00B46FFA">
      <w:pPr>
        <w:pStyle w:val="Prrafodelista"/>
        <w:numPr>
          <w:ilvl w:val="0"/>
          <w:numId w:val="19"/>
        </w:numPr>
        <w:ind w:left="284" w:hanging="284"/>
        <w:jc w:val="center"/>
        <w:rPr>
          <w:rFonts w:asciiTheme="minorHAnsi" w:eastAsia="Times New Roman" w:hAnsiTheme="minorHAnsi" w:cstheme="minorHAnsi"/>
          <w:b/>
          <w:szCs w:val="18"/>
          <w:lang w:eastAsia="es-ES"/>
        </w:rPr>
      </w:pPr>
      <w:r w:rsidRPr="005F45A3">
        <w:rPr>
          <w:rFonts w:asciiTheme="minorHAnsi" w:eastAsia="Times New Roman" w:hAnsiTheme="minorHAnsi" w:cstheme="minorHAnsi"/>
          <w:b/>
          <w:szCs w:val="18"/>
          <w:lang w:eastAsia="es-ES"/>
        </w:rPr>
        <w:t>Notas de Memoria (Cuentas de Orden)</w:t>
      </w:r>
    </w:p>
    <w:p w14:paraId="0F66A829" w14:textId="77777777" w:rsidR="00D30FA3" w:rsidRPr="005F45A3" w:rsidRDefault="00D30FA3" w:rsidP="00D30FA3">
      <w:pPr>
        <w:pStyle w:val="Texto"/>
        <w:spacing w:after="0" w:line="240" w:lineRule="exact"/>
        <w:ind w:firstLine="0"/>
        <w:rPr>
          <w:rFonts w:asciiTheme="minorHAnsi" w:hAnsiTheme="minorHAnsi" w:cstheme="minorHAnsi"/>
          <w:szCs w:val="18"/>
          <w:lang w:val="es-MX"/>
        </w:rPr>
      </w:pPr>
      <w:r w:rsidRPr="005F45A3">
        <w:rPr>
          <w:rFonts w:asciiTheme="minorHAnsi" w:hAnsiTheme="minorHAnsi" w:cstheme="minorHAnsi"/>
        </w:rPr>
        <w:t xml:space="preserve">Las Cuentas de Orden se utilizan </w:t>
      </w:r>
      <w:r w:rsidRPr="005F45A3">
        <w:rPr>
          <w:rFonts w:asciiTheme="minorHAnsi" w:hAnsiTheme="minorHAnsi" w:cstheme="minorHAnsi"/>
          <w:szCs w:val="18"/>
          <w:lang w:val="es-MX"/>
        </w:rPr>
        <w:t>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704DD847" w14:textId="77777777" w:rsidR="00D30FA3" w:rsidRPr="005F45A3" w:rsidRDefault="00D30FA3" w:rsidP="00D30FA3">
      <w:pPr>
        <w:pStyle w:val="Texto"/>
        <w:spacing w:after="0" w:line="240" w:lineRule="exact"/>
        <w:ind w:firstLine="0"/>
        <w:rPr>
          <w:rFonts w:asciiTheme="minorHAnsi" w:hAnsiTheme="minorHAnsi" w:cstheme="minorHAnsi"/>
          <w:szCs w:val="18"/>
          <w:lang w:val="es-MX"/>
        </w:rPr>
      </w:pPr>
    </w:p>
    <w:p w14:paraId="756EFC26" w14:textId="77777777" w:rsidR="00D30FA3" w:rsidRPr="005F45A3" w:rsidRDefault="00D30FA3" w:rsidP="006D5D62">
      <w:pPr>
        <w:spacing w:after="0"/>
        <w:rPr>
          <w:rFonts w:asciiTheme="minorHAnsi" w:hAnsiTheme="minorHAnsi" w:cstheme="minorHAnsi"/>
          <w:sz w:val="18"/>
          <w:szCs w:val="18"/>
        </w:rPr>
      </w:pPr>
      <w:r w:rsidRPr="005F45A3">
        <w:rPr>
          <w:rFonts w:asciiTheme="minorHAnsi" w:hAnsiTheme="minorHAnsi" w:cstheme="minorHAnsi"/>
          <w:sz w:val="18"/>
          <w:szCs w:val="18"/>
        </w:rPr>
        <w:t>Las cuentas que se manejan para efectos de este documento son las siguientes:</w:t>
      </w:r>
    </w:p>
    <w:p w14:paraId="3DCC2E6C" w14:textId="77777777" w:rsidR="006D5D62" w:rsidRPr="005F45A3" w:rsidRDefault="006D5D62" w:rsidP="006D5D62">
      <w:pPr>
        <w:spacing w:after="0"/>
        <w:rPr>
          <w:rFonts w:asciiTheme="minorHAnsi" w:hAnsiTheme="minorHAnsi" w:cstheme="minorHAnsi"/>
          <w:sz w:val="18"/>
          <w:szCs w:val="18"/>
        </w:rPr>
      </w:pPr>
    </w:p>
    <w:p w14:paraId="5D1DBF5F" w14:textId="77777777" w:rsidR="00D30FA3" w:rsidRPr="005F45A3" w:rsidRDefault="00D30FA3" w:rsidP="006D5D62">
      <w:pPr>
        <w:spacing w:after="0"/>
        <w:rPr>
          <w:rFonts w:asciiTheme="minorHAnsi" w:hAnsiTheme="minorHAnsi" w:cstheme="minorHAnsi"/>
          <w:b/>
          <w:sz w:val="20"/>
          <w:szCs w:val="18"/>
        </w:rPr>
      </w:pPr>
      <w:r w:rsidRPr="005F45A3">
        <w:rPr>
          <w:rFonts w:asciiTheme="minorHAnsi" w:hAnsiTheme="minorHAnsi" w:cstheme="minorHAnsi"/>
          <w:b/>
          <w:sz w:val="20"/>
          <w:szCs w:val="18"/>
        </w:rPr>
        <w:t>Cuentas de Orden Contables y Presupu</w:t>
      </w:r>
      <w:r w:rsidR="004F5A6E" w:rsidRPr="005F45A3">
        <w:rPr>
          <w:rFonts w:asciiTheme="minorHAnsi" w:hAnsiTheme="minorHAnsi" w:cstheme="minorHAnsi"/>
          <w:b/>
          <w:sz w:val="20"/>
          <w:szCs w:val="18"/>
        </w:rPr>
        <w:t>estarias</w:t>
      </w:r>
    </w:p>
    <w:p w14:paraId="59438D0E" w14:textId="77777777" w:rsidR="006D5D62" w:rsidRPr="005F45A3" w:rsidRDefault="006D5D62" w:rsidP="006D5D62">
      <w:pPr>
        <w:spacing w:after="0"/>
        <w:rPr>
          <w:rFonts w:asciiTheme="minorHAnsi" w:hAnsiTheme="minorHAnsi" w:cstheme="minorHAnsi"/>
          <w:b/>
          <w:sz w:val="20"/>
          <w:szCs w:val="18"/>
        </w:rPr>
      </w:pPr>
    </w:p>
    <w:tbl>
      <w:tblPr>
        <w:tblW w:w="6941" w:type="dxa"/>
        <w:tblCellMar>
          <w:left w:w="70" w:type="dxa"/>
          <w:right w:w="70" w:type="dxa"/>
        </w:tblCellMar>
        <w:tblLook w:val="04A0" w:firstRow="1" w:lastRow="0" w:firstColumn="1" w:lastColumn="0" w:noHBand="0" w:noVBand="1"/>
      </w:tblPr>
      <w:tblGrid>
        <w:gridCol w:w="5240"/>
        <w:gridCol w:w="1701"/>
      </w:tblGrid>
      <w:tr w:rsidR="00AE6095" w:rsidRPr="00AE6095" w14:paraId="204760E5" w14:textId="77777777" w:rsidTr="004A5AEA">
        <w:trPr>
          <w:trHeight w:val="301"/>
        </w:trPr>
        <w:tc>
          <w:tcPr>
            <w:tcW w:w="5240"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0EF5F508" w14:textId="77777777" w:rsidR="00AE6095" w:rsidRPr="00AE6095" w:rsidRDefault="00AE6095" w:rsidP="00AE6095">
            <w:pPr>
              <w:spacing w:after="0" w:line="240" w:lineRule="auto"/>
              <w:jc w:val="center"/>
              <w:rPr>
                <w:rFonts w:eastAsia="Times New Roman" w:cs="Calibri"/>
                <w:b/>
                <w:bCs/>
                <w:color w:val="FFFFFF"/>
                <w:sz w:val="16"/>
                <w:szCs w:val="16"/>
                <w:lang w:eastAsia="es-MX"/>
              </w:rPr>
            </w:pPr>
            <w:r w:rsidRPr="00AE6095">
              <w:rPr>
                <w:rFonts w:eastAsia="Times New Roman" w:cs="Calibri"/>
                <w:b/>
                <w:bCs/>
                <w:color w:val="FFFFFF"/>
                <w:sz w:val="16"/>
                <w:szCs w:val="16"/>
                <w:lang w:eastAsia="es-MX"/>
              </w:rPr>
              <w:t>Cuentas de Orden Contable</w:t>
            </w:r>
          </w:p>
        </w:tc>
        <w:tc>
          <w:tcPr>
            <w:tcW w:w="1701" w:type="dxa"/>
            <w:tcBorders>
              <w:top w:val="single" w:sz="4" w:space="0" w:color="auto"/>
              <w:left w:val="nil"/>
              <w:bottom w:val="single" w:sz="4" w:space="0" w:color="auto"/>
              <w:right w:val="single" w:sz="4" w:space="0" w:color="auto"/>
            </w:tcBorders>
            <w:shd w:val="clear" w:color="auto" w:fill="AB0033"/>
            <w:vAlign w:val="center"/>
            <w:hideMark/>
          </w:tcPr>
          <w:p w14:paraId="0CC5EDFB" w14:textId="77777777" w:rsidR="00AE6095" w:rsidRPr="00AE6095" w:rsidRDefault="00AE6095" w:rsidP="00AE6095">
            <w:pPr>
              <w:spacing w:after="0" w:line="240" w:lineRule="auto"/>
              <w:jc w:val="center"/>
              <w:rPr>
                <w:rFonts w:eastAsia="Times New Roman" w:cs="Calibri"/>
                <w:b/>
                <w:bCs/>
                <w:color w:val="FFFFFF"/>
                <w:sz w:val="16"/>
                <w:szCs w:val="16"/>
                <w:lang w:eastAsia="es-MX"/>
              </w:rPr>
            </w:pPr>
            <w:r w:rsidRPr="00AE6095">
              <w:rPr>
                <w:rFonts w:eastAsia="Times New Roman" w:cs="Calibri"/>
                <w:b/>
                <w:bCs/>
                <w:color w:val="FFFFFF"/>
                <w:sz w:val="16"/>
                <w:szCs w:val="16"/>
                <w:lang w:eastAsia="es-MX"/>
              </w:rPr>
              <w:t>Importes</w:t>
            </w:r>
          </w:p>
        </w:tc>
      </w:tr>
      <w:tr w:rsidR="00AE6095" w:rsidRPr="00AE6095" w14:paraId="22D0E25C" w14:textId="77777777" w:rsidTr="003312DE">
        <w:trPr>
          <w:trHeight w:val="340"/>
        </w:trPr>
        <w:tc>
          <w:tcPr>
            <w:tcW w:w="69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5CF932" w14:textId="77777777" w:rsidR="00AE6095" w:rsidRPr="00AE6095" w:rsidRDefault="00AE6095" w:rsidP="00AE6095">
            <w:pPr>
              <w:spacing w:after="0" w:line="240" w:lineRule="auto"/>
              <w:rPr>
                <w:rFonts w:eastAsia="Times New Roman" w:cs="Calibri"/>
                <w:b/>
                <w:bCs/>
                <w:color w:val="000000"/>
                <w:sz w:val="16"/>
                <w:szCs w:val="16"/>
                <w:lang w:eastAsia="es-MX"/>
              </w:rPr>
            </w:pPr>
            <w:r w:rsidRPr="00AE6095">
              <w:rPr>
                <w:rFonts w:eastAsia="Times New Roman" w:cs="Calibri"/>
                <w:b/>
                <w:bCs/>
                <w:color w:val="000000"/>
                <w:sz w:val="16"/>
                <w:szCs w:val="16"/>
                <w:lang w:eastAsia="es-MX"/>
              </w:rPr>
              <w:t>Avales y Garantías</w:t>
            </w:r>
          </w:p>
        </w:tc>
      </w:tr>
      <w:tr w:rsidR="00AE6095" w:rsidRPr="00AE6095" w14:paraId="54324E68" w14:textId="77777777" w:rsidTr="003312DE">
        <w:trPr>
          <w:trHeight w:val="34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288AC2D" w14:textId="77777777" w:rsidR="00AE6095" w:rsidRPr="00AE6095" w:rsidRDefault="00AE6095" w:rsidP="00AE6095">
            <w:pPr>
              <w:spacing w:after="0" w:line="240" w:lineRule="auto"/>
              <w:rPr>
                <w:rFonts w:eastAsia="Times New Roman" w:cs="Calibri"/>
                <w:color w:val="000000"/>
                <w:sz w:val="14"/>
                <w:szCs w:val="14"/>
                <w:lang w:eastAsia="es-MX"/>
              </w:rPr>
            </w:pPr>
            <w:r w:rsidRPr="00AE6095">
              <w:rPr>
                <w:rFonts w:eastAsia="Times New Roman" w:cs="Calibri"/>
                <w:color w:val="000000"/>
                <w:sz w:val="14"/>
                <w:szCs w:val="14"/>
                <w:lang w:eastAsia="es-MX"/>
              </w:rPr>
              <w:t xml:space="preserve">     Avales Autorizados</w:t>
            </w:r>
          </w:p>
        </w:tc>
        <w:tc>
          <w:tcPr>
            <w:tcW w:w="1701" w:type="dxa"/>
            <w:tcBorders>
              <w:top w:val="nil"/>
              <w:left w:val="nil"/>
              <w:bottom w:val="single" w:sz="4" w:space="0" w:color="auto"/>
              <w:right w:val="single" w:sz="4" w:space="0" w:color="auto"/>
            </w:tcBorders>
            <w:shd w:val="clear" w:color="auto" w:fill="auto"/>
            <w:noWrap/>
            <w:vAlign w:val="bottom"/>
            <w:hideMark/>
          </w:tcPr>
          <w:p w14:paraId="10422280" w14:textId="77777777" w:rsidR="00AE6095" w:rsidRPr="00AE6095" w:rsidRDefault="00AE6095" w:rsidP="00AE6095">
            <w:pPr>
              <w:spacing w:after="0" w:line="240" w:lineRule="auto"/>
              <w:jc w:val="right"/>
              <w:rPr>
                <w:rFonts w:eastAsia="Times New Roman" w:cs="Calibri"/>
                <w:color w:val="000000"/>
                <w:sz w:val="14"/>
                <w:szCs w:val="14"/>
                <w:lang w:eastAsia="es-MX"/>
              </w:rPr>
            </w:pPr>
            <w:r w:rsidRPr="00AE6095">
              <w:rPr>
                <w:rFonts w:eastAsia="Times New Roman" w:cs="Calibri"/>
                <w:color w:val="000000"/>
                <w:sz w:val="14"/>
                <w:szCs w:val="14"/>
                <w:lang w:eastAsia="es-MX"/>
              </w:rPr>
              <w:t>231,059,275</w:t>
            </w:r>
          </w:p>
        </w:tc>
      </w:tr>
      <w:tr w:rsidR="00AE6095" w:rsidRPr="00AE6095" w14:paraId="0C66C95E" w14:textId="77777777" w:rsidTr="003312DE">
        <w:trPr>
          <w:trHeight w:val="34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8F6D7AE" w14:textId="77777777" w:rsidR="00AE6095" w:rsidRPr="00AE6095" w:rsidRDefault="00AE6095" w:rsidP="00AE6095">
            <w:pPr>
              <w:spacing w:after="0" w:line="240" w:lineRule="auto"/>
              <w:rPr>
                <w:rFonts w:eastAsia="Times New Roman" w:cs="Calibri"/>
                <w:color w:val="000000"/>
                <w:sz w:val="14"/>
                <w:szCs w:val="14"/>
                <w:lang w:eastAsia="es-MX"/>
              </w:rPr>
            </w:pPr>
            <w:r w:rsidRPr="00AE6095">
              <w:rPr>
                <w:rFonts w:eastAsia="Times New Roman" w:cs="Calibri"/>
                <w:color w:val="000000"/>
                <w:sz w:val="14"/>
                <w:szCs w:val="14"/>
                <w:lang w:eastAsia="es-MX"/>
              </w:rPr>
              <w:t xml:space="preserve">     Avales Firmados</w:t>
            </w:r>
          </w:p>
        </w:tc>
        <w:tc>
          <w:tcPr>
            <w:tcW w:w="1701" w:type="dxa"/>
            <w:tcBorders>
              <w:top w:val="nil"/>
              <w:left w:val="nil"/>
              <w:bottom w:val="single" w:sz="4" w:space="0" w:color="auto"/>
              <w:right w:val="single" w:sz="4" w:space="0" w:color="auto"/>
            </w:tcBorders>
            <w:shd w:val="clear" w:color="auto" w:fill="auto"/>
            <w:noWrap/>
            <w:vAlign w:val="bottom"/>
            <w:hideMark/>
          </w:tcPr>
          <w:p w14:paraId="20BCF745" w14:textId="77777777" w:rsidR="00AE6095" w:rsidRPr="00AE6095" w:rsidRDefault="00AE6095" w:rsidP="00AE6095">
            <w:pPr>
              <w:spacing w:after="0" w:line="240" w:lineRule="auto"/>
              <w:jc w:val="right"/>
              <w:rPr>
                <w:rFonts w:eastAsia="Times New Roman" w:cs="Calibri"/>
                <w:color w:val="000000"/>
                <w:sz w:val="14"/>
                <w:szCs w:val="14"/>
                <w:lang w:eastAsia="es-MX"/>
              </w:rPr>
            </w:pPr>
            <w:r w:rsidRPr="00AE6095">
              <w:rPr>
                <w:rFonts w:eastAsia="Times New Roman" w:cs="Calibri"/>
                <w:color w:val="000000"/>
                <w:sz w:val="14"/>
                <w:szCs w:val="14"/>
                <w:lang w:eastAsia="es-MX"/>
              </w:rPr>
              <w:t>-231,059,275</w:t>
            </w:r>
          </w:p>
        </w:tc>
      </w:tr>
      <w:tr w:rsidR="00AE6095" w:rsidRPr="00AE6095" w14:paraId="04195E70" w14:textId="77777777" w:rsidTr="003312DE">
        <w:trPr>
          <w:trHeight w:val="340"/>
        </w:trPr>
        <w:tc>
          <w:tcPr>
            <w:tcW w:w="69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47D092" w14:textId="77777777" w:rsidR="00AE6095" w:rsidRPr="00AE6095" w:rsidRDefault="00AE6095" w:rsidP="00AE6095">
            <w:pPr>
              <w:spacing w:after="0" w:line="240" w:lineRule="auto"/>
              <w:rPr>
                <w:rFonts w:eastAsia="Times New Roman" w:cs="Calibri"/>
                <w:b/>
                <w:bCs/>
                <w:color w:val="000000"/>
                <w:sz w:val="16"/>
                <w:szCs w:val="16"/>
                <w:lang w:eastAsia="es-MX"/>
              </w:rPr>
            </w:pPr>
            <w:r w:rsidRPr="00AE6095">
              <w:rPr>
                <w:rFonts w:eastAsia="Times New Roman" w:cs="Calibri"/>
                <w:b/>
                <w:bCs/>
                <w:color w:val="000000"/>
                <w:sz w:val="16"/>
                <w:szCs w:val="16"/>
                <w:lang w:eastAsia="es-MX"/>
              </w:rPr>
              <w:t>Inversión Med. Proyectos para Prest. De Servicios</w:t>
            </w:r>
          </w:p>
        </w:tc>
      </w:tr>
      <w:tr w:rsidR="00AE6095" w:rsidRPr="00AE6095" w14:paraId="4D6C3EEB" w14:textId="77777777" w:rsidTr="003312DE">
        <w:trPr>
          <w:trHeight w:val="34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C48A9A8" w14:textId="77777777" w:rsidR="00AE6095" w:rsidRPr="00AE6095" w:rsidRDefault="00AE6095" w:rsidP="00AE6095">
            <w:pPr>
              <w:spacing w:after="0" w:line="240" w:lineRule="auto"/>
              <w:rPr>
                <w:rFonts w:eastAsia="Times New Roman" w:cs="Calibri"/>
                <w:color w:val="000000"/>
                <w:sz w:val="14"/>
                <w:szCs w:val="14"/>
                <w:lang w:eastAsia="es-MX"/>
              </w:rPr>
            </w:pPr>
            <w:r w:rsidRPr="00AE6095">
              <w:rPr>
                <w:rFonts w:eastAsia="Times New Roman" w:cs="Calibri"/>
                <w:color w:val="000000"/>
                <w:sz w:val="14"/>
                <w:szCs w:val="14"/>
                <w:lang w:eastAsia="es-MX"/>
              </w:rPr>
              <w:t xml:space="preserve">      Contrato APP Tres Diez, S.A. de C.V. ( Inversión)</w:t>
            </w:r>
          </w:p>
        </w:tc>
        <w:tc>
          <w:tcPr>
            <w:tcW w:w="1701" w:type="dxa"/>
            <w:tcBorders>
              <w:top w:val="nil"/>
              <w:left w:val="nil"/>
              <w:bottom w:val="single" w:sz="4" w:space="0" w:color="auto"/>
              <w:right w:val="single" w:sz="4" w:space="0" w:color="auto"/>
            </w:tcBorders>
            <w:shd w:val="clear" w:color="auto" w:fill="auto"/>
            <w:vAlign w:val="center"/>
            <w:hideMark/>
          </w:tcPr>
          <w:p w14:paraId="6AA169FF" w14:textId="77777777" w:rsidR="00AE6095" w:rsidRPr="00AE6095" w:rsidRDefault="00AE6095" w:rsidP="00AE6095">
            <w:pPr>
              <w:spacing w:after="0" w:line="240" w:lineRule="auto"/>
              <w:jc w:val="right"/>
              <w:rPr>
                <w:rFonts w:eastAsia="Times New Roman" w:cs="Calibri"/>
                <w:color w:val="000000"/>
                <w:sz w:val="14"/>
                <w:szCs w:val="14"/>
                <w:lang w:eastAsia="es-MX"/>
              </w:rPr>
            </w:pPr>
            <w:r w:rsidRPr="00AE6095">
              <w:rPr>
                <w:rFonts w:eastAsia="Times New Roman" w:cs="Calibri"/>
                <w:color w:val="000000"/>
                <w:sz w:val="14"/>
                <w:szCs w:val="14"/>
                <w:lang w:eastAsia="es-MX"/>
              </w:rPr>
              <w:t>1,838,180,336</w:t>
            </w:r>
          </w:p>
        </w:tc>
      </w:tr>
      <w:tr w:rsidR="00AE6095" w:rsidRPr="00AE6095" w14:paraId="4E2F1088" w14:textId="77777777" w:rsidTr="003312DE">
        <w:trPr>
          <w:trHeight w:val="34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CB68AB2" w14:textId="77777777" w:rsidR="00AE6095" w:rsidRPr="00AE6095" w:rsidRDefault="00AE6095" w:rsidP="00AE6095">
            <w:pPr>
              <w:spacing w:after="0" w:line="240" w:lineRule="auto"/>
              <w:rPr>
                <w:rFonts w:eastAsia="Times New Roman" w:cs="Calibri"/>
                <w:color w:val="000000"/>
                <w:sz w:val="14"/>
                <w:szCs w:val="14"/>
                <w:lang w:eastAsia="es-MX"/>
              </w:rPr>
            </w:pPr>
            <w:r w:rsidRPr="00AE6095">
              <w:rPr>
                <w:rFonts w:eastAsia="Times New Roman" w:cs="Calibri"/>
                <w:color w:val="000000"/>
                <w:sz w:val="14"/>
                <w:szCs w:val="14"/>
                <w:lang w:eastAsia="es-MX"/>
              </w:rPr>
              <w:t xml:space="preserve">      Contrato APP Tres Diez, S.A. de C.V. ( Inversión)</w:t>
            </w:r>
          </w:p>
        </w:tc>
        <w:tc>
          <w:tcPr>
            <w:tcW w:w="1701" w:type="dxa"/>
            <w:tcBorders>
              <w:top w:val="nil"/>
              <w:left w:val="nil"/>
              <w:bottom w:val="single" w:sz="4" w:space="0" w:color="auto"/>
              <w:right w:val="single" w:sz="4" w:space="0" w:color="auto"/>
            </w:tcBorders>
            <w:shd w:val="clear" w:color="auto" w:fill="auto"/>
            <w:vAlign w:val="center"/>
            <w:hideMark/>
          </w:tcPr>
          <w:p w14:paraId="11F3B9E4" w14:textId="77777777" w:rsidR="00AE6095" w:rsidRPr="00AE6095" w:rsidRDefault="00AE6095" w:rsidP="00AE6095">
            <w:pPr>
              <w:spacing w:after="0" w:line="240" w:lineRule="auto"/>
              <w:jc w:val="right"/>
              <w:rPr>
                <w:rFonts w:eastAsia="Times New Roman" w:cs="Calibri"/>
                <w:color w:val="000000"/>
                <w:sz w:val="14"/>
                <w:szCs w:val="14"/>
                <w:lang w:eastAsia="es-MX"/>
              </w:rPr>
            </w:pPr>
            <w:r w:rsidRPr="00AE6095">
              <w:rPr>
                <w:rFonts w:eastAsia="Times New Roman" w:cs="Calibri"/>
                <w:color w:val="000000"/>
                <w:sz w:val="14"/>
                <w:szCs w:val="14"/>
                <w:lang w:eastAsia="es-MX"/>
              </w:rPr>
              <w:t>-1,838,180,336</w:t>
            </w:r>
          </w:p>
        </w:tc>
      </w:tr>
      <w:tr w:rsidR="00AE6095" w:rsidRPr="00AE6095" w14:paraId="3B6FF49F" w14:textId="77777777" w:rsidTr="003312DE">
        <w:trPr>
          <w:trHeight w:val="34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E9A0DCA" w14:textId="77777777" w:rsidR="00AE6095" w:rsidRPr="00AE6095" w:rsidRDefault="00AE6095" w:rsidP="00AE6095">
            <w:pPr>
              <w:spacing w:after="0" w:line="240" w:lineRule="auto"/>
              <w:rPr>
                <w:rFonts w:eastAsia="Times New Roman" w:cs="Calibri"/>
                <w:color w:val="000000"/>
                <w:sz w:val="14"/>
                <w:szCs w:val="14"/>
                <w:lang w:eastAsia="es-MX"/>
              </w:rPr>
            </w:pPr>
            <w:r w:rsidRPr="00AE6095">
              <w:rPr>
                <w:rFonts w:eastAsia="Times New Roman" w:cs="Calibri"/>
                <w:color w:val="000000"/>
                <w:sz w:val="14"/>
                <w:szCs w:val="14"/>
                <w:lang w:eastAsia="es-MX"/>
              </w:rPr>
              <w:t xml:space="preserve">      Contrato APP Tres Diez, S.A. de C.V. ( Servicios)</w:t>
            </w:r>
          </w:p>
        </w:tc>
        <w:tc>
          <w:tcPr>
            <w:tcW w:w="1701" w:type="dxa"/>
            <w:tcBorders>
              <w:top w:val="nil"/>
              <w:left w:val="nil"/>
              <w:bottom w:val="single" w:sz="4" w:space="0" w:color="auto"/>
              <w:right w:val="single" w:sz="4" w:space="0" w:color="auto"/>
            </w:tcBorders>
            <w:shd w:val="clear" w:color="auto" w:fill="auto"/>
            <w:vAlign w:val="center"/>
            <w:hideMark/>
          </w:tcPr>
          <w:p w14:paraId="770FFD29" w14:textId="77777777" w:rsidR="00AE6095" w:rsidRPr="00AE6095" w:rsidRDefault="00AE6095" w:rsidP="00AE6095">
            <w:pPr>
              <w:spacing w:after="0" w:line="240" w:lineRule="auto"/>
              <w:jc w:val="right"/>
              <w:rPr>
                <w:rFonts w:eastAsia="Times New Roman" w:cs="Calibri"/>
                <w:color w:val="000000"/>
                <w:sz w:val="14"/>
                <w:szCs w:val="14"/>
                <w:lang w:eastAsia="es-MX"/>
              </w:rPr>
            </w:pPr>
            <w:r w:rsidRPr="00AE6095">
              <w:rPr>
                <w:rFonts w:eastAsia="Times New Roman" w:cs="Calibri"/>
                <w:color w:val="000000"/>
                <w:sz w:val="14"/>
                <w:szCs w:val="14"/>
                <w:lang w:eastAsia="es-MX"/>
              </w:rPr>
              <w:t>759,315,432</w:t>
            </w:r>
          </w:p>
        </w:tc>
      </w:tr>
      <w:tr w:rsidR="00AE6095" w:rsidRPr="00AE6095" w14:paraId="61E7EF09" w14:textId="77777777" w:rsidTr="003312DE">
        <w:trPr>
          <w:trHeight w:val="34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10852CD" w14:textId="77777777" w:rsidR="00AE6095" w:rsidRPr="00AE6095" w:rsidRDefault="00AE6095" w:rsidP="00AE6095">
            <w:pPr>
              <w:spacing w:after="0" w:line="240" w:lineRule="auto"/>
              <w:rPr>
                <w:rFonts w:eastAsia="Times New Roman" w:cs="Calibri"/>
                <w:color w:val="000000"/>
                <w:sz w:val="14"/>
                <w:szCs w:val="14"/>
                <w:lang w:eastAsia="es-MX"/>
              </w:rPr>
            </w:pPr>
            <w:r w:rsidRPr="00AE6095">
              <w:rPr>
                <w:rFonts w:eastAsia="Times New Roman" w:cs="Calibri"/>
                <w:color w:val="000000"/>
                <w:sz w:val="14"/>
                <w:szCs w:val="14"/>
                <w:lang w:eastAsia="es-MX"/>
              </w:rPr>
              <w:t xml:space="preserve">      Contrato APP Tres Diez, S.A. de C.V. ( Servicios)</w:t>
            </w:r>
          </w:p>
        </w:tc>
        <w:tc>
          <w:tcPr>
            <w:tcW w:w="1701" w:type="dxa"/>
            <w:tcBorders>
              <w:top w:val="nil"/>
              <w:left w:val="nil"/>
              <w:bottom w:val="single" w:sz="4" w:space="0" w:color="auto"/>
              <w:right w:val="single" w:sz="4" w:space="0" w:color="auto"/>
            </w:tcBorders>
            <w:shd w:val="clear" w:color="auto" w:fill="auto"/>
            <w:vAlign w:val="center"/>
            <w:hideMark/>
          </w:tcPr>
          <w:p w14:paraId="475D508C" w14:textId="77777777" w:rsidR="00AE6095" w:rsidRPr="00AE6095" w:rsidRDefault="00AE6095" w:rsidP="00AE6095">
            <w:pPr>
              <w:spacing w:after="0" w:line="240" w:lineRule="auto"/>
              <w:jc w:val="right"/>
              <w:rPr>
                <w:rFonts w:eastAsia="Times New Roman" w:cs="Calibri"/>
                <w:color w:val="000000"/>
                <w:sz w:val="14"/>
                <w:szCs w:val="14"/>
                <w:lang w:eastAsia="es-MX"/>
              </w:rPr>
            </w:pPr>
            <w:r w:rsidRPr="00AE6095">
              <w:rPr>
                <w:rFonts w:eastAsia="Times New Roman" w:cs="Calibri"/>
                <w:color w:val="000000"/>
                <w:sz w:val="14"/>
                <w:szCs w:val="14"/>
                <w:lang w:eastAsia="es-MX"/>
              </w:rPr>
              <w:t>-759,315,432</w:t>
            </w:r>
          </w:p>
        </w:tc>
      </w:tr>
      <w:tr w:rsidR="00AE6095" w:rsidRPr="00AE6095" w14:paraId="150CC715" w14:textId="77777777" w:rsidTr="003312DE">
        <w:trPr>
          <w:trHeight w:val="34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9CA26DB" w14:textId="77777777" w:rsidR="00AE6095" w:rsidRPr="00AE6095" w:rsidRDefault="00AE6095" w:rsidP="00AE6095">
            <w:pPr>
              <w:spacing w:after="0" w:line="240" w:lineRule="auto"/>
              <w:rPr>
                <w:rFonts w:eastAsia="Times New Roman" w:cs="Calibri"/>
                <w:color w:val="000000"/>
                <w:sz w:val="14"/>
                <w:szCs w:val="14"/>
                <w:lang w:eastAsia="es-MX"/>
              </w:rPr>
            </w:pPr>
            <w:r w:rsidRPr="00AE6095">
              <w:rPr>
                <w:rFonts w:eastAsia="Times New Roman" w:cs="Calibri"/>
                <w:color w:val="000000"/>
                <w:sz w:val="14"/>
                <w:szCs w:val="14"/>
                <w:lang w:eastAsia="es-MX"/>
              </w:rPr>
              <w:t xml:space="preserve">      Contrato de APP Autopista Mante-Tula S.A. de C.V.</w:t>
            </w:r>
          </w:p>
        </w:tc>
        <w:tc>
          <w:tcPr>
            <w:tcW w:w="1701" w:type="dxa"/>
            <w:tcBorders>
              <w:top w:val="nil"/>
              <w:left w:val="nil"/>
              <w:bottom w:val="single" w:sz="4" w:space="0" w:color="auto"/>
              <w:right w:val="single" w:sz="4" w:space="0" w:color="auto"/>
            </w:tcBorders>
            <w:shd w:val="clear" w:color="auto" w:fill="auto"/>
            <w:vAlign w:val="center"/>
            <w:hideMark/>
          </w:tcPr>
          <w:p w14:paraId="7B415953" w14:textId="77777777" w:rsidR="00AE6095" w:rsidRPr="00AE6095" w:rsidRDefault="00AE6095" w:rsidP="00AE6095">
            <w:pPr>
              <w:spacing w:after="0" w:line="240" w:lineRule="auto"/>
              <w:jc w:val="right"/>
              <w:rPr>
                <w:rFonts w:eastAsia="Times New Roman" w:cs="Calibri"/>
                <w:color w:val="000000"/>
                <w:sz w:val="14"/>
                <w:szCs w:val="14"/>
                <w:lang w:eastAsia="es-MX"/>
              </w:rPr>
            </w:pPr>
            <w:r w:rsidRPr="00AE6095">
              <w:rPr>
                <w:rFonts w:eastAsia="Times New Roman" w:cs="Calibri"/>
                <w:color w:val="000000"/>
                <w:sz w:val="14"/>
                <w:szCs w:val="14"/>
                <w:lang w:eastAsia="es-MX"/>
              </w:rPr>
              <w:t>6,300,000,000</w:t>
            </w:r>
          </w:p>
        </w:tc>
      </w:tr>
      <w:tr w:rsidR="00AE6095" w:rsidRPr="00AE6095" w14:paraId="500536D2" w14:textId="77777777" w:rsidTr="003312DE">
        <w:trPr>
          <w:trHeight w:val="34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63E22E8" w14:textId="77777777" w:rsidR="00AE6095" w:rsidRPr="00AE6095" w:rsidRDefault="00AE6095" w:rsidP="00AE6095">
            <w:pPr>
              <w:spacing w:after="0" w:line="240" w:lineRule="auto"/>
              <w:rPr>
                <w:rFonts w:eastAsia="Times New Roman" w:cs="Calibri"/>
                <w:color w:val="000000"/>
                <w:sz w:val="14"/>
                <w:szCs w:val="14"/>
                <w:lang w:eastAsia="es-MX"/>
              </w:rPr>
            </w:pPr>
            <w:r w:rsidRPr="00AE6095">
              <w:rPr>
                <w:rFonts w:eastAsia="Times New Roman" w:cs="Calibri"/>
                <w:color w:val="000000"/>
                <w:sz w:val="14"/>
                <w:szCs w:val="14"/>
                <w:lang w:eastAsia="es-MX"/>
              </w:rPr>
              <w:t xml:space="preserve">      Contrato de APP Autopista Mante-Tula S.A. de C.V.</w:t>
            </w:r>
          </w:p>
        </w:tc>
        <w:tc>
          <w:tcPr>
            <w:tcW w:w="1701" w:type="dxa"/>
            <w:tcBorders>
              <w:top w:val="nil"/>
              <w:left w:val="nil"/>
              <w:bottom w:val="single" w:sz="4" w:space="0" w:color="auto"/>
              <w:right w:val="single" w:sz="4" w:space="0" w:color="auto"/>
            </w:tcBorders>
            <w:shd w:val="clear" w:color="auto" w:fill="auto"/>
            <w:vAlign w:val="center"/>
            <w:hideMark/>
          </w:tcPr>
          <w:p w14:paraId="38CDF38D" w14:textId="77777777" w:rsidR="00AE6095" w:rsidRPr="00AE6095" w:rsidRDefault="00AE6095" w:rsidP="00AE6095">
            <w:pPr>
              <w:spacing w:after="0" w:line="240" w:lineRule="auto"/>
              <w:jc w:val="right"/>
              <w:rPr>
                <w:rFonts w:eastAsia="Times New Roman" w:cs="Calibri"/>
                <w:color w:val="000000"/>
                <w:sz w:val="14"/>
                <w:szCs w:val="14"/>
                <w:lang w:eastAsia="es-MX"/>
              </w:rPr>
            </w:pPr>
            <w:r w:rsidRPr="00AE6095">
              <w:rPr>
                <w:rFonts w:eastAsia="Times New Roman" w:cs="Calibri"/>
                <w:color w:val="000000"/>
                <w:sz w:val="14"/>
                <w:szCs w:val="14"/>
                <w:lang w:eastAsia="es-MX"/>
              </w:rPr>
              <w:t>-6,300,000,000</w:t>
            </w:r>
          </w:p>
        </w:tc>
      </w:tr>
      <w:tr w:rsidR="00AE6095" w:rsidRPr="00AE6095" w14:paraId="465D0793" w14:textId="77777777" w:rsidTr="003312DE">
        <w:trPr>
          <w:trHeight w:val="291"/>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31504E1" w14:textId="77777777" w:rsidR="00AE6095" w:rsidRPr="00AE6095" w:rsidRDefault="00AE6095" w:rsidP="00AE6095">
            <w:pPr>
              <w:spacing w:after="0" w:line="240" w:lineRule="auto"/>
              <w:rPr>
                <w:rFonts w:eastAsia="Times New Roman" w:cs="Calibri"/>
                <w:color w:val="000000"/>
                <w:sz w:val="14"/>
                <w:szCs w:val="14"/>
                <w:lang w:eastAsia="es-MX"/>
              </w:rPr>
            </w:pPr>
            <w:r w:rsidRPr="00AE6095">
              <w:rPr>
                <w:rFonts w:eastAsia="Times New Roman" w:cs="Calibri"/>
                <w:color w:val="000000"/>
                <w:sz w:val="14"/>
                <w:szCs w:val="14"/>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14:paraId="08692FD7" w14:textId="77777777" w:rsidR="00AE6095" w:rsidRPr="00AE6095" w:rsidRDefault="00AE6095" w:rsidP="00AE6095">
            <w:pPr>
              <w:spacing w:after="0" w:line="240" w:lineRule="auto"/>
              <w:jc w:val="right"/>
              <w:rPr>
                <w:rFonts w:eastAsia="Times New Roman" w:cs="Calibri"/>
                <w:color w:val="000000"/>
                <w:sz w:val="14"/>
                <w:szCs w:val="14"/>
                <w:lang w:eastAsia="es-MX"/>
              </w:rPr>
            </w:pPr>
            <w:r w:rsidRPr="00AE6095">
              <w:rPr>
                <w:rFonts w:eastAsia="Times New Roman" w:cs="Calibri"/>
                <w:color w:val="000000"/>
                <w:sz w:val="14"/>
                <w:szCs w:val="14"/>
                <w:lang w:eastAsia="es-MX"/>
              </w:rPr>
              <w:t> </w:t>
            </w:r>
          </w:p>
        </w:tc>
      </w:tr>
      <w:tr w:rsidR="00AE6095" w:rsidRPr="00AE6095" w14:paraId="47F913BE" w14:textId="77777777" w:rsidTr="003312DE">
        <w:trPr>
          <w:trHeight w:val="340"/>
        </w:trPr>
        <w:tc>
          <w:tcPr>
            <w:tcW w:w="69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F85C47" w14:textId="77777777" w:rsidR="00AE6095" w:rsidRPr="00AE6095" w:rsidRDefault="00AE6095" w:rsidP="00AE6095">
            <w:pPr>
              <w:spacing w:after="0" w:line="240" w:lineRule="auto"/>
              <w:rPr>
                <w:rFonts w:eastAsia="Times New Roman" w:cs="Calibri"/>
                <w:b/>
                <w:bCs/>
                <w:color w:val="000000"/>
                <w:sz w:val="16"/>
                <w:szCs w:val="16"/>
                <w:lang w:eastAsia="es-MX"/>
              </w:rPr>
            </w:pPr>
            <w:r w:rsidRPr="00AE6095">
              <w:rPr>
                <w:rFonts w:eastAsia="Times New Roman" w:cs="Calibri"/>
                <w:b/>
                <w:bCs/>
                <w:color w:val="000000"/>
                <w:sz w:val="16"/>
                <w:szCs w:val="16"/>
                <w:lang w:eastAsia="es-MX"/>
              </w:rPr>
              <w:t>Bienes en Concesión o en Comodato</w:t>
            </w:r>
          </w:p>
        </w:tc>
      </w:tr>
      <w:tr w:rsidR="00AE6095" w:rsidRPr="00AE6095" w14:paraId="08E4D79D" w14:textId="77777777" w:rsidTr="003312DE">
        <w:trPr>
          <w:trHeight w:val="34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97734EB" w14:textId="77777777" w:rsidR="00AE6095" w:rsidRPr="00AE6095" w:rsidRDefault="00AE6095" w:rsidP="00AE6095">
            <w:pPr>
              <w:spacing w:after="0" w:line="240" w:lineRule="auto"/>
              <w:rPr>
                <w:rFonts w:eastAsia="Times New Roman" w:cs="Calibri"/>
                <w:color w:val="000000"/>
                <w:sz w:val="14"/>
                <w:szCs w:val="14"/>
                <w:lang w:eastAsia="es-MX"/>
              </w:rPr>
            </w:pPr>
            <w:r w:rsidRPr="00AE6095">
              <w:rPr>
                <w:rFonts w:eastAsia="Times New Roman" w:cs="Calibri"/>
                <w:color w:val="000000"/>
                <w:sz w:val="14"/>
                <w:szCs w:val="14"/>
                <w:lang w:eastAsia="es-MX"/>
              </w:rPr>
              <w:t xml:space="preserve">      Bienes bajo Contrato en Comodato</w:t>
            </w:r>
          </w:p>
        </w:tc>
        <w:tc>
          <w:tcPr>
            <w:tcW w:w="1701" w:type="dxa"/>
            <w:tcBorders>
              <w:top w:val="nil"/>
              <w:left w:val="nil"/>
              <w:bottom w:val="single" w:sz="4" w:space="0" w:color="auto"/>
              <w:right w:val="single" w:sz="4" w:space="0" w:color="auto"/>
            </w:tcBorders>
            <w:shd w:val="clear" w:color="auto" w:fill="auto"/>
            <w:vAlign w:val="center"/>
            <w:hideMark/>
          </w:tcPr>
          <w:p w14:paraId="2D35ED7E" w14:textId="77777777" w:rsidR="00AE6095" w:rsidRPr="00AE6095" w:rsidRDefault="00AE6095" w:rsidP="00AE6095">
            <w:pPr>
              <w:spacing w:after="0" w:line="240" w:lineRule="auto"/>
              <w:jc w:val="right"/>
              <w:rPr>
                <w:rFonts w:eastAsia="Times New Roman" w:cs="Calibri"/>
                <w:color w:val="000000"/>
                <w:sz w:val="14"/>
                <w:szCs w:val="14"/>
                <w:lang w:eastAsia="es-MX"/>
              </w:rPr>
            </w:pPr>
            <w:r w:rsidRPr="00AE6095">
              <w:rPr>
                <w:rFonts w:eastAsia="Times New Roman" w:cs="Calibri"/>
                <w:color w:val="000000"/>
                <w:sz w:val="14"/>
                <w:szCs w:val="14"/>
                <w:lang w:eastAsia="es-MX"/>
              </w:rPr>
              <w:t>20,885,622</w:t>
            </w:r>
          </w:p>
        </w:tc>
      </w:tr>
      <w:tr w:rsidR="00AE6095" w:rsidRPr="00AE6095" w14:paraId="661392C6" w14:textId="77777777" w:rsidTr="003312DE">
        <w:trPr>
          <w:trHeight w:val="34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E305789" w14:textId="77777777" w:rsidR="00AE6095" w:rsidRPr="00AE6095" w:rsidRDefault="00AE6095" w:rsidP="00AE6095">
            <w:pPr>
              <w:spacing w:after="0" w:line="240" w:lineRule="auto"/>
              <w:rPr>
                <w:rFonts w:eastAsia="Times New Roman" w:cs="Calibri"/>
                <w:color w:val="000000"/>
                <w:sz w:val="14"/>
                <w:szCs w:val="14"/>
                <w:lang w:eastAsia="es-MX"/>
              </w:rPr>
            </w:pPr>
            <w:r w:rsidRPr="00AE6095">
              <w:rPr>
                <w:rFonts w:eastAsia="Times New Roman" w:cs="Calibri"/>
                <w:color w:val="000000"/>
                <w:sz w:val="14"/>
                <w:szCs w:val="14"/>
                <w:lang w:eastAsia="es-MX"/>
              </w:rPr>
              <w:t xml:space="preserve">      Contrato de Comodato por Bienes</w:t>
            </w:r>
          </w:p>
        </w:tc>
        <w:tc>
          <w:tcPr>
            <w:tcW w:w="1701" w:type="dxa"/>
            <w:tcBorders>
              <w:top w:val="nil"/>
              <w:left w:val="nil"/>
              <w:bottom w:val="single" w:sz="4" w:space="0" w:color="auto"/>
              <w:right w:val="single" w:sz="4" w:space="0" w:color="auto"/>
            </w:tcBorders>
            <w:shd w:val="clear" w:color="auto" w:fill="auto"/>
            <w:vAlign w:val="center"/>
            <w:hideMark/>
          </w:tcPr>
          <w:p w14:paraId="2F9AF0C5" w14:textId="77777777" w:rsidR="00AE6095" w:rsidRPr="00AE6095" w:rsidRDefault="00AE6095" w:rsidP="00AE6095">
            <w:pPr>
              <w:spacing w:after="0" w:line="240" w:lineRule="auto"/>
              <w:jc w:val="right"/>
              <w:rPr>
                <w:rFonts w:eastAsia="Times New Roman" w:cs="Calibri"/>
                <w:color w:val="000000"/>
                <w:sz w:val="14"/>
                <w:szCs w:val="14"/>
                <w:lang w:eastAsia="es-MX"/>
              </w:rPr>
            </w:pPr>
            <w:r w:rsidRPr="00AE6095">
              <w:rPr>
                <w:rFonts w:eastAsia="Times New Roman" w:cs="Calibri"/>
                <w:color w:val="000000"/>
                <w:sz w:val="14"/>
                <w:szCs w:val="14"/>
                <w:lang w:eastAsia="es-MX"/>
              </w:rPr>
              <w:t>-20,885,622</w:t>
            </w:r>
          </w:p>
        </w:tc>
      </w:tr>
      <w:tr w:rsidR="00AE6095" w:rsidRPr="00AE6095" w14:paraId="55088A9C" w14:textId="77777777" w:rsidTr="003312DE">
        <w:trPr>
          <w:trHeight w:val="340"/>
        </w:trPr>
        <w:tc>
          <w:tcPr>
            <w:tcW w:w="69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2B4A3" w14:textId="77777777" w:rsidR="00AE6095" w:rsidRPr="00AE6095" w:rsidRDefault="00AE6095" w:rsidP="00AE6095">
            <w:pPr>
              <w:spacing w:after="0" w:line="240" w:lineRule="auto"/>
              <w:rPr>
                <w:rFonts w:eastAsia="Times New Roman" w:cs="Calibri"/>
                <w:b/>
                <w:bCs/>
                <w:color w:val="000000"/>
                <w:sz w:val="16"/>
                <w:szCs w:val="16"/>
                <w:lang w:eastAsia="es-MX"/>
              </w:rPr>
            </w:pPr>
            <w:r w:rsidRPr="00AE6095">
              <w:rPr>
                <w:rFonts w:eastAsia="Times New Roman" w:cs="Calibri"/>
                <w:b/>
                <w:bCs/>
                <w:color w:val="000000"/>
                <w:sz w:val="16"/>
                <w:szCs w:val="16"/>
                <w:lang w:eastAsia="es-MX"/>
              </w:rPr>
              <w:t>Bienes arqueológicos, artísticos e históricos en custodia</w:t>
            </w:r>
          </w:p>
        </w:tc>
      </w:tr>
      <w:tr w:rsidR="00AE6095" w:rsidRPr="00AE6095" w14:paraId="5571DB13" w14:textId="77777777" w:rsidTr="003312DE">
        <w:trPr>
          <w:trHeight w:val="34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3BA61C2" w14:textId="77777777" w:rsidR="00AE6095" w:rsidRPr="00AE6095" w:rsidRDefault="00AE6095" w:rsidP="00AE6095">
            <w:pPr>
              <w:spacing w:after="0" w:line="240" w:lineRule="auto"/>
              <w:rPr>
                <w:rFonts w:eastAsia="Times New Roman" w:cs="Calibri"/>
                <w:color w:val="000000"/>
                <w:sz w:val="14"/>
                <w:szCs w:val="14"/>
                <w:lang w:eastAsia="es-MX"/>
              </w:rPr>
            </w:pPr>
            <w:r w:rsidRPr="00AE6095">
              <w:rPr>
                <w:rFonts w:eastAsia="Times New Roman" w:cs="Calibri"/>
                <w:color w:val="000000"/>
                <w:sz w:val="14"/>
                <w:szCs w:val="14"/>
                <w:lang w:eastAsia="es-MX"/>
              </w:rPr>
              <w:t xml:space="preserve">      Bienes Artísticos en Custodia</w:t>
            </w:r>
          </w:p>
        </w:tc>
        <w:tc>
          <w:tcPr>
            <w:tcW w:w="1701" w:type="dxa"/>
            <w:tcBorders>
              <w:top w:val="nil"/>
              <w:left w:val="nil"/>
              <w:bottom w:val="single" w:sz="4" w:space="0" w:color="auto"/>
              <w:right w:val="single" w:sz="4" w:space="0" w:color="auto"/>
            </w:tcBorders>
            <w:shd w:val="clear" w:color="auto" w:fill="auto"/>
            <w:vAlign w:val="center"/>
            <w:hideMark/>
          </w:tcPr>
          <w:p w14:paraId="60451635" w14:textId="77777777" w:rsidR="00AE6095" w:rsidRPr="00AE6095" w:rsidRDefault="00AE6095" w:rsidP="00AE6095">
            <w:pPr>
              <w:spacing w:after="0" w:line="240" w:lineRule="auto"/>
              <w:jc w:val="right"/>
              <w:rPr>
                <w:rFonts w:eastAsia="Times New Roman" w:cs="Calibri"/>
                <w:color w:val="000000"/>
                <w:sz w:val="14"/>
                <w:szCs w:val="14"/>
                <w:lang w:eastAsia="es-MX"/>
              </w:rPr>
            </w:pPr>
            <w:r w:rsidRPr="00AE6095">
              <w:rPr>
                <w:rFonts w:eastAsia="Times New Roman" w:cs="Calibri"/>
                <w:color w:val="000000"/>
                <w:sz w:val="14"/>
                <w:szCs w:val="14"/>
                <w:lang w:eastAsia="es-MX"/>
              </w:rPr>
              <w:t>402,500</w:t>
            </w:r>
          </w:p>
        </w:tc>
      </w:tr>
      <w:tr w:rsidR="00AE6095" w:rsidRPr="00AE6095" w14:paraId="5CD419BB" w14:textId="77777777" w:rsidTr="003312DE">
        <w:trPr>
          <w:trHeight w:val="34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BEE505B" w14:textId="77777777" w:rsidR="00AE6095" w:rsidRPr="00AE6095" w:rsidRDefault="00AE6095" w:rsidP="00AE6095">
            <w:pPr>
              <w:spacing w:after="0" w:line="240" w:lineRule="auto"/>
              <w:rPr>
                <w:rFonts w:eastAsia="Times New Roman" w:cs="Calibri"/>
                <w:color w:val="000000"/>
                <w:sz w:val="14"/>
                <w:szCs w:val="14"/>
                <w:lang w:eastAsia="es-MX"/>
              </w:rPr>
            </w:pPr>
            <w:r w:rsidRPr="00AE6095">
              <w:rPr>
                <w:rFonts w:eastAsia="Times New Roman" w:cs="Calibri"/>
                <w:color w:val="000000"/>
                <w:sz w:val="14"/>
                <w:szCs w:val="14"/>
                <w:lang w:eastAsia="es-MX"/>
              </w:rPr>
              <w:t xml:space="preserve">      Custodia de Bienes Artísticos</w:t>
            </w:r>
          </w:p>
        </w:tc>
        <w:tc>
          <w:tcPr>
            <w:tcW w:w="1701" w:type="dxa"/>
            <w:tcBorders>
              <w:top w:val="nil"/>
              <w:left w:val="nil"/>
              <w:bottom w:val="single" w:sz="4" w:space="0" w:color="auto"/>
              <w:right w:val="single" w:sz="4" w:space="0" w:color="auto"/>
            </w:tcBorders>
            <w:shd w:val="clear" w:color="auto" w:fill="auto"/>
            <w:vAlign w:val="center"/>
            <w:hideMark/>
          </w:tcPr>
          <w:p w14:paraId="508D6E7A" w14:textId="77777777" w:rsidR="00AE6095" w:rsidRPr="00AE6095" w:rsidRDefault="00AE6095" w:rsidP="00AE6095">
            <w:pPr>
              <w:spacing w:after="0" w:line="240" w:lineRule="auto"/>
              <w:jc w:val="right"/>
              <w:rPr>
                <w:rFonts w:eastAsia="Times New Roman" w:cs="Calibri"/>
                <w:color w:val="000000"/>
                <w:sz w:val="14"/>
                <w:szCs w:val="14"/>
                <w:lang w:eastAsia="es-MX"/>
              </w:rPr>
            </w:pPr>
            <w:r w:rsidRPr="00AE6095">
              <w:rPr>
                <w:rFonts w:eastAsia="Times New Roman" w:cs="Calibri"/>
                <w:color w:val="000000"/>
                <w:sz w:val="14"/>
                <w:szCs w:val="14"/>
                <w:lang w:eastAsia="es-MX"/>
              </w:rPr>
              <w:t>-402,500</w:t>
            </w:r>
          </w:p>
        </w:tc>
      </w:tr>
      <w:tr w:rsidR="00AE6095" w:rsidRPr="00AE6095" w14:paraId="2D8F79C5" w14:textId="77777777" w:rsidTr="003312DE">
        <w:trPr>
          <w:trHeight w:val="340"/>
        </w:trPr>
        <w:tc>
          <w:tcPr>
            <w:tcW w:w="69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EC0BDA" w14:textId="77777777" w:rsidR="00AE6095" w:rsidRPr="00AE6095" w:rsidRDefault="00AE6095" w:rsidP="00AE6095">
            <w:pPr>
              <w:spacing w:after="0" w:line="240" w:lineRule="auto"/>
              <w:rPr>
                <w:rFonts w:eastAsia="Times New Roman" w:cs="Calibri"/>
                <w:b/>
                <w:bCs/>
                <w:color w:val="000000"/>
                <w:sz w:val="16"/>
                <w:szCs w:val="16"/>
                <w:lang w:eastAsia="es-MX"/>
              </w:rPr>
            </w:pPr>
            <w:r w:rsidRPr="00AE6095">
              <w:rPr>
                <w:rFonts w:eastAsia="Times New Roman" w:cs="Calibri"/>
                <w:b/>
                <w:bCs/>
                <w:color w:val="000000"/>
                <w:sz w:val="16"/>
                <w:szCs w:val="16"/>
                <w:lang w:eastAsia="es-MX"/>
              </w:rPr>
              <w:t>Bienes arqueológicos, artísticos e históricos en custodia</w:t>
            </w:r>
          </w:p>
        </w:tc>
      </w:tr>
      <w:tr w:rsidR="00AE6095" w:rsidRPr="00AE6095" w14:paraId="54B5EBFF" w14:textId="77777777" w:rsidTr="003312DE">
        <w:trPr>
          <w:trHeight w:val="34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43F50A8" w14:textId="77777777" w:rsidR="00AE6095" w:rsidRPr="00AE6095" w:rsidRDefault="00AE6095" w:rsidP="00AE6095">
            <w:pPr>
              <w:spacing w:after="0" w:line="240" w:lineRule="auto"/>
              <w:rPr>
                <w:rFonts w:eastAsia="Times New Roman" w:cs="Calibri"/>
                <w:color w:val="000000"/>
                <w:sz w:val="14"/>
                <w:szCs w:val="14"/>
                <w:lang w:eastAsia="es-MX"/>
              </w:rPr>
            </w:pPr>
            <w:r w:rsidRPr="00AE6095">
              <w:rPr>
                <w:rFonts w:eastAsia="Times New Roman" w:cs="Calibri"/>
                <w:color w:val="000000"/>
                <w:sz w:val="14"/>
                <w:szCs w:val="14"/>
                <w:lang w:eastAsia="es-MX"/>
              </w:rPr>
              <w:t xml:space="preserve">      Bienes Históricos en Custodia</w:t>
            </w:r>
          </w:p>
        </w:tc>
        <w:tc>
          <w:tcPr>
            <w:tcW w:w="1701" w:type="dxa"/>
            <w:tcBorders>
              <w:top w:val="nil"/>
              <w:left w:val="nil"/>
              <w:bottom w:val="single" w:sz="4" w:space="0" w:color="auto"/>
              <w:right w:val="single" w:sz="4" w:space="0" w:color="auto"/>
            </w:tcBorders>
            <w:shd w:val="clear" w:color="auto" w:fill="auto"/>
            <w:vAlign w:val="center"/>
            <w:hideMark/>
          </w:tcPr>
          <w:p w14:paraId="3C0631EC" w14:textId="77777777" w:rsidR="00AE6095" w:rsidRPr="00AE6095" w:rsidRDefault="00AE6095" w:rsidP="00AE6095">
            <w:pPr>
              <w:spacing w:after="0" w:line="240" w:lineRule="auto"/>
              <w:jc w:val="right"/>
              <w:rPr>
                <w:rFonts w:eastAsia="Times New Roman" w:cs="Calibri"/>
                <w:color w:val="000000"/>
                <w:sz w:val="14"/>
                <w:szCs w:val="14"/>
                <w:lang w:eastAsia="es-MX"/>
              </w:rPr>
            </w:pPr>
            <w:r w:rsidRPr="00AE6095">
              <w:rPr>
                <w:rFonts w:eastAsia="Times New Roman" w:cs="Calibri"/>
                <w:color w:val="000000"/>
                <w:sz w:val="14"/>
                <w:szCs w:val="14"/>
                <w:lang w:eastAsia="es-MX"/>
              </w:rPr>
              <w:t>5,097,000</w:t>
            </w:r>
          </w:p>
        </w:tc>
      </w:tr>
      <w:tr w:rsidR="00AE6095" w:rsidRPr="00AE6095" w14:paraId="20B067F7" w14:textId="77777777" w:rsidTr="003312DE">
        <w:trPr>
          <w:trHeight w:val="34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22B777E" w14:textId="77777777" w:rsidR="00AE6095" w:rsidRPr="00AE6095" w:rsidRDefault="00AE6095" w:rsidP="00AE6095">
            <w:pPr>
              <w:spacing w:after="0" w:line="240" w:lineRule="auto"/>
              <w:rPr>
                <w:rFonts w:eastAsia="Times New Roman" w:cs="Calibri"/>
                <w:color w:val="000000"/>
                <w:sz w:val="14"/>
                <w:szCs w:val="14"/>
                <w:lang w:eastAsia="es-MX"/>
              </w:rPr>
            </w:pPr>
            <w:r w:rsidRPr="00AE6095">
              <w:rPr>
                <w:rFonts w:eastAsia="Times New Roman" w:cs="Calibri"/>
                <w:color w:val="000000"/>
                <w:sz w:val="14"/>
                <w:szCs w:val="14"/>
                <w:lang w:eastAsia="es-MX"/>
              </w:rPr>
              <w:t xml:space="preserve">      Custodia de Bienes Históricos</w:t>
            </w:r>
          </w:p>
        </w:tc>
        <w:tc>
          <w:tcPr>
            <w:tcW w:w="1701" w:type="dxa"/>
            <w:tcBorders>
              <w:top w:val="nil"/>
              <w:left w:val="nil"/>
              <w:bottom w:val="single" w:sz="4" w:space="0" w:color="auto"/>
              <w:right w:val="single" w:sz="4" w:space="0" w:color="auto"/>
            </w:tcBorders>
            <w:shd w:val="clear" w:color="auto" w:fill="auto"/>
            <w:vAlign w:val="center"/>
            <w:hideMark/>
          </w:tcPr>
          <w:p w14:paraId="3893FF28" w14:textId="77777777" w:rsidR="00AE6095" w:rsidRPr="00AE6095" w:rsidRDefault="00AE6095" w:rsidP="00AE6095">
            <w:pPr>
              <w:spacing w:after="0" w:line="240" w:lineRule="auto"/>
              <w:jc w:val="right"/>
              <w:rPr>
                <w:rFonts w:eastAsia="Times New Roman" w:cs="Calibri"/>
                <w:color w:val="000000"/>
                <w:sz w:val="14"/>
                <w:szCs w:val="14"/>
                <w:lang w:eastAsia="es-MX"/>
              </w:rPr>
            </w:pPr>
            <w:r w:rsidRPr="00AE6095">
              <w:rPr>
                <w:rFonts w:eastAsia="Times New Roman" w:cs="Calibri"/>
                <w:color w:val="000000"/>
                <w:sz w:val="14"/>
                <w:szCs w:val="14"/>
                <w:lang w:eastAsia="es-MX"/>
              </w:rPr>
              <w:t>-5,097,000</w:t>
            </w:r>
          </w:p>
        </w:tc>
      </w:tr>
    </w:tbl>
    <w:p w14:paraId="006EAC71" w14:textId="77777777" w:rsidR="003312DE" w:rsidRDefault="003312DE" w:rsidP="003312DE">
      <w:pPr>
        <w:spacing w:after="0"/>
        <w:rPr>
          <w:rFonts w:asciiTheme="minorHAnsi" w:hAnsiTheme="minorHAnsi" w:cstheme="minorHAnsi"/>
          <w:b/>
          <w:sz w:val="12"/>
          <w:szCs w:val="18"/>
        </w:rPr>
      </w:pPr>
    </w:p>
    <w:p w14:paraId="65BF1CAA" w14:textId="6EB3BD36" w:rsidR="00276C9A" w:rsidRDefault="005B07BA" w:rsidP="003312DE">
      <w:pPr>
        <w:spacing w:after="0"/>
        <w:rPr>
          <w:rFonts w:asciiTheme="minorHAnsi" w:hAnsiTheme="minorHAnsi" w:cstheme="minorHAnsi"/>
          <w:sz w:val="16"/>
          <w:szCs w:val="18"/>
        </w:rPr>
      </w:pPr>
      <w:r w:rsidRPr="001141E3">
        <w:rPr>
          <w:rFonts w:asciiTheme="minorHAnsi" w:hAnsiTheme="minorHAnsi" w:cstheme="minorHAnsi"/>
          <w:b/>
          <w:sz w:val="12"/>
          <w:szCs w:val="18"/>
        </w:rPr>
        <w:t xml:space="preserve"> </w:t>
      </w:r>
      <w:r w:rsidR="000616DD" w:rsidRPr="001141E3">
        <w:rPr>
          <w:rFonts w:asciiTheme="minorHAnsi" w:hAnsiTheme="minorHAnsi" w:cstheme="minorHAnsi"/>
          <w:sz w:val="16"/>
          <w:szCs w:val="18"/>
        </w:rPr>
        <w:t>*Desglose de pasivos contingentes (Avales y Garantías)</w:t>
      </w:r>
      <w:r w:rsidR="00B152C1" w:rsidRPr="001141E3">
        <w:rPr>
          <w:rFonts w:asciiTheme="minorHAnsi" w:hAnsiTheme="minorHAnsi" w:cstheme="minorHAnsi"/>
          <w:sz w:val="16"/>
          <w:szCs w:val="18"/>
        </w:rPr>
        <w:t xml:space="preserve">       </w:t>
      </w:r>
    </w:p>
    <w:p w14:paraId="37463A26" w14:textId="7E8169B4" w:rsidR="003312DE" w:rsidRDefault="003312DE" w:rsidP="00D30FA3">
      <w:pPr>
        <w:rPr>
          <w:rFonts w:asciiTheme="minorHAnsi" w:hAnsiTheme="minorHAnsi" w:cstheme="minorHAnsi"/>
          <w:sz w:val="16"/>
          <w:szCs w:val="18"/>
        </w:rPr>
      </w:pPr>
    </w:p>
    <w:p w14:paraId="45C10C4F" w14:textId="77777777" w:rsidR="003312DE" w:rsidRPr="00AE6095" w:rsidRDefault="003312DE" w:rsidP="00D30FA3">
      <w:pPr>
        <w:rPr>
          <w:rFonts w:asciiTheme="minorHAnsi" w:hAnsiTheme="minorHAnsi" w:cstheme="minorHAnsi"/>
          <w:sz w:val="16"/>
          <w:szCs w:val="18"/>
        </w:rPr>
      </w:pPr>
    </w:p>
    <w:tbl>
      <w:tblPr>
        <w:tblW w:w="8867" w:type="dxa"/>
        <w:tblCellMar>
          <w:left w:w="70" w:type="dxa"/>
          <w:right w:w="70" w:type="dxa"/>
        </w:tblCellMar>
        <w:tblLook w:val="04A0" w:firstRow="1" w:lastRow="0" w:firstColumn="1" w:lastColumn="0" w:noHBand="0" w:noVBand="1"/>
      </w:tblPr>
      <w:tblGrid>
        <w:gridCol w:w="3397"/>
        <w:gridCol w:w="1560"/>
        <w:gridCol w:w="1275"/>
        <w:gridCol w:w="1315"/>
        <w:gridCol w:w="1320"/>
      </w:tblGrid>
      <w:tr w:rsidR="00BB51AD" w:rsidRPr="00BB51AD" w14:paraId="6162D55F" w14:textId="77777777" w:rsidTr="004A5AEA">
        <w:trPr>
          <w:trHeight w:val="620"/>
        </w:trPr>
        <w:tc>
          <w:tcPr>
            <w:tcW w:w="3397"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72F22219" w14:textId="77777777" w:rsidR="00BB51AD" w:rsidRPr="00BB51AD" w:rsidRDefault="00BB51AD" w:rsidP="00BB51AD">
            <w:pPr>
              <w:spacing w:after="0" w:line="240" w:lineRule="auto"/>
              <w:jc w:val="center"/>
              <w:rPr>
                <w:rFonts w:eastAsia="Times New Roman" w:cs="Calibri"/>
                <w:b/>
                <w:bCs/>
                <w:color w:val="FFFFFF"/>
                <w:sz w:val="16"/>
                <w:szCs w:val="16"/>
                <w:lang w:eastAsia="es-MX"/>
              </w:rPr>
            </w:pPr>
            <w:r w:rsidRPr="00BB51AD">
              <w:rPr>
                <w:rFonts w:eastAsia="Times New Roman" w:cs="Calibri"/>
                <w:b/>
                <w:bCs/>
                <w:color w:val="FFFFFF"/>
                <w:sz w:val="16"/>
                <w:szCs w:val="16"/>
                <w:lang w:eastAsia="es-MX"/>
              </w:rPr>
              <w:t>Deudor</w:t>
            </w:r>
          </w:p>
        </w:tc>
        <w:tc>
          <w:tcPr>
            <w:tcW w:w="1560" w:type="dxa"/>
            <w:tcBorders>
              <w:top w:val="single" w:sz="4" w:space="0" w:color="auto"/>
              <w:left w:val="nil"/>
              <w:bottom w:val="single" w:sz="4" w:space="0" w:color="auto"/>
              <w:right w:val="single" w:sz="4" w:space="0" w:color="auto"/>
            </w:tcBorders>
            <w:shd w:val="clear" w:color="auto" w:fill="AB0033"/>
            <w:vAlign w:val="center"/>
            <w:hideMark/>
          </w:tcPr>
          <w:p w14:paraId="4E1306ED" w14:textId="77777777" w:rsidR="00BB51AD" w:rsidRPr="00BB51AD" w:rsidRDefault="00BB51AD" w:rsidP="00BB51AD">
            <w:pPr>
              <w:spacing w:after="0" w:line="240" w:lineRule="auto"/>
              <w:jc w:val="center"/>
              <w:rPr>
                <w:rFonts w:eastAsia="Times New Roman" w:cs="Calibri"/>
                <w:b/>
                <w:bCs/>
                <w:color w:val="FFFFFF"/>
                <w:sz w:val="16"/>
                <w:szCs w:val="16"/>
                <w:lang w:eastAsia="es-MX"/>
              </w:rPr>
            </w:pPr>
            <w:r w:rsidRPr="00BB51AD">
              <w:rPr>
                <w:rFonts w:eastAsia="Times New Roman" w:cs="Calibri"/>
                <w:b/>
                <w:bCs/>
                <w:color w:val="FFFFFF"/>
                <w:sz w:val="16"/>
                <w:szCs w:val="16"/>
                <w:lang w:eastAsia="es-MX"/>
              </w:rPr>
              <w:t>Acreedor</w:t>
            </w:r>
          </w:p>
        </w:tc>
        <w:tc>
          <w:tcPr>
            <w:tcW w:w="1275" w:type="dxa"/>
            <w:tcBorders>
              <w:top w:val="single" w:sz="4" w:space="0" w:color="auto"/>
              <w:left w:val="nil"/>
              <w:bottom w:val="single" w:sz="4" w:space="0" w:color="auto"/>
              <w:right w:val="single" w:sz="4" w:space="0" w:color="auto"/>
            </w:tcBorders>
            <w:shd w:val="clear" w:color="auto" w:fill="AB0033"/>
            <w:vAlign w:val="center"/>
            <w:hideMark/>
          </w:tcPr>
          <w:p w14:paraId="4AFD9707" w14:textId="77777777" w:rsidR="00BB51AD" w:rsidRPr="00BB51AD" w:rsidRDefault="00BB51AD" w:rsidP="00BB51AD">
            <w:pPr>
              <w:spacing w:after="0" w:line="240" w:lineRule="auto"/>
              <w:jc w:val="center"/>
              <w:rPr>
                <w:rFonts w:eastAsia="Times New Roman" w:cs="Calibri"/>
                <w:b/>
                <w:bCs/>
                <w:color w:val="FFFFFF"/>
                <w:sz w:val="16"/>
                <w:szCs w:val="16"/>
                <w:lang w:eastAsia="es-MX"/>
              </w:rPr>
            </w:pPr>
            <w:r w:rsidRPr="00BB51AD">
              <w:rPr>
                <w:rFonts w:eastAsia="Times New Roman" w:cs="Calibri"/>
                <w:b/>
                <w:bCs/>
                <w:color w:val="FFFFFF"/>
                <w:sz w:val="16"/>
                <w:szCs w:val="16"/>
                <w:lang w:eastAsia="es-MX"/>
              </w:rPr>
              <w:t>Registro SHCP</w:t>
            </w:r>
          </w:p>
        </w:tc>
        <w:tc>
          <w:tcPr>
            <w:tcW w:w="1315" w:type="dxa"/>
            <w:tcBorders>
              <w:top w:val="single" w:sz="4" w:space="0" w:color="auto"/>
              <w:left w:val="nil"/>
              <w:bottom w:val="single" w:sz="4" w:space="0" w:color="auto"/>
              <w:right w:val="single" w:sz="4" w:space="0" w:color="auto"/>
            </w:tcBorders>
            <w:shd w:val="clear" w:color="auto" w:fill="AB0033"/>
            <w:vAlign w:val="center"/>
            <w:hideMark/>
          </w:tcPr>
          <w:p w14:paraId="7D97B4B7" w14:textId="77777777" w:rsidR="00BB51AD" w:rsidRPr="00BB51AD" w:rsidRDefault="00BB51AD" w:rsidP="00BB51AD">
            <w:pPr>
              <w:spacing w:after="0" w:line="240" w:lineRule="auto"/>
              <w:jc w:val="center"/>
              <w:rPr>
                <w:rFonts w:eastAsia="Times New Roman" w:cs="Calibri"/>
                <w:b/>
                <w:bCs/>
                <w:color w:val="FFFFFF"/>
                <w:sz w:val="16"/>
                <w:szCs w:val="16"/>
                <w:lang w:eastAsia="es-MX"/>
              </w:rPr>
            </w:pPr>
            <w:r w:rsidRPr="00BB51AD">
              <w:rPr>
                <w:rFonts w:eastAsia="Times New Roman" w:cs="Calibri"/>
                <w:b/>
                <w:bCs/>
                <w:color w:val="FFFFFF"/>
                <w:sz w:val="16"/>
                <w:szCs w:val="16"/>
                <w:lang w:eastAsia="es-MX"/>
              </w:rPr>
              <w:t>Saldo del Crédito</w:t>
            </w:r>
          </w:p>
        </w:tc>
        <w:tc>
          <w:tcPr>
            <w:tcW w:w="1320" w:type="dxa"/>
            <w:tcBorders>
              <w:top w:val="single" w:sz="4" w:space="0" w:color="auto"/>
              <w:left w:val="nil"/>
              <w:bottom w:val="single" w:sz="4" w:space="0" w:color="auto"/>
              <w:right w:val="single" w:sz="4" w:space="0" w:color="auto"/>
            </w:tcBorders>
            <w:shd w:val="clear" w:color="auto" w:fill="AB0033"/>
            <w:vAlign w:val="center"/>
            <w:hideMark/>
          </w:tcPr>
          <w:p w14:paraId="3FFCD421" w14:textId="77777777" w:rsidR="00BB51AD" w:rsidRPr="00BB51AD" w:rsidRDefault="00BB51AD" w:rsidP="00BB51AD">
            <w:pPr>
              <w:spacing w:after="0" w:line="240" w:lineRule="auto"/>
              <w:jc w:val="center"/>
              <w:rPr>
                <w:rFonts w:eastAsia="Times New Roman" w:cs="Calibri"/>
                <w:b/>
                <w:bCs/>
                <w:color w:val="FFFFFF"/>
                <w:sz w:val="16"/>
                <w:szCs w:val="16"/>
                <w:lang w:eastAsia="es-MX"/>
              </w:rPr>
            </w:pPr>
            <w:r w:rsidRPr="00BB51AD">
              <w:rPr>
                <w:rFonts w:eastAsia="Times New Roman" w:cs="Calibri"/>
                <w:b/>
                <w:bCs/>
                <w:color w:val="FFFFFF"/>
                <w:sz w:val="16"/>
                <w:szCs w:val="16"/>
                <w:lang w:eastAsia="es-MX"/>
              </w:rPr>
              <w:t xml:space="preserve">Importe </w:t>
            </w:r>
          </w:p>
        </w:tc>
      </w:tr>
      <w:tr w:rsidR="00BB51AD" w:rsidRPr="00BB51AD" w14:paraId="74791F60" w14:textId="77777777" w:rsidTr="00356F46">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0801F" w14:textId="77777777" w:rsidR="00BB51AD" w:rsidRPr="00BB51AD" w:rsidRDefault="00BB51AD" w:rsidP="00BB51AD">
            <w:pPr>
              <w:spacing w:after="0" w:line="240" w:lineRule="auto"/>
              <w:rPr>
                <w:rFonts w:eastAsia="Times New Roman" w:cs="Calibri"/>
                <w:b/>
                <w:bCs/>
                <w:color w:val="000000"/>
                <w:sz w:val="14"/>
                <w:szCs w:val="14"/>
                <w:lang w:eastAsia="es-MX"/>
              </w:rPr>
            </w:pPr>
            <w:r w:rsidRPr="00BB51AD">
              <w:rPr>
                <w:rFonts w:eastAsia="Times New Roman" w:cs="Calibri"/>
                <w:b/>
                <w:bCs/>
                <w:color w:val="000000"/>
                <w:sz w:val="14"/>
                <w:szCs w:val="14"/>
                <w:lang w:eastAsia="es-MX"/>
              </w:rPr>
              <w:t>A Municipios</w:t>
            </w:r>
          </w:p>
        </w:tc>
        <w:tc>
          <w:tcPr>
            <w:tcW w:w="1560" w:type="dxa"/>
            <w:tcBorders>
              <w:top w:val="single" w:sz="4" w:space="0" w:color="auto"/>
              <w:left w:val="single" w:sz="4" w:space="0" w:color="auto"/>
              <w:bottom w:val="single" w:sz="4" w:space="0" w:color="auto"/>
            </w:tcBorders>
            <w:shd w:val="clear" w:color="auto" w:fill="auto"/>
            <w:noWrap/>
            <w:vAlign w:val="center"/>
            <w:hideMark/>
          </w:tcPr>
          <w:p w14:paraId="535FDA3C" w14:textId="77777777" w:rsidR="00BB51AD" w:rsidRPr="00BB51AD" w:rsidRDefault="00BB51AD" w:rsidP="00BB51AD">
            <w:pPr>
              <w:spacing w:after="0" w:line="240" w:lineRule="auto"/>
              <w:rPr>
                <w:rFonts w:eastAsia="Times New Roman" w:cs="Calibri"/>
                <w:b/>
                <w:bCs/>
                <w:color w:val="000000"/>
                <w:sz w:val="14"/>
                <w:szCs w:val="14"/>
                <w:lang w:eastAsia="es-MX"/>
              </w:rPr>
            </w:pPr>
          </w:p>
        </w:tc>
        <w:tc>
          <w:tcPr>
            <w:tcW w:w="1275" w:type="dxa"/>
            <w:tcBorders>
              <w:top w:val="single" w:sz="4" w:space="0" w:color="auto"/>
              <w:left w:val="nil"/>
              <w:bottom w:val="single" w:sz="4" w:space="0" w:color="auto"/>
            </w:tcBorders>
            <w:shd w:val="clear" w:color="auto" w:fill="auto"/>
            <w:noWrap/>
            <w:vAlign w:val="center"/>
            <w:hideMark/>
          </w:tcPr>
          <w:p w14:paraId="1F4419BF" w14:textId="77777777" w:rsidR="00BB51AD" w:rsidRPr="00BB51AD" w:rsidRDefault="00BB51AD" w:rsidP="00BB51AD">
            <w:pPr>
              <w:spacing w:after="0" w:line="240" w:lineRule="auto"/>
              <w:rPr>
                <w:rFonts w:ascii="Times New Roman" w:eastAsia="Times New Roman" w:hAnsi="Times New Roman"/>
                <w:sz w:val="20"/>
                <w:szCs w:val="20"/>
                <w:lang w:eastAsia="es-MX"/>
              </w:rPr>
            </w:pPr>
          </w:p>
        </w:tc>
        <w:tc>
          <w:tcPr>
            <w:tcW w:w="1315" w:type="dxa"/>
            <w:tcBorders>
              <w:top w:val="single" w:sz="4" w:space="0" w:color="auto"/>
              <w:bottom w:val="single" w:sz="4" w:space="0" w:color="auto"/>
              <w:right w:val="single" w:sz="4" w:space="0" w:color="auto"/>
            </w:tcBorders>
            <w:shd w:val="clear" w:color="auto" w:fill="auto"/>
            <w:noWrap/>
            <w:vAlign w:val="center"/>
            <w:hideMark/>
          </w:tcPr>
          <w:p w14:paraId="129C8816" w14:textId="77777777" w:rsidR="00BB51AD" w:rsidRPr="00BB51AD" w:rsidRDefault="00BB51AD" w:rsidP="00BB51AD">
            <w:pPr>
              <w:spacing w:after="0" w:line="240" w:lineRule="auto"/>
              <w:jc w:val="center"/>
              <w:rPr>
                <w:rFonts w:ascii="Times New Roman" w:eastAsia="Times New Roman" w:hAnsi="Times New Roman"/>
                <w:sz w:val="20"/>
                <w:szCs w:val="20"/>
                <w:lang w:eastAsia="es-MX"/>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D6359" w14:textId="77777777" w:rsidR="00BB51AD" w:rsidRPr="00BB51AD" w:rsidRDefault="00BB51AD" w:rsidP="00BB51AD">
            <w:pPr>
              <w:spacing w:after="0" w:line="240" w:lineRule="auto"/>
              <w:jc w:val="right"/>
              <w:rPr>
                <w:rFonts w:eastAsia="Times New Roman" w:cs="Calibri"/>
                <w:b/>
                <w:bCs/>
                <w:color w:val="000000"/>
                <w:sz w:val="14"/>
                <w:szCs w:val="14"/>
                <w:lang w:eastAsia="es-MX"/>
              </w:rPr>
            </w:pPr>
            <w:r w:rsidRPr="00BB51AD">
              <w:rPr>
                <w:rFonts w:eastAsia="Times New Roman" w:cs="Calibri"/>
                <w:b/>
                <w:bCs/>
                <w:color w:val="000000"/>
                <w:sz w:val="14"/>
                <w:szCs w:val="14"/>
                <w:lang w:eastAsia="es-MX"/>
              </w:rPr>
              <w:t>97,936,406</w:t>
            </w:r>
          </w:p>
        </w:tc>
      </w:tr>
      <w:tr w:rsidR="00BB51AD" w:rsidRPr="00BB51AD" w14:paraId="722B3A37" w14:textId="77777777" w:rsidTr="00356F46">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5A21B"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Nuevo Laredo (CETES)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8C5F2"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Banobras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E8A1D" w14:textId="77777777" w:rsidR="00BB51AD" w:rsidRPr="00BB51AD" w:rsidRDefault="00BB51AD" w:rsidP="00BB51AD">
            <w:pPr>
              <w:spacing w:after="0" w:line="240" w:lineRule="auto"/>
              <w:jc w:val="center"/>
              <w:rPr>
                <w:rFonts w:eastAsia="Times New Roman" w:cs="Calibri"/>
                <w:color w:val="000000"/>
                <w:sz w:val="14"/>
                <w:szCs w:val="14"/>
                <w:lang w:eastAsia="es-MX"/>
              </w:rPr>
            </w:pPr>
            <w:r w:rsidRPr="00BB51AD">
              <w:rPr>
                <w:rFonts w:eastAsia="Times New Roman" w:cs="Calibri"/>
                <w:color w:val="000000"/>
                <w:sz w:val="14"/>
                <w:szCs w:val="14"/>
                <w:lang w:eastAsia="es-MX"/>
              </w:rPr>
              <w:t>25/200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B55307"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6,845,478</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EFAE1"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r>
      <w:tr w:rsidR="00BB51AD" w:rsidRPr="00BB51AD" w14:paraId="6AABAB74" w14:textId="77777777" w:rsidTr="00356F46">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53DD2"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Nuevo Laredo (UDIS)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1AC94"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Banobras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69D61" w14:textId="77777777" w:rsidR="00BB51AD" w:rsidRPr="00BB51AD" w:rsidRDefault="00BB51AD" w:rsidP="00BB51AD">
            <w:pPr>
              <w:spacing w:after="0" w:line="240" w:lineRule="auto"/>
              <w:jc w:val="center"/>
              <w:rPr>
                <w:rFonts w:eastAsia="Times New Roman" w:cs="Calibri"/>
                <w:color w:val="000000"/>
                <w:sz w:val="14"/>
                <w:szCs w:val="14"/>
                <w:lang w:eastAsia="es-MX"/>
              </w:rPr>
            </w:pPr>
            <w:r w:rsidRPr="00BB51AD">
              <w:rPr>
                <w:rFonts w:eastAsia="Times New Roman" w:cs="Calibri"/>
                <w:color w:val="000000"/>
                <w:sz w:val="14"/>
                <w:szCs w:val="14"/>
                <w:lang w:eastAsia="es-MX"/>
              </w:rPr>
              <w:t>25/200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10767D"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17,171,267</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E9AF7"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r>
      <w:tr w:rsidR="00BB51AD" w:rsidRPr="00BB51AD" w14:paraId="2109230F" w14:textId="77777777" w:rsidTr="00356F46">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D640B"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xml:space="preserve">Nuevo Laredo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3F136"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Cofidan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957B8" w14:textId="77777777" w:rsidR="00BB51AD" w:rsidRPr="00BB51AD" w:rsidRDefault="00BB51AD" w:rsidP="00BB51AD">
            <w:pPr>
              <w:spacing w:after="0" w:line="240" w:lineRule="auto"/>
              <w:jc w:val="center"/>
              <w:rPr>
                <w:rFonts w:eastAsia="Times New Roman" w:cs="Calibri"/>
                <w:color w:val="000000"/>
                <w:sz w:val="14"/>
                <w:szCs w:val="14"/>
                <w:lang w:eastAsia="es-MX"/>
              </w:rPr>
            </w:pPr>
            <w:r w:rsidRPr="00BB51AD">
              <w:rPr>
                <w:rFonts w:eastAsia="Times New Roman" w:cs="Calibri"/>
                <w:color w:val="000000"/>
                <w:sz w:val="14"/>
                <w:szCs w:val="14"/>
                <w:lang w:eastAsia="es-MX"/>
              </w:rPr>
              <w:t>032/2008</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870309"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73,919,661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C5E44"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r>
      <w:tr w:rsidR="00BB51AD" w:rsidRPr="00BB51AD" w14:paraId="405C541D" w14:textId="77777777" w:rsidTr="00356F46">
        <w:trPr>
          <w:trHeight w:val="290"/>
        </w:trPr>
        <w:tc>
          <w:tcPr>
            <w:tcW w:w="3397" w:type="dxa"/>
            <w:tcBorders>
              <w:top w:val="single" w:sz="4" w:space="0" w:color="auto"/>
              <w:left w:val="single" w:sz="4" w:space="0" w:color="auto"/>
              <w:bottom w:val="single" w:sz="4" w:space="0" w:color="auto"/>
            </w:tcBorders>
            <w:shd w:val="clear" w:color="auto" w:fill="auto"/>
            <w:noWrap/>
            <w:vAlign w:val="bottom"/>
            <w:hideMark/>
          </w:tcPr>
          <w:p w14:paraId="7692AD72"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c>
          <w:tcPr>
            <w:tcW w:w="1560" w:type="dxa"/>
            <w:tcBorders>
              <w:top w:val="single" w:sz="4" w:space="0" w:color="auto"/>
              <w:bottom w:val="single" w:sz="4" w:space="0" w:color="auto"/>
            </w:tcBorders>
            <w:shd w:val="clear" w:color="auto" w:fill="auto"/>
            <w:noWrap/>
            <w:vAlign w:val="bottom"/>
            <w:hideMark/>
          </w:tcPr>
          <w:p w14:paraId="7414D4B0" w14:textId="77777777" w:rsidR="00BB51AD" w:rsidRPr="00BB51AD" w:rsidRDefault="00BB51AD" w:rsidP="00BB51AD">
            <w:pPr>
              <w:spacing w:after="0" w:line="240" w:lineRule="auto"/>
              <w:rPr>
                <w:rFonts w:eastAsia="Times New Roman" w:cs="Calibri"/>
                <w:color w:val="000000"/>
                <w:sz w:val="14"/>
                <w:szCs w:val="14"/>
                <w:lang w:eastAsia="es-MX"/>
              </w:rPr>
            </w:pPr>
          </w:p>
        </w:tc>
        <w:tc>
          <w:tcPr>
            <w:tcW w:w="1275" w:type="dxa"/>
            <w:tcBorders>
              <w:top w:val="single" w:sz="4" w:space="0" w:color="auto"/>
              <w:bottom w:val="single" w:sz="4" w:space="0" w:color="auto"/>
            </w:tcBorders>
            <w:shd w:val="clear" w:color="auto" w:fill="auto"/>
            <w:noWrap/>
            <w:vAlign w:val="bottom"/>
            <w:hideMark/>
          </w:tcPr>
          <w:p w14:paraId="5E3061E4" w14:textId="77777777" w:rsidR="00BB51AD" w:rsidRPr="00BB51AD" w:rsidRDefault="00BB51AD" w:rsidP="00BB51AD">
            <w:pPr>
              <w:spacing w:after="0" w:line="240" w:lineRule="auto"/>
              <w:rPr>
                <w:rFonts w:ascii="Times New Roman" w:eastAsia="Times New Roman" w:hAnsi="Times New Roman"/>
                <w:sz w:val="20"/>
                <w:szCs w:val="20"/>
                <w:lang w:eastAsia="es-MX"/>
              </w:rPr>
            </w:pPr>
          </w:p>
        </w:tc>
        <w:tc>
          <w:tcPr>
            <w:tcW w:w="1315" w:type="dxa"/>
            <w:tcBorders>
              <w:top w:val="single" w:sz="4" w:space="0" w:color="auto"/>
              <w:bottom w:val="single" w:sz="4" w:space="0" w:color="auto"/>
            </w:tcBorders>
            <w:shd w:val="clear" w:color="000000" w:fill="FFFFFF"/>
            <w:noWrap/>
            <w:vAlign w:val="bottom"/>
            <w:hideMark/>
          </w:tcPr>
          <w:p w14:paraId="01284EB5" w14:textId="2C4B4C58" w:rsidR="00BB51AD" w:rsidRPr="00BB51AD" w:rsidRDefault="00BB51AD" w:rsidP="00BB51AD">
            <w:pPr>
              <w:spacing w:after="0" w:line="240" w:lineRule="auto"/>
              <w:jc w:val="right"/>
              <w:rPr>
                <w:rFonts w:eastAsia="Times New Roman" w:cs="Calibri"/>
                <w:color w:val="000000"/>
                <w:sz w:val="14"/>
                <w:szCs w:val="14"/>
                <w:lang w:eastAsia="es-MX"/>
              </w:rPr>
            </w:pPr>
          </w:p>
        </w:tc>
        <w:tc>
          <w:tcPr>
            <w:tcW w:w="1320" w:type="dxa"/>
            <w:tcBorders>
              <w:top w:val="single" w:sz="4" w:space="0" w:color="auto"/>
              <w:bottom w:val="single" w:sz="4" w:space="0" w:color="auto"/>
              <w:right w:val="single" w:sz="4" w:space="0" w:color="auto"/>
            </w:tcBorders>
            <w:shd w:val="clear" w:color="auto" w:fill="auto"/>
            <w:noWrap/>
            <w:vAlign w:val="bottom"/>
            <w:hideMark/>
          </w:tcPr>
          <w:p w14:paraId="0260384B"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r>
      <w:tr w:rsidR="00BB51AD" w:rsidRPr="00BB51AD" w14:paraId="623BFB0B" w14:textId="77777777" w:rsidTr="00356F46">
        <w:trPr>
          <w:trHeight w:val="290"/>
        </w:trPr>
        <w:tc>
          <w:tcPr>
            <w:tcW w:w="4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3AAB9" w14:textId="77777777" w:rsidR="00BB51AD" w:rsidRPr="00BB51AD" w:rsidRDefault="00BB51AD" w:rsidP="00BB51AD">
            <w:pPr>
              <w:spacing w:after="0" w:line="240" w:lineRule="auto"/>
              <w:rPr>
                <w:rFonts w:eastAsia="Times New Roman" w:cs="Calibri"/>
                <w:b/>
                <w:bCs/>
                <w:color w:val="000000"/>
                <w:sz w:val="14"/>
                <w:szCs w:val="14"/>
                <w:lang w:eastAsia="es-MX"/>
              </w:rPr>
            </w:pPr>
            <w:r w:rsidRPr="00BB51AD">
              <w:rPr>
                <w:rFonts w:eastAsia="Times New Roman" w:cs="Calibri"/>
                <w:b/>
                <w:bCs/>
                <w:color w:val="000000"/>
                <w:sz w:val="14"/>
                <w:szCs w:val="14"/>
                <w:lang w:eastAsia="es-MX"/>
              </w:rPr>
              <w:t>A Organismos Operadores del Agua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93FB1" w14:textId="77777777" w:rsidR="00BB51AD" w:rsidRPr="00BB51AD" w:rsidRDefault="00BB51AD" w:rsidP="00BB51AD">
            <w:pPr>
              <w:spacing w:after="0" w:line="240" w:lineRule="auto"/>
              <w:rPr>
                <w:rFonts w:eastAsia="Times New Roman" w:cs="Calibri"/>
                <w:b/>
                <w:bCs/>
                <w:color w:val="000000"/>
                <w:sz w:val="14"/>
                <w:szCs w:val="14"/>
                <w:lang w:eastAsia="es-MX"/>
              </w:rPr>
            </w:pP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D43E3" w14:textId="77777777" w:rsidR="00BB51AD" w:rsidRPr="00BB51AD" w:rsidRDefault="00BB51AD" w:rsidP="00BB51AD">
            <w:pPr>
              <w:spacing w:after="0" w:line="240" w:lineRule="auto"/>
              <w:rPr>
                <w:rFonts w:eastAsia="Times New Roman" w:cs="Calibri"/>
                <w:b/>
                <w:bCs/>
                <w:color w:val="000000"/>
                <w:sz w:val="14"/>
                <w:szCs w:val="14"/>
                <w:lang w:eastAsia="es-MX"/>
              </w:rPr>
            </w:pPr>
            <w:r w:rsidRPr="00BB51AD">
              <w:rPr>
                <w:rFonts w:eastAsia="Times New Roman" w:cs="Calibri"/>
                <w:b/>
                <w:bCs/>
                <w:color w:val="000000"/>
                <w:sz w:val="14"/>
                <w:szCs w:val="14"/>
                <w:lang w:eastAsia="es-MX"/>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24C75" w14:textId="77777777" w:rsidR="00BB51AD" w:rsidRPr="00BB51AD" w:rsidRDefault="00BB51AD" w:rsidP="00BB51AD">
            <w:pPr>
              <w:spacing w:after="0" w:line="240" w:lineRule="auto"/>
              <w:jc w:val="right"/>
              <w:rPr>
                <w:rFonts w:eastAsia="Times New Roman" w:cs="Calibri"/>
                <w:b/>
                <w:bCs/>
                <w:color w:val="000000"/>
                <w:sz w:val="14"/>
                <w:szCs w:val="14"/>
                <w:lang w:eastAsia="es-MX"/>
              </w:rPr>
            </w:pPr>
            <w:r w:rsidRPr="00BB51AD">
              <w:rPr>
                <w:rFonts w:eastAsia="Times New Roman" w:cs="Calibri"/>
                <w:b/>
                <w:bCs/>
                <w:color w:val="000000"/>
                <w:sz w:val="14"/>
                <w:szCs w:val="14"/>
                <w:lang w:eastAsia="es-MX"/>
              </w:rPr>
              <w:t>27,970,320</w:t>
            </w:r>
          </w:p>
        </w:tc>
      </w:tr>
      <w:tr w:rsidR="00BB51AD" w:rsidRPr="00BB51AD" w14:paraId="1E7D580C" w14:textId="77777777" w:rsidTr="00356F46">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ACD55"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Comapa Nvo Laredo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404C7"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Cofidan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82A65" w14:textId="77777777" w:rsidR="00BB51AD" w:rsidRPr="00BB51AD" w:rsidRDefault="00BB51AD" w:rsidP="00BB51AD">
            <w:pPr>
              <w:spacing w:after="0" w:line="240" w:lineRule="auto"/>
              <w:jc w:val="center"/>
              <w:rPr>
                <w:rFonts w:eastAsia="Times New Roman" w:cs="Calibri"/>
                <w:color w:val="000000"/>
                <w:sz w:val="14"/>
                <w:szCs w:val="14"/>
                <w:lang w:eastAsia="es-MX"/>
              </w:rPr>
            </w:pPr>
            <w:r w:rsidRPr="00BB51AD">
              <w:rPr>
                <w:rFonts w:eastAsia="Times New Roman" w:cs="Calibri"/>
                <w:color w:val="000000"/>
                <w:sz w:val="14"/>
                <w:szCs w:val="14"/>
                <w:lang w:eastAsia="es-MX"/>
              </w:rPr>
              <w:t>308/2006</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FF584F"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13,157,520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B8C98"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r>
      <w:tr w:rsidR="00BB51AD" w:rsidRPr="00BB51AD" w14:paraId="0670A26A" w14:textId="77777777" w:rsidTr="00356F46">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77A02"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Comapa Río Bravo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07AAA"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Cofidan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EA0BA" w14:textId="77777777" w:rsidR="00BB51AD" w:rsidRPr="00BB51AD" w:rsidRDefault="00BB51AD" w:rsidP="00BB51AD">
            <w:pPr>
              <w:spacing w:after="0" w:line="240" w:lineRule="auto"/>
              <w:jc w:val="center"/>
              <w:rPr>
                <w:rFonts w:eastAsia="Times New Roman" w:cs="Calibri"/>
                <w:color w:val="000000"/>
                <w:sz w:val="14"/>
                <w:szCs w:val="14"/>
                <w:lang w:eastAsia="es-MX"/>
              </w:rPr>
            </w:pPr>
            <w:r w:rsidRPr="00BB51AD">
              <w:rPr>
                <w:rFonts w:eastAsia="Times New Roman" w:cs="Calibri"/>
                <w:color w:val="000000"/>
                <w:sz w:val="14"/>
                <w:szCs w:val="14"/>
                <w:lang w:eastAsia="es-MX"/>
              </w:rPr>
              <w:t>193/2008</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18D8A9"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14,812,800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CA41C"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r>
      <w:tr w:rsidR="00BB51AD" w:rsidRPr="00BB51AD" w14:paraId="36FC1D7B" w14:textId="77777777" w:rsidTr="00356F46">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360A0"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Comapa Zona Conurbada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EA2BB"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Interacciones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5BA25" w14:textId="77777777" w:rsidR="00BB51AD" w:rsidRPr="00BB51AD" w:rsidRDefault="00BB51AD" w:rsidP="00BB51AD">
            <w:pPr>
              <w:spacing w:after="0" w:line="240" w:lineRule="auto"/>
              <w:jc w:val="center"/>
              <w:rPr>
                <w:rFonts w:eastAsia="Times New Roman" w:cs="Calibri"/>
                <w:color w:val="000000"/>
                <w:sz w:val="14"/>
                <w:szCs w:val="14"/>
                <w:lang w:eastAsia="es-MX"/>
              </w:rPr>
            </w:pPr>
            <w:r w:rsidRPr="00BB51AD">
              <w:rPr>
                <w:rFonts w:eastAsia="Times New Roman" w:cs="Calibri"/>
                <w:color w:val="000000"/>
                <w:sz w:val="14"/>
                <w:szCs w:val="14"/>
                <w:lang w:eastAsia="es-MX"/>
              </w:rPr>
              <w:t>053/2010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A311F4"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4A8CA"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r>
      <w:tr w:rsidR="00BB51AD" w:rsidRPr="00BB51AD" w14:paraId="559E86E2" w14:textId="77777777" w:rsidTr="006E1FB4">
        <w:trPr>
          <w:trHeight w:val="290"/>
        </w:trPr>
        <w:tc>
          <w:tcPr>
            <w:tcW w:w="3397" w:type="dxa"/>
            <w:tcBorders>
              <w:top w:val="single" w:sz="4" w:space="0" w:color="auto"/>
              <w:left w:val="single" w:sz="4" w:space="0" w:color="auto"/>
              <w:bottom w:val="single" w:sz="4" w:space="0" w:color="auto"/>
            </w:tcBorders>
            <w:shd w:val="clear" w:color="auto" w:fill="auto"/>
            <w:noWrap/>
            <w:vAlign w:val="bottom"/>
            <w:hideMark/>
          </w:tcPr>
          <w:p w14:paraId="0103D832"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c>
          <w:tcPr>
            <w:tcW w:w="1560" w:type="dxa"/>
            <w:tcBorders>
              <w:top w:val="single" w:sz="4" w:space="0" w:color="auto"/>
              <w:bottom w:val="single" w:sz="4" w:space="0" w:color="auto"/>
            </w:tcBorders>
            <w:shd w:val="clear" w:color="auto" w:fill="auto"/>
            <w:noWrap/>
            <w:vAlign w:val="bottom"/>
            <w:hideMark/>
          </w:tcPr>
          <w:p w14:paraId="0B89A7D8" w14:textId="77777777" w:rsidR="00BB51AD" w:rsidRPr="00BB51AD" w:rsidRDefault="00BB51AD" w:rsidP="00BB51AD">
            <w:pPr>
              <w:spacing w:after="0" w:line="240" w:lineRule="auto"/>
              <w:rPr>
                <w:rFonts w:eastAsia="Times New Roman" w:cs="Calibri"/>
                <w:color w:val="000000"/>
                <w:sz w:val="14"/>
                <w:szCs w:val="14"/>
                <w:lang w:eastAsia="es-MX"/>
              </w:rPr>
            </w:pPr>
          </w:p>
        </w:tc>
        <w:tc>
          <w:tcPr>
            <w:tcW w:w="1275" w:type="dxa"/>
            <w:tcBorders>
              <w:top w:val="single" w:sz="4" w:space="0" w:color="auto"/>
              <w:bottom w:val="single" w:sz="4" w:space="0" w:color="auto"/>
            </w:tcBorders>
            <w:shd w:val="clear" w:color="auto" w:fill="auto"/>
            <w:noWrap/>
            <w:vAlign w:val="bottom"/>
            <w:hideMark/>
          </w:tcPr>
          <w:p w14:paraId="3AF8CD5B" w14:textId="77777777" w:rsidR="00BB51AD" w:rsidRPr="00BB51AD" w:rsidRDefault="00BB51AD" w:rsidP="00BB51AD">
            <w:pPr>
              <w:spacing w:after="0" w:line="240" w:lineRule="auto"/>
              <w:rPr>
                <w:rFonts w:ascii="Times New Roman" w:eastAsia="Times New Roman" w:hAnsi="Times New Roman"/>
                <w:sz w:val="20"/>
                <w:szCs w:val="20"/>
                <w:lang w:eastAsia="es-MX"/>
              </w:rPr>
            </w:pPr>
          </w:p>
        </w:tc>
        <w:tc>
          <w:tcPr>
            <w:tcW w:w="1315" w:type="dxa"/>
            <w:tcBorders>
              <w:top w:val="single" w:sz="4" w:space="0" w:color="auto"/>
              <w:bottom w:val="single" w:sz="4" w:space="0" w:color="auto"/>
            </w:tcBorders>
            <w:shd w:val="clear" w:color="000000" w:fill="FFFFFF"/>
            <w:noWrap/>
            <w:vAlign w:val="bottom"/>
            <w:hideMark/>
          </w:tcPr>
          <w:p w14:paraId="75EAF0C3"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c>
          <w:tcPr>
            <w:tcW w:w="1320" w:type="dxa"/>
            <w:tcBorders>
              <w:top w:val="single" w:sz="4" w:space="0" w:color="auto"/>
              <w:bottom w:val="single" w:sz="4" w:space="0" w:color="auto"/>
              <w:right w:val="single" w:sz="4" w:space="0" w:color="auto"/>
            </w:tcBorders>
            <w:shd w:val="clear" w:color="auto" w:fill="auto"/>
            <w:noWrap/>
            <w:vAlign w:val="bottom"/>
            <w:hideMark/>
          </w:tcPr>
          <w:p w14:paraId="5123631F"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r>
      <w:tr w:rsidR="00BB51AD" w:rsidRPr="00BB51AD" w14:paraId="38F0EE1E" w14:textId="77777777" w:rsidTr="006E1FB4">
        <w:trPr>
          <w:trHeight w:val="290"/>
        </w:trPr>
        <w:tc>
          <w:tcPr>
            <w:tcW w:w="4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97826" w14:textId="77777777" w:rsidR="00BB51AD" w:rsidRPr="00BB51AD" w:rsidRDefault="00BB51AD" w:rsidP="00BB51AD">
            <w:pPr>
              <w:spacing w:after="0" w:line="240" w:lineRule="auto"/>
              <w:rPr>
                <w:rFonts w:eastAsia="Times New Roman" w:cs="Calibri"/>
                <w:b/>
                <w:bCs/>
                <w:color w:val="000000"/>
                <w:sz w:val="14"/>
                <w:szCs w:val="14"/>
                <w:lang w:eastAsia="es-MX"/>
              </w:rPr>
            </w:pPr>
            <w:r w:rsidRPr="00BB51AD">
              <w:rPr>
                <w:rFonts w:eastAsia="Times New Roman" w:cs="Calibri"/>
                <w:b/>
                <w:bCs/>
                <w:color w:val="000000"/>
                <w:sz w:val="14"/>
                <w:szCs w:val="14"/>
                <w:lang w:eastAsia="es-MX"/>
              </w:rPr>
              <w:t xml:space="preserve">A Organismos Descentralizados (ITAVU) </w:t>
            </w:r>
          </w:p>
        </w:tc>
        <w:tc>
          <w:tcPr>
            <w:tcW w:w="1275" w:type="dxa"/>
            <w:tcBorders>
              <w:top w:val="single" w:sz="4" w:space="0" w:color="auto"/>
              <w:left w:val="single" w:sz="4" w:space="0" w:color="auto"/>
              <w:bottom w:val="single" w:sz="4" w:space="0" w:color="auto"/>
            </w:tcBorders>
            <w:shd w:val="clear" w:color="auto" w:fill="auto"/>
            <w:noWrap/>
            <w:vAlign w:val="center"/>
            <w:hideMark/>
          </w:tcPr>
          <w:p w14:paraId="297320CC" w14:textId="77777777" w:rsidR="00BB51AD" w:rsidRPr="00BB51AD" w:rsidRDefault="00BB51AD" w:rsidP="00BB51AD">
            <w:pPr>
              <w:spacing w:after="0" w:line="240" w:lineRule="auto"/>
              <w:rPr>
                <w:rFonts w:eastAsia="Times New Roman" w:cs="Calibri"/>
                <w:b/>
                <w:bCs/>
                <w:color w:val="000000"/>
                <w:sz w:val="14"/>
                <w:szCs w:val="14"/>
                <w:lang w:eastAsia="es-MX"/>
              </w:rPr>
            </w:pP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14:paraId="40BE0787"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3A294" w14:textId="77777777" w:rsidR="00BB51AD" w:rsidRPr="00BB51AD" w:rsidRDefault="00BB51AD" w:rsidP="00BB51AD">
            <w:pPr>
              <w:spacing w:after="0" w:line="240" w:lineRule="auto"/>
              <w:jc w:val="right"/>
              <w:rPr>
                <w:rFonts w:eastAsia="Times New Roman" w:cs="Calibri"/>
                <w:b/>
                <w:bCs/>
                <w:color w:val="000000"/>
                <w:sz w:val="14"/>
                <w:szCs w:val="14"/>
                <w:lang w:eastAsia="es-MX"/>
              </w:rPr>
            </w:pPr>
            <w:r w:rsidRPr="00BB51AD">
              <w:rPr>
                <w:rFonts w:eastAsia="Times New Roman" w:cs="Calibri"/>
                <w:b/>
                <w:bCs/>
                <w:color w:val="000000"/>
                <w:sz w:val="14"/>
                <w:szCs w:val="14"/>
                <w:lang w:eastAsia="es-MX"/>
              </w:rPr>
              <w:t>105,152,549</w:t>
            </w:r>
          </w:p>
        </w:tc>
      </w:tr>
      <w:tr w:rsidR="00BB51AD" w:rsidRPr="00BB51AD" w14:paraId="76B765A3" w14:textId="77777777" w:rsidTr="00356F46">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BD363"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Instituto Tamaulipeco de Vivienda y Urbanismo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93251"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BBV  Bancomer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C0D7E" w14:textId="77777777" w:rsidR="00BB51AD" w:rsidRPr="00BB51AD" w:rsidRDefault="00BB51AD" w:rsidP="00BB51AD">
            <w:pPr>
              <w:spacing w:after="0" w:line="240" w:lineRule="auto"/>
              <w:jc w:val="center"/>
              <w:rPr>
                <w:rFonts w:eastAsia="Times New Roman" w:cs="Calibri"/>
                <w:color w:val="000000"/>
                <w:sz w:val="14"/>
                <w:szCs w:val="14"/>
                <w:lang w:eastAsia="es-MX"/>
              </w:rPr>
            </w:pPr>
            <w:r w:rsidRPr="00BB51AD">
              <w:rPr>
                <w:rFonts w:eastAsia="Times New Roman" w:cs="Calibri"/>
                <w:color w:val="000000"/>
                <w:sz w:val="14"/>
                <w:szCs w:val="14"/>
                <w:lang w:eastAsia="es-MX"/>
              </w:rPr>
              <w:t>324/2007</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8E59DC"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22,408,660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A4AE0"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r>
      <w:tr w:rsidR="00BB51AD" w:rsidRPr="00BB51AD" w14:paraId="5208AF10" w14:textId="77777777" w:rsidTr="00356F46">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31E7D"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Instituto Tamaulipeco de Vivienda y Urbanismo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5A069"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BBV  Bancomer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7D7DA" w14:textId="77777777" w:rsidR="00BB51AD" w:rsidRPr="00BB51AD" w:rsidRDefault="00BB51AD" w:rsidP="00BB51AD">
            <w:pPr>
              <w:spacing w:after="0" w:line="240" w:lineRule="auto"/>
              <w:jc w:val="center"/>
              <w:rPr>
                <w:rFonts w:eastAsia="Times New Roman" w:cs="Calibri"/>
                <w:color w:val="000000"/>
                <w:sz w:val="14"/>
                <w:szCs w:val="14"/>
                <w:lang w:eastAsia="es-MX"/>
              </w:rPr>
            </w:pPr>
            <w:r w:rsidRPr="00BB51AD">
              <w:rPr>
                <w:rFonts w:eastAsia="Times New Roman" w:cs="Calibri"/>
                <w:color w:val="000000"/>
                <w:sz w:val="14"/>
                <w:szCs w:val="14"/>
                <w:lang w:eastAsia="es-MX"/>
              </w:rPr>
              <w:t>P-28-0814125</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409BD7"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82,743,889</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7522E"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r>
      <w:tr w:rsidR="00BB51AD" w:rsidRPr="003312DE" w14:paraId="50BC8077" w14:textId="77777777" w:rsidTr="00356F46">
        <w:trPr>
          <w:trHeight w:val="340"/>
        </w:trPr>
        <w:tc>
          <w:tcPr>
            <w:tcW w:w="7547" w:type="dxa"/>
            <w:gridSpan w:val="4"/>
            <w:tcBorders>
              <w:top w:val="single" w:sz="4" w:space="0" w:color="auto"/>
              <w:left w:val="single" w:sz="4" w:space="0" w:color="auto"/>
              <w:bottom w:val="single" w:sz="4" w:space="0" w:color="auto"/>
              <w:right w:val="single" w:sz="4" w:space="0" w:color="auto"/>
            </w:tcBorders>
            <w:shd w:val="clear" w:color="000000" w:fill="DDC9A3"/>
            <w:vAlign w:val="center"/>
            <w:hideMark/>
          </w:tcPr>
          <w:p w14:paraId="3230D87F" w14:textId="77777777" w:rsidR="00BB51AD" w:rsidRPr="003312DE" w:rsidRDefault="00BB51AD" w:rsidP="00BB51AD">
            <w:pPr>
              <w:spacing w:after="0" w:line="240" w:lineRule="auto"/>
              <w:jc w:val="center"/>
              <w:rPr>
                <w:rFonts w:eastAsia="Times New Roman" w:cs="Calibri"/>
                <w:b/>
                <w:bCs/>
                <w:color w:val="000000"/>
                <w:sz w:val="16"/>
                <w:szCs w:val="14"/>
                <w:lang w:eastAsia="es-MX"/>
              </w:rPr>
            </w:pPr>
            <w:r w:rsidRPr="003312DE">
              <w:rPr>
                <w:rFonts w:eastAsia="Times New Roman" w:cs="Calibri"/>
                <w:b/>
                <w:bCs/>
                <w:color w:val="000000"/>
                <w:sz w:val="16"/>
                <w:szCs w:val="14"/>
                <w:lang w:eastAsia="es-MX"/>
              </w:rPr>
              <w:t>Total</w:t>
            </w:r>
          </w:p>
        </w:tc>
        <w:tc>
          <w:tcPr>
            <w:tcW w:w="1320" w:type="dxa"/>
            <w:tcBorders>
              <w:top w:val="single" w:sz="4" w:space="0" w:color="auto"/>
              <w:left w:val="single" w:sz="4" w:space="0" w:color="auto"/>
              <w:bottom w:val="single" w:sz="4" w:space="0" w:color="auto"/>
              <w:right w:val="single" w:sz="4" w:space="0" w:color="auto"/>
            </w:tcBorders>
            <w:shd w:val="clear" w:color="000000" w:fill="DDC9A3"/>
            <w:vAlign w:val="center"/>
            <w:hideMark/>
          </w:tcPr>
          <w:p w14:paraId="16EE5841" w14:textId="77777777" w:rsidR="00BB51AD" w:rsidRPr="003312DE" w:rsidRDefault="00BB51AD" w:rsidP="00BB51AD">
            <w:pPr>
              <w:spacing w:after="0" w:line="240" w:lineRule="auto"/>
              <w:jc w:val="right"/>
              <w:rPr>
                <w:rFonts w:eastAsia="Times New Roman" w:cs="Calibri"/>
                <w:b/>
                <w:bCs/>
                <w:color w:val="000000"/>
                <w:sz w:val="16"/>
                <w:szCs w:val="14"/>
                <w:lang w:eastAsia="es-MX"/>
              </w:rPr>
            </w:pPr>
            <w:r w:rsidRPr="003312DE">
              <w:rPr>
                <w:rFonts w:eastAsia="Times New Roman" w:cs="Calibri"/>
                <w:b/>
                <w:bCs/>
                <w:color w:val="000000"/>
                <w:sz w:val="16"/>
                <w:szCs w:val="14"/>
                <w:lang w:eastAsia="es-MX"/>
              </w:rPr>
              <w:t>231,059,275</w:t>
            </w:r>
          </w:p>
        </w:tc>
      </w:tr>
    </w:tbl>
    <w:p w14:paraId="0984E674" w14:textId="269EB159" w:rsidR="00276C9A" w:rsidRDefault="00276C9A" w:rsidP="00D30FA3">
      <w:pPr>
        <w:rPr>
          <w:rFonts w:asciiTheme="minorHAnsi" w:hAnsiTheme="minorHAnsi" w:cstheme="minorHAnsi"/>
          <w:b/>
          <w:sz w:val="16"/>
          <w:szCs w:val="18"/>
        </w:rPr>
      </w:pPr>
    </w:p>
    <w:p w14:paraId="310672FB" w14:textId="77777777" w:rsidR="006E1FB4" w:rsidRDefault="006E1FB4" w:rsidP="00D30FA3">
      <w:pPr>
        <w:rPr>
          <w:rFonts w:asciiTheme="minorHAnsi" w:hAnsiTheme="minorHAnsi" w:cstheme="minorHAnsi"/>
          <w:b/>
          <w:sz w:val="16"/>
          <w:szCs w:val="18"/>
        </w:rPr>
      </w:pPr>
    </w:p>
    <w:tbl>
      <w:tblPr>
        <w:tblW w:w="7130" w:type="dxa"/>
        <w:tblCellMar>
          <w:left w:w="70" w:type="dxa"/>
          <w:right w:w="70" w:type="dxa"/>
        </w:tblCellMar>
        <w:tblLook w:val="04A0" w:firstRow="1" w:lastRow="0" w:firstColumn="1" w:lastColumn="0" w:noHBand="0" w:noVBand="1"/>
      </w:tblPr>
      <w:tblGrid>
        <w:gridCol w:w="5382"/>
        <w:gridCol w:w="1748"/>
      </w:tblGrid>
      <w:tr w:rsidR="00E90627" w:rsidRPr="006E1FB4" w14:paraId="75DD881B" w14:textId="77777777" w:rsidTr="004A5AEA">
        <w:trPr>
          <w:trHeight w:val="309"/>
        </w:trPr>
        <w:tc>
          <w:tcPr>
            <w:tcW w:w="5382"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34387F34" w14:textId="77777777" w:rsidR="00E90627" w:rsidRPr="006E1FB4" w:rsidRDefault="00E90627" w:rsidP="00E90627">
            <w:pPr>
              <w:spacing w:after="0" w:line="240" w:lineRule="auto"/>
              <w:jc w:val="center"/>
              <w:rPr>
                <w:rFonts w:eastAsia="Times New Roman" w:cs="Calibri"/>
                <w:b/>
                <w:bCs/>
                <w:color w:val="FFFFFF"/>
                <w:sz w:val="16"/>
                <w:szCs w:val="14"/>
                <w:lang w:eastAsia="es-MX"/>
              </w:rPr>
            </w:pPr>
            <w:r w:rsidRPr="006E1FB4">
              <w:rPr>
                <w:rFonts w:eastAsia="Times New Roman" w:cs="Calibri"/>
                <w:b/>
                <w:bCs/>
                <w:color w:val="FFFFFF"/>
                <w:sz w:val="16"/>
                <w:szCs w:val="14"/>
                <w:lang w:eastAsia="es-MX"/>
              </w:rPr>
              <w:t>Cuentas de Orden Presupuestales</w:t>
            </w:r>
          </w:p>
        </w:tc>
        <w:tc>
          <w:tcPr>
            <w:tcW w:w="1748" w:type="dxa"/>
            <w:tcBorders>
              <w:top w:val="single" w:sz="4" w:space="0" w:color="auto"/>
              <w:left w:val="nil"/>
              <w:bottom w:val="single" w:sz="4" w:space="0" w:color="auto"/>
              <w:right w:val="single" w:sz="4" w:space="0" w:color="auto"/>
            </w:tcBorders>
            <w:shd w:val="clear" w:color="auto" w:fill="AB0033"/>
            <w:vAlign w:val="center"/>
            <w:hideMark/>
          </w:tcPr>
          <w:p w14:paraId="7674B1FF" w14:textId="77777777" w:rsidR="00E90627" w:rsidRPr="006E1FB4" w:rsidRDefault="00E90627" w:rsidP="00E90627">
            <w:pPr>
              <w:spacing w:after="0" w:line="240" w:lineRule="auto"/>
              <w:jc w:val="center"/>
              <w:rPr>
                <w:rFonts w:eastAsia="Times New Roman" w:cs="Calibri"/>
                <w:b/>
                <w:bCs/>
                <w:color w:val="FFFFFF"/>
                <w:sz w:val="16"/>
                <w:szCs w:val="14"/>
                <w:lang w:eastAsia="es-MX"/>
              </w:rPr>
            </w:pPr>
            <w:r w:rsidRPr="006E1FB4">
              <w:rPr>
                <w:rFonts w:eastAsia="Times New Roman" w:cs="Calibri"/>
                <w:b/>
                <w:bCs/>
                <w:color w:val="FFFFFF"/>
                <w:sz w:val="16"/>
                <w:szCs w:val="14"/>
                <w:lang w:eastAsia="es-MX"/>
              </w:rPr>
              <w:t> </w:t>
            </w:r>
          </w:p>
        </w:tc>
      </w:tr>
      <w:tr w:rsidR="00E90627" w:rsidRPr="00E90627" w14:paraId="2CB6823B" w14:textId="77777777" w:rsidTr="006E1FB4">
        <w:trPr>
          <w:trHeight w:val="2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EBB7968" w14:textId="77777777" w:rsidR="00E90627" w:rsidRPr="00E90627" w:rsidRDefault="00E90627" w:rsidP="00E90627">
            <w:pPr>
              <w:spacing w:after="0" w:line="240" w:lineRule="auto"/>
              <w:jc w:val="center"/>
              <w:rPr>
                <w:rFonts w:eastAsia="Times New Roman" w:cs="Calibri"/>
                <w:b/>
                <w:bCs/>
                <w:color w:val="000000"/>
                <w:sz w:val="18"/>
                <w:szCs w:val="18"/>
                <w:lang w:eastAsia="es-MX"/>
              </w:rPr>
            </w:pPr>
            <w:r w:rsidRPr="00E90627">
              <w:rPr>
                <w:rFonts w:eastAsia="Times New Roman" w:cs="Calibri"/>
                <w:b/>
                <w:bCs/>
                <w:color w:val="000000"/>
                <w:sz w:val="18"/>
                <w:szCs w:val="18"/>
                <w:lang w:eastAsia="es-MX"/>
              </w:rPr>
              <w:t>Cuentas de Ingresos</w:t>
            </w:r>
          </w:p>
        </w:tc>
        <w:tc>
          <w:tcPr>
            <w:tcW w:w="1748" w:type="dxa"/>
            <w:tcBorders>
              <w:top w:val="nil"/>
              <w:left w:val="nil"/>
              <w:bottom w:val="single" w:sz="4" w:space="0" w:color="auto"/>
              <w:right w:val="single" w:sz="4" w:space="0" w:color="auto"/>
            </w:tcBorders>
            <w:shd w:val="clear" w:color="auto" w:fill="auto"/>
            <w:vAlign w:val="center"/>
            <w:hideMark/>
          </w:tcPr>
          <w:p w14:paraId="092D5F87" w14:textId="77777777" w:rsidR="00E90627" w:rsidRPr="00E90627" w:rsidRDefault="00E90627" w:rsidP="00E90627">
            <w:pPr>
              <w:spacing w:after="0" w:line="240" w:lineRule="auto"/>
              <w:jc w:val="center"/>
              <w:rPr>
                <w:rFonts w:eastAsia="Times New Roman" w:cs="Calibri"/>
                <w:b/>
                <w:bCs/>
                <w:color w:val="000000"/>
                <w:sz w:val="18"/>
                <w:szCs w:val="18"/>
                <w:lang w:eastAsia="es-MX"/>
              </w:rPr>
            </w:pPr>
            <w:r w:rsidRPr="00E90627">
              <w:rPr>
                <w:rFonts w:eastAsia="Times New Roman" w:cs="Calibri"/>
                <w:b/>
                <w:bCs/>
                <w:color w:val="000000"/>
                <w:sz w:val="18"/>
                <w:szCs w:val="18"/>
                <w:lang w:eastAsia="es-MX"/>
              </w:rPr>
              <w:t> </w:t>
            </w:r>
          </w:p>
        </w:tc>
      </w:tr>
      <w:tr w:rsidR="00E90627" w:rsidRPr="00E90627" w14:paraId="6A86386A" w14:textId="77777777" w:rsidTr="006E1FB4">
        <w:trPr>
          <w:trHeight w:val="2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0AED025" w14:textId="77777777" w:rsidR="00E90627" w:rsidRPr="00E90627" w:rsidRDefault="00E90627" w:rsidP="00E90627">
            <w:pPr>
              <w:spacing w:after="0" w:line="240" w:lineRule="auto"/>
              <w:rPr>
                <w:rFonts w:eastAsia="Times New Roman" w:cs="Calibri"/>
                <w:color w:val="000000"/>
                <w:sz w:val="14"/>
                <w:szCs w:val="14"/>
                <w:lang w:eastAsia="es-MX"/>
              </w:rPr>
            </w:pPr>
            <w:r w:rsidRPr="00E90627">
              <w:rPr>
                <w:rFonts w:eastAsia="Times New Roman" w:cs="Calibri"/>
                <w:color w:val="000000"/>
                <w:sz w:val="14"/>
                <w:szCs w:val="14"/>
                <w:lang w:eastAsia="es-MX"/>
              </w:rPr>
              <w:t>Ley de Ingresos Estimada</w:t>
            </w:r>
          </w:p>
        </w:tc>
        <w:tc>
          <w:tcPr>
            <w:tcW w:w="1748" w:type="dxa"/>
            <w:tcBorders>
              <w:top w:val="nil"/>
              <w:left w:val="nil"/>
              <w:bottom w:val="single" w:sz="4" w:space="0" w:color="auto"/>
              <w:right w:val="single" w:sz="4" w:space="0" w:color="auto"/>
            </w:tcBorders>
            <w:shd w:val="clear" w:color="auto" w:fill="auto"/>
            <w:vAlign w:val="center"/>
            <w:hideMark/>
          </w:tcPr>
          <w:p w14:paraId="7D741CEA"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65,089,914,354</w:t>
            </w:r>
          </w:p>
        </w:tc>
      </w:tr>
      <w:tr w:rsidR="00E90627" w:rsidRPr="00E90627" w14:paraId="6152FA91" w14:textId="77777777" w:rsidTr="006E1FB4">
        <w:trPr>
          <w:trHeight w:val="2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A2F1AA4" w14:textId="77777777" w:rsidR="00E90627" w:rsidRPr="00E90627" w:rsidRDefault="00E90627" w:rsidP="00E90627">
            <w:pPr>
              <w:spacing w:after="0" w:line="240" w:lineRule="auto"/>
              <w:rPr>
                <w:rFonts w:eastAsia="Times New Roman" w:cs="Calibri"/>
                <w:color w:val="000000"/>
                <w:sz w:val="14"/>
                <w:szCs w:val="14"/>
                <w:lang w:eastAsia="es-MX"/>
              </w:rPr>
            </w:pPr>
            <w:r w:rsidRPr="00E90627">
              <w:rPr>
                <w:rFonts w:eastAsia="Times New Roman" w:cs="Calibri"/>
                <w:color w:val="000000"/>
                <w:sz w:val="14"/>
                <w:szCs w:val="14"/>
                <w:lang w:eastAsia="es-MX"/>
              </w:rPr>
              <w:t>Ley de Ingresos por Ejecutar</w:t>
            </w:r>
          </w:p>
        </w:tc>
        <w:tc>
          <w:tcPr>
            <w:tcW w:w="1748" w:type="dxa"/>
            <w:tcBorders>
              <w:top w:val="nil"/>
              <w:left w:val="nil"/>
              <w:bottom w:val="single" w:sz="4" w:space="0" w:color="auto"/>
              <w:right w:val="single" w:sz="4" w:space="0" w:color="auto"/>
            </w:tcBorders>
            <w:shd w:val="clear" w:color="auto" w:fill="auto"/>
            <w:vAlign w:val="center"/>
            <w:hideMark/>
          </w:tcPr>
          <w:p w14:paraId="3C1DE124"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0</w:t>
            </w:r>
          </w:p>
        </w:tc>
      </w:tr>
      <w:tr w:rsidR="00E90627" w:rsidRPr="00E90627" w14:paraId="7CEF1B89" w14:textId="77777777" w:rsidTr="006E1FB4">
        <w:trPr>
          <w:trHeight w:val="2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7637A5F" w14:textId="77777777" w:rsidR="00E90627" w:rsidRPr="00E90627" w:rsidRDefault="00E90627" w:rsidP="00E90627">
            <w:pPr>
              <w:spacing w:after="0" w:line="240" w:lineRule="auto"/>
              <w:rPr>
                <w:rFonts w:eastAsia="Times New Roman" w:cs="Calibri"/>
                <w:color w:val="000000"/>
                <w:sz w:val="14"/>
                <w:szCs w:val="14"/>
                <w:lang w:eastAsia="es-MX"/>
              </w:rPr>
            </w:pPr>
            <w:r w:rsidRPr="00E90627">
              <w:rPr>
                <w:rFonts w:eastAsia="Times New Roman" w:cs="Calibri"/>
                <w:color w:val="000000"/>
                <w:sz w:val="14"/>
                <w:szCs w:val="14"/>
                <w:lang w:eastAsia="es-MX"/>
              </w:rPr>
              <w:t>Modificaciones a la Ley de Ingresos Estimada</w:t>
            </w:r>
          </w:p>
        </w:tc>
        <w:tc>
          <w:tcPr>
            <w:tcW w:w="1748" w:type="dxa"/>
            <w:tcBorders>
              <w:top w:val="nil"/>
              <w:left w:val="nil"/>
              <w:bottom w:val="single" w:sz="4" w:space="0" w:color="auto"/>
              <w:right w:val="single" w:sz="4" w:space="0" w:color="auto"/>
            </w:tcBorders>
            <w:shd w:val="clear" w:color="auto" w:fill="auto"/>
            <w:vAlign w:val="center"/>
            <w:hideMark/>
          </w:tcPr>
          <w:p w14:paraId="4E5A655A"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6,785,887,072</w:t>
            </w:r>
          </w:p>
        </w:tc>
      </w:tr>
      <w:tr w:rsidR="00E90627" w:rsidRPr="00E90627" w14:paraId="1740EF5D" w14:textId="77777777" w:rsidTr="006E1FB4">
        <w:trPr>
          <w:trHeight w:val="2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C0061E8" w14:textId="77777777" w:rsidR="00E90627" w:rsidRPr="00E90627" w:rsidRDefault="00E90627" w:rsidP="00E90627">
            <w:pPr>
              <w:spacing w:after="0" w:line="240" w:lineRule="auto"/>
              <w:rPr>
                <w:rFonts w:eastAsia="Times New Roman" w:cs="Calibri"/>
                <w:color w:val="000000"/>
                <w:sz w:val="14"/>
                <w:szCs w:val="14"/>
                <w:lang w:eastAsia="es-MX"/>
              </w:rPr>
            </w:pPr>
            <w:r w:rsidRPr="00E90627">
              <w:rPr>
                <w:rFonts w:eastAsia="Times New Roman" w:cs="Calibri"/>
                <w:color w:val="000000"/>
                <w:sz w:val="14"/>
                <w:szCs w:val="14"/>
                <w:lang w:eastAsia="es-MX"/>
              </w:rPr>
              <w:t>Ley de Ingresos Devengada</w:t>
            </w:r>
          </w:p>
        </w:tc>
        <w:tc>
          <w:tcPr>
            <w:tcW w:w="1748" w:type="dxa"/>
            <w:tcBorders>
              <w:top w:val="nil"/>
              <w:left w:val="nil"/>
              <w:bottom w:val="single" w:sz="4" w:space="0" w:color="auto"/>
              <w:right w:val="single" w:sz="4" w:space="0" w:color="auto"/>
            </w:tcBorders>
            <w:shd w:val="clear" w:color="auto" w:fill="auto"/>
            <w:vAlign w:val="center"/>
            <w:hideMark/>
          </w:tcPr>
          <w:p w14:paraId="35B90D53"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0</w:t>
            </w:r>
          </w:p>
        </w:tc>
      </w:tr>
      <w:tr w:rsidR="00E90627" w:rsidRPr="00E90627" w14:paraId="1408A570" w14:textId="77777777" w:rsidTr="006E1FB4">
        <w:trPr>
          <w:trHeight w:val="2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12B7DD4" w14:textId="77777777" w:rsidR="00E90627" w:rsidRPr="00E90627" w:rsidRDefault="00E90627" w:rsidP="00E90627">
            <w:pPr>
              <w:spacing w:after="0" w:line="240" w:lineRule="auto"/>
              <w:rPr>
                <w:rFonts w:eastAsia="Times New Roman" w:cs="Calibri"/>
                <w:color w:val="000000"/>
                <w:sz w:val="14"/>
                <w:szCs w:val="14"/>
                <w:lang w:eastAsia="es-MX"/>
              </w:rPr>
            </w:pPr>
            <w:r w:rsidRPr="00E90627">
              <w:rPr>
                <w:rFonts w:eastAsia="Times New Roman" w:cs="Calibri"/>
                <w:color w:val="000000"/>
                <w:sz w:val="14"/>
                <w:szCs w:val="14"/>
                <w:lang w:eastAsia="es-MX"/>
              </w:rPr>
              <w:t>Ley de Ingresos Recaudada</w:t>
            </w:r>
          </w:p>
        </w:tc>
        <w:tc>
          <w:tcPr>
            <w:tcW w:w="1748" w:type="dxa"/>
            <w:tcBorders>
              <w:top w:val="nil"/>
              <w:left w:val="nil"/>
              <w:bottom w:val="single" w:sz="4" w:space="0" w:color="auto"/>
              <w:right w:val="single" w:sz="4" w:space="0" w:color="auto"/>
            </w:tcBorders>
            <w:shd w:val="clear" w:color="auto" w:fill="auto"/>
            <w:vAlign w:val="center"/>
            <w:hideMark/>
          </w:tcPr>
          <w:p w14:paraId="6C870CF3"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-71,875,801,426</w:t>
            </w:r>
          </w:p>
        </w:tc>
      </w:tr>
      <w:tr w:rsidR="00E90627" w:rsidRPr="00E90627" w14:paraId="1EE0DE5E" w14:textId="77777777" w:rsidTr="006E1FB4">
        <w:trPr>
          <w:trHeight w:val="2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ABF878A" w14:textId="77777777" w:rsidR="00E90627" w:rsidRPr="00E90627" w:rsidRDefault="00E90627" w:rsidP="00E90627">
            <w:pPr>
              <w:spacing w:after="0" w:line="240" w:lineRule="auto"/>
              <w:jc w:val="center"/>
              <w:rPr>
                <w:rFonts w:eastAsia="Times New Roman" w:cs="Calibri"/>
                <w:b/>
                <w:bCs/>
                <w:color w:val="000000"/>
                <w:sz w:val="18"/>
                <w:szCs w:val="18"/>
                <w:lang w:eastAsia="es-MX"/>
              </w:rPr>
            </w:pPr>
            <w:r w:rsidRPr="00E90627">
              <w:rPr>
                <w:rFonts w:eastAsia="Times New Roman" w:cs="Calibri"/>
                <w:b/>
                <w:bCs/>
                <w:color w:val="000000"/>
                <w:sz w:val="18"/>
                <w:szCs w:val="18"/>
                <w:lang w:eastAsia="es-MX"/>
              </w:rPr>
              <w:t>Cuentas de Egresos</w:t>
            </w:r>
          </w:p>
        </w:tc>
        <w:tc>
          <w:tcPr>
            <w:tcW w:w="1748" w:type="dxa"/>
            <w:tcBorders>
              <w:top w:val="nil"/>
              <w:left w:val="nil"/>
              <w:bottom w:val="single" w:sz="4" w:space="0" w:color="auto"/>
              <w:right w:val="single" w:sz="4" w:space="0" w:color="auto"/>
            </w:tcBorders>
            <w:shd w:val="clear" w:color="auto" w:fill="auto"/>
            <w:vAlign w:val="center"/>
            <w:hideMark/>
          </w:tcPr>
          <w:p w14:paraId="10BF8869" w14:textId="77777777" w:rsidR="00E90627" w:rsidRPr="00E90627" w:rsidRDefault="00E90627" w:rsidP="00E90627">
            <w:pPr>
              <w:spacing w:after="0" w:line="240" w:lineRule="auto"/>
              <w:jc w:val="center"/>
              <w:rPr>
                <w:rFonts w:eastAsia="Times New Roman" w:cs="Calibri"/>
                <w:b/>
                <w:bCs/>
                <w:color w:val="000000"/>
                <w:sz w:val="18"/>
                <w:szCs w:val="18"/>
                <w:lang w:eastAsia="es-MX"/>
              </w:rPr>
            </w:pPr>
            <w:r w:rsidRPr="00E90627">
              <w:rPr>
                <w:rFonts w:eastAsia="Times New Roman" w:cs="Calibri"/>
                <w:b/>
                <w:bCs/>
                <w:color w:val="000000"/>
                <w:sz w:val="18"/>
                <w:szCs w:val="18"/>
                <w:lang w:eastAsia="es-MX"/>
              </w:rPr>
              <w:t> </w:t>
            </w:r>
          </w:p>
        </w:tc>
      </w:tr>
      <w:tr w:rsidR="00E90627" w:rsidRPr="00E90627" w14:paraId="6DE6DBF4" w14:textId="77777777" w:rsidTr="006E1FB4">
        <w:trPr>
          <w:trHeight w:val="2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3BF74CC" w14:textId="77777777" w:rsidR="00E90627" w:rsidRPr="00E90627" w:rsidRDefault="00E90627" w:rsidP="00E90627">
            <w:pPr>
              <w:spacing w:after="0" w:line="240" w:lineRule="auto"/>
              <w:rPr>
                <w:rFonts w:eastAsia="Times New Roman" w:cs="Calibri"/>
                <w:color w:val="000000"/>
                <w:sz w:val="14"/>
                <w:szCs w:val="14"/>
                <w:lang w:eastAsia="es-MX"/>
              </w:rPr>
            </w:pPr>
            <w:r w:rsidRPr="00E90627">
              <w:rPr>
                <w:rFonts w:eastAsia="Times New Roman" w:cs="Calibri"/>
                <w:color w:val="000000"/>
                <w:sz w:val="14"/>
                <w:szCs w:val="14"/>
                <w:lang w:eastAsia="es-MX"/>
              </w:rPr>
              <w:t>Presupuesto de Egresos Aprobado</w:t>
            </w:r>
          </w:p>
        </w:tc>
        <w:tc>
          <w:tcPr>
            <w:tcW w:w="1748" w:type="dxa"/>
            <w:tcBorders>
              <w:top w:val="nil"/>
              <w:left w:val="nil"/>
              <w:bottom w:val="single" w:sz="4" w:space="0" w:color="auto"/>
              <w:right w:val="single" w:sz="4" w:space="0" w:color="auto"/>
            </w:tcBorders>
            <w:shd w:val="clear" w:color="auto" w:fill="auto"/>
            <w:vAlign w:val="center"/>
            <w:hideMark/>
          </w:tcPr>
          <w:p w14:paraId="52F075DF"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-65,089,914,354</w:t>
            </w:r>
          </w:p>
        </w:tc>
      </w:tr>
      <w:tr w:rsidR="00E90627" w:rsidRPr="00E90627" w14:paraId="5DE2B48B" w14:textId="77777777" w:rsidTr="006E1FB4">
        <w:trPr>
          <w:trHeight w:val="2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C9107B7" w14:textId="77777777" w:rsidR="00E90627" w:rsidRPr="00E90627" w:rsidRDefault="00E90627" w:rsidP="00E90627">
            <w:pPr>
              <w:spacing w:after="0" w:line="240" w:lineRule="auto"/>
              <w:rPr>
                <w:rFonts w:eastAsia="Times New Roman" w:cs="Calibri"/>
                <w:color w:val="000000"/>
                <w:sz w:val="14"/>
                <w:szCs w:val="14"/>
                <w:lang w:eastAsia="es-MX"/>
              </w:rPr>
            </w:pPr>
            <w:r w:rsidRPr="00E90627">
              <w:rPr>
                <w:rFonts w:eastAsia="Times New Roman" w:cs="Calibri"/>
                <w:color w:val="000000"/>
                <w:sz w:val="14"/>
                <w:szCs w:val="14"/>
                <w:lang w:eastAsia="es-MX"/>
              </w:rPr>
              <w:t>Presupuesto de Egresos por Ejercer</w:t>
            </w:r>
          </w:p>
        </w:tc>
        <w:tc>
          <w:tcPr>
            <w:tcW w:w="1748" w:type="dxa"/>
            <w:tcBorders>
              <w:top w:val="nil"/>
              <w:left w:val="nil"/>
              <w:bottom w:val="single" w:sz="4" w:space="0" w:color="auto"/>
              <w:right w:val="single" w:sz="4" w:space="0" w:color="auto"/>
            </w:tcBorders>
            <w:shd w:val="clear" w:color="auto" w:fill="auto"/>
            <w:vAlign w:val="center"/>
            <w:hideMark/>
          </w:tcPr>
          <w:p w14:paraId="72E1DCDB"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0</w:t>
            </w:r>
          </w:p>
        </w:tc>
      </w:tr>
      <w:tr w:rsidR="00E90627" w:rsidRPr="00E90627" w14:paraId="45E9BF78" w14:textId="77777777" w:rsidTr="006E1FB4">
        <w:trPr>
          <w:trHeight w:val="2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D35236B" w14:textId="77777777" w:rsidR="00E90627" w:rsidRPr="00E90627" w:rsidRDefault="00E90627" w:rsidP="00E90627">
            <w:pPr>
              <w:spacing w:after="0" w:line="240" w:lineRule="auto"/>
              <w:rPr>
                <w:rFonts w:eastAsia="Times New Roman" w:cs="Calibri"/>
                <w:color w:val="000000"/>
                <w:sz w:val="14"/>
                <w:szCs w:val="14"/>
                <w:lang w:eastAsia="es-MX"/>
              </w:rPr>
            </w:pPr>
            <w:r w:rsidRPr="00E90627">
              <w:rPr>
                <w:rFonts w:eastAsia="Times New Roman" w:cs="Calibri"/>
                <w:color w:val="000000"/>
                <w:sz w:val="14"/>
                <w:szCs w:val="14"/>
                <w:lang w:eastAsia="es-MX"/>
              </w:rPr>
              <w:t>Modificaciones al Presupuesto de Egresos por Ejercer</w:t>
            </w:r>
          </w:p>
        </w:tc>
        <w:tc>
          <w:tcPr>
            <w:tcW w:w="1748" w:type="dxa"/>
            <w:tcBorders>
              <w:top w:val="nil"/>
              <w:left w:val="nil"/>
              <w:bottom w:val="single" w:sz="4" w:space="0" w:color="auto"/>
              <w:right w:val="single" w:sz="4" w:space="0" w:color="auto"/>
            </w:tcBorders>
            <w:shd w:val="clear" w:color="auto" w:fill="auto"/>
            <w:vAlign w:val="center"/>
            <w:hideMark/>
          </w:tcPr>
          <w:p w14:paraId="5A9CA16D"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-7,807,215,114</w:t>
            </w:r>
          </w:p>
        </w:tc>
      </w:tr>
      <w:tr w:rsidR="00E90627" w:rsidRPr="00E90627" w14:paraId="687CAD4A" w14:textId="77777777" w:rsidTr="006E1FB4">
        <w:trPr>
          <w:trHeight w:val="2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3633583" w14:textId="77777777" w:rsidR="00E90627" w:rsidRPr="00E90627" w:rsidRDefault="00E90627" w:rsidP="00E90627">
            <w:pPr>
              <w:spacing w:after="0" w:line="240" w:lineRule="auto"/>
              <w:rPr>
                <w:rFonts w:eastAsia="Times New Roman" w:cs="Calibri"/>
                <w:color w:val="000000"/>
                <w:sz w:val="14"/>
                <w:szCs w:val="14"/>
                <w:lang w:eastAsia="es-MX"/>
              </w:rPr>
            </w:pPr>
            <w:r w:rsidRPr="00E90627">
              <w:rPr>
                <w:rFonts w:eastAsia="Times New Roman" w:cs="Calibri"/>
                <w:color w:val="000000"/>
                <w:sz w:val="14"/>
                <w:szCs w:val="14"/>
                <w:lang w:eastAsia="es-MX"/>
              </w:rPr>
              <w:t>Presupuesto de Egresos Comprometido</w:t>
            </w:r>
          </w:p>
        </w:tc>
        <w:tc>
          <w:tcPr>
            <w:tcW w:w="1748" w:type="dxa"/>
            <w:tcBorders>
              <w:top w:val="nil"/>
              <w:left w:val="nil"/>
              <w:bottom w:val="single" w:sz="4" w:space="0" w:color="auto"/>
              <w:right w:val="single" w:sz="4" w:space="0" w:color="auto"/>
            </w:tcBorders>
            <w:shd w:val="clear" w:color="auto" w:fill="auto"/>
            <w:vAlign w:val="center"/>
            <w:hideMark/>
          </w:tcPr>
          <w:p w14:paraId="0008B10B"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1,177,131,740</w:t>
            </w:r>
          </w:p>
        </w:tc>
      </w:tr>
      <w:tr w:rsidR="00E90627" w:rsidRPr="00E90627" w14:paraId="5291AEE1" w14:textId="77777777" w:rsidTr="006E1FB4">
        <w:trPr>
          <w:trHeight w:val="2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210D5DD" w14:textId="77777777" w:rsidR="00E90627" w:rsidRPr="00E90627" w:rsidRDefault="00E90627" w:rsidP="00E90627">
            <w:pPr>
              <w:spacing w:after="0" w:line="240" w:lineRule="auto"/>
              <w:rPr>
                <w:rFonts w:eastAsia="Times New Roman" w:cs="Calibri"/>
                <w:color w:val="000000"/>
                <w:sz w:val="14"/>
                <w:szCs w:val="14"/>
                <w:lang w:eastAsia="es-MX"/>
              </w:rPr>
            </w:pPr>
            <w:r w:rsidRPr="00E90627">
              <w:rPr>
                <w:rFonts w:eastAsia="Times New Roman" w:cs="Calibri"/>
                <w:color w:val="000000"/>
                <w:sz w:val="14"/>
                <w:szCs w:val="14"/>
                <w:lang w:eastAsia="es-MX"/>
              </w:rPr>
              <w:t>Presupuesto de Egresos Devengado</w:t>
            </w:r>
          </w:p>
        </w:tc>
        <w:tc>
          <w:tcPr>
            <w:tcW w:w="1748" w:type="dxa"/>
            <w:tcBorders>
              <w:top w:val="nil"/>
              <w:left w:val="nil"/>
              <w:bottom w:val="single" w:sz="4" w:space="0" w:color="auto"/>
              <w:right w:val="single" w:sz="4" w:space="0" w:color="auto"/>
            </w:tcBorders>
            <w:shd w:val="clear" w:color="auto" w:fill="auto"/>
            <w:vAlign w:val="center"/>
            <w:hideMark/>
          </w:tcPr>
          <w:p w14:paraId="2AE94891"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0</w:t>
            </w:r>
          </w:p>
        </w:tc>
      </w:tr>
      <w:tr w:rsidR="00E90627" w:rsidRPr="00E90627" w14:paraId="06D80547" w14:textId="77777777" w:rsidTr="006E1FB4">
        <w:trPr>
          <w:trHeight w:val="2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9EEBD2A" w14:textId="77777777" w:rsidR="00E90627" w:rsidRPr="00E90627" w:rsidRDefault="00E90627" w:rsidP="00E90627">
            <w:pPr>
              <w:spacing w:after="0" w:line="240" w:lineRule="auto"/>
              <w:rPr>
                <w:rFonts w:eastAsia="Times New Roman" w:cs="Calibri"/>
                <w:color w:val="000000"/>
                <w:sz w:val="14"/>
                <w:szCs w:val="14"/>
                <w:lang w:eastAsia="es-MX"/>
              </w:rPr>
            </w:pPr>
            <w:r w:rsidRPr="00E90627">
              <w:rPr>
                <w:rFonts w:eastAsia="Times New Roman" w:cs="Calibri"/>
                <w:color w:val="000000"/>
                <w:sz w:val="14"/>
                <w:szCs w:val="14"/>
                <w:lang w:eastAsia="es-MX"/>
              </w:rPr>
              <w:t>Presupuesto de Egresos Ejercido</w:t>
            </w:r>
          </w:p>
        </w:tc>
        <w:tc>
          <w:tcPr>
            <w:tcW w:w="1748" w:type="dxa"/>
            <w:tcBorders>
              <w:top w:val="nil"/>
              <w:left w:val="nil"/>
              <w:bottom w:val="single" w:sz="4" w:space="0" w:color="auto"/>
              <w:right w:val="single" w:sz="4" w:space="0" w:color="auto"/>
            </w:tcBorders>
            <w:shd w:val="clear" w:color="auto" w:fill="auto"/>
            <w:vAlign w:val="center"/>
            <w:hideMark/>
          </w:tcPr>
          <w:p w14:paraId="16DBBC6B"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849,475,888</w:t>
            </w:r>
          </w:p>
        </w:tc>
      </w:tr>
      <w:tr w:rsidR="00E90627" w:rsidRPr="00E90627" w14:paraId="450D1506" w14:textId="77777777" w:rsidTr="006E1FB4">
        <w:trPr>
          <w:trHeight w:val="2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84F354F" w14:textId="77777777" w:rsidR="00E90627" w:rsidRPr="00E90627" w:rsidRDefault="00E90627" w:rsidP="00E90627">
            <w:pPr>
              <w:spacing w:after="0" w:line="240" w:lineRule="auto"/>
              <w:rPr>
                <w:rFonts w:eastAsia="Times New Roman" w:cs="Calibri"/>
                <w:color w:val="000000"/>
                <w:sz w:val="14"/>
                <w:szCs w:val="14"/>
                <w:lang w:eastAsia="es-MX"/>
              </w:rPr>
            </w:pPr>
            <w:r w:rsidRPr="00E90627">
              <w:rPr>
                <w:rFonts w:eastAsia="Times New Roman" w:cs="Calibri"/>
                <w:color w:val="000000"/>
                <w:sz w:val="14"/>
                <w:szCs w:val="14"/>
                <w:lang w:eastAsia="es-MX"/>
              </w:rPr>
              <w:t>Presupuesto de Egresos Pagado</w:t>
            </w:r>
          </w:p>
        </w:tc>
        <w:tc>
          <w:tcPr>
            <w:tcW w:w="1748" w:type="dxa"/>
            <w:tcBorders>
              <w:top w:val="nil"/>
              <w:left w:val="nil"/>
              <w:bottom w:val="single" w:sz="4" w:space="0" w:color="auto"/>
              <w:right w:val="single" w:sz="4" w:space="0" w:color="auto"/>
            </w:tcBorders>
            <w:shd w:val="clear" w:color="auto" w:fill="auto"/>
            <w:vAlign w:val="center"/>
            <w:hideMark/>
          </w:tcPr>
          <w:p w14:paraId="01BCDA3D"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70,870,521,840</w:t>
            </w:r>
          </w:p>
        </w:tc>
      </w:tr>
    </w:tbl>
    <w:p w14:paraId="7CFFB80F" w14:textId="77777777" w:rsidR="00BB51AD" w:rsidRDefault="00BB51AD" w:rsidP="00D30FA3">
      <w:pPr>
        <w:rPr>
          <w:rFonts w:asciiTheme="minorHAnsi" w:hAnsiTheme="minorHAnsi" w:cstheme="minorHAnsi"/>
          <w:b/>
          <w:sz w:val="16"/>
          <w:szCs w:val="18"/>
        </w:rPr>
      </w:pPr>
    </w:p>
    <w:p w14:paraId="71388464" w14:textId="77777777" w:rsidR="00E90627" w:rsidRDefault="00E90627" w:rsidP="00D30FA3">
      <w:pPr>
        <w:rPr>
          <w:rFonts w:asciiTheme="minorHAnsi" w:hAnsiTheme="minorHAnsi" w:cstheme="minorHAnsi"/>
          <w:b/>
          <w:sz w:val="16"/>
          <w:szCs w:val="18"/>
        </w:rPr>
      </w:pPr>
    </w:p>
    <w:p w14:paraId="203BF1CE" w14:textId="77777777" w:rsidR="00E90627" w:rsidRDefault="00E90627" w:rsidP="00D30FA3">
      <w:pPr>
        <w:rPr>
          <w:rFonts w:asciiTheme="minorHAnsi" w:hAnsiTheme="minorHAnsi" w:cstheme="minorHAnsi"/>
          <w:b/>
          <w:sz w:val="16"/>
          <w:szCs w:val="18"/>
        </w:rPr>
      </w:pPr>
    </w:p>
    <w:p w14:paraId="36B840E1" w14:textId="77777777" w:rsidR="00E90627" w:rsidRPr="005F45A3" w:rsidRDefault="00E90627" w:rsidP="00D30FA3">
      <w:pPr>
        <w:rPr>
          <w:rFonts w:asciiTheme="minorHAnsi" w:hAnsiTheme="minorHAnsi" w:cstheme="minorHAnsi"/>
          <w:b/>
          <w:sz w:val="16"/>
          <w:szCs w:val="18"/>
        </w:rPr>
      </w:pPr>
    </w:p>
    <w:p w14:paraId="474FA4F9" w14:textId="69C1C0B0" w:rsidR="00E71435" w:rsidRPr="005F45A3" w:rsidRDefault="00AA7087" w:rsidP="00E71435">
      <w:pPr>
        <w:spacing w:after="0"/>
        <w:jc w:val="both"/>
        <w:rPr>
          <w:rFonts w:asciiTheme="minorHAnsi" w:hAnsiTheme="minorHAnsi" w:cstheme="minorHAnsi"/>
          <w:sz w:val="18"/>
          <w:szCs w:val="18"/>
        </w:rPr>
      </w:pPr>
      <w:r w:rsidRPr="005F45A3">
        <w:rPr>
          <w:rFonts w:asciiTheme="minorHAnsi" w:hAnsiTheme="minorHAnsi" w:cstheme="minorHAnsi"/>
          <w:sz w:val="18"/>
          <w:szCs w:val="18"/>
        </w:rPr>
        <w:t xml:space="preserve">Los importes de las Cuentas de Orden Presupuestarias son tomadas de los informes presupuestales, debido a que en </w:t>
      </w:r>
      <w:r w:rsidR="006E3E86" w:rsidRPr="005F45A3">
        <w:rPr>
          <w:rFonts w:asciiTheme="minorHAnsi" w:hAnsiTheme="minorHAnsi" w:cstheme="minorHAnsi"/>
          <w:sz w:val="18"/>
          <w:szCs w:val="18"/>
        </w:rPr>
        <w:t>el Sistema</w:t>
      </w:r>
      <w:r w:rsidRPr="005F45A3">
        <w:rPr>
          <w:rFonts w:asciiTheme="minorHAnsi" w:hAnsiTheme="minorHAnsi" w:cstheme="minorHAnsi"/>
          <w:sz w:val="18"/>
          <w:szCs w:val="18"/>
        </w:rPr>
        <w:t xml:space="preserve"> de Plataforma Única </w:t>
      </w:r>
      <w:r w:rsidR="000616DD" w:rsidRPr="005F45A3">
        <w:rPr>
          <w:rFonts w:asciiTheme="minorHAnsi" w:hAnsiTheme="minorHAnsi" w:cstheme="minorHAnsi"/>
          <w:sz w:val="18"/>
          <w:szCs w:val="18"/>
        </w:rPr>
        <w:t xml:space="preserve">aún no se logra igualar </w:t>
      </w:r>
      <w:r w:rsidR="00E90627">
        <w:rPr>
          <w:rFonts w:asciiTheme="minorHAnsi" w:hAnsiTheme="minorHAnsi" w:cstheme="minorHAnsi"/>
          <w:sz w:val="18"/>
          <w:szCs w:val="18"/>
        </w:rPr>
        <w:t xml:space="preserve">todo </w:t>
      </w:r>
      <w:r w:rsidR="000616DD" w:rsidRPr="005F45A3">
        <w:rPr>
          <w:rFonts w:asciiTheme="minorHAnsi" w:hAnsiTheme="minorHAnsi" w:cstheme="minorHAnsi"/>
          <w:sz w:val="18"/>
          <w:szCs w:val="18"/>
        </w:rPr>
        <w:t>el proceso</w:t>
      </w:r>
      <w:r w:rsidR="007A2524">
        <w:rPr>
          <w:rFonts w:asciiTheme="minorHAnsi" w:hAnsiTheme="minorHAnsi" w:cstheme="minorHAnsi"/>
          <w:sz w:val="18"/>
          <w:szCs w:val="18"/>
        </w:rPr>
        <w:t xml:space="preserve"> de cierre presupuestal </w:t>
      </w:r>
      <w:r w:rsidR="001D7822">
        <w:rPr>
          <w:rFonts w:asciiTheme="minorHAnsi" w:hAnsiTheme="minorHAnsi" w:cstheme="minorHAnsi"/>
          <w:sz w:val="18"/>
          <w:szCs w:val="18"/>
        </w:rPr>
        <w:t xml:space="preserve">con el </w:t>
      </w:r>
      <w:r w:rsidR="007A2524">
        <w:rPr>
          <w:rFonts w:asciiTheme="minorHAnsi" w:hAnsiTheme="minorHAnsi" w:cstheme="minorHAnsi"/>
          <w:sz w:val="18"/>
          <w:szCs w:val="18"/>
        </w:rPr>
        <w:t>cierre de cuentas de orden presupuestales</w:t>
      </w:r>
      <w:r w:rsidR="000616DD" w:rsidRPr="005F45A3">
        <w:rPr>
          <w:rFonts w:asciiTheme="minorHAnsi" w:hAnsiTheme="minorHAnsi" w:cstheme="minorHAnsi"/>
          <w:sz w:val="18"/>
          <w:szCs w:val="18"/>
        </w:rPr>
        <w:t>.</w:t>
      </w:r>
    </w:p>
    <w:p w14:paraId="5578C424" w14:textId="197F581F" w:rsidR="006D5D62" w:rsidRPr="005F45A3" w:rsidRDefault="006D5D62" w:rsidP="00E71435">
      <w:pPr>
        <w:spacing w:after="0"/>
        <w:jc w:val="both"/>
        <w:rPr>
          <w:rFonts w:asciiTheme="minorHAnsi" w:hAnsiTheme="minorHAnsi" w:cstheme="minorHAnsi"/>
          <w:sz w:val="18"/>
          <w:szCs w:val="18"/>
        </w:rPr>
      </w:pPr>
    </w:p>
    <w:p w14:paraId="15097132" w14:textId="631B73C8" w:rsidR="00AA7087" w:rsidRPr="005F45A3" w:rsidRDefault="00AA7087" w:rsidP="00AA7087">
      <w:pPr>
        <w:tabs>
          <w:tab w:val="left" w:pos="720"/>
        </w:tabs>
        <w:spacing w:after="0" w:line="240" w:lineRule="exact"/>
        <w:ind w:left="432" w:hanging="432"/>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 xml:space="preserve">1. Valores en custodia: </w:t>
      </w:r>
      <w:r w:rsidR="00291DC2">
        <w:rPr>
          <w:rFonts w:asciiTheme="minorHAnsi" w:eastAsia="Times New Roman" w:hAnsiTheme="minorHAnsi" w:cstheme="minorHAnsi"/>
          <w:sz w:val="18"/>
          <w:szCs w:val="18"/>
          <w:lang w:eastAsia="es-ES"/>
        </w:rPr>
        <w:t xml:space="preserve">   </w:t>
      </w:r>
      <w:r w:rsidRPr="00291DC2">
        <w:rPr>
          <w:rFonts w:asciiTheme="minorHAnsi" w:eastAsia="Times New Roman" w:hAnsiTheme="minorHAnsi" w:cstheme="minorHAnsi"/>
          <w:b/>
          <w:sz w:val="18"/>
          <w:szCs w:val="18"/>
          <w:lang w:eastAsia="es-ES"/>
        </w:rPr>
        <w:t>No Aplica</w:t>
      </w:r>
    </w:p>
    <w:p w14:paraId="26485605" w14:textId="0EB6B119" w:rsidR="004916CF" w:rsidRPr="005F45A3" w:rsidRDefault="004916CF" w:rsidP="00AA7087">
      <w:pPr>
        <w:tabs>
          <w:tab w:val="left" w:pos="720"/>
        </w:tabs>
        <w:spacing w:after="0" w:line="240" w:lineRule="exact"/>
        <w:ind w:left="432" w:hanging="432"/>
        <w:jc w:val="both"/>
        <w:rPr>
          <w:rFonts w:asciiTheme="minorHAnsi" w:eastAsia="Times New Roman" w:hAnsiTheme="minorHAnsi" w:cstheme="minorHAnsi"/>
          <w:sz w:val="18"/>
          <w:szCs w:val="18"/>
          <w:lang w:eastAsia="es-ES"/>
        </w:rPr>
      </w:pPr>
    </w:p>
    <w:p w14:paraId="4018C2E7" w14:textId="37F4FBCC" w:rsidR="00AA7087" w:rsidRPr="005F45A3" w:rsidRDefault="00AA7087" w:rsidP="00AA7087">
      <w:pPr>
        <w:tabs>
          <w:tab w:val="left" w:pos="720"/>
        </w:tabs>
        <w:spacing w:after="0" w:line="240" w:lineRule="exact"/>
        <w:ind w:left="432" w:hanging="432"/>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 xml:space="preserve">2. Por tipo de emisión de Instrumento: </w:t>
      </w:r>
      <w:r w:rsidR="00291DC2">
        <w:rPr>
          <w:rFonts w:asciiTheme="minorHAnsi" w:eastAsia="Times New Roman" w:hAnsiTheme="minorHAnsi" w:cstheme="minorHAnsi"/>
          <w:sz w:val="18"/>
          <w:szCs w:val="18"/>
          <w:lang w:eastAsia="es-ES"/>
        </w:rPr>
        <w:t xml:space="preserve">  </w:t>
      </w:r>
      <w:r w:rsidRPr="00291DC2">
        <w:rPr>
          <w:rFonts w:asciiTheme="minorHAnsi" w:eastAsia="Times New Roman" w:hAnsiTheme="minorHAnsi" w:cstheme="minorHAnsi"/>
          <w:b/>
          <w:sz w:val="18"/>
          <w:szCs w:val="18"/>
          <w:lang w:eastAsia="es-ES"/>
        </w:rPr>
        <w:t>No Aplica</w:t>
      </w:r>
    </w:p>
    <w:p w14:paraId="10F9DD88" w14:textId="58AE9C15" w:rsidR="004916CF" w:rsidRPr="005F45A3" w:rsidRDefault="004916CF" w:rsidP="00AA7087">
      <w:pPr>
        <w:tabs>
          <w:tab w:val="left" w:pos="720"/>
        </w:tabs>
        <w:spacing w:after="0" w:line="240" w:lineRule="exact"/>
        <w:ind w:left="432" w:hanging="432"/>
        <w:jc w:val="both"/>
        <w:rPr>
          <w:rFonts w:asciiTheme="minorHAnsi" w:eastAsia="Times New Roman" w:hAnsiTheme="minorHAnsi" w:cstheme="minorHAnsi"/>
          <w:sz w:val="18"/>
          <w:szCs w:val="18"/>
          <w:lang w:eastAsia="es-ES"/>
        </w:rPr>
      </w:pPr>
    </w:p>
    <w:p w14:paraId="5CB45411" w14:textId="494BB79C" w:rsidR="00AA7087" w:rsidRPr="005F45A3" w:rsidRDefault="00AA7087" w:rsidP="00AA7087">
      <w:pPr>
        <w:tabs>
          <w:tab w:val="left" w:pos="720"/>
        </w:tabs>
        <w:spacing w:after="0" w:line="240" w:lineRule="exact"/>
        <w:ind w:left="432" w:hanging="432"/>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3. Los contratos firmados de construcciones por tipo de contrato:</w:t>
      </w:r>
    </w:p>
    <w:p w14:paraId="57B03926" w14:textId="354E698D" w:rsidR="006C01DB" w:rsidRPr="00291DC2" w:rsidRDefault="006C01DB" w:rsidP="00227900">
      <w:pPr>
        <w:spacing w:after="0" w:line="240" w:lineRule="auto"/>
        <w:ind w:left="142"/>
        <w:rPr>
          <w:rStyle w:val="Hipervnculo"/>
          <w:rFonts w:asciiTheme="minorHAnsi" w:hAnsiTheme="minorHAnsi" w:cstheme="minorHAnsi"/>
          <w:color w:val="AB0033"/>
          <w:sz w:val="18"/>
          <w:szCs w:val="18"/>
          <w:shd w:val="clear" w:color="auto" w:fill="FFFFFF"/>
        </w:rPr>
      </w:pPr>
      <w:r>
        <w:rPr>
          <w:rFonts w:asciiTheme="minorHAnsi" w:eastAsia="Times New Roman" w:hAnsiTheme="minorHAnsi" w:cstheme="minorHAnsi"/>
          <w:sz w:val="18"/>
          <w:szCs w:val="18"/>
          <w:lang w:eastAsia="es-ES"/>
        </w:rPr>
        <w:t>La</w:t>
      </w:r>
      <w:r w:rsidR="007A2524">
        <w:rPr>
          <w:rFonts w:asciiTheme="minorHAnsi" w:eastAsia="Times New Roman" w:hAnsiTheme="minorHAnsi" w:cstheme="minorHAnsi"/>
          <w:sz w:val="18"/>
          <w:szCs w:val="18"/>
          <w:lang w:eastAsia="es-ES"/>
        </w:rPr>
        <w:t xml:space="preserve"> I</w:t>
      </w:r>
      <w:r w:rsidR="00AA7087" w:rsidRPr="005F45A3">
        <w:rPr>
          <w:rFonts w:asciiTheme="minorHAnsi" w:eastAsia="Times New Roman" w:hAnsiTheme="minorHAnsi" w:cstheme="minorHAnsi"/>
          <w:sz w:val="18"/>
          <w:szCs w:val="18"/>
          <w:lang w:eastAsia="es-ES"/>
        </w:rPr>
        <w:t>nformación</w:t>
      </w:r>
      <w:r w:rsidR="004916CF" w:rsidRPr="005F45A3">
        <w:rPr>
          <w:rFonts w:asciiTheme="minorHAnsi" w:eastAsia="Times New Roman" w:hAnsiTheme="minorHAnsi" w:cstheme="minorHAnsi"/>
          <w:sz w:val="18"/>
          <w:szCs w:val="18"/>
          <w:lang w:eastAsia="es-ES"/>
        </w:rPr>
        <w:t xml:space="preserve"> </w:t>
      </w:r>
      <w:r w:rsidR="00467F29" w:rsidRPr="005F45A3">
        <w:rPr>
          <w:rFonts w:asciiTheme="minorHAnsi" w:eastAsia="Times New Roman" w:hAnsiTheme="minorHAnsi" w:cstheme="minorHAnsi"/>
          <w:sz w:val="18"/>
          <w:szCs w:val="18"/>
          <w:lang w:eastAsia="es-ES"/>
        </w:rPr>
        <w:t>la proporciona</w:t>
      </w:r>
      <w:r w:rsidR="00AB2B27" w:rsidRPr="005F45A3">
        <w:rPr>
          <w:rFonts w:asciiTheme="minorHAnsi" w:eastAsia="Times New Roman" w:hAnsiTheme="minorHAnsi" w:cstheme="minorHAnsi"/>
          <w:sz w:val="18"/>
          <w:szCs w:val="18"/>
          <w:lang w:eastAsia="es-ES"/>
        </w:rPr>
        <w:t xml:space="preserve"> la Secretaría de OBRAS Públicas</w:t>
      </w:r>
      <w:r w:rsidR="00467F29" w:rsidRPr="005F45A3">
        <w:rPr>
          <w:rFonts w:asciiTheme="minorHAnsi" w:eastAsia="Times New Roman" w:hAnsiTheme="minorHAnsi" w:cstheme="minorHAnsi"/>
          <w:sz w:val="18"/>
          <w:szCs w:val="18"/>
          <w:lang w:eastAsia="es-ES"/>
        </w:rPr>
        <w:t xml:space="preserve"> ya que</w:t>
      </w:r>
      <w:r w:rsidR="00AB2B27" w:rsidRPr="005F45A3">
        <w:rPr>
          <w:rFonts w:asciiTheme="minorHAnsi" w:eastAsia="Times New Roman" w:hAnsiTheme="minorHAnsi" w:cstheme="minorHAnsi"/>
          <w:sz w:val="18"/>
          <w:szCs w:val="18"/>
          <w:lang w:eastAsia="es-ES"/>
        </w:rPr>
        <w:t xml:space="preserve"> es la dependencia que </w:t>
      </w:r>
      <w:r w:rsidR="00B73CA3" w:rsidRPr="005F45A3">
        <w:rPr>
          <w:rFonts w:asciiTheme="minorHAnsi" w:eastAsia="Times New Roman" w:hAnsiTheme="minorHAnsi" w:cstheme="minorHAnsi"/>
          <w:sz w:val="18"/>
          <w:szCs w:val="18"/>
          <w:lang w:eastAsia="es-ES"/>
        </w:rPr>
        <w:t>resguarda la documentación en</w:t>
      </w:r>
      <w:r w:rsidR="00227900">
        <w:rPr>
          <w:rFonts w:asciiTheme="minorHAnsi" w:eastAsia="Times New Roman" w:hAnsiTheme="minorHAnsi" w:cstheme="minorHAnsi"/>
          <w:sz w:val="18"/>
          <w:szCs w:val="18"/>
          <w:lang w:eastAsia="es-ES"/>
        </w:rPr>
        <w:t xml:space="preserve">             los expe</w:t>
      </w:r>
      <w:r w:rsidR="00B73CA3" w:rsidRPr="005F45A3">
        <w:rPr>
          <w:rFonts w:asciiTheme="minorHAnsi" w:eastAsia="Times New Roman" w:hAnsiTheme="minorHAnsi" w:cstheme="minorHAnsi"/>
          <w:sz w:val="18"/>
          <w:szCs w:val="18"/>
          <w:lang w:eastAsia="es-ES"/>
        </w:rPr>
        <w:t xml:space="preserve">dientes de obra </w:t>
      </w:r>
      <w:r w:rsidR="00D371F4" w:rsidRPr="005F45A3">
        <w:rPr>
          <w:rFonts w:asciiTheme="minorHAnsi" w:eastAsia="Times New Roman" w:hAnsiTheme="minorHAnsi" w:cstheme="minorHAnsi"/>
          <w:sz w:val="18"/>
          <w:szCs w:val="18"/>
          <w:lang w:eastAsia="es-ES"/>
        </w:rPr>
        <w:t>correspondientes</w:t>
      </w:r>
      <w:r>
        <w:rPr>
          <w:rFonts w:asciiTheme="minorHAnsi" w:eastAsia="Times New Roman" w:hAnsiTheme="minorHAnsi" w:cstheme="minorHAnsi"/>
          <w:sz w:val="18"/>
          <w:szCs w:val="18"/>
          <w:lang w:eastAsia="es-ES"/>
        </w:rPr>
        <w:t xml:space="preserve"> y esta publicada en la página</w:t>
      </w:r>
      <w:r w:rsidRPr="00291DC2">
        <w:rPr>
          <w:rFonts w:asciiTheme="minorHAnsi" w:eastAsia="Times New Roman" w:hAnsiTheme="minorHAnsi" w:cstheme="minorHAnsi"/>
          <w:color w:val="AB0033"/>
          <w:sz w:val="18"/>
          <w:szCs w:val="18"/>
          <w:lang w:eastAsia="es-ES"/>
        </w:rPr>
        <w:t xml:space="preserve">: </w:t>
      </w:r>
      <w:r w:rsidRPr="00291DC2">
        <w:rPr>
          <w:rStyle w:val="Hipervnculo"/>
          <w:rFonts w:asciiTheme="minorHAnsi" w:hAnsiTheme="minorHAnsi" w:cstheme="minorHAnsi"/>
          <w:color w:val="AB0033"/>
          <w:sz w:val="18"/>
          <w:szCs w:val="18"/>
          <w:shd w:val="clear" w:color="auto" w:fill="FFFFFF"/>
        </w:rPr>
        <w:fldChar w:fldCharType="begin"/>
      </w:r>
      <w:r w:rsidRPr="00291DC2">
        <w:rPr>
          <w:rStyle w:val="Hipervnculo"/>
          <w:rFonts w:asciiTheme="minorHAnsi" w:hAnsiTheme="minorHAnsi" w:cstheme="minorHAnsi"/>
          <w:color w:val="AB0033"/>
          <w:sz w:val="18"/>
          <w:szCs w:val="18"/>
          <w:shd w:val="clear" w:color="auto" w:fill="FFFFFF"/>
        </w:rPr>
        <w:instrText xml:space="preserve"> HYPERLINK "https://www.plataformadetransparencia.org.mx</w:instrText>
      </w:r>
    </w:p>
    <w:p w14:paraId="1E8D52DB" w14:textId="77777777" w:rsidR="006C01DB" w:rsidRPr="00291DC2" w:rsidRDefault="006C01DB" w:rsidP="00227900">
      <w:pPr>
        <w:spacing w:after="0" w:line="240" w:lineRule="auto"/>
        <w:ind w:left="142"/>
        <w:rPr>
          <w:rStyle w:val="Hipervnculo"/>
          <w:rFonts w:asciiTheme="minorHAnsi" w:hAnsiTheme="minorHAnsi" w:cstheme="minorHAnsi"/>
          <w:color w:val="AB0033"/>
          <w:sz w:val="18"/>
          <w:szCs w:val="18"/>
          <w:shd w:val="clear" w:color="auto" w:fill="FFFFFF"/>
        </w:rPr>
      </w:pPr>
      <w:r w:rsidRPr="00291DC2">
        <w:rPr>
          <w:rStyle w:val="Hipervnculo"/>
          <w:rFonts w:asciiTheme="minorHAnsi" w:hAnsiTheme="minorHAnsi" w:cstheme="minorHAnsi"/>
          <w:color w:val="AB0033"/>
          <w:sz w:val="18"/>
          <w:szCs w:val="18"/>
          <w:shd w:val="clear" w:color="auto" w:fill="FFFFFF"/>
        </w:rPr>
        <w:instrText xml:space="preserve">" </w:instrText>
      </w:r>
      <w:r w:rsidRPr="00291DC2">
        <w:rPr>
          <w:rStyle w:val="Hipervnculo"/>
          <w:rFonts w:asciiTheme="minorHAnsi" w:hAnsiTheme="minorHAnsi" w:cstheme="minorHAnsi"/>
          <w:color w:val="AB0033"/>
          <w:sz w:val="18"/>
          <w:szCs w:val="18"/>
          <w:shd w:val="clear" w:color="auto" w:fill="FFFFFF"/>
        </w:rPr>
        <w:fldChar w:fldCharType="separate"/>
      </w:r>
      <w:r w:rsidRPr="00291DC2">
        <w:rPr>
          <w:rStyle w:val="Hipervnculo"/>
          <w:rFonts w:asciiTheme="minorHAnsi" w:hAnsiTheme="minorHAnsi" w:cstheme="minorHAnsi"/>
          <w:color w:val="AB0033"/>
          <w:sz w:val="18"/>
          <w:szCs w:val="18"/>
          <w:shd w:val="clear" w:color="auto" w:fill="FFFFFF"/>
        </w:rPr>
        <w:t>https://www.plataformadetransparencia.org.mx</w:t>
      </w:r>
    </w:p>
    <w:p w14:paraId="0D09E9B8" w14:textId="2EB04C30" w:rsidR="00AA7087" w:rsidRPr="00291DC2" w:rsidRDefault="006C01DB" w:rsidP="00227900">
      <w:pPr>
        <w:spacing w:after="0" w:line="240" w:lineRule="auto"/>
        <w:ind w:left="142"/>
        <w:rPr>
          <w:rStyle w:val="Hipervnculo"/>
          <w:rFonts w:ascii="Arial" w:hAnsi="Arial" w:cs="Arial"/>
          <w:color w:val="AB0033"/>
          <w:sz w:val="18"/>
          <w:szCs w:val="18"/>
          <w:shd w:val="clear" w:color="auto" w:fill="FFFFFF"/>
        </w:rPr>
      </w:pPr>
      <w:r w:rsidRPr="00291DC2">
        <w:rPr>
          <w:rStyle w:val="Hipervnculo"/>
          <w:rFonts w:asciiTheme="minorHAnsi" w:hAnsiTheme="minorHAnsi" w:cstheme="minorHAnsi"/>
          <w:color w:val="AB0033"/>
          <w:sz w:val="18"/>
          <w:szCs w:val="18"/>
          <w:shd w:val="clear" w:color="auto" w:fill="FFFFFF"/>
        </w:rPr>
        <w:fldChar w:fldCharType="end"/>
      </w:r>
    </w:p>
    <w:p w14:paraId="5057EDA4" w14:textId="0971E54E" w:rsidR="003669E2" w:rsidRPr="005F45A3" w:rsidRDefault="003669E2" w:rsidP="00F64709">
      <w:pPr>
        <w:tabs>
          <w:tab w:val="left" w:pos="720"/>
        </w:tabs>
        <w:spacing w:after="0" w:line="240" w:lineRule="exact"/>
        <w:jc w:val="both"/>
        <w:rPr>
          <w:rFonts w:asciiTheme="minorHAnsi" w:eastAsia="Times New Roman" w:hAnsiTheme="minorHAnsi" w:cstheme="minorHAnsi"/>
          <w:sz w:val="16"/>
          <w:szCs w:val="18"/>
          <w:lang w:eastAsia="es-ES"/>
        </w:rPr>
      </w:pPr>
    </w:p>
    <w:p w14:paraId="58449673" w14:textId="0E010B53" w:rsidR="007506CA" w:rsidRDefault="007506CA" w:rsidP="00AA7087">
      <w:pPr>
        <w:tabs>
          <w:tab w:val="left" w:pos="720"/>
        </w:tabs>
        <w:spacing w:after="0" w:line="240" w:lineRule="exact"/>
        <w:ind w:left="432" w:hanging="432"/>
        <w:jc w:val="both"/>
        <w:rPr>
          <w:rFonts w:asciiTheme="minorHAnsi" w:eastAsia="Times New Roman" w:hAnsiTheme="minorHAnsi" w:cstheme="minorHAnsi"/>
          <w:sz w:val="18"/>
          <w:szCs w:val="18"/>
          <w:lang w:eastAsia="es-ES"/>
        </w:rPr>
      </w:pPr>
    </w:p>
    <w:p w14:paraId="591C23AD" w14:textId="27918A5A" w:rsidR="00E1039C" w:rsidRDefault="00E1039C" w:rsidP="00AA7087">
      <w:pPr>
        <w:tabs>
          <w:tab w:val="left" w:pos="720"/>
        </w:tabs>
        <w:spacing w:after="0" w:line="240" w:lineRule="exact"/>
        <w:ind w:left="432" w:hanging="432"/>
        <w:jc w:val="both"/>
        <w:rPr>
          <w:rFonts w:asciiTheme="minorHAnsi" w:eastAsia="Times New Roman" w:hAnsiTheme="minorHAnsi" w:cstheme="minorHAnsi"/>
          <w:sz w:val="18"/>
          <w:szCs w:val="18"/>
          <w:lang w:eastAsia="es-ES"/>
        </w:rPr>
      </w:pPr>
    </w:p>
    <w:p w14:paraId="157564C2" w14:textId="7C8A2ABA" w:rsidR="00E1039C" w:rsidRDefault="00E1039C" w:rsidP="00AA7087">
      <w:pPr>
        <w:tabs>
          <w:tab w:val="left" w:pos="720"/>
        </w:tabs>
        <w:spacing w:after="0" w:line="240" w:lineRule="exact"/>
        <w:ind w:left="432" w:hanging="432"/>
        <w:jc w:val="both"/>
        <w:rPr>
          <w:rFonts w:asciiTheme="minorHAnsi" w:eastAsia="Times New Roman" w:hAnsiTheme="minorHAnsi" w:cstheme="minorHAnsi"/>
          <w:sz w:val="18"/>
          <w:szCs w:val="18"/>
          <w:lang w:eastAsia="es-ES"/>
        </w:rPr>
      </w:pPr>
    </w:p>
    <w:p w14:paraId="5B962332" w14:textId="60257BC5" w:rsidR="00ED61D8" w:rsidRDefault="00ED61D8" w:rsidP="00AA7087">
      <w:pPr>
        <w:tabs>
          <w:tab w:val="left" w:pos="720"/>
        </w:tabs>
        <w:spacing w:after="0" w:line="240" w:lineRule="exact"/>
        <w:ind w:left="432" w:hanging="432"/>
        <w:jc w:val="both"/>
        <w:rPr>
          <w:rFonts w:asciiTheme="minorHAnsi" w:eastAsia="Times New Roman" w:hAnsiTheme="minorHAnsi" w:cstheme="minorHAnsi"/>
          <w:sz w:val="18"/>
          <w:szCs w:val="18"/>
          <w:lang w:eastAsia="es-ES"/>
        </w:rPr>
      </w:pPr>
    </w:p>
    <w:p w14:paraId="190A1C45" w14:textId="77777777" w:rsidR="00ED61D8" w:rsidRPr="005F45A3" w:rsidRDefault="00ED61D8" w:rsidP="00AA7087">
      <w:pPr>
        <w:tabs>
          <w:tab w:val="left" w:pos="720"/>
        </w:tabs>
        <w:spacing w:after="0" w:line="240" w:lineRule="exact"/>
        <w:ind w:left="432" w:hanging="432"/>
        <w:jc w:val="both"/>
        <w:rPr>
          <w:rFonts w:asciiTheme="minorHAnsi" w:eastAsia="Times New Roman" w:hAnsiTheme="minorHAnsi" w:cstheme="minorHAnsi"/>
          <w:sz w:val="18"/>
          <w:szCs w:val="18"/>
          <w:lang w:eastAsia="es-ES"/>
        </w:rPr>
      </w:pPr>
    </w:p>
    <w:p w14:paraId="5A4CACDE" w14:textId="065BEE11" w:rsidR="00BB544D" w:rsidRPr="005F45A3" w:rsidRDefault="00BB544D" w:rsidP="00AA7087">
      <w:pPr>
        <w:tabs>
          <w:tab w:val="left" w:pos="720"/>
        </w:tabs>
        <w:spacing w:after="0" w:line="240" w:lineRule="exact"/>
        <w:ind w:left="432" w:hanging="432"/>
        <w:jc w:val="both"/>
        <w:rPr>
          <w:rFonts w:asciiTheme="minorHAnsi" w:eastAsia="Times New Roman" w:hAnsiTheme="minorHAnsi" w:cstheme="minorHAnsi"/>
          <w:sz w:val="18"/>
          <w:szCs w:val="18"/>
          <w:lang w:eastAsia="es-ES"/>
        </w:rPr>
      </w:pPr>
    </w:p>
    <w:p w14:paraId="4A909A7D" w14:textId="01E2047A" w:rsidR="00BB544D" w:rsidRPr="005F45A3" w:rsidRDefault="00BB544D" w:rsidP="00BB544D">
      <w:pPr>
        <w:spacing w:after="0" w:line="240" w:lineRule="auto"/>
        <w:rPr>
          <w:rFonts w:asciiTheme="minorHAnsi" w:eastAsia="Times New Roman" w:hAnsiTheme="minorHAnsi" w:cstheme="minorHAnsi"/>
          <w:sz w:val="14"/>
          <w:szCs w:val="14"/>
          <w:lang w:val="es-ES" w:eastAsia="es-ES"/>
        </w:rPr>
      </w:pPr>
      <w:r w:rsidRPr="005F45A3">
        <w:rPr>
          <w:rFonts w:asciiTheme="minorHAnsi" w:eastAsia="Times New Roman" w:hAnsiTheme="minorHAnsi" w:cstheme="minorHAnsi"/>
          <w:sz w:val="14"/>
          <w:szCs w:val="14"/>
          <w:lang w:val="es-ES" w:eastAsia="es-ES"/>
        </w:rPr>
        <w:t>“ Bajo protesta de decir verdad declaramos que los Estados Financieros y sus Notas</w:t>
      </w:r>
      <w:r w:rsidR="002A58A0">
        <w:rPr>
          <w:rFonts w:asciiTheme="minorHAnsi" w:eastAsia="Times New Roman" w:hAnsiTheme="minorHAnsi" w:cstheme="minorHAnsi"/>
          <w:sz w:val="14"/>
          <w:szCs w:val="14"/>
          <w:lang w:val="es-ES" w:eastAsia="es-ES"/>
        </w:rPr>
        <w:t>,</w:t>
      </w:r>
      <w:r w:rsidRPr="005F45A3">
        <w:rPr>
          <w:rFonts w:asciiTheme="minorHAnsi" w:eastAsia="Times New Roman" w:hAnsiTheme="minorHAnsi" w:cstheme="minorHAnsi"/>
          <w:sz w:val="14"/>
          <w:szCs w:val="14"/>
          <w:lang w:val="es-ES" w:eastAsia="es-ES"/>
        </w:rPr>
        <w:t xml:space="preserve"> son razonablemente correctos y son responsabilidad del emisor “</w:t>
      </w:r>
    </w:p>
    <w:p w14:paraId="28837F15" w14:textId="7699A22C" w:rsidR="00BB544D" w:rsidRPr="005F45A3" w:rsidRDefault="00BB544D" w:rsidP="00BB544D">
      <w:pPr>
        <w:spacing w:after="0" w:line="240" w:lineRule="auto"/>
        <w:rPr>
          <w:rFonts w:asciiTheme="minorHAnsi" w:eastAsia="Times New Roman" w:hAnsiTheme="minorHAnsi" w:cstheme="minorHAnsi"/>
          <w:sz w:val="14"/>
          <w:szCs w:val="14"/>
          <w:lang w:val="es-ES" w:eastAsia="es-ES"/>
        </w:rPr>
      </w:pPr>
    </w:p>
    <w:p w14:paraId="57AF2204" w14:textId="3ACE5558" w:rsidR="00BB544D" w:rsidRDefault="00BB544D" w:rsidP="00BB544D">
      <w:pPr>
        <w:spacing w:after="0" w:line="240" w:lineRule="auto"/>
        <w:rPr>
          <w:rFonts w:asciiTheme="minorHAnsi" w:eastAsia="Times New Roman" w:hAnsiTheme="minorHAnsi" w:cstheme="minorHAnsi"/>
          <w:sz w:val="14"/>
          <w:szCs w:val="14"/>
          <w:lang w:val="es-ES" w:eastAsia="es-ES"/>
        </w:rPr>
      </w:pPr>
    </w:p>
    <w:p w14:paraId="18ACDD40" w14:textId="3AB09048" w:rsidR="002A58A0" w:rsidRDefault="002A58A0" w:rsidP="00BB544D">
      <w:pPr>
        <w:spacing w:after="0" w:line="240" w:lineRule="auto"/>
        <w:rPr>
          <w:rFonts w:asciiTheme="minorHAnsi" w:eastAsia="Times New Roman" w:hAnsiTheme="minorHAnsi" w:cstheme="minorHAnsi"/>
          <w:sz w:val="14"/>
          <w:szCs w:val="14"/>
          <w:lang w:val="es-ES" w:eastAsia="es-ES"/>
        </w:rPr>
      </w:pPr>
    </w:p>
    <w:p w14:paraId="229BDE31" w14:textId="77777777" w:rsidR="002A58A0" w:rsidRPr="005F45A3" w:rsidRDefault="002A58A0" w:rsidP="00BB544D">
      <w:pPr>
        <w:spacing w:after="0" w:line="240" w:lineRule="auto"/>
        <w:rPr>
          <w:rFonts w:asciiTheme="minorHAnsi" w:eastAsia="Times New Roman" w:hAnsiTheme="minorHAnsi" w:cstheme="minorHAnsi"/>
          <w:sz w:val="14"/>
          <w:szCs w:val="14"/>
          <w:lang w:val="es-ES" w:eastAsia="es-ES"/>
        </w:rPr>
      </w:pPr>
    </w:p>
    <w:p w14:paraId="74B8E80A" w14:textId="6A95291D" w:rsidR="00B511FE" w:rsidRDefault="00B511FE" w:rsidP="00BB544D">
      <w:pPr>
        <w:spacing w:after="0" w:line="240" w:lineRule="auto"/>
        <w:rPr>
          <w:rFonts w:asciiTheme="minorHAnsi" w:eastAsia="Times New Roman" w:hAnsiTheme="minorHAnsi" w:cstheme="minorHAnsi"/>
          <w:sz w:val="14"/>
          <w:szCs w:val="14"/>
          <w:lang w:val="es-ES" w:eastAsia="es-ES"/>
        </w:rPr>
      </w:pPr>
    </w:p>
    <w:p w14:paraId="775734A1" w14:textId="5C4D1F2F" w:rsidR="00ED61D8" w:rsidRDefault="00ED61D8" w:rsidP="00BB544D">
      <w:pPr>
        <w:spacing w:after="0" w:line="240" w:lineRule="auto"/>
        <w:rPr>
          <w:rFonts w:asciiTheme="minorHAnsi" w:eastAsia="Times New Roman" w:hAnsiTheme="minorHAnsi" w:cstheme="minorHAnsi"/>
          <w:sz w:val="14"/>
          <w:szCs w:val="14"/>
          <w:lang w:val="es-ES" w:eastAsia="es-ES"/>
        </w:rPr>
      </w:pPr>
    </w:p>
    <w:p w14:paraId="15B22C30" w14:textId="442B1BDD" w:rsidR="00ED61D8" w:rsidRDefault="00ED61D8" w:rsidP="00BB544D">
      <w:pPr>
        <w:spacing w:after="0" w:line="240" w:lineRule="auto"/>
        <w:rPr>
          <w:rFonts w:asciiTheme="minorHAnsi" w:eastAsia="Times New Roman" w:hAnsiTheme="minorHAnsi" w:cstheme="minorHAnsi"/>
          <w:sz w:val="14"/>
          <w:szCs w:val="14"/>
          <w:lang w:val="es-ES" w:eastAsia="es-ES"/>
        </w:rPr>
      </w:pPr>
    </w:p>
    <w:p w14:paraId="44D8B404" w14:textId="77777777" w:rsidR="00ED61D8" w:rsidRPr="005F45A3" w:rsidRDefault="00ED61D8" w:rsidP="00BB544D">
      <w:pPr>
        <w:spacing w:after="0" w:line="240" w:lineRule="auto"/>
        <w:rPr>
          <w:rFonts w:asciiTheme="minorHAnsi" w:eastAsia="Times New Roman" w:hAnsiTheme="minorHAnsi" w:cstheme="minorHAnsi"/>
          <w:sz w:val="14"/>
          <w:szCs w:val="14"/>
          <w:lang w:val="es-ES" w:eastAsia="es-ES"/>
        </w:rPr>
      </w:pPr>
    </w:p>
    <w:p w14:paraId="74AAB9BF" w14:textId="2F4F42AB" w:rsidR="00B511FE" w:rsidRPr="005F45A3" w:rsidRDefault="00B511FE" w:rsidP="00BB544D">
      <w:pPr>
        <w:spacing w:after="0" w:line="240" w:lineRule="auto"/>
        <w:rPr>
          <w:rFonts w:asciiTheme="minorHAnsi" w:eastAsia="Times New Roman" w:hAnsiTheme="minorHAnsi" w:cstheme="minorHAnsi"/>
          <w:sz w:val="14"/>
          <w:szCs w:val="14"/>
          <w:lang w:val="es-ES" w:eastAsia="es-ES"/>
        </w:rPr>
      </w:pPr>
    </w:p>
    <w:p w14:paraId="10088902" w14:textId="6BFEF5BC" w:rsidR="00BB544D" w:rsidRPr="005F45A3" w:rsidRDefault="00BB544D" w:rsidP="00FF649B">
      <w:pPr>
        <w:spacing w:after="0" w:line="240" w:lineRule="auto"/>
        <w:rPr>
          <w:rFonts w:asciiTheme="minorHAnsi" w:eastAsia="Times New Roman" w:hAnsiTheme="minorHAnsi" w:cstheme="minorHAnsi"/>
          <w:sz w:val="14"/>
          <w:szCs w:val="14"/>
          <w:lang w:val="es-ES" w:eastAsia="es-ES"/>
        </w:rPr>
      </w:pPr>
    </w:p>
    <w:p w14:paraId="327CDDEE" w14:textId="01D41CF4" w:rsidR="00532260" w:rsidRPr="005F45A3" w:rsidRDefault="00532260" w:rsidP="00AA7087">
      <w:pPr>
        <w:pStyle w:val="Texto"/>
        <w:spacing w:after="0" w:line="240" w:lineRule="exact"/>
        <w:jc w:val="center"/>
        <w:rPr>
          <w:rFonts w:asciiTheme="minorHAnsi" w:hAnsiTheme="minorHAnsi" w:cstheme="minorHAnsi"/>
          <w:b/>
          <w:sz w:val="22"/>
          <w:szCs w:val="22"/>
        </w:rPr>
      </w:pPr>
    </w:p>
    <w:p w14:paraId="7B5AC2E2" w14:textId="706DC0D9" w:rsidR="00F62E1E" w:rsidRPr="005F45A3" w:rsidRDefault="00F62E1E" w:rsidP="00AA7087">
      <w:pPr>
        <w:pStyle w:val="Texto"/>
        <w:spacing w:after="0" w:line="240" w:lineRule="exact"/>
        <w:jc w:val="center"/>
        <w:rPr>
          <w:rFonts w:asciiTheme="minorHAnsi" w:hAnsiTheme="minorHAnsi" w:cstheme="minorHAnsi"/>
          <w:b/>
          <w:sz w:val="22"/>
          <w:szCs w:val="22"/>
        </w:rPr>
      </w:pPr>
    </w:p>
    <w:p w14:paraId="63F3469E" w14:textId="0D911D93" w:rsidR="00A6176A" w:rsidRPr="005F45A3" w:rsidRDefault="00A6176A" w:rsidP="00AA7087">
      <w:pPr>
        <w:pStyle w:val="Texto"/>
        <w:spacing w:after="0" w:line="240" w:lineRule="exact"/>
        <w:jc w:val="center"/>
        <w:rPr>
          <w:rFonts w:asciiTheme="minorHAnsi" w:hAnsiTheme="minorHAnsi" w:cstheme="minorHAnsi"/>
          <w:b/>
          <w:sz w:val="22"/>
          <w:szCs w:val="22"/>
        </w:rPr>
      </w:pPr>
    </w:p>
    <w:p w14:paraId="06E9189B" w14:textId="1F0E2FA9" w:rsidR="00A6176A" w:rsidRPr="005F45A3" w:rsidRDefault="00A6176A" w:rsidP="00AA7087">
      <w:pPr>
        <w:pStyle w:val="Texto"/>
        <w:spacing w:after="0" w:line="240" w:lineRule="exact"/>
        <w:jc w:val="center"/>
        <w:rPr>
          <w:rFonts w:asciiTheme="minorHAnsi" w:hAnsiTheme="minorHAnsi" w:cstheme="minorHAnsi"/>
          <w:b/>
          <w:sz w:val="22"/>
          <w:szCs w:val="22"/>
        </w:rPr>
      </w:pPr>
    </w:p>
    <w:p w14:paraId="615716DD" w14:textId="67089657" w:rsidR="00783651" w:rsidRDefault="00783651" w:rsidP="00AA7087">
      <w:pPr>
        <w:pStyle w:val="Texto"/>
        <w:spacing w:after="0" w:line="240" w:lineRule="exact"/>
        <w:jc w:val="center"/>
        <w:rPr>
          <w:rFonts w:asciiTheme="minorHAnsi" w:hAnsiTheme="minorHAnsi" w:cstheme="minorHAnsi"/>
          <w:b/>
          <w:sz w:val="22"/>
          <w:szCs w:val="22"/>
        </w:rPr>
      </w:pPr>
    </w:p>
    <w:p w14:paraId="6514FA51" w14:textId="77777777" w:rsidR="00783651" w:rsidRDefault="00783651" w:rsidP="00AA7087">
      <w:pPr>
        <w:pStyle w:val="Texto"/>
        <w:spacing w:after="0" w:line="240" w:lineRule="exact"/>
        <w:jc w:val="center"/>
        <w:rPr>
          <w:rFonts w:asciiTheme="minorHAnsi" w:hAnsiTheme="minorHAnsi" w:cstheme="minorHAnsi"/>
          <w:b/>
          <w:sz w:val="22"/>
          <w:szCs w:val="22"/>
        </w:rPr>
      </w:pPr>
    </w:p>
    <w:p w14:paraId="70D3F40D" w14:textId="77777777" w:rsidR="00783651" w:rsidRDefault="00783651" w:rsidP="00AA7087">
      <w:pPr>
        <w:pStyle w:val="Texto"/>
        <w:spacing w:after="0" w:line="240" w:lineRule="exact"/>
        <w:jc w:val="center"/>
        <w:rPr>
          <w:rFonts w:asciiTheme="minorHAnsi" w:hAnsiTheme="minorHAnsi" w:cstheme="minorHAnsi"/>
          <w:b/>
          <w:sz w:val="22"/>
          <w:szCs w:val="22"/>
        </w:rPr>
      </w:pPr>
    </w:p>
    <w:p w14:paraId="0E4695E1" w14:textId="77777777" w:rsidR="00783651" w:rsidRDefault="00783651" w:rsidP="00AA7087">
      <w:pPr>
        <w:pStyle w:val="Texto"/>
        <w:spacing w:after="0" w:line="240" w:lineRule="exact"/>
        <w:jc w:val="center"/>
        <w:rPr>
          <w:rFonts w:asciiTheme="minorHAnsi" w:hAnsiTheme="minorHAnsi" w:cstheme="minorHAnsi"/>
          <w:b/>
          <w:sz w:val="22"/>
          <w:szCs w:val="22"/>
        </w:rPr>
      </w:pPr>
    </w:p>
    <w:p w14:paraId="44F095A8" w14:textId="77777777" w:rsidR="00783651" w:rsidRDefault="00783651" w:rsidP="00AA7087">
      <w:pPr>
        <w:pStyle w:val="Texto"/>
        <w:spacing w:after="0" w:line="240" w:lineRule="exact"/>
        <w:jc w:val="center"/>
        <w:rPr>
          <w:rFonts w:asciiTheme="minorHAnsi" w:hAnsiTheme="minorHAnsi" w:cstheme="minorHAnsi"/>
          <w:b/>
          <w:sz w:val="22"/>
          <w:szCs w:val="22"/>
        </w:rPr>
      </w:pPr>
    </w:p>
    <w:p w14:paraId="5CAA1B5B" w14:textId="77777777" w:rsidR="00783651" w:rsidRDefault="00783651" w:rsidP="00AA7087">
      <w:pPr>
        <w:pStyle w:val="Texto"/>
        <w:spacing w:after="0" w:line="240" w:lineRule="exact"/>
        <w:jc w:val="center"/>
        <w:rPr>
          <w:rFonts w:asciiTheme="minorHAnsi" w:hAnsiTheme="minorHAnsi" w:cstheme="minorHAnsi"/>
          <w:b/>
          <w:sz w:val="22"/>
          <w:szCs w:val="22"/>
        </w:rPr>
      </w:pPr>
    </w:p>
    <w:p w14:paraId="04E85D49" w14:textId="77777777" w:rsidR="00783651" w:rsidRDefault="00783651" w:rsidP="00AA7087">
      <w:pPr>
        <w:pStyle w:val="Texto"/>
        <w:spacing w:after="0" w:line="240" w:lineRule="exact"/>
        <w:jc w:val="center"/>
        <w:rPr>
          <w:rFonts w:asciiTheme="minorHAnsi" w:hAnsiTheme="minorHAnsi" w:cstheme="minorHAnsi"/>
          <w:b/>
          <w:sz w:val="22"/>
          <w:szCs w:val="22"/>
        </w:rPr>
      </w:pPr>
    </w:p>
    <w:p w14:paraId="614F6A39" w14:textId="77777777" w:rsidR="00783651" w:rsidRDefault="00783651" w:rsidP="00AA7087">
      <w:pPr>
        <w:pStyle w:val="Texto"/>
        <w:spacing w:after="0" w:line="240" w:lineRule="exact"/>
        <w:jc w:val="center"/>
        <w:rPr>
          <w:rFonts w:asciiTheme="minorHAnsi" w:hAnsiTheme="minorHAnsi" w:cstheme="minorHAnsi"/>
          <w:b/>
          <w:sz w:val="22"/>
          <w:szCs w:val="22"/>
        </w:rPr>
      </w:pPr>
    </w:p>
    <w:p w14:paraId="3EAAE918" w14:textId="77777777" w:rsidR="00783651" w:rsidRDefault="00783651" w:rsidP="00AA7087">
      <w:pPr>
        <w:pStyle w:val="Texto"/>
        <w:spacing w:after="0" w:line="240" w:lineRule="exact"/>
        <w:jc w:val="center"/>
        <w:rPr>
          <w:rFonts w:asciiTheme="minorHAnsi" w:hAnsiTheme="minorHAnsi" w:cstheme="minorHAnsi"/>
          <w:b/>
          <w:sz w:val="22"/>
          <w:szCs w:val="22"/>
        </w:rPr>
      </w:pPr>
    </w:p>
    <w:p w14:paraId="3DBD1622" w14:textId="77777777" w:rsidR="00783651" w:rsidRDefault="00783651" w:rsidP="00AA7087">
      <w:pPr>
        <w:pStyle w:val="Texto"/>
        <w:spacing w:after="0" w:line="240" w:lineRule="exact"/>
        <w:jc w:val="center"/>
        <w:rPr>
          <w:rFonts w:asciiTheme="minorHAnsi" w:hAnsiTheme="minorHAnsi" w:cstheme="minorHAnsi"/>
          <w:b/>
          <w:sz w:val="22"/>
          <w:szCs w:val="22"/>
        </w:rPr>
      </w:pPr>
    </w:p>
    <w:p w14:paraId="1A06FD15" w14:textId="77777777" w:rsidR="00783651" w:rsidRDefault="00783651" w:rsidP="00AA7087">
      <w:pPr>
        <w:pStyle w:val="Texto"/>
        <w:spacing w:after="0" w:line="240" w:lineRule="exact"/>
        <w:jc w:val="center"/>
        <w:rPr>
          <w:rFonts w:asciiTheme="minorHAnsi" w:hAnsiTheme="minorHAnsi" w:cstheme="minorHAnsi"/>
          <w:b/>
          <w:sz w:val="22"/>
          <w:szCs w:val="22"/>
        </w:rPr>
      </w:pPr>
    </w:p>
    <w:p w14:paraId="1927C33B" w14:textId="77777777" w:rsidR="00783651" w:rsidRDefault="00783651" w:rsidP="00AA7087">
      <w:pPr>
        <w:pStyle w:val="Texto"/>
        <w:spacing w:after="0" w:line="240" w:lineRule="exact"/>
        <w:jc w:val="center"/>
        <w:rPr>
          <w:rFonts w:asciiTheme="minorHAnsi" w:hAnsiTheme="minorHAnsi" w:cstheme="minorHAnsi"/>
          <w:b/>
          <w:sz w:val="22"/>
          <w:szCs w:val="22"/>
        </w:rPr>
      </w:pPr>
    </w:p>
    <w:p w14:paraId="2579758B" w14:textId="77777777" w:rsidR="00783651" w:rsidRDefault="00783651" w:rsidP="00AA7087">
      <w:pPr>
        <w:pStyle w:val="Texto"/>
        <w:spacing w:after="0" w:line="240" w:lineRule="exact"/>
        <w:jc w:val="center"/>
        <w:rPr>
          <w:rFonts w:asciiTheme="minorHAnsi" w:hAnsiTheme="minorHAnsi" w:cstheme="minorHAnsi"/>
          <w:b/>
          <w:sz w:val="22"/>
          <w:szCs w:val="22"/>
        </w:rPr>
      </w:pPr>
    </w:p>
    <w:p w14:paraId="061E5AD5" w14:textId="77777777" w:rsidR="00155D42" w:rsidRDefault="00155D42" w:rsidP="00AA7087">
      <w:pPr>
        <w:pStyle w:val="Texto"/>
        <w:spacing w:after="0" w:line="240" w:lineRule="exact"/>
        <w:jc w:val="center"/>
        <w:rPr>
          <w:rFonts w:asciiTheme="minorHAnsi" w:hAnsiTheme="minorHAnsi" w:cstheme="minorHAnsi"/>
          <w:b/>
          <w:sz w:val="22"/>
          <w:szCs w:val="22"/>
        </w:rPr>
      </w:pPr>
    </w:p>
    <w:p w14:paraId="7C4469DD" w14:textId="77777777" w:rsidR="00155D42" w:rsidRDefault="00155D42" w:rsidP="00AA7087">
      <w:pPr>
        <w:pStyle w:val="Texto"/>
        <w:spacing w:after="0" w:line="240" w:lineRule="exact"/>
        <w:jc w:val="center"/>
        <w:rPr>
          <w:rFonts w:asciiTheme="minorHAnsi" w:hAnsiTheme="minorHAnsi" w:cstheme="minorHAnsi"/>
          <w:b/>
          <w:sz w:val="22"/>
          <w:szCs w:val="22"/>
        </w:rPr>
      </w:pPr>
    </w:p>
    <w:p w14:paraId="679E505F" w14:textId="77777777" w:rsidR="00155D42" w:rsidRDefault="00155D42" w:rsidP="00AA7087">
      <w:pPr>
        <w:pStyle w:val="Texto"/>
        <w:spacing w:after="0" w:line="240" w:lineRule="exact"/>
        <w:jc w:val="center"/>
        <w:rPr>
          <w:rFonts w:asciiTheme="minorHAnsi" w:hAnsiTheme="minorHAnsi" w:cstheme="minorHAnsi"/>
          <w:b/>
          <w:sz w:val="22"/>
          <w:szCs w:val="22"/>
        </w:rPr>
      </w:pPr>
    </w:p>
    <w:p w14:paraId="3F7E4DEA" w14:textId="77777777" w:rsidR="00155D42" w:rsidRDefault="00155D42" w:rsidP="00AA7087">
      <w:pPr>
        <w:pStyle w:val="Texto"/>
        <w:spacing w:after="0" w:line="240" w:lineRule="exact"/>
        <w:jc w:val="center"/>
        <w:rPr>
          <w:rFonts w:asciiTheme="minorHAnsi" w:hAnsiTheme="minorHAnsi" w:cstheme="minorHAnsi"/>
          <w:b/>
          <w:sz w:val="22"/>
          <w:szCs w:val="22"/>
        </w:rPr>
      </w:pPr>
    </w:p>
    <w:p w14:paraId="6B7FD815" w14:textId="77777777" w:rsidR="00155D42" w:rsidRDefault="00155D42" w:rsidP="00AA7087">
      <w:pPr>
        <w:pStyle w:val="Texto"/>
        <w:spacing w:after="0" w:line="240" w:lineRule="exact"/>
        <w:jc w:val="center"/>
        <w:rPr>
          <w:rFonts w:asciiTheme="minorHAnsi" w:hAnsiTheme="minorHAnsi" w:cstheme="minorHAnsi"/>
          <w:b/>
          <w:sz w:val="22"/>
          <w:szCs w:val="22"/>
        </w:rPr>
      </w:pPr>
    </w:p>
    <w:p w14:paraId="3F9F176F" w14:textId="6ABCFC6A" w:rsidR="00783651" w:rsidRDefault="00783651" w:rsidP="00AA7087">
      <w:pPr>
        <w:pStyle w:val="Texto"/>
        <w:spacing w:after="0" w:line="240" w:lineRule="exact"/>
        <w:jc w:val="center"/>
        <w:rPr>
          <w:rFonts w:asciiTheme="minorHAnsi" w:hAnsiTheme="minorHAnsi" w:cstheme="minorHAnsi"/>
          <w:b/>
          <w:sz w:val="22"/>
          <w:szCs w:val="22"/>
        </w:rPr>
      </w:pPr>
    </w:p>
    <w:p w14:paraId="6F2C6D22" w14:textId="77777777" w:rsidR="00B34B21" w:rsidRDefault="00B34B21" w:rsidP="00AA7087">
      <w:pPr>
        <w:pStyle w:val="Texto"/>
        <w:spacing w:after="0" w:line="240" w:lineRule="exact"/>
        <w:jc w:val="center"/>
        <w:rPr>
          <w:rFonts w:asciiTheme="minorHAnsi" w:hAnsiTheme="minorHAnsi" w:cstheme="minorHAnsi"/>
          <w:b/>
          <w:sz w:val="22"/>
          <w:szCs w:val="22"/>
        </w:rPr>
      </w:pPr>
    </w:p>
    <w:p w14:paraId="3707A167" w14:textId="77777777" w:rsidR="00AA7087" w:rsidRPr="005F45A3" w:rsidRDefault="00D662D8" w:rsidP="00AA7087">
      <w:pPr>
        <w:pStyle w:val="Texto"/>
        <w:spacing w:after="0" w:line="240" w:lineRule="exact"/>
        <w:jc w:val="center"/>
        <w:rPr>
          <w:rFonts w:asciiTheme="minorHAnsi" w:hAnsiTheme="minorHAnsi" w:cstheme="minorHAnsi"/>
          <w:b/>
          <w:sz w:val="22"/>
          <w:szCs w:val="22"/>
        </w:rPr>
      </w:pPr>
      <w:r w:rsidRPr="005F45A3">
        <w:rPr>
          <w:rFonts w:asciiTheme="minorHAnsi" w:hAnsiTheme="minorHAnsi" w:cstheme="minorHAnsi"/>
          <w:b/>
          <w:sz w:val="22"/>
          <w:szCs w:val="22"/>
        </w:rPr>
        <w:t>N</w:t>
      </w:r>
      <w:r w:rsidR="00AA7087" w:rsidRPr="005F45A3">
        <w:rPr>
          <w:rFonts w:asciiTheme="minorHAnsi" w:hAnsiTheme="minorHAnsi" w:cstheme="minorHAnsi"/>
          <w:b/>
          <w:sz w:val="22"/>
          <w:szCs w:val="22"/>
        </w:rPr>
        <w:t>OTAS A LOS ESTADOS FINANCIEROS</w:t>
      </w:r>
    </w:p>
    <w:p w14:paraId="3AC7AD02" w14:textId="77777777" w:rsidR="00AA7087" w:rsidRPr="005F45A3" w:rsidRDefault="00AA7087" w:rsidP="00AA7087">
      <w:pPr>
        <w:tabs>
          <w:tab w:val="left" w:pos="720"/>
        </w:tabs>
        <w:spacing w:after="0" w:line="240" w:lineRule="exact"/>
        <w:ind w:left="432" w:hanging="432"/>
        <w:jc w:val="both"/>
        <w:rPr>
          <w:rFonts w:asciiTheme="minorHAnsi" w:eastAsia="Times New Roman" w:hAnsiTheme="minorHAnsi" w:cstheme="minorHAnsi"/>
          <w:lang w:eastAsia="es-ES"/>
        </w:rPr>
      </w:pPr>
    </w:p>
    <w:p w14:paraId="1944EF3C" w14:textId="77777777" w:rsidR="00AA7087" w:rsidRPr="005F45A3" w:rsidRDefault="00AA7087" w:rsidP="00AA7087">
      <w:pPr>
        <w:spacing w:after="0" w:line="240" w:lineRule="exact"/>
        <w:jc w:val="center"/>
        <w:rPr>
          <w:rFonts w:asciiTheme="minorHAnsi" w:eastAsia="Times New Roman" w:hAnsiTheme="minorHAnsi" w:cstheme="minorHAnsi"/>
          <w:b/>
          <w:lang w:eastAsia="es-ES"/>
        </w:rPr>
      </w:pPr>
    </w:p>
    <w:p w14:paraId="049A8B8B" w14:textId="77777777" w:rsidR="00AA7087" w:rsidRPr="005F45A3" w:rsidRDefault="00AA7087" w:rsidP="00E96120">
      <w:pPr>
        <w:pStyle w:val="Prrafodelista"/>
        <w:numPr>
          <w:ilvl w:val="0"/>
          <w:numId w:val="5"/>
        </w:numPr>
        <w:spacing w:after="0" w:line="240" w:lineRule="exact"/>
        <w:ind w:left="567" w:hanging="283"/>
        <w:jc w:val="center"/>
        <w:rPr>
          <w:rFonts w:asciiTheme="minorHAnsi" w:eastAsia="Times New Roman" w:hAnsiTheme="minorHAnsi" w:cstheme="minorHAnsi"/>
          <w:b/>
          <w:lang w:eastAsia="es-ES"/>
        </w:rPr>
      </w:pPr>
      <w:r w:rsidRPr="005F45A3">
        <w:rPr>
          <w:rFonts w:asciiTheme="minorHAnsi" w:eastAsia="Times New Roman" w:hAnsiTheme="minorHAnsi" w:cstheme="minorHAnsi"/>
          <w:b/>
          <w:lang w:eastAsia="es-ES"/>
        </w:rPr>
        <w:t>Notas de Gestión Administrativa</w:t>
      </w:r>
    </w:p>
    <w:p w14:paraId="37E8168F" w14:textId="77777777" w:rsidR="00AA7087" w:rsidRPr="005F45A3" w:rsidRDefault="00AA7087" w:rsidP="00AA7087">
      <w:pPr>
        <w:pStyle w:val="Prrafodelista"/>
        <w:spacing w:after="0" w:line="240" w:lineRule="exact"/>
        <w:ind w:left="648"/>
        <w:rPr>
          <w:rFonts w:asciiTheme="minorHAnsi" w:eastAsia="Times New Roman" w:hAnsiTheme="minorHAnsi" w:cstheme="minorHAnsi"/>
          <w:b/>
          <w:sz w:val="18"/>
          <w:szCs w:val="18"/>
          <w:lang w:eastAsia="es-ES"/>
        </w:rPr>
      </w:pPr>
    </w:p>
    <w:p w14:paraId="5DB6353A" w14:textId="77777777" w:rsidR="00AA7087" w:rsidRPr="00E850D6" w:rsidRDefault="00AA7087" w:rsidP="00D84B13">
      <w:pPr>
        <w:pStyle w:val="Prrafodelista"/>
        <w:numPr>
          <w:ilvl w:val="0"/>
          <w:numId w:val="1"/>
        </w:numPr>
        <w:spacing w:after="0" w:line="240" w:lineRule="exact"/>
        <w:jc w:val="both"/>
        <w:rPr>
          <w:rFonts w:asciiTheme="minorHAnsi" w:eastAsia="Times New Roman" w:hAnsiTheme="minorHAnsi" w:cstheme="minorHAnsi"/>
          <w:b/>
          <w:sz w:val="20"/>
          <w:szCs w:val="18"/>
          <w:lang w:val="es-ES" w:eastAsia="es-ES"/>
        </w:rPr>
      </w:pPr>
      <w:r w:rsidRPr="00E850D6">
        <w:rPr>
          <w:rFonts w:asciiTheme="minorHAnsi" w:eastAsia="Times New Roman" w:hAnsiTheme="minorHAnsi" w:cstheme="minorHAnsi"/>
          <w:b/>
          <w:sz w:val="20"/>
          <w:szCs w:val="18"/>
          <w:lang w:eastAsia="es-ES"/>
        </w:rPr>
        <w:t>Introducción</w:t>
      </w:r>
    </w:p>
    <w:p w14:paraId="3224E4A3" w14:textId="77777777" w:rsidR="00AA7087" w:rsidRPr="00E850D6" w:rsidRDefault="00AA7087" w:rsidP="00AA7087">
      <w:pPr>
        <w:pStyle w:val="Prrafodelista"/>
        <w:spacing w:after="0" w:line="240" w:lineRule="exact"/>
        <w:ind w:left="360"/>
        <w:jc w:val="both"/>
        <w:rPr>
          <w:rFonts w:asciiTheme="minorHAnsi" w:eastAsia="Times New Roman" w:hAnsiTheme="minorHAnsi" w:cstheme="minorHAnsi"/>
          <w:b/>
          <w:sz w:val="20"/>
          <w:szCs w:val="20"/>
          <w:lang w:val="es-ES" w:eastAsia="es-ES"/>
        </w:rPr>
      </w:pPr>
    </w:p>
    <w:p w14:paraId="4C6410A3" w14:textId="26E71A83" w:rsidR="00F25306" w:rsidRPr="008A1FFC" w:rsidRDefault="00F25306" w:rsidP="00E96120">
      <w:pPr>
        <w:pStyle w:val="Prrafodelista"/>
        <w:shd w:val="clear" w:color="auto" w:fill="FFFFFF" w:themeFill="background1"/>
        <w:spacing w:after="0" w:line="240" w:lineRule="exact"/>
        <w:ind w:left="0"/>
        <w:jc w:val="both"/>
        <w:rPr>
          <w:rFonts w:asciiTheme="minorHAnsi" w:eastAsia="Times New Roman" w:hAnsiTheme="minorHAnsi" w:cstheme="minorHAnsi"/>
          <w:sz w:val="18"/>
          <w:szCs w:val="18"/>
          <w:lang w:val="es-ES" w:eastAsia="es-ES"/>
        </w:rPr>
      </w:pPr>
      <w:r w:rsidRPr="008A1FFC">
        <w:rPr>
          <w:rFonts w:asciiTheme="minorHAnsi" w:eastAsia="Times New Roman" w:hAnsiTheme="minorHAnsi" w:cstheme="minorHAnsi"/>
          <w:sz w:val="18"/>
          <w:szCs w:val="18"/>
          <w:lang w:val="es-ES" w:eastAsia="es-ES"/>
        </w:rPr>
        <w:t>En cumplimiento a la Ley General de Contabilidad Gubernamental se presenta la Información Contable,    Presupuestal y Programática del Poder Ejecutivo del Estado de Tamaulipas bajo la Normatividad emitida por el Consejo Nacional del Armonización Contable y la Ley del Gasto Público Estatal, apegándose a</w:t>
      </w:r>
      <w:r w:rsidR="007440C9" w:rsidRPr="008A1FFC">
        <w:rPr>
          <w:rFonts w:asciiTheme="minorHAnsi" w:eastAsia="Times New Roman" w:hAnsiTheme="minorHAnsi" w:cstheme="minorHAnsi"/>
          <w:sz w:val="18"/>
          <w:szCs w:val="18"/>
          <w:lang w:val="es-ES" w:eastAsia="es-ES"/>
        </w:rPr>
        <w:t xml:space="preserve"> la Ley de Ingresos para el 2022</w:t>
      </w:r>
      <w:r w:rsidRPr="008A1FFC">
        <w:rPr>
          <w:rFonts w:asciiTheme="minorHAnsi" w:eastAsia="Times New Roman" w:hAnsiTheme="minorHAnsi" w:cstheme="minorHAnsi"/>
          <w:sz w:val="18"/>
          <w:szCs w:val="18"/>
          <w:lang w:val="es-ES" w:eastAsia="es-ES"/>
        </w:rPr>
        <w:t xml:space="preserve">, aprobada mediante el Decreto </w:t>
      </w:r>
      <w:r w:rsidR="007440C9" w:rsidRPr="008A1FFC">
        <w:rPr>
          <w:rFonts w:asciiTheme="minorHAnsi" w:eastAsia="Times New Roman" w:hAnsiTheme="minorHAnsi" w:cstheme="minorHAnsi"/>
          <w:sz w:val="18"/>
          <w:szCs w:val="18"/>
          <w:lang w:val="es-ES" w:eastAsia="es-ES"/>
        </w:rPr>
        <w:t>No.65-105</w:t>
      </w:r>
      <w:r w:rsidRPr="008A1FFC">
        <w:rPr>
          <w:rFonts w:asciiTheme="minorHAnsi" w:eastAsia="Times New Roman" w:hAnsiTheme="minorHAnsi" w:cstheme="minorHAnsi"/>
          <w:sz w:val="18"/>
          <w:szCs w:val="18"/>
          <w:lang w:val="es-ES" w:eastAsia="es-ES"/>
        </w:rPr>
        <w:t>,</w:t>
      </w:r>
      <w:r w:rsidR="007440C9" w:rsidRPr="008A1FFC">
        <w:rPr>
          <w:rFonts w:asciiTheme="minorHAnsi" w:eastAsia="Times New Roman" w:hAnsiTheme="minorHAnsi" w:cstheme="minorHAnsi"/>
          <w:sz w:val="18"/>
          <w:szCs w:val="18"/>
          <w:lang w:val="es-ES" w:eastAsia="es-ES"/>
        </w:rPr>
        <w:t xml:space="preserve"> la aplicación provisional del Presupuesto de Egresos del Estado para el Ejercicio 2021 ambos</w:t>
      </w:r>
      <w:r w:rsidRPr="008A1FFC">
        <w:rPr>
          <w:rFonts w:asciiTheme="minorHAnsi" w:eastAsia="Times New Roman" w:hAnsiTheme="minorHAnsi" w:cstheme="minorHAnsi"/>
          <w:sz w:val="18"/>
          <w:szCs w:val="18"/>
          <w:lang w:val="es-ES" w:eastAsia="es-ES"/>
        </w:rPr>
        <w:t xml:space="preserve"> </w:t>
      </w:r>
      <w:r w:rsidR="007440C9" w:rsidRPr="008A1FFC">
        <w:rPr>
          <w:rFonts w:asciiTheme="minorHAnsi" w:eastAsia="Times New Roman" w:hAnsiTheme="minorHAnsi" w:cstheme="minorHAnsi"/>
          <w:sz w:val="18"/>
          <w:szCs w:val="18"/>
          <w:lang w:val="es-ES" w:eastAsia="es-ES"/>
        </w:rPr>
        <w:t>publicados en el Periódico Oficial del Estado el día 31 el Diciembre de 2021</w:t>
      </w:r>
      <w:r w:rsidR="00581340" w:rsidRPr="008A1FFC">
        <w:rPr>
          <w:rFonts w:asciiTheme="minorHAnsi" w:eastAsia="Times New Roman" w:hAnsiTheme="minorHAnsi" w:cstheme="minorHAnsi"/>
          <w:sz w:val="18"/>
          <w:szCs w:val="18"/>
          <w:lang w:val="es-ES" w:eastAsia="es-ES"/>
        </w:rPr>
        <w:t xml:space="preserve"> </w:t>
      </w:r>
      <w:r w:rsidRPr="008A1FFC">
        <w:rPr>
          <w:rFonts w:asciiTheme="minorHAnsi" w:eastAsia="Times New Roman" w:hAnsiTheme="minorHAnsi" w:cstheme="minorHAnsi"/>
          <w:sz w:val="18"/>
          <w:szCs w:val="18"/>
          <w:lang w:val="es-ES" w:eastAsia="es-ES"/>
        </w:rPr>
        <w:t xml:space="preserve">y al Presupuesto de Egresos </w:t>
      </w:r>
      <w:r w:rsidR="007440C9" w:rsidRPr="008A1FFC">
        <w:rPr>
          <w:rFonts w:asciiTheme="minorHAnsi" w:eastAsia="Times New Roman" w:hAnsiTheme="minorHAnsi" w:cstheme="minorHAnsi"/>
          <w:sz w:val="18"/>
          <w:szCs w:val="18"/>
          <w:lang w:val="es-ES" w:eastAsia="es-ES"/>
        </w:rPr>
        <w:t xml:space="preserve">definitivo promulgado en el Decreto Gubernamental </w:t>
      </w:r>
      <w:r w:rsidRPr="008A1FFC">
        <w:rPr>
          <w:rFonts w:asciiTheme="minorHAnsi" w:eastAsia="Times New Roman" w:hAnsiTheme="minorHAnsi" w:cstheme="minorHAnsi"/>
          <w:sz w:val="18"/>
          <w:szCs w:val="18"/>
          <w:lang w:val="es-ES" w:eastAsia="es-ES"/>
        </w:rPr>
        <w:t>para el Ejercicio Fiscal 202</w:t>
      </w:r>
      <w:r w:rsidR="007440C9" w:rsidRPr="008A1FFC">
        <w:rPr>
          <w:rFonts w:asciiTheme="minorHAnsi" w:eastAsia="Times New Roman" w:hAnsiTheme="minorHAnsi" w:cstheme="minorHAnsi"/>
          <w:sz w:val="18"/>
          <w:szCs w:val="18"/>
          <w:lang w:val="es-ES" w:eastAsia="es-ES"/>
        </w:rPr>
        <w:t>2</w:t>
      </w:r>
      <w:r w:rsidRPr="008A1FFC">
        <w:rPr>
          <w:rFonts w:asciiTheme="minorHAnsi" w:eastAsia="Times New Roman" w:hAnsiTheme="minorHAnsi" w:cstheme="minorHAnsi"/>
          <w:sz w:val="18"/>
          <w:szCs w:val="18"/>
          <w:lang w:val="es-ES" w:eastAsia="es-ES"/>
        </w:rPr>
        <w:t xml:space="preserve">, </w:t>
      </w:r>
      <w:r w:rsidR="007440C9" w:rsidRPr="008A1FFC">
        <w:rPr>
          <w:rFonts w:asciiTheme="minorHAnsi" w:eastAsia="Times New Roman" w:hAnsiTheme="minorHAnsi" w:cstheme="minorHAnsi"/>
          <w:sz w:val="18"/>
          <w:szCs w:val="18"/>
          <w:lang w:val="es-ES" w:eastAsia="es-ES"/>
        </w:rPr>
        <w:t>publicado</w:t>
      </w:r>
      <w:r w:rsidRPr="008A1FFC">
        <w:rPr>
          <w:rFonts w:asciiTheme="minorHAnsi" w:eastAsia="Times New Roman" w:hAnsiTheme="minorHAnsi" w:cstheme="minorHAnsi"/>
          <w:sz w:val="18"/>
          <w:szCs w:val="18"/>
          <w:lang w:val="es-ES" w:eastAsia="es-ES"/>
        </w:rPr>
        <w:t xml:space="preserve"> en el Periódico Oficial del Estado el </w:t>
      </w:r>
      <w:r w:rsidR="007440C9" w:rsidRPr="008A1FFC">
        <w:rPr>
          <w:rFonts w:asciiTheme="minorHAnsi" w:eastAsia="Times New Roman" w:hAnsiTheme="minorHAnsi" w:cstheme="minorHAnsi"/>
          <w:sz w:val="18"/>
          <w:szCs w:val="18"/>
          <w:lang w:val="es-ES" w:eastAsia="es-ES"/>
        </w:rPr>
        <w:t>25 de Enero de 2022</w:t>
      </w:r>
      <w:r w:rsidRPr="008A1FFC">
        <w:rPr>
          <w:rFonts w:asciiTheme="minorHAnsi" w:eastAsia="Times New Roman" w:hAnsiTheme="minorHAnsi" w:cstheme="minorHAnsi"/>
          <w:sz w:val="18"/>
          <w:szCs w:val="18"/>
          <w:lang w:val="es-ES" w:eastAsia="es-ES"/>
        </w:rPr>
        <w:t>.</w:t>
      </w:r>
    </w:p>
    <w:p w14:paraId="4CF45D1B" w14:textId="77777777" w:rsidR="00B20E12" w:rsidRPr="00E850D6" w:rsidRDefault="00B20E12" w:rsidP="00E96120">
      <w:pPr>
        <w:pStyle w:val="Prrafodelista"/>
        <w:shd w:val="clear" w:color="auto" w:fill="FFFFFF" w:themeFill="background1"/>
        <w:spacing w:after="0" w:line="240" w:lineRule="exact"/>
        <w:ind w:left="0"/>
        <w:jc w:val="both"/>
        <w:rPr>
          <w:rFonts w:asciiTheme="minorHAnsi" w:eastAsia="Times New Roman" w:hAnsiTheme="minorHAnsi" w:cstheme="minorHAnsi"/>
          <w:sz w:val="20"/>
          <w:szCs w:val="20"/>
          <w:lang w:val="es-ES" w:eastAsia="es-ES"/>
        </w:rPr>
      </w:pPr>
    </w:p>
    <w:p w14:paraId="47B61D06" w14:textId="0132F025" w:rsidR="00E92EC1" w:rsidRPr="00B34B21" w:rsidRDefault="00E92EC1" w:rsidP="00E92EC1">
      <w:pPr>
        <w:pStyle w:val="NormalWeb"/>
        <w:spacing w:before="0" w:beforeAutospacing="0" w:after="0" w:afterAutospacing="0"/>
        <w:jc w:val="both"/>
        <w:rPr>
          <w:rFonts w:asciiTheme="minorHAnsi" w:hAnsiTheme="minorHAnsi" w:cstheme="minorHAnsi"/>
          <w:b/>
          <w:sz w:val="20"/>
          <w:szCs w:val="18"/>
        </w:rPr>
      </w:pPr>
      <w:r w:rsidRPr="00B34B21">
        <w:rPr>
          <w:rFonts w:asciiTheme="minorHAnsi" w:hAnsiTheme="minorHAnsi" w:cstheme="minorHAnsi"/>
          <w:b/>
          <w:sz w:val="20"/>
          <w:szCs w:val="18"/>
        </w:rPr>
        <w:t xml:space="preserve">2.- Panorama </w:t>
      </w:r>
      <w:r w:rsidR="00901A86" w:rsidRPr="00B34B21">
        <w:rPr>
          <w:rFonts w:asciiTheme="minorHAnsi" w:hAnsiTheme="minorHAnsi" w:cstheme="minorHAnsi"/>
          <w:b/>
          <w:sz w:val="20"/>
          <w:szCs w:val="18"/>
        </w:rPr>
        <w:t>Económico</w:t>
      </w:r>
      <w:r w:rsidRPr="00B34B21">
        <w:rPr>
          <w:rFonts w:asciiTheme="minorHAnsi" w:hAnsiTheme="minorHAnsi" w:cstheme="minorHAnsi"/>
          <w:b/>
          <w:sz w:val="20"/>
          <w:szCs w:val="18"/>
        </w:rPr>
        <w:t xml:space="preserve"> y Financiero al cierre del ejercicio 2022.</w:t>
      </w:r>
    </w:p>
    <w:p w14:paraId="30843FBB" w14:textId="77777777" w:rsidR="00E92EC1" w:rsidRPr="00E850D6" w:rsidRDefault="00E92EC1" w:rsidP="00E92EC1">
      <w:pPr>
        <w:pStyle w:val="NormalWeb"/>
        <w:spacing w:before="0" w:beforeAutospacing="0" w:after="0" w:afterAutospacing="0"/>
        <w:jc w:val="both"/>
        <w:rPr>
          <w:rFonts w:asciiTheme="minorHAnsi" w:hAnsiTheme="minorHAnsi" w:cstheme="minorHAnsi"/>
          <w:b/>
          <w:sz w:val="18"/>
          <w:szCs w:val="18"/>
        </w:rPr>
      </w:pPr>
    </w:p>
    <w:p w14:paraId="5C8DA686" w14:textId="432FF3AA" w:rsidR="00E92EC1" w:rsidRPr="00B34B21" w:rsidRDefault="00E92EC1" w:rsidP="00E92EC1">
      <w:pPr>
        <w:pStyle w:val="NormalWeb"/>
        <w:spacing w:before="0" w:beforeAutospacing="0" w:after="0" w:afterAutospacing="0"/>
        <w:jc w:val="both"/>
        <w:rPr>
          <w:rFonts w:asciiTheme="minorHAnsi" w:hAnsiTheme="minorHAnsi" w:cstheme="minorHAnsi"/>
          <w:b/>
          <w:sz w:val="20"/>
          <w:szCs w:val="18"/>
        </w:rPr>
      </w:pPr>
      <w:r w:rsidRPr="00B34B21">
        <w:rPr>
          <w:rFonts w:asciiTheme="minorHAnsi" w:hAnsiTheme="minorHAnsi" w:cstheme="minorHAnsi"/>
          <w:b/>
          <w:sz w:val="20"/>
          <w:szCs w:val="18"/>
        </w:rPr>
        <w:t xml:space="preserve">2.1.1.- Panorama </w:t>
      </w:r>
      <w:r w:rsidR="00901A86" w:rsidRPr="00B34B21">
        <w:rPr>
          <w:rFonts w:asciiTheme="minorHAnsi" w:hAnsiTheme="minorHAnsi" w:cstheme="minorHAnsi"/>
          <w:b/>
          <w:sz w:val="20"/>
          <w:szCs w:val="18"/>
        </w:rPr>
        <w:t>Económico</w:t>
      </w:r>
      <w:r w:rsidRPr="00B34B21">
        <w:rPr>
          <w:rFonts w:asciiTheme="minorHAnsi" w:hAnsiTheme="minorHAnsi" w:cstheme="minorHAnsi"/>
          <w:b/>
          <w:sz w:val="20"/>
          <w:szCs w:val="18"/>
        </w:rPr>
        <w:t xml:space="preserve"> Internacional.</w:t>
      </w:r>
    </w:p>
    <w:p w14:paraId="413A485C" w14:textId="77777777" w:rsidR="00E92EC1" w:rsidRPr="008A1FFC" w:rsidRDefault="00E92EC1" w:rsidP="00E92EC1">
      <w:pPr>
        <w:pStyle w:val="NormalWeb"/>
        <w:jc w:val="both"/>
        <w:rPr>
          <w:rFonts w:asciiTheme="minorHAnsi" w:hAnsiTheme="minorHAnsi" w:cstheme="minorHAnsi"/>
          <w:sz w:val="18"/>
          <w:szCs w:val="18"/>
          <w:lang w:val="es-ES" w:eastAsia="es-ES"/>
        </w:rPr>
      </w:pPr>
      <w:r w:rsidRPr="008A1FFC">
        <w:rPr>
          <w:rFonts w:asciiTheme="minorHAnsi" w:hAnsiTheme="minorHAnsi" w:cstheme="minorHAnsi"/>
          <w:sz w:val="18"/>
          <w:szCs w:val="18"/>
          <w:lang w:val="es-ES" w:eastAsia="es-ES"/>
        </w:rPr>
        <w:t>El 2022 puede ser recordado como uno de los años más complejos de la historia contemporánea, donde la recuperación tras la pandemia de COVID-19 y el conflicto entre Rusia y Ucrania complejizaron el panorama económico mundial.</w:t>
      </w:r>
    </w:p>
    <w:p w14:paraId="73F6B78D" w14:textId="77777777" w:rsidR="00E92EC1" w:rsidRPr="008A1FFC" w:rsidRDefault="00E92EC1" w:rsidP="00E92EC1">
      <w:pPr>
        <w:pStyle w:val="NormalWeb"/>
        <w:jc w:val="both"/>
        <w:rPr>
          <w:rFonts w:asciiTheme="minorHAnsi" w:hAnsiTheme="minorHAnsi" w:cstheme="minorHAnsi"/>
          <w:sz w:val="18"/>
          <w:szCs w:val="18"/>
          <w:lang w:val="es-ES" w:eastAsia="es-ES"/>
        </w:rPr>
      </w:pPr>
      <w:r w:rsidRPr="008A1FFC">
        <w:rPr>
          <w:rFonts w:asciiTheme="minorHAnsi" w:hAnsiTheme="minorHAnsi" w:cstheme="minorHAnsi"/>
          <w:sz w:val="18"/>
          <w:szCs w:val="18"/>
          <w:lang w:val="es-ES" w:eastAsia="es-ES"/>
        </w:rPr>
        <w:t>La inflación, el encarecimiento de combustibles y alimentos y las consecuencias económicas de las sanciones impuestas por la Unión Europea y Estados Unidos contra Rusia, sin embargo, no impidieron a las divisas de tres países latinoamericanos aproximarse al cierre de 2022 con un escenario en números positivos.</w:t>
      </w:r>
    </w:p>
    <w:p w14:paraId="5AEC9D06" w14:textId="77777777" w:rsidR="00E92EC1" w:rsidRPr="008A1FFC" w:rsidRDefault="00E92EC1" w:rsidP="00E92EC1">
      <w:pPr>
        <w:pStyle w:val="NormalWeb"/>
        <w:jc w:val="both"/>
        <w:rPr>
          <w:rFonts w:asciiTheme="minorHAnsi" w:hAnsiTheme="minorHAnsi" w:cstheme="minorHAnsi"/>
          <w:sz w:val="18"/>
          <w:szCs w:val="18"/>
          <w:lang w:val="es-ES" w:eastAsia="es-ES"/>
        </w:rPr>
      </w:pPr>
      <w:r w:rsidRPr="008A1FFC">
        <w:rPr>
          <w:rFonts w:asciiTheme="minorHAnsi" w:hAnsiTheme="minorHAnsi" w:cstheme="minorHAnsi"/>
          <w:sz w:val="18"/>
          <w:szCs w:val="18"/>
          <w:lang w:val="es-ES" w:eastAsia="es-ES"/>
        </w:rPr>
        <w:t>Las monedas de Uruguay, Brasil y México lograron una apreciación frente al dólar estadounidense de 8,9, 5,2 y 2,2%, respectivamente, de acuerdo con un análisis elaborado por el sitio especializado en economía Bloomberg.</w:t>
      </w:r>
    </w:p>
    <w:p w14:paraId="31A10674" w14:textId="14BEBEFA" w:rsidR="00E92EC1" w:rsidRPr="008A1FFC" w:rsidRDefault="00E92EC1" w:rsidP="00E92EC1">
      <w:pPr>
        <w:pStyle w:val="NormalWeb"/>
        <w:spacing w:before="0" w:beforeAutospacing="0" w:after="0" w:afterAutospacing="0"/>
        <w:jc w:val="both"/>
        <w:rPr>
          <w:rFonts w:asciiTheme="minorHAnsi" w:hAnsiTheme="minorHAnsi" w:cstheme="minorHAnsi"/>
          <w:sz w:val="18"/>
          <w:szCs w:val="18"/>
          <w:lang w:val="es-ES" w:eastAsia="es-ES"/>
        </w:rPr>
      </w:pPr>
      <w:r w:rsidRPr="008A1FFC">
        <w:rPr>
          <w:rFonts w:asciiTheme="minorHAnsi" w:hAnsiTheme="minorHAnsi" w:cstheme="minorHAnsi"/>
          <w:sz w:val="18"/>
          <w:szCs w:val="18"/>
          <w:lang w:val="es-ES" w:eastAsia="es-ES"/>
        </w:rPr>
        <w:t>Con una población de 3,4 millones de habitantes, según cifras del Banco Mundial, la realidad social que ha permitido la economía uruguaya es de estabilidad, cobertura de derechos sociales y bienestar generalizado, una dinámica y complejidad muy distintas a las de Brasil y México, los países más poblados de América Latina, en orden descendente.</w:t>
      </w:r>
    </w:p>
    <w:p w14:paraId="74B14C17" w14:textId="77777777" w:rsidR="00291DC2" w:rsidRPr="008A1FFC" w:rsidRDefault="00291DC2" w:rsidP="00E92EC1">
      <w:pPr>
        <w:pStyle w:val="NormalWeb"/>
        <w:spacing w:before="0" w:beforeAutospacing="0" w:after="0" w:afterAutospacing="0"/>
        <w:jc w:val="both"/>
        <w:rPr>
          <w:rFonts w:asciiTheme="minorHAnsi" w:hAnsiTheme="minorHAnsi" w:cstheme="minorHAnsi"/>
          <w:sz w:val="18"/>
          <w:szCs w:val="18"/>
          <w:lang w:val="es-ES" w:eastAsia="es-ES"/>
        </w:rPr>
      </w:pPr>
    </w:p>
    <w:p w14:paraId="42E2E9D7" w14:textId="332BB741" w:rsidR="00E92EC1" w:rsidRPr="008A1FFC" w:rsidRDefault="00E92EC1" w:rsidP="00E92EC1">
      <w:pPr>
        <w:jc w:val="both"/>
        <w:rPr>
          <w:rFonts w:asciiTheme="minorHAnsi" w:eastAsia="Times New Roman" w:hAnsiTheme="minorHAnsi" w:cstheme="minorHAnsi"/>
          <w:sz w:val="18"/>
          <w:szCs w:val="18"/>
          <w:lang w:val="es-ES" w:eastAsia="es-ES"/>
        </w:rPr>
      </w:pPr>
      <w:r w:rsidRPr="008A1FFC">
        <w:rPr>
          <w:rFonts w:asciiTheme="minorHAnsi" w:eastAsia="Times New Roman" w:hAnsiTheme="minorHAnsi" w:cstheme="minorHAnsi"/>
          <w:sz w:val="18"/>
          <w:szCs w:val="18"/>
          <w:lang w:val="es-ES" w:eastAsia="es-ES"/>
        </w:rPr>
        <w:t>Sin embargo, estas dos últimas naciones latinoamericanas son las potencias económicas más fortalecidas de la región latinoamericana, además de tener actividades productivas industrializadas y fuertemente integradas en relaciones comerciales con las dos principales fuerzas económicas del planeta: Estados Unidos y China.</w:t>
      </w:r>
    </w:p>
    <w:p w14:paraId="0DB42309" w14:textId="32D86872" w:rsidR="00E92EC1" w:rsidRPr="008A1FFC" w:rsidRDefault="00E92EC1" w:rsidP="00E92EC1">
      <w:pPr>
        <w:jc w:val="both"/>
        <w:rPr>
          <w:rFonts w:asciiTheme="minorHAnsi" w:eastAsia="Times New Roman" w:hAnsiTheme="minorHAnsi" w:cstheme="minorHAnsi"/>
          <w:sz w:val="18"/>
          <w:szCs w:val="18"/>
          <w:lang w:val="es-ES" w:eastAsia="es-ES"/>
        </w:rPr>
      </w:pPr>
      <w:r w:rsidRPr="008A1FFC">
        <w:rPr>
          <w:rFonts w:asciiTheme="minorHAnsi" w:eastAsia="Times New Roman" w:hAnsiTheme="minorHAnsi" w:cstheme="minorHAnsi"/>
          <w:sz w:val="18"/>
          <w:szCs w:val="18"/>
          <w:lang w:val="es-ES" w:eastAsia="es-ES"/>
        </w:rPr>
        <w:t>La economía mundial se enfrenta a importantes desafíos, el crecimiento ha perdido impulso, la elevada inflación se ha extendido por todos los países y productos, y está resultando persistente. Los riesgos están sesgados a la baja. La escasez de suministro de energía podría provocar un mayor aumento de los precios. Las subidas de las tasas de interés, necesarias para frenar la inflación, aumentan las vulnerabilidades financieras. La guerra de Rusia en Ucrania incrementa los riesgos de endeudamiento en los países de bajos ingresos y la inseguridad alimentaria.</w:t>
      </w:r>
    </w:p>
    <w:p w14:paraId="52B0CCE3" w14:textId="77777777" w:rsidR="00E92EC1" w:rsidRPr="008A1FFC" w:rsidRDefault="00E92EC1" w:rsidP="00E92EC1">
      <w:pPr>
        <w:pStyle w:val="NormalWeb"/>
        <w:spacing w:before="0" w:beforeAutospacing="0" w:after="150" w:afterAutospacing="0"/>
        <w:jc w:val="both"/>
        <w:rPr>
          <w:rFonts w:asciiTheme="minorHAnsi" w:hAnsiTheme="minorHAnsi" w:cstheme="minorHAnsi"/>
          <w:sz w:val="18"/>
          <w:szCs w:val="18"/>
          <w:lang w:val="es-ES" w:eastAsia="es-ES"/>
        </w:rPr>
      </w:pPr>
      <w:r w:rsidRPr="008A1FFC">
        <w:rPr>
          <w:rFonts w:asciiTheme="minorHAnsi" w:hAnsiTheme="minorHAnsi" w:cstheme="minorHAnsi"/>
          <w:sz w:val="18"/>
          <w:szCs w:val="18"/>
          <w:lang w:val="es-ES" w:eastAsia="es-ES"/>
        </w:rPr>
        <w:t>La guerra de agresión de Rusia contra Ucrania ha provocado una enorme conmoción en los precios de la energía que no se veía desde la década de 1970.</w:t>
      </w:r>
    </w:p>
    <w:p w14:paraId="63B0F847" w14:textId="77777777" w:rsidR="00E92EC1" w:rsidRPr="008A1FFC" w:rsidRDefault="00E92EC1" w:rsidP="00E92EC1">
      <w:pPr>
        <w:pStyle w:val="NormalWeb"/>
        <w:spacing w:before="0" w:beforeAutospacing="0" w:after="150" w:afterAutospacing="0"/>
        <w:jc w:val="both"/>
        <w:rPr>
          <w:rFonts w:asciiTheme="minorHAnsi" w:hAnsiTheme="minorHAnsi" w:cstheme="minorHAnsi"/>
          <w:sz w:val="18"/>
          <w:szCs w:val="18"/>
          <w:lang w:val="es-ES" w:eastAsia="es-ES"/>
        </w:rPr>
      </w:pPr>
      <w:r w:rsidRPr="008A1FFC">
        <w:rPr>
          <w:rFonts w:asciiTheme="minorHAnsi" w:hAnsiTheme="minorHAnsi" w:cstheme="minorHAnsi"/>
          <w:sz w:val="18"/>
          <w:szCs w:val="18"/>
          <w:lang w:val="es-ES" w:eastAsia="es-ES"/>
        </w:rPr>
        <w:t>El aumento de los precios de la energía lastra con fuerza la economía mundial, lo que se agravará si los niveles de gas europeo almacenados son insuficientes. Dicho escenario podría imponer un racionamiento en Europa y perjudicar también al resto de países, a medida que se disparan los precios del gas en todo el mundo.</w:t>
      </w:r>
    </w:p>
    <w:p w14:paraId="1731B781" w14:textId="549D8F9F" w:rsidR="00E92EC1" w:rsidRDefault="00E92EC1" w:rsidP="00E92EC1">
      <w:pPr>
        <w:pStyle w:val="NormalWeb"/>
        <w:spacing w:before="0" w:beforeAutospacing="0" w:after="150" w:afterAutospacing="0"/>
        <w:jc w:val="both"/>
        <w:rPr>
          <w:rFonts w:asciiTheme="minorHAnsi" w:hAnsiTheme="minorHAnsi" w:cstheme="minorHAnsi"/>
          <w:sz w:val="18"/>
          <w:szCs w:val="18"/>
          <w:lang w:val="es-ES" w:eastAsia="es-ES"/>
        </w:rPr>
      </w:pPr>
      <w:r w:rsidRPr="008A1FFC">
        <w:rPr>
          <w:rFonts w:asciiTheme="minorHAnsi" w:hAnsiTheme="minorHAnsi" w:cstheme="minorHAnsi"/>
          <w:sz w:val="18"/>
          <w:szCs w:val="18"/>
          <w:lang w:val="es-ES" w:eastAsia="es-ES"/>
        </w:rPr>
        <w:t>Esto generaría un crecimiento menor y un incremento de los precios en Europa y en el resto del mundo</w:t>
      </w:r>
      <w:r w:rsidR="00291DC2" w:rsidRPr="008A1FFC">
        <w:rPr>
          <w:rFonts w:asciiTheme="minorHAnsi" w:hAnsiTheme="minorHAnsi" w:cstheme="minorHAnsi"/>
          <w:sz w:val="18"/>
          <w:szCs w:val="18"/>
          <w:lang w:val="es-ES" w:eastAsia="es-ES"/>
        </w:rPr>
        <w:t>.</w:t>
      </w:r>
    </w:p>
    <w:p w14:paraId="3B9B9C68" w14:textId="2E03BDBC" w:rsidR="008A1FFC" w:rsidRDefault="008A1FFC" w:rsidP="00E92EC1">
      <w:pPr>
        <w:pStyle w:val="NormalWeb"/>
        <w:spacing w:before="0" w:beforeAutospacing="0" w:after="150" w:afterAutospacing="0"/>
        <w:jc w:val="both"/>
        <w:rPr>
          <w:rFonts w:asciiTheme="minorHAnsi" w:hAnsiTheme="minorHAnsi" w:cstheme="minorHAnsi"/>
          <w:sz w:val="18"/>
          <w:szCs w:val="18"/>
          <w:lang w:val="es-ES" w:eastAsia="es-ES"/>
        </w:rPr>
      </w:pPr>
    </w:p>
    <w:p w14:paraId="6092A2EC" w14:textId="77777777" w:rsidR="008A1FFC" w:rsidRPr="00192CDA" w:rsidRDefault="008A1FFC" w:rsidP="00E92EC1">
      <w:pPr>
        <w:pStyle w:val="NormalWeb"/>
        <w:spacing w:before="0" w:beforeAutospacing="0" w:after="150" w:afterAutospacing="0"/>
        <w:jc w:val="both"/>
        <w:rPr>
          <w:rFonts w:asciiTheme="minorHAnsi" w:hAnsiTheme="minorHAnsi" w:cstheme="minorHAnsi"/>
          <w:sz w:val="20"/>
          <w:szCs w:val="20"/>
          <w:lang w:val="es-ES" w:eastAsia="es-ES"/>
        </w:rPr>
      </w:pPr>
    </w:p>
    <w:p w14:paraId="69597F11" w14:textId="77777777" w:rsidR="00E92EC1" w:rsidRPr="00676CED" w:rsidRDefault="00E92EC1" w:rsidP="00E92EC1">
      <w:pPr>
        <w:jc w:val="both"/>
        <w:rPr>
          <w:rFonts w:asciiTheme="minorHAnsi" w:hAnsiTheme="minorHAnsi" w:cstheme="minorHAnsi"/>
        </w:rPr>
      </w:pPr>
      <w:r w:rsidRPr="00676CED">
        <w:rPr>
          <w:rFonts w:asciiTheme="minorHAnsi" w:hAnsiTheme="minorHAnsi" w:cstheme="minorHAnsi"/>
          <w:noProof/>
          <w:lang w:eastAsia="es-MX"/>
        </w:rPr>
        <w:drawing>
          <wp:inline distT="0" distB="0" distL="0" distR="0" wp14:anchorId="28AB8C4E" wp14:editId="58325B16">
            <wp:extent cx="5610860" cy="2779885"/>
            <wp:effectExtent l="0" t="0" r="254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a:extLst>
                        <a:ext uri="{28A0092B-C50C-407E-A947-70E740481C1C}">
                          <a14:useLocalDpi xmlns:a14="http://schemas.microsoft.com/office/drawing/2010/main" val="0"/>
                        </a:ext>
                      </a:extLst>
                    </a:blip>
                    <a:srcRect t="6238" b="5438"/>
                    <a:stretch/>
                  </pic:blipFill>
                  <pic:spPr bwMode="auto">
                    <a:xfrm>
                      <a:off x="0" y="0"/>
                      <a:ext cx="5764855" cy="2856181"/>
                    </a:xfrm>
                    <a:prstGeom prst="rect">
                      <a:avLst/>
                    </a:prstGeom>
                    <a:ln>
                      <a:noFill/>
                    </a:ln>
                    <a:extLst>
                      <a:ext uri="{53640926-AAD7-44D8-BBD7-CCE9431645EC}">
                        <a14:shadowObscured xmlns:a14="http://schemas.microsoft.com/office/drawing/2010/main"/>
                      </a:ext>
                    </a:extLst>
                  </pic:spPr>
                </pic:pic>
              </a:graphicData>
            </a:graphic>
          </wp:inline>
        </w:drawing>
      </w:r>
    </w:p>
    <w:p w14:paraId="296C99A7" w14:textId="77777777" w:rsidR="00E92EC1" w:rsidRPr="00676CED" w:rsidRDefault="00E92EC1" w:rsidP="00E92EC1">
      <w:pPr>
        <w:jc w:val="both"/>
        <w:rPr>
          <w:rFonts w:asciiTheme="minorHAnsi" w:hAnsiTheme="minorHAnsi" w:cstheme="minorHAnsi"/>
        </w:rPr>
      </w:pPr>
    </w:p>
    <w:p w14:paraId="464F536A" w14:textId="77777777" w:rsidR="00E92EC1" w:rsidRPr="00676CED" w:rsidRDefault="00E92EC1" w:rsidP="00E92EC1">
      <w:pPr>
        <w:jc w:val="both"/>
        <w:rPr>
          <w:rFonts w:asciiTheme="minorHAnsi" w:hAnsiTheme="minorHAnsi" w:cstheme="minorHAnsi"/>
        </w:rPr>
      </w:pPr>
      <w:r w:rsidRPr="00676CED">
        <w:rPr>
          <w:rFonts w:asciiTheme="minorHAnsi" w:hAnsiTheme="minorHAnsi" w:cstheme="minorHAnsi"/>
          <w:noProof/>
          <w:lang w:eastAsia="es-MX"/>
        </w:rPr>
        <w:drawing>
          <wp:inline distT="0" distB="0" distL="0" distR="0" wp14:anchorId="1EDD3129" wp14:editId="26B3C764">
            <wp:extent cx="5610491" cy="2968625"/>
            <wp:effectExtent l="0" t="0" r="3175"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9">
                      <a:extLst>
                        <a:ext uri="{28A0092B-C50C-407E-A947-70E740481C1C}">
                          <a14:useLocalDpi xmlns:a14="http://schemas.microsoft.com/office/drawing/2010/main" val="0"/>
                        </a:ext>
                      </a:extLst>
                    </a:blip>
                    <a:srcRect t="4682"/>
                    <a:stretch/>
                  </pic:blipFill>
                  <pic:spPr bwMode="auto">
                    <a:xfrm>
                      <a:off x="0" y="0"/>
                      <a:ext cx="5668776" cy="2999465"/>
                    </a:xfrm>
                    <a:prstGeom prst="rect">
                      <a:avLst/>
                    </a:prstGeom>
                    <a:ln>
                      <a:noFill/>
                    </a:ln>
                    <a:extLst>
                      <a:ext uri="{53640926-AAD7-44D8-BBD7-CCE9431645EC}">
                        <a14:shadowObscured xmlns:a14="http://schemas.microsoft.com/office/drawing/2010/main"/>
                      </a:ext>
                    </a:extLst>
                  </pic:spPr>
                </pic:pic>
              </a:graphicData>
            </a:graphic>
          </wp:inline>
        </w:drawing>
      </w:r>
    </w:p>
    <w:p w14:paraId="6C3FE8BD" w14:textId="1E799AF1" w:rsidR="00E92EC1" w:rsidRDefault="00E92EC1" w:rsidP="00E92EC1">
      <w:pPr>
        <w:spacing w:after="150" w:line="288" w:lineRule="atLeast"/>
        <w:jc w:val="both"/>
        <w:outlineLvl w:val="1"/>
        <w:rPr>
          <w:rFonts w:asciiTheme="minorHAnsi" w:hAnsiTheme="minorHAnsi" w:cstheme="minorHAnsi"/>
          <w:b/>
          <w:bCs/>
        </w:rPr>
      </w:pPr>
    </w:p>
    <w:p w14:paraId="3A39D89B" w14:textId="1F0A35FA" w:rsidR="004E32CD" w:rsidRDefault="004E32CD" w:rsidP="00E92EC1">
      <w:pPr>
        <w:spacing w:after="150" w:line="288" w:lineRule="atLeast"/>
        <w:jc w:val="both"/>
        <w:outlineLvl w:val="1"/>
        <w:rPr>
          <w:rFonts w:asciiTheme="minorHAnsi" w:hAnsiTheme="minorHAnsi" w:cstheme="minorHAnsi"/>
          <w:b/>
          <w:bCs/>
        </w:rPr>
      </w:pPr>
    </w:p>
    <w:p w14:paraId="65C5836C" w14:textId="6F3182A8" w:rsidR="004A5AEA" w:rsidRDefault="004A5AEA" w:rsidP="00E92EC1">
      <w:pPr>
        <w:spacing w:after="150" w:line="288" w:lineRule="atLeast"/>
        <w:jc w:val="both"/>
        <w:outlineLvl w:val="1"/>
        <w:rPr>
          <w:rFonts w:asciiTheme="minorHAnsi" w:hAnsiTheme="minorHAnsi" w:cstheme="minorHAnsi"/>
          <w:b/>
          <w:bCs/>
        </w:rPr>
      </w:pPr>
    </w:p>
    <w:p w14:paraId="596E6CED" w14:textId="77777777" w:rsidR="004A5AEA" w:rsidRPr="00E850D6" w:rsidRDefault="004A5AEA" w:rsidP="00E92EC1">
      <w:pPr>
        <w:spacing w:after="150" w:line="288" w:lineRule="atLeast"/>
        <w:jc w:val="both"/>
        <w:outlineLvl w:val="1"/>
        <w:rPr>
          <w:rFonts w:asciiTheme="minorHAnsi" w:hAnsiTheme="minorHAnsi" w:cstheme="minorHAnsi"/>
          <w:b/>
          <w:bCs/>
        </w:rPr>
      </w:pPr>
    </w:p>
    <w:p w14:paraId="77677B32" w14:textId="77777777" w:rsidR="00E05A33" w:rsidRPr="00B34B21" w:rsidRDefault="00E92EC1" w:rsidP="00E05A33">
      <w:pPr>
        <w:spacing w:after="0"/>
        <w:outlineLvl w:val="1"/>
        <w:rPr>
          <w:rFonts w:asciiTheme="minorHAnsi" w:hAnsiTheme="minorHAnsi" w:cstheme="minorHAnsi"/>
          <w:b/>
          <w:bCs/>
          <w:sz w:val="20"/>
          <w:szCs w:val="18"/>
        </w:rPr>
      </w:pPr>
      <w:r w:rsidRPr="00B34B21">
        <w:rPr>
          <w:rFonts w:asciiTheme="minorHAnsi" w:hAnsiTheme="minorHAnsi" w:cstheme="minorHAnsi"/>
          <w:b/>
          <w:bCs/>
          <w:sz w:val="20"/>
          <w:szCs w:val="18"/>
        </w:rPr>
        <w:t>2.1.2.- El crecimiento se ha ido ralentizando.</w:t>
      </w:r>
    </w:p>
    <w:p w14:paraId="5F0B8B07" w14:textId="46138F26" w:rsidR="00E92EC1" w:rsidRPr="00E850D6" w:rsidRDefault="00E92EC1" w:rsidP="00E05A33">
      <w:pPr>
        <w:spacing w:after="0"/>
        <w:outlineLvl w:val="1"/>
        <w:rPr>
          <w:rFonts w:asciiTheme="minorHAnsi" w:hAnsiTheme="minorHAnsi" w:cstheme="minorHAnsi"/>
          <w:sz w:val="18"/>
          <w:szCs w:val="18"/>
        </w:rPr>
      </w:pPr>
      <w:r w:rsidRPr="00E850D6">
        <w:rPr>
          <w:rFonts w:asciiTheme="minorHAnsi" w:hAnsiTheme="minorHAnsi" w:cstheme="minorHAnsi"/>
          <w:sz w:val="18"/>
          <w:szCs w:val="18"/>
        </w:rPr>
        <w:br/>
        <w:t>Se prevé que factores como el endurecimiento de la política monetaria, el aumento de las tasas de interés reales, la persistencia de los elevados precios de la energía, el débil crecimiento de los ingresos reales de los hogares y el descenso de la confianza debiliten, todos ellos, el crecimiento. Estados Unidos y Europa están experimentando una brusca desaceleración y se prevé que, en 2023, las principales economías de mercado emergentes de Asia representen cerca de tres cuartas partes del crecimiento del PIB mundial.</w:t>
      </w:r>
    </w:p>
    <w:p w14:paraId="58E182C1" w14:textId="77777777" w:rsidR="00E92EC1" w:rsidRPr="00E850D6" w:rsidRDefault="00E92EC1" w:rsidP="00E92EC1">
      <w:pPr>
        <w:pStyle w:val="Ttulo2"/>
        <w:spacing w:before="0" w:after="150"/>
        <w:jc w:val="both"/>
        <w:rPr>
          <w:rFonts w:asciiTheme="minorHAnsi" w:hAnsiTheme="minorHAnsi" w:cstheme="minorHAnsi"/>
          <w:color w:val="auto"/>
          <w:sz w:val="18"/>
          <w:szCs w:val="18"/>
        </w:rPr>
      </w:pPr>
      <w:r w:rsidRPr="00E850D6">
        <w:rPr>
          <w:rFonts w:asciiTheme="minorHAnsi" w:hAnsiTheme="minorHAnsi" w:cstheme="minorHAnsi"/>
          <w:color w:val="auto"/>
          <w:sz w:val="18"/>
          <w:szCs w:val="18"/>
        </w:rPr>
        <w:t>La inflación seguirá siendo elevada en 2023, pero debería moderarse.-</w:t>
      </w:r>
    </w:p>
    <w:p w14:paraId="5E61FF93" w14:textId="77777777" w:rsidR="00E92EC1" w:rsidRPr="00E850D6" w:rsidRDefault="00E92EC1" w:rsidP="00E92EC1">
      <w:pPr>
        <w:pStyle w:val="NormalWeb"/>
        <w:spacing w:before="0" w:beforeAutospacing="0" w:after="0" w:afterAutospacing="0"/>
        <w:jc w:val="both"/>
        <w:rPr>
          <w:rFonts w:asciiTheme="minorHAnsi" w:hAnsiTheme="minorHAnsi" w:cstheme="minorHAnsi"/>
          <w:sz w:val="18"/>
          <w:szCs w:val="18"/>
        </w:rPr>
      </w:pPr>
      <w:r w:rsidRPr="00E850D6">
        <w:rPr>
          <w:rFonts w:asciiTheme="minorHAnsi" w:hAnsiTheme="minorHAnsi" w:cstheme="minorHAnsi"/>
          <w:sz w:val="18"/>
          <w:szCs w:val="18"/>
        </w:rPr>
        <w:t>Las presiones inflacionistas se han intensificado, en gran parte debido a la guerra en Ucrania, que ha hecho subir los precios de la energía y de las materias primas alimentarias. El encarecimiento de la energía ha contribuido a que aumenten los precios en una amplia canasta de bienes y servicios. El endurecimiento de la política monetaria y la desaceleración del crecimiento contribuirán a que eventualmente se modere la inflación.</w:t>
      </w:r>
    </w:p>
    <w:p w14:paraId="7096A5F5" w14:textId="77777777" w:rsidR="00E92EC1" w:rsidRPr="00E850D6" w:rsidRDefault="00E92EC1" w:rsidP="00E92EC1">
      <w:pPr>
        <w:pStyle w:val="NormalWeb"/>
        <w:spacing w:before="0" w:beforeAutospacing="0" w:after="0" w:afterAutospacing="0"/>
        <w:jc w:val="both"/>
        <w:rPr>
          <w:rFonts w:asciiTheme="minorHAnsi" w:hAnsiTheme="minorHAnsi" w:cstheme="minorHAnsi"/>
          <w:sz w:val="18"/>
          <w:szCs w:val="18"/>
        </w:rPr>
      </w:pPr>
    </w:p>
    <w:p w14:paraId="5E6995FF" w14:textId="77777777" w:rsidR="00E92EC1" w:rsidRPr="00B34B21" w:rsidRDefault="00E92EC1" w:rsidP="00E92EC1">
      <w:pPr>
        <w:pStyle w:val="NormalWeb"/>
        <w:spacing w:before="0" w:beforeAutospacing="0" w:after="0" w:afterAutospacing="0"/>
        <w:jc w:val="both"/>
        <w:rPr>
          <w:rFonts w:asciiTheme="minorHAnsi" w:hAnsiTheme="minorHAnsi" w:cstheme="minorHAnsi"/>
          <w:b/>
          <w:bCs/>
          <w:sz w:val="20"/>
          <w:szCs w:val="18"/>
        </w:rPr>
      </w:pPr>
      <w:r w:rsidRPr="00B34B21">
        <w:rPr>
          <w:rFonts w:asciiTheme="minorHAnsi" w:hAnsiTheme="minorHAnsi" w:cstheme="minorHAnsi"/>
          <w:b/>
          <w:bCs/>
          <w:sz w:val="20"/>
          <w:szCs w:val="18"/>
        </w:rPr>
        <w:t>2.1.3.- Mercado de valores al cierre 2022.-</w:t>
      </w:r>
    </w:p>
    <w:p w14:paraId="13AC4A5B" w14:textId="77777777" w:rsidR="00E92EC1" w:rsidRPr="00E850D6" w:rsidRDefault="00E92EC1" w:rsidP="00E92EC1">
      <w:pPr>
        <w:pStyle w:val="NormalWeb"/>
        <w:spacing w:before="0" w:beforeAutospacing="0" w:after="0" w:afterAutospacing="0"/>
        <w:jc w:val="both"/>
        <w:rPr>
          <w:rFonts w:asciiTheme="minorHAnsi" w:hAnsiTheme="minorHAnsi" w:cstheme="minorHAnsi"/>
          <w:sz w:val="18"/>
          <w:szCs w:val="18"/>
        </w:rPr>
      </w:pPr>
    </w:p>
    <w:p w14:paraId="37E5CB5D" w14:textId="1001DF18"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La Gran Moderación, el período de cuatro décadas de actividad e inflación en gran medida estables, ha quedado atrás, el nuevo régimen de mayor volatilidad económica y del mercado está ocurriendo, y no se va a ir a ningún lado, los bancos centrales están causando deliberadamente recesiones mediante un gran endurecimiento de la política para intentar mantener el control en la inflación, eso hace presagiar la recesión, los bancos centrales finalmente retrocedieron de los aumentos en las tasas a medida que el daño económico se vuelve claro.</w:t>
      </w:r>
    </w:p>
    <w:p w14:paraId="6CA817CE" w14:textId="14580699"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Se espera que la inflación se enfríe, pero que se mantenga persistentemente más alta que los objetivos del banco central del 2 %. Las constantes sorpresas de inflación han elevado el rendimiento de los bonos aplastando a los instrumentos de renta variable y los de renta fija, dicha volatilidad se diferencia mucho de la era de la Gran Moderación.</w:t>
      </w:r>
    </w:p>
    <w:p w14:paraId="0B223098" w14:textId="4C890F65"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Una característica clave del nuevo régimen que estamos en un mundo caracterizado por las limitaciones de producción. El cambio pandémico en el gasto de los consumidores de servicios a bienes causó escasez y cuellos de botella. El envejecimiento de las poblaciones llevó a la escasez de trabajadores. Esto significa que los mercados desarrollados no pueden producir tanto como antes sin crear presión de inflación. Es por eso que la inflación es tan alta ahora, aunque la actividad está por debajo de su tendencia previa al COVID.</w:t>
      </w:r>
    </w:p>
    <w:p w14:paraId="0585AAD1" w14:textId="41206F3B" w:rsidR="00E92EC1" w:rsidRPr="00B34B21" w:rsidRDefault="00E92EC1" w:rsidP="00E92EC1">
      <w:pPr>
        <w:rPr>
          <w:rFonts w:asciiTheme="minorHAnsi" w:hAnsiTheme="minorHAnsi" w:cstheme="minorHAnsi"/>
          <w:b/>
          <w:bCs/>
          <w:sz w:val="20"/>
          <w:szCs w:val="18"/>
        </w:rPr>
      </w:pPr>
      <w:r w:rsidRPr="00B34B21">
        <w:rPr>
          <w:rFonts w:asciiTheme="minorHAnsi" w:hAnsiTheme="minorHAnsi" w:cstheme="minorHAnsi"/>
          <w:b/>
          <w:bCs/>
          <w:sz w:val="20"/>
          <w:szCs w:val="18"/>
        </w:rPr>
        <w:t>2.1.4.- Producto Interno Bruto.-</w:t>
      </w:r>
    </w:p>
    <w:p w14:paraId="73F6BB7C" w14:textId="53A71395" w:rsidR="00E92EC1" w:rsidRPr="00E850D6" w:rsidRDefault="00E92EC1" w:rsidP="00E92EC1">
      <w:pPr>
        <w:jc w:val="both"/>
        <w:rPr>
          <w:rFonts w:asciiTheme="minorHAnsi" w:hAnsiTheme="minorHAnsi" w:cstheme="minorHAnsi"/>
          <w:sz w:val="18"/>
          <w:szCs w:val="18"/>
          <w:shd w:val="clear" w:color="auto" w:fill="FFFFFF"/>
        </w:rPr>
      </w:pPr>
      <w:r w:rsidRPr="00E850D6">
        <w:rPr>
          <w:rFonts w:asciiTheme="minorHAnsi" w:hAnsiTheme="minorHAnsi" w:cstheme="minorHAnsi"/>
          <w:sz w:val="18"/>
          <w:szCs w:val="18"/>
          <w:shd w:val="clear" w:color="auto" w:fill="FFFFFF"/>
        </w:rPr>
        <w:t>Se proyecta que el crecimiento mundial se desacelerará al 1,7 % en 2023, el tercer ritmo más débil en casi tres décadas, solo opacado por las recesiones mundiales de 2009 y 2020. Esta desaceleración se debe en parte a la aplicación de políticas restrictivas destinadas a frenar la alta inflación. Choques negativos, como una mayor inflación, políticas más restrictivas o tensión financiera, podrían empujar a la economía mundial a una recesión. Se necesitan medidas inmediatas para mitigar los riesgos de recesión mundial y sobreendeudamiento. También es esencial que los responsables de la formulación de políticas se aseguren que el apoyo se focalice en los grupos vulnerables, las expectativas inflacionarias se mantengan bien ancladas y los sistemas financieros sigan siendo resilientes. </w:t>
      </w:r>
    </w:p>
    <w:p w14:paraId="4BA7224E" w14:textId="65DBE8BE" w:rsidR="00E1039C" w:rsidRDefault="00E1039C" w:rsidP="00E92EC1">
      <w:pPr>
        <w:jc w:val="both"/>
        <w:rPr>
          <w:rFonts w:asciiTheme="minorHAnsi" w:hAnsiTheme="minorHAnsi" w:cstheme="minorHAnsi"/>
          <w:color w:val="333333"/>
          <w:sz w:val="18"/>
          <w:szCs w:val="18"/>
          <w:shd w:val="clear" w:color="auto" w:fill="FFFFFF"/>
        </w:rPr>
      </w:pPr>
    </w:p>
    <w:p w14:paraId="407CBC22" w14:textId="0C4A288A" w:rsidR="00E1039C" w:rsidRDefault="00E1039C" w:rsidP="00E92EC1">
      <w:pPr>
        <w:jc w:val="both"/>
        <w:rPr>
          <w:rFonts w:asciiTheme="minorHAnsi" w:hAnsiTheme="minorHAnsi" w:cstheme="minorHAnsi"/>
          <w:color w:val="333333"/>
          <w:sz w:val="18"/>
          <w:szCs w:val="18"/>
          <w:shd w:val="clear" w:color="auto" w:fill="FFFFFF"/>
        </w:rPr>
      </w:pPr>
    </w:p>
    <w:p w14:paraId="1401F4DA" w14:textId="2A1B03F2" w:rsidR="00E1039C" w:rsidRDefault="00E1039C" w:rsidP="00E92EC1">
      <w:pPr>
        <w:jc w:val="both"/>
        <w:rPr>
          <w:rFonts w:asciiTheme="minorHAnsi" w:hAnsiTheme="minorHAnsi" w:cstheme="minorHAnsi"/>
          <w:color w:val="333333"/>
          <w:sz w:val="18"/>
          <w:szCs w:val="18"/>
          <w:shd w:val="clear" w:color="auto" w:fill="FFFFFF"/>
        </w:rPr>
      </w:pPr>
    </w:p>
    <w:p w14:paraId="69732FF5" w14:textId="0303AA11" w:rsidR="00E1039C" w:rsidRDefault="00E1039C" w:rsidP="00E92EC1">
      <w:pPr>
        <w:jc w:val="both"/>
        <w:rPr>
          <w:rFonts w:asciiTheme="minorHAnsi" w:hAnsiTheme="minorHAnsi" w:cstheme="minorHAnsi"/>
          <w:color w:val="333333"/>
          <w:sz w:val="18"/>
          <w:szCs w:val="18"/>
          <w:shd w:val="clear" w:color="auto" w:fill="FFFFFF"/>
        </w:rPr>
      </w:pPr>
    </w:p>
    <w:p w14:paraId="0966F1BD" w14:textId="6BAE4CD6" w:rsidR="00FB07C0" w:rsidRDefault="00FB07C0" w:rsidP="00E92EC1">
      <w:pPr>
        <w:jc w:val="both"/>
        <w:rPr>
          <w:sz w:val="20"/>
          <w:szCs w:val="20"/>
          <w:lang w:eastAsia="es-MX"/>
        </w:rPr>
      </w:pPr>
      <w:r>
        <w:fldChar w:fldCharType="begin"/>
      </w:r>
      <w:r>
        <w:instrText xml:space="preserve"> LINK Excel.Sheet.12 "Libro2" "Hoja2!F3C4:F53C10" \a \f 4 \h </w:instrText>
      </w:r>
      <w:r w:rsidR="00AE2249">
        <w:instrText xml:space="preserve"> \* MERGEFORMAT </w:instrText>
      </w:r>
      <w:r>
        <w:fldChar w:fldCharType="separate"/>
      </w:r>
    </w:p>
    <w:tbl>
      <w:tblPr>
        <w:tblW w:w="8774" w:type="dxa"/>
        <w:tblCellMar>
          <w:left w:w="70" w:type="dxa"/>
          <w:right w:w="70" w:type="dxa"/>
        </w:tblCellMar>
        <w:tblLook w:val="04A0" w:firstRow="1" w:lastRow="0" w:firstColumn="1" w:lastColumn="0" w:noHBand="0" w:noVBand="1"/>
      </w:tblPr>
      <w:tblGrid>
        <w:gridCol w:w="1134"/>
        <w:gridCol w:w="1180"/>
        <w:gridCol w:w="1654"/>
        <w:gridCol w:w="6"/>
        <w:gridCol w:w="1194"/>
        <w:gridCol w:w="6"/>
        <w:gridCol w:w="1194"/>
        <w:gridCol w:w="6"/>
        <w:gridCol w:w="1194"/>
        <w:gridCol w:w="6"/>
        <w:gridCol w:w="1194"/>
        <w:gridCol w:w="6"/>
      </w:tblGrid>
      <w:tr w:rsidR="00FB07C0" w:rsidRPr="00FB07C0" w14:paraId="1A1B924E" w14:textId="77777777" w:rsidTr="00265C09">
        <w:trPr>
          <w:trHeight w:val="300"/>
        </w:trPr>
        <w:tc>
          <w:tcPr>
            <w:tcW w:w="1134" w:type="dxa"/>
            <w:tcBorders>
              <w:top w:val="nil"/>
              <w:left w:val="nil"/>
              <w:bottom w:val="nil"/>
              <w:right w:val="nil"/>
            </w:tcBorders>
            <w:shd w:val="clear" w:color="auto" w:fill="auto"/>
            <w:noWrap/>
            <w:vAlign w:val="center"/>
            <w:hideMark/>
          </w:tcPr>
          <w:p w14:paraId="474FC110" w14:textId="765DD951" w:rsidR="00FB07C0" w:rsidRPr="00FB07C0" w:rsidRDefault="00FB07C0" w:rsidP="00FB07C0">
            <w:pPr>
              <w:spacing w:after="0" w:line="240" w:lineRule="auto"/>
              <w:rPr>
                <w:rFonts w:eastAsia="Times New Roman" w:cs="Calibri"/>
                <w:b/>
                <w:bCs/>
                <w:color w:val="000000"/>
                <w:sz w:val="16"/>
                <w:szCs w:val="16"/>
                <w:lang w:eastAsia="es-MX"/>
              </w:rPr>
            </w:pPr>
            <w:r w:rsidRPr="00FB07C0">
              <w:rPr>
                <w:rFonts w:eastAsia="Times New Roman" w:cs="Calibri"/>
                <w:b/>
                <w:bCs/>
                <w:color w:val="000000"/>
                <w:sz w:val="16"/>
                <w:szCs w:val="16"/>
                <w:lang w:eastAsia="es-MX"/>
              </w:rPr>
              <w:t>PIB Real</w:t>
            </w:r>
            <w:r w:rsidRPr="00FB07C0">
              <w:rPr>
                <w:rFonts w:eastAsia="Times New Roman" w:cs="Calibri"/>
                <w:color w:val="000000"/>
                <w:sz w:val="16"/>
                <w:szCs w:val="16"/>
                <w:vertAlign w:val="superscript"/>
                <w:lang w:eastAsia="es-MX"/>
              </w:rPr>
              <w:t>1</w:t>
            </w:r>
          </w:p>
        </w:tc>
        <w:tc>
          <w:tcPr>
            <w:tcW w:w="1180" w:type="dxa"/>
            <w:tcBorders>
              <w:top w:val="nil"/>
              <w:left w:val="nil"/>
              <w:bottom w:val="nil"/>
              <w:right w:val="nil"/>
            </w:tcBorders>
            <w:shd w:val="clear" w:color="auto" w:fill="auto"/>
            <w:noWrap/>
            <w:vAlign w:val="center"/>
            <w:hideMark/>
          </w:tcPr>
          <w:p w14:paraId="59AE6352" w14:textId="77777777" w:rsidR="00FB07C0" w:rsidRPr="00FB07C0" w:rsidRDefault="00FB07C0" w:rsidP="00FB07C0">
            <w:pPr>
              <w:spacing w:after="0" w:line="240" w:lineRule="auto"/>
              <w:rPr>
                <w:rFonts w:eastAsia="Times New Roman" w:cs="Calibri"/>
                <w:b/>
                <w:bCs/>
                <w:color w:val="000000"/>
                <w:sz w:val="16"/>
                <w:szCs w:val="16"/>
                <w:lang w:eastAsia="es-MX"/>
              </w:rPr>
            </w:pPr>
          </w:p>
        </w:tc>
        <w:tc>
          <w:tcPr>
            <w:tcW w:w="1660" w:type="dxa"/>
            <w:gridSpan w:val="2"/>
            <w:tcBorders>
              <w:top w:val="nil"/>
              <w:left w:val="nil"/>
              <w:bottom w:val="nil"/>
              <w:right w:val="nil"/>
            </w:tcBorders>
            <w:shd w:val="clear" w:color="auto" w:fill="auto"/>
            <w:noWrap/>
            <w:vAlign w:val="center"/>
            <w:hideMark/>
          </w:tcPr>
          <w:p w14:paraId="122518D5"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200" w:type="dxa"/>
            <w:gridSpan w:val="2"/>
            <w:tcBorders>
              <w:top w:val="nil"/>
              <w:left w:val="nil"/>
              <w:bottom w:val="nil"/>
              <w:right w:val="nil"/>
            </w:tcBorders>
            <w:shd w:val="clear" w:color="auto" w:fill="auto"/>
            <w:noWrap/>
            <w:vAlign w:val="center"/>
            <w:hideMark/>
          </w:tcPr>
          <w:p w14:paraId="34366744"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200" w:type="dxa"/>
            <w:gridSpan w:val="2"/>
            <w:tcBorders>
              <w:top w:val="nil"/>
              <w:left w:val="nil"/>
              <w:bottom w:val="nil"/>
              <w:right w:val="nil"/>
            </w:tcBorders>
            <w:shd w:val="clear" w:color="auto" w:fill="auto"/>
            <w:noWrap/>
            <w:vAlign w:val="center"/>
            <w:hideMark/>
          </w:tcPr>
          <w:p w14:paraId="262464E9"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200" w:type="dxa"/>
            <w:gridSpan w:val="2"/>
            <w:tcBorders>
              <w:top w:val="nil"/>
              <w:left w:val="nil"/>
              <w:bottom w:val="nil"/>
              <w:right w:val="nil"/>
            </w:tcBorders>
            <w:shd w:val="clear" w:color="auto" w:fill="auto"/>
            <w:noWrap/>
            <w:vAlign w:val="center"/>
            <w:hideMark/>
          </w:tcPr>
          <w:p w14:paraId="5D4003E0"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200" w:type="dxa"/>
            <w:gridSpan w:val="2"/>
            <w:tcBorders>
              <w:top w:val="nil"/>
              <w:left w:val="nil"/>
              <w:bottom w:val="nil"/>
              <w:right w:val="nil"/>
            </w:tcBorders>
            <w:shd w:val="clear" w:color="auto" w:fill="auto"/>
            <w:noWrap/>
            <w:vAlign w:val="center"/>
            <w:hideMark/>
          </w:tcPr>
          <w:p w14:paraId="7BE1A248" w14:textId="77777777" w:rsidR="00FB07C0" w:rsidRPr="00FB07C0" w:rsidRDefault="00FB07C0" w:rsidP="00FB07C0">
            <w:pPr>
              <w:spacing w:after="0" w:line="240" w:lineRule="auto"/>
              <w:rPr>
                <w:rFonts w:ascii="Times New Roman" w:eastAsia="Times New Roman" w:hAnsi="Times New Roman"/>
                <w:sz w:val="20"/>
                <w:szCs w:val="20"/>
                <w:lang w:eastAsia="es-MX"/>
              </w:rPr>
            </w:pPr>
          </w:p>
        </w:tc>
      </w:tr>
      <w:tr w:rsidR="00FB07C0" w:rsidRPr="00FB07C0" w14:paraId="142075D2" w14:textId="77777777" w:rsidTr="00265C09">
        <w:trPr>
          <w:gridAfter w:val="1"/>
          <w:wAfter w:w="6" w:type="dxa"/>
          <w:trHeight w:val="450"/>
        </w:trPr>
        <w:tc>
          <w:tcPr>
            <w:tcW w:w="3968" w:type="dxa"/>
            <w:gridSpan w:val="3"/>
            <w:tcBorders>
              <w:top w:val="nil"/>
              <w:left w:val="nil"/>
              <w:bottom w:val="nil"/>
              <w:right w:val="nil"/>
            </w:tcBorders>
            <w:shd w:val="clear" w:color="auto" w:fill="auto"/>
            <w:vAlign w:val="center"/>
            <w:hideMark/>
          </w:tcPr>
          <w:p w14:paraId="2EC86E6A"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(Variación porcentual respecto del año anterior, a menos que se indique otra cosa)</w:t>
            </w:r>
          </w:p>
        </w:tc>
        <w:tc>
          <w:tcPr>
            <w:tcW w:w="1200" w:type="dxa"/>
            <w:gridSpan w:val="2"/>
            <w:tcBorders>
              <w:top w:val="nil"/>
              <w:left w:val="nil"/>
              <w:bottom w:val="nil"/>
              <w:right w:val="nil"/>
            </w:tcBorders>
            <w:shd w:val="clear" w:color="auto" w:fill="auto"/>
            <w:vAlign w:val="center"/>
            <w:hideMark/>
          </w:tcPr>
          <w:p w14:paraId="5A409533" w14:textId="77777777" w:rsidR="00FB07C0" w:rsidRPr="00FB07C0" w:rsidRDefault="00FB07C0" w:rsidP="00FB07C0">
            <w:pPr>
              <w:spacing w:after="0" w:line="240" w:lineRule="auto"/>
              <w:rPr>
                <w:rFonts w:eastAsia="Times New Roman" w:cs="Calibri"/>
                <w:color w:val="000000"/>
                <w:sz w:val="16"/>
                <w:szCs w:val="16"/>
                <w:lang w:eastAsia="es-MX"/>
              </w:rPr>
            </w:pPr>
          </w:p>
        </w:tc>
        <w:tc>
          <w:tcPr>
            <w:tcW w:w="1200" w:type="dxa"/>
            <w:gridSpan w:val="2"/>
            <w:tcBorders>
              <w:top w:val="nil"/>
              <w:left w:val="nil"/>
              <w:bottom w:val="nil"/>
              <w:right w:val="nil"/>
            </w:tcBorders>
            <w:shd w:val="clear" w:color="auto" w:fill="auto"/>
            <w:vAlign w:val="center"/>
            <w:hideMark/>
          </w:tcPr>
          <w:p w14:paraId="7AA8A44F"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200" w:type="dxa"/>
            <w:gridSpan w:val="2"/>
            <w:tcBorders>
              <w:top w:val="nil"/>
              <w:left w:val="nil"/>
              <w:bottom w:val="nil"/>
              <w:right w:val="nil"/>
            </w:tcBorders>
            <w:shd w:val="clear" w:color="auto" w:fill="auto"/>
            <w:vAlign w:val="center"/>
            <w:hideMark/>
          </w:tcPr>
          <w:p w14:paraId="32B46249"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200" w:type="dxa"/>
            <w:gridSpan w:val="2"/>
            <w:tcBorders>
              <w:top w:val="nil"/>
              <w:left w:val="nil"/>
              <w:bottom w:val="nil"/>
              <w:right w:val="nil"/>
            </w:tcBorders>
            <w:shd w:val="clear" w:color="auto" w:fill="auto"/>
            <w:vAlign w:val="center"/>
            <w:hideMark/>
          </w:tcPr>
          <w:p w14:paraId="4D2B6076" w14:textId="77777777" w:rsidR="00FB07C0" w:rsidRPr="00FB07C0" w:rsidRDefault="00FB07C0" w:rsidP="00FB07C0">
            <w:pPr>
              <w:spacing w:after="0" w:line="240" w:lineRule="auto"/>
              <w:rPr>
                <w:rFonts w:ascii="Times New Roman" w:eastAsia="Times New Roman" w:hAnsi="Times New Roman"/>
                <w:sz w:val="20"/>
                <w:szCs w:val="20"/>
                <w:lang w:eastAsia="es-MX"/>
              </w:rPr>
            </w:pPr>
          </w:p>
        </w:tc>
      </w:tr>
      <w:tr w:rsidR="00FB07C0" w:rsidRPr="00FB07C0" w14:paraId="6A2F8D32" w14:textId="77777777" w:rsidTr="00265C09">
        <w:trPr>
          <w:trHeight w:val="675"/>
        </w:trPr>
        <w:tc>
          <w:tcPr>
            <w:tcW w:w="1134" w:type="dxa"/>
            <w:tcBorders>
              <w:top w:val="nil"/>
              <w:left w:val="nil"/>
              <w:bottom w:val="single" w:sz="8" w:space="0" w:color="auto"/>
              <w:right w:val="nil"/>
            </w:tcBorders>
            <w:shd w:val="clear" w:color="auto" w:fill="auto"/>
            <w:noWrap/>
            <w:vAlign w:val="bottom"/>
            <w:hideMark/>
          </w:tcPr>
          <w:p w14:paraId="3C54C2CB"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180" w:type="dxa"/>
            <w:tcBorders>
              <w:top w:val="nil"/>
              <w:left w:val="nil"/>
              <w:bottom w:val="nil"/>
              <w:right w:val="nil"/>
            </w:tcBorders>
            <w:shd w:val="clear" w:color="auto" w:fill="auto"/>
            <w:vAlign w:val="center"/>
            <w:hideMark/>
          </w:tcPr>
          <w:p w14:paraId="1AC1C6DB"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hideMark/>
          </w:tcPr>
          <w:p w14:paraId="16F6829F"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4800" w:type="dxa"/>
            <w:gridSpan w:val="8"/>
            <w:tcBorders>
              <w:top w:val="nil"/>
              <w:left w:val="nil"/>
              <w:bottom w:val="single" w:sz="8" w:space="0" w:color="auto"/>
              <w:right w:val="nil"/>
            </w:tcBorders>
            <w:shd w:val="clear" w:color="auto" w:fill="auto"/>
            <w:vAlign w:val="center"/>
            <w:hideMark/>
          </w:tcPr>
          <w:p w14:paraId="09FDD70C"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Diferencias de puntos porcentuales con respecto a las proyecciones de junio 2022</w:t>
            </w:r>
          </w:p>
        </w:tc>
      </w:tr>
      <w:tr w:rsidR="00FB07C0" w:rsidRPr="00FB07C0" w14:paraId="4CFA55CE" w14:textId="77777777" w:rsidTr="004A5AEA">
        <w:trPr>
          <w:trHeight w:val="315"/>
        </w:trPr>
        <w:tc>
          <w:tcPr>
            <w:tcW w:w="1134" w:type="dxa"/>
            <w:tcBorders>
              <w:top w:val="single" w:sz="8" w:space="0" w:color="auto"/>
              <w:left w:val="single" w:sz="8" w:space="0" w:color="auto"/>
              <w:bottom w:val="single" w:sz="8" w:space="0" w:color="auto"/>
              <w:right w:val="nil"/>
            </w:tcBorders>
            <w:shd w:val="clear" w:color="auto" w:fill="AB0033"/>
            <w:vAlign w:val="center"/>
            <w:hideMark/>
          </w:tcPr>
          <w:p w14:paraId="3D48ACF4" w14:textId="77777777" w:rsidR="00FB07C0" w:rsidRPr="00FB07C0" w:rsidRDefault="00FB07C0" w:rsidP="00FB07C0">
            <w:pPr>
              <w:spacing w:after="0" w:line="240" w:lineRule="auto"/>
              <w:rPr>
                <w:rFonts w:eastAsia="Times New Roman" w:cs="Calibri"/>
                <w:color w:val="244062"/>
                <w:sz w:val="16"/>
                <w:szCs w:val="16"/>
                <w:lang w:eastAsia="es-MX"/>
              </w:rPr>
            </w:pPr>
            <w:r w:rsidRPr="00FB07C0">
              <w:rPr>
                <w:rFonts w:eastAsia="Times New Roman" w:cs="Calibri"/>
                <w:color w:val="244062"/>
                <w:sz w:val="16"/>
                <w:szCs w:val="16"/>
                <w:lang w:eastAsia="es-MX"/>
              </w:rPr>
              <w:t> </w:t>
            </w:r>
          </w:p>
        </w:tc>
        <w:tc>
          <w:tcPr>
            <w:tcW w:w="1180" w:type="dxa"/>
            <w:tcBorders>
              <w:top w:val="single" w:sz="8" w:space="0" w:color="auto"/>
              <w:left w:val="nil"/>
              <w:bottom w:val="single" w:sz="8" w:space="0" w:color="auto"/>
              <w:right w:val="nil"/>
            </w:tcBorders>
            <w:shd w:val="clear" w:color="auto" w:fill="AB0033"/>
            <w:vAlign w:val="center"/>
            <w:hideMark/>
          </w:tcPr>
          <w:p w14:paraId="281FD4CC" w14:textId="77777777" w:rsidR="00FB07C0" w:rsidRPr="00FB07C0" w:rsidRDefault="00FB07C0" w:rsidP="00FB07C0">
            <w:pPr>
              <w:spacing w:after="0" w:line="240" w:lineRule="auto"/>
              <w:rPr>
                <w:rFonts w:eastAsia="Times New Roman" w:cs="Calibri"/>
                <w:color w:val="244062"/>
                <w:sz w:val="16"/>
                <w:szCs w:val="16"/>
                <w:lang w:eastAsia="es-MX"/>
              </w:rPr>
            </w:pPr>
            <w:r w:rsidRPr="00FB07C0">
              <w:rPr>
                <w:rFonts w:eastAsia="Times New Roman" w:cs="Calibri"/>
                <w:color w:val="244062"/>
                <w:sz w:val="16"/>
                <w:szCs w:val="16"/>
                <w:lang w:eastAsia="es-MX"/>
              </w:rPr>
              <w:t> </w:t>
            </w:r>
          </w:p>
        </w:tc>
        <w:tc>
          <w:tcPr>
            <w:tcW w:w="1660" w:type="dxa"/>
            <w:gridSpan w:val="2"/>
            <w:tcBorders>
              <w:top w:val="single" w:sz="8" w:space="0" w:color="auto"/>
              <w:left w:val="nil"/>
              <w:bottom w:val="single" w:sz="8" w:space="0" w:color="auto"/>
              <w:right w:val="nil"/>
            </w:tcBorders>
            <w:shd w:val="clear" w:color="auto" w:fill="AB0033"/>
            <w:vAlign w:val="center"/>
            <w:hideMark/>
          </w:tcPr>
          <w:p w14:paraId="68336CE0" w14:textId="77777777" w:rsidR="00FB07C0" w:rsidRPr="00FB07C0" w:rsidRDefault="00FB07C0" w:rsidP="00FB07C0">
            <w:pPr>
              <w:spacing w:after="0" w:line="240" w:lineRule="auto"/>
              <w:rPr>
                <w:rFonts w:eastAsia="Times New Roman" w:cs="Calibri"/>
                <w:color w:val="244062"/>
                <w:sz w:val="16"/>
                <w:szCs w:val="16"/>
                <w:lang w:eastAsia="es-MX"/>
              </w:rPr>
            </w:pPr>
            <w:r w:rsidRPr="00FB07C0">
              <w:rPr>
                <w:rFonts w:eastAsia="Times New Roman" w:cs="Calibri"/>
                <w:color w:val="244062"/>
                <w:sz w:val="16"/>
                <w:szCs w:val="16"/>
                <w:lang w:eastAsia="es-MX"/>
              </w:rPr>
              <w:t> </w:t>
            </w:r>
          </w:p>
        </w:tc>
        <w:tc>
          <w:tcPr>
            <w:tcW w:w="1200" w:type="dxa"/>
            <w:gridSpan w:val="2"/>
            <w:tcBorders>
              <w:top w:val="nil"/>
              <w:left w:val="nil"/>
              <w:bottom w:val="single" w:sz="8" w:space="0" w:color="auto"/>
              <w:right w:val="nil"/>
            </w:tcBorders>
            <w:shd w:val="clear" w:color="auto" w:fill="AB0033"/>
            <w:noWrap/>
            <w:vAlign w:val="center"/>
            <w:hideMark/>
          </w:tcPr>
          <w:p w14:paraId="17E4B441" w14:textId="77777777" w:rsidR="00FB07C0" w:rsidRPr="00FB07C0" w:rsidRDefault="00FB07C0" w:rsidP="00FB07C0">
            <w:pPr>
              <w:spacing w:after="0" w:line="240" w:lineRule="auto"/>
              <w:jc w:val="center"/>
              <w:rPr>
                <w:rFonts w:eastAsia="Times New Roman" w:cs="Calibri"/>
                <w:b/>
                <w:bCs/>
                <w:color w:val="FFFFFF"/>
                <w:sz w:val="16"/>
                <w:szCs w:val="16"/>
                <w:lang w:eastAsia="es-MX"/>
              </w:rPr>
            </w:pPr>
            <w:r w:rsidRPr="00FB07C0">
              <w:rPr>
                <w:rFonts w:eastAsia="Times New Roman" w:cs="Calibri"/>
                <w:b/>
                <w:bCs/>
                <w:color w:val="FFFFFF"/>
                <w:sz w:val="16"/>
                <w:szCs w:val="16"/>
                <w:lang w:eastAsia="es-MX"/>
              </w:rPr>
              <w:t>2022e</w:t>
            </w:r>
          </w:p>
        </w:tc>
        <w:tc>
          <w:tcPr>
            <w:tcW w:w="1200" w:type="dxa"/>
            <w:gridSpan w:val="2"/>
            <w:tcBorders>
              <w:top w:val="nil"/>
              <w:left w:val="nil"/>
              <w:bottom w:val="single" w:sz="8" w:space="0" w:color="auto"/>
              <w:right w:val="nil"/>
            </w:tcBorders>
            <w:shd w:val="clear" w:color="auto" w:fill="AB0033"/>
            <w:noWrap/>
            <w:vAlign w:val="center"/>
            <w:hideMark/>
          </w:tcPr>
          <w:p w14:paraId="3BE3E426" w14:textId="77777777" w:rsidR="00FB07C0" w:rsidRPr="00FB07C0" w:rsidRDefault="00FB07C0" w:rsidP="00FB07C0">
            <w:pPr>
              <w:spacing w:after="0" w:line="240" w:lineRule="auto"/>
              <w:jc w:val="center"/>
              <w:rPr>
                <w:rFonts w:eastAsia="Times New Roman" w:cs="Calibri"/>
                <w:b/>
                <w:bCs/>
                <w:color w:val="FFFFFF"/>
                <w:sz w:val="16"/>
                <w:szCs w:val="16"/>
                <w:lang w:eastAsia="es-MX"/>
              </w:rPr>
            </w:pPr>
            <w:r w:rsidRPr="00FB07C0">
              <w:rPr>
                <w:rFonts w:eastAsia="Times New Roman" w:cs="Calibri"/>
                <w:b/>
                <w:bCs/>
                <w:color w:val="FFFFFF"/>
                <w:sz w:val="16"/>
                <w:szCs w:val="16"/>
                <w:lang w:eastAsia="es-MX"/>
              </w:rPr>
              <w:t>2023f</w:t>
            </w:r>
          </w:p>
        </w:tc>
        <w:tc>
          <w:tcPr>
            <w:tcW w:w="1200" w:type="dxa"/>
            <w:gridSpan w:val="2"/>
            <w:tcBorders>
              <w:top w:val="nil"/>
              <w:left w:val="nil"/>
              <w:bottom w:val="single" w:sz="8" w:space="0" w:color="auto"/>
              <w:right w:val="nil"/>
            </w:tcBorders>
            <w:shd w:val="clear" w:color="auto" w:fill="AB0033"/>
            <w:noWrap/>
            <w:vAlign w:val="center"/>
            <w:hideMark/>
          </w:tcPr>
          <w:p w14:paraId="30B46B09" w14:textId="77777777" w:rsidR="00FB07C0" w:rsidRPr="00FB07C0" w:rsidRDefault="00FB07C0" w:rsidP="00FB07C0">
            <w:pPr>
              <w:spacing w:after="0" w:line="240" w:lineRule="auto"/>
              <w:jc w:val="center"/>
              <w:rPr>
                <w:rFonts w:eastAsia="Times New Roman" w:cs="Calibri"/>
                <w:b/>
                <w:bCs/>
                <w:color w:val="FFFFFF"/>
                <w:sz w:val="16"/>
                <w:szCs w:val="16"/>
                <w:lang w:eastAsia="es-MX"/>
              </w:rPr>
            </w:pPr>
            <w:r w:rsidRPr="00FB07C0">
              <w:rPr>
                <w:rFonts w:eastAsia="Times New Roman" w:cs="Calibri"/>
                <w:b/>
                <w:bCs/>
                <w:color w:val="FFFFFF"/>
                <w:sz w:val="16"/>
                <w:szCs w:val="16"/>
                <w:lang w:eastAsia="es-MX"/>
              </w:rPr>
              <w:t>2022e</w:t>
            </w:r>
          </w:p>
        </w:tc>
        <w:tc>
          <w:tcPr>
            <w:tcW w:w="1200" w:type="dxa"/>
            <w:gridSpan w:val="2"/>
            <w:tcBorders>
              <w:top w:val="nil"/>
              <w:left w:val="nil"/>
              <w:bottom w:val="single" w:sz="8" w:space="0" w:color="auto"/>
              <w:right w:val="nil"/>
            </w:tcBorders>
            <w:shd w:val="clear" w:color="auto" w:fill="AB0033"/>
            <w:noWrap/>
            <w:vAlign w:val="center"/>
            <w:hideMark/>
          </w:tcPr>
          <w:p w14:paraId="147AFAF5" w14:textId="77777777" w:rsidR="00FB07C0" w:rsidRPr="00FB07C0" w:rsidRDefault="00FB07C0" w:rsidP="00FB07C0">
            <w:pPr>
              <w:spacing w:after="0" w:line="240" w:lineRule="auto"/>
              <w:jc w:val="center"/>
              <w:rPr>
                <w:rFonts w:eastAsia="Times New Roman" w:cs="Calibri"/>
                <w:b/>
                <w:bCs/>
                <w:color w:val="FFFFFF"/>
                <w:sz w:val="16"/>
                <w:szCs w:val="16"/>
                <w:lang w:eastAsia="es-MX"/>
              </w:rPr>
            </w:pPr>
            <w:r w:rsidRPr="00FB07C0">
              <w:rPr>
                <w:rFonts w:eastAsia="Times New Roman" w:cs="Calibri"/>
                <w:b/>
                <w:bCs/>
                <w:color w:val="FFFFFF"/>
                <w:sz w:val="16"/>
                <w:szCs w:val="16"/>
                <w:lang w:eastAsia="es-MX"/>
              </w:rPr>
              <w:t>2023f</w:t>
            </w:r>
          </w:p>
        </w:tc>
      </w:tr>
      <w:tr w:rsidR="00FB07C0" w:rsidRPr="00FB07C0" w14:paraId="10DCFD99" w14:textId="77777777" w:rsidTr="00265C09">
        <w:trPr>
          <w:trHeight w:val="315"/>
        </w:trPr>
        <w:tc>
          <w:tcPr>
            <w:tcW w:w="1134" w:type="dxa"/>
            <w:tcBorders>
              <w:top w:val="nil"/>
              <w:left w:val="single" w:sz="8" w:space="0" w:color="auto"/>
              <w:bottom w:val="single" w:sz="8" w:space="0" w:color="auto"/>
              <w:right w:val="nil"/>
            </w:tcBorders>
            <w:shd w:val="clear" w:color="auto" w:fill="auto"/>
            <w:noWrap/>
            <w:vAlign w:val="center"/>
            <w:hideMark/>
          </w:tcPr>
          <w:p w14:paraId="3ABAA0A5" w14:textId="77777777" w:rsidR="00FB07C0" w:rsidRPr="00FB07C0" w:rsidRDefault="00FB07C0" w:rsidP="00FB07C0">
            <w:pPr>
              <w:spacing w:after="0" w:line="240" w:lineRule="auto"/>
              <w:rPr>
                <w:rFonts w:eastAsia="Times New Roman" w:cs="Calibri"/>
                <w:b/>
                <w:bCs/>
                <w:color w:val="000000"/>
                <w:sz w:val="16"/>
                <w:szCs w:val="16"/>
                <w:lang w:eastAsia="es-MX"/>
              </w:rPr>
            </w:pPr>
            <w:r w:rsidRPr="00FB07C0">
              <w:rPr>
                <w:rFonts w:eastAsia="Times New Roman" w:cs="Calibri"/>
                <w:b/>
                <w:bCs/>
                <w:color w:val="000000"/>
                <w:sz w:val="16"/>
                <w:szCs w:val="16"/>
                <w:lang w:eastAsia="es-MX"/>
              </w:rPr>
              <w:t>Mundo</w:t>
            </w:r>
          </w:p>
        </w:tc>
        <w:tc>
          <w:tcPr>
            <w:tcW w:w="1180" w:type="dxa"/>
            <w:tcBorders>
              <w:top w:val="nil"/>
              <w:left w:val="nil"/>
              <w:bottom w:val="single" w:sz="8" w:space="0" w:color="auto"/>
              <w:right w:val="nil"/>
            </w:tcBorders>
            <w:shd w:val="clear" w:color="auto" w:fill="auto"/>
            <w:hideMark/>
          </w:tcPr>
          <w:p w14:paraId="24B1A77F"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660" w:type="dxa"/>
            <w:gridSpan w:val="2"/>
            <w:tcBorders>
              <w:top w:val="nil"/>
              <w:left w:val="nil"/>
              <w:bottom w:val="single" w:sz="8" w:space="0" w:color="auto"/>
              <w:right w:val="nil"/>
            </w:tcBorders>
            <w:shd w:val="clear" w:color="auto" w:fill="auto"/>
            <w:hideMark/>
          </w:tcPr>
          <w:p w14:paraId="4E736689"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200" w:type="dxa"/>
            <w:gridSpan w:val="2"/>
            <w:tcBorders>
              <w:top w:val="nil"/>
              <w:left w:val="nil"/>
              <w:bottom w:val="single" w:sz="8" w:space="0" w:color="auto"/>
              <w:right w:val="nil"/>
            </w:tcBorders>
            <w:shd w:val="clear" w:color="auto" w:fill="auto"/>
            <w:noWrap/>
            <w:vAlign w:val="center"/>
            <w:hideMark/>
          </w:tcPr>
          <w:p w14:paraId="3C3186D6" w14:textId="77777777" w:rsidR="00FB07C0" w:rsidRPr="00FB07C0" w:rsidRDefault="00FB07C0" w:rsidP="00FB07C0">
            <w:pPr>
              <w:spacing w:after="0" w:line="240" w:lineRule="auto"/>
              <w:jc w:val="center"/>
              <w:rPr>
                <w:rFonts w:eastAsia="Times New Roman" w:cs="Calibri"/>
                <w:b/>
                <w:bCs/>
                <w:color w:val="000000"/>
                <w:sz w:val="16"/>
                <w:szCs w:val="16"/>
                <w:lang w:eastAsia="es-MX"/>
              </w:rPr>
            </w:pPr>
            <w:r w:rsidRPr="00FB07C0">
              <w:rPr>
                <w:rFonts w:eastAsia="Times New Roman" w:cs="Calibri"/>
                <w:b/>
                <w:bCs/>
                <w:color w:val="000000"/>
                <w:sz w:val="16"/>
                <w:szCs w:val="16"/>
                <w:lang w:eastAsia="es-MX"/>
              </w:rPr>
              <w:t>2.9</w:t>
            </w:r>
          </w:p>
        </w:tc>
        <w:tc>
          <w:tcPr>
            <w:tcW w:w="1200" w:type="dxa"/>
            <w:gridSpan w:val="2"/>
            <w:tcBorders>
              <w:top w:val="nil"/>
              <w:left w:val="nil"/>
              <w:bottom w:val="single" w:sz="8" w:space="0" w:color="auto"/>
              <w:right w:val="nil"/>
            </w:tcBorders>
            <w:shd w:val="clear" w:color="auto" w:fill="auto"/>
            <w:noWrap/>
            <w:vAlign w:val="center"/>
            <w:hideMark/>
          </w:tcPr>
          <w:p w14:paraId="530E9D40" w14:textId="77777777" w:rsidR="00FB07C0" w:rsidRPr="00FB07C0" w:rsidRDefault="00FB07C0" w:rsidP="00FB07C0">
            <w:pPr>
              <w:spacing w:after="0" w:line="240" w:lineRule="auto"/>
              <w:jc w:val="center"/>
              <w:rPr>
                <w:rFonts w:eastAsia="Times New Roman" w:cs="Calibri"/>
                <w:b/>
                <w:bCs/>
                <w:color w:val="000000"/>
                <w:sz w:val="16"/>
                <w:szCs w:val="16"/>
                <w:lang w:eastAsia="es-MX"/>
              </w:rPr>
            </w:pPr>
            <w:r w:rsidRPr="00FB07C0">
              <w:rPr>
                <w:rFonts w:eastAsia="Times New Roman" w:cs="Calibri"/>
                <w:b/>
                <w:bCs/>
                <w:color w:val="000000"/>
                <w:sz w:val="16"/>
                <w:szCs w:val="16"/>
                <w:lang w:eastAsia="es-MX"/>
              </w:rPr>
              <w:t>1.7</w:t>
            </w:r>
          </w:p>
        </w:tc>
        <w:tc>
          <w:tcPr>
            <w:tcW w:w="1200" w:type="dxa"/>
            <w:gridSpan w:val="2"/>
            <w:tcBorders>
              <w:top w:val="nil"/>
              <w:left w:val="nil"/>
              <w:bottom w:val="single" w:sz="8" w:space="0" w:color="auto"/>
              <w:right w:val="nil"/>
            </w:tcBorders>
            <w:shd w:val="clear" w:color="auto" w:fill="auto"/>
            <w:noWrap/>
            <w:vAlign w:val="center"/>
            <w:hideMark/>
          </w:tcPr>
          <w:p w14:paraId="72B39476" w14:textId="77777777" w:rsidR="00FB07C0" w:rsidRPr="00FB07C0" w:rsidRDefault="00FB07C0" w:rsidP="00FB07C0">
            <w:pPr>
              <w:spacing w:after="0" w:line="240" w:lineRule="auto"/>
              <w:jc w:val="center"/>
              <w:rPr>
                <w:rFonts w:eastAsia="Times New Roman" w:cs="Calibri"/>
                <w:b/>
                <w:bCs/>
                <w:color w:val="000000"/>
                <w:sz w:val="16"/>
                <w:szCs w:val="16"/>
                <w:lang w:eastAsia="es-MX"/>
              </w:rPr>
            </w:pPr>
            <w:r w:rsidRPr="00FB07C0">
              <w:rPr>
                <w:rFonts w:eastAsia="Times New Roman" w:cs="Calibri"/>
                <w:b/>
                <w:bCs/>
                <w:color w:val="000000"/>
                <w:sz w:val="16"/>
                <w:szCs w:val="16"/>
                <w:lang w:eastAsia="es-MX"/>
              </w:rPr>
              <w:t>0</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6E536881" w14:textId="77777777" w:rsidR="00FB07C0" w:rsidRPr="00FB07C0" w:rsidRDefault="00FB07C0" w:rsidP="00FB07C0">
            <w:pPr>
              <w:spacing w:after="0" w:line="240" w:lineRule="auto"/>
              <w:jc w:val="center"/>
              <w:rPr>
                <w:rFonts w:eastAsia="Times New Roman" w:cs="Calibri"/>
                <w:b/>
                <w:bCs/>
                <w:color w:val="000000"/>
                <w:sz w:val="16"/>
                <w:szCs w:val="16"/>
                <w:lang w:eastAsia="es-MX"/>
              </w:rPr>
            </w:pPr>
            <w:r w:rsidRPr="00FB07C0">
              <w:rPr>
                <w:rFonts w:eastAsia="Times New Roman" w:cs="Calibri"/>
                <w:b/>
                <w:bCs/>
                <w:color w:val="000000"/>
                <w:sz w:val="16"/>
                <w:szCs w:val="16"/>
                <w:lang w:eastAsia="es-MX"/>
              </w:rPr>
              <w:t>-1.3</w:t>
            </w:r>
          </w:p>
        </w:tc>
      </w:tr>
      <w:tr w:rsidR="00FB07C0" w:rsidRPr="00FB07C0" w14:paraId="677F1AD4" w14:textId="77777777" w:rsidTr="00265C09">
        <w:trPr>
          <w:gridAfter w:val="1"/>
          <w:wAfter w:w="6" w:type="dxa"/>
          <w:trHeight w:val="300"/>
        </w:trPr>
        <w:tc>
          <w:tcPr>
            <w:tcW w:w="3968" w:type="dxa"/>
            <w:gridSpan w:val="3"/>
            <w:tcBorders>
              <w:top w:val="single" w:sz="8" w:space="0" w:color="auto"/>
              <w:left w:val="single" w:sz="8" w:space="0" w:color="auto"/>
              <w:bottom w:val="nil"/>
              <w:right w:val="nil"/>
            </w:tcBorders>
            <w:shd w:val="clear" w:color="auto" w:fill="auto"/>
            <w:vAlign w:val="center"/>
            <w:hideMark/>
          </w:tcPr>
          <w:p w14:paraId="08F99D3E" w14:textId="77777777" w:rsidR="00FB07C0" w:rsidRPr="00FB07C0" w:rsidRDefault="00FB07C0" w:rsidP="00FB07C0">
            <w:pPr>
              <w:spacing w:after="0" w:line="240" w:lineRule="auto"/>
              <w:rPr>
                <w:rFonts w:eastAsia="Times New Roman" w:cs="Calibri"/>
                <w:b/>
                <w:bCs/>
                <w:color w:val="000000"/>
                <w:sz w:val="16"/>
                <w:szCs w:val="16"/>
                <w:lang w:eastAsia="es-MX"/>
              </w:rPr>
            </w:pPr>
            <w:r w:rsidRPr="00FB07C0">
              <w:rPr>
                <w:rFonts w:eastAsia="Times New Roman" w:cs="Calibri"/>
                <w:b/>
                <w:bCs/>
                <w:color w:val="000000"/>
                <w:sz w:val="16"/>
                <w:szCs w:val="16"/>
                <w:lang w:eastAsia="es-MX"/>
              </w:rPr>
              <w:t>Economías avanzadas</w:t>
            </w:r>
          </w:p>
        </w:tc>
        <w:tc>
          <w:tcPr>
            <w:tcW w:w="1200" w:type="dxa"/>
            <w:gridSpan w:val="2"/>
            <w:tcBorders>
              <w:top w:val="nil"/>
              <w:left w:val="nil"/>
              <w:bottom w:val="nil"/>
              <w:right w:val="nil"/>
            </w:tcBorders>
            <w:shd w:val="clear" w:color="auto" w:fill="auto"/>
            <w:noWrap/>
            <w:vAlign w:val="center"/>
            <w:hideMark/>
          </w:tcPr>
          <w:p w14:paraId="6B121203" w14:textId="77777777" w:rsidR="00FB07C0" w:rsidRPr="00FB07C0" w:rsidRDefault="00FB07C0" w:rsidP="00FB07C0">
            <w:pPr>
              <w:spacing w:after="0" w:line="240" w:lineRule="auto"/>
              <w:jc w:val="center"/>
              <w:rPr>
                <w:rFonts w:eastAsia="Times New Roman" w:cs="Calibri"/>
                <w:b/>
                <w:bCs/>
                <w:color w:val="000000"/>
                <w:sz w:val="16"/>
                <w:szCs w:val="16"/>
                <w:lang w:eastAsia="es-MX"/>
              </w:rPr>
            </w:pPr>
            <w:r w:rsidRPr="00FB07C0">
              <w:rPr>
                <w:rFonts w:eastAsia="Times New Roman" w:cs="Calibri"/>
                <w:b/>
                <w:bCs/>
                <w:color w:val="000000"/>
                <w:sz w:val="16"/>
                <w:szCs w:val="16"/>
                <w:lang w:eastAsia="es-MX"/>
              </w:rPr>
              <w:t>2.5</w:t>
            </w:r>
          </w:p>
        </w:tc>
        <w:tc>
          <w:tcPr>
            <w:tcW w:w="1200" w:type="dxa"/>
            <w:gridSpan w:val="2"/>
            <w:tcBorders>
              <w:top w:val="nil"/>
              <w:left w:val="nil"/>
              <w:bottom w:val="nil"/>
              <w:right w:val="nil"/>
            </w:tcBorders>
            <w:shd w:val="clear" w:color="auto" w:fill="auto"/>
            <w:noWrap/>
            <w:vAlign w:val="center"/>
            <w:hideMark/>
          </w:tcPr>
          <w:p w14:paraId="2F49E9AA" w14:textId="77777777" w:rsidR="00FB07C0" w:rsidRPr="00FB07C0" w:rsidRDefault="00FB07C0" w:rsidP="00FB07C0">
            <w:pPr>
              <w:spacing w:after="0" w:line="240" w:lineRule="auto"/>
              <w:jc w:val="center"/>
              <w:rPr>
                <w:rFonts w:eastAsia="Times New Roman" w:cs="Calibri"/>
                <w:b/>
                <w:bCs/>
                <w:color w:val="000000"/>
                <w:sz w:val="16"/>
                <w:szCs w:val="16"/>
                <w:lang w:eastAsia="es-MX"/>
              </w:rPr>
            </w:pPr>
            <w:r w:rsidRPr="00FB07C0">
              <w:rPr>
                <w:rFonts w:eastAsia="Times New Roman" w:cs="Calibri"/>
                <w:b/>
                <w:bCs/>
                <w:color w:val="000000"/>
                <w:sz w:val="16"/>
                <w:szCs w:val="16"/>
                <w:lang w:eastAsia="es-MX"/>
              </w:rPr>
              <w:t>0.5</w:t>
            </w:r>
          </w:p>
        </w:tc>
        <w:tc>
          <w:tcPr>
            <w:tcW w:w="1200" w:type="dxa"/>
            <w:gridSpan w:val="2"/>
            <w:tcBorders>
              <w:top w:val="nil"/>
              <w:left w:val="nil"/>
              <w:bottom w:val="nil"/>
              <w:right w:val="nil"/>
            </w:tcBorders>
            <w:shd w:val="clear" w:color="auto" w:fill="auto"/>
            <w:noWrap/>
            <w:vAlign w:val="center"/>
            <w:hideMark/>
          </w:tcPr>
          <w:p w14:paraId="4195D9E0" w14:textId="77777777" w:rsidR="00FB07C0" w:rsidRPr="00FB07C0" w:rsidRDefault="00FB07C0" w:rsidP="00FB07C0">
            <w:pPr>
              <w:spacing w:after="0" w:line="240" w:lineRule="auto"/>
              <w:jc w:val="center"/>
              <w:rPr>
                <w:rFonts w:eastAsia="Times New Roman" w:cs="Calibri"/>
                <w:b/>
                <w:bCs/>
                <w:color w:val="000000"/>
                <w:sz w:val="16"/>
                <w:szCs w:val="16"/>
                <w:lang w:eastAsia="es-MX"/>
              </w:rPr>
            </w:pPr>
            <w:r w:rsidRPr="00FB07C0">
              <w:rPr>
                <w:rFonts w:eastAsia="Times New Roman" w:cs="Calibri"/>
                <w:b/>
                <w:bCs/>
                <w:color w:val="000000"/>
                <w:sz w:val="16"/>
                <w:szCs w:val="16"/>
                <w:lang w:eastAsia="es-MX"/>
              </w:rPr>
              <w:t>-0.1</w:t>
            </w:r>
          </w:p>
        </w:tc>
        <w:tc>
          <w:tcPr>
            <w:tcW w:w="1200" w:type="dxa"/>
            <w:gridSpan w:val="2"/>
            <w:tcBorders>
              <w:top w:val="nil"/>
              <w:left w:val="nil"/>
              <w:bottom w:val="nil"/>
              <w:right w:val="single" w:sz="8" w:space="0" w:color="auto"/>
            </w:tcBorders>
            <w:shd w:val="clear" w:color="auto" w:fill="auto"/>
            <w:noWrap/>
            <w:vAlign w:val="center"/>
            <w:hideMark/>
          </w:tcPr>
          <w:p w14:paraId="2CD44C47" w14:textId="77777777" w:rsidR="00FB07C0" w:rsidRPr="00FB07C0" w:rsidRDefault="00FB07C0" w:rsidP="00FB07C0">
            <w:pPr>
              <w:spacing w:after="0" w:line="240" w:lineRule="auto"/>
              <w:jc w:val="center"/>
              <w:rPr>
                <w:rFonts w:eastAsia="Times New Roman" w:cs="Calibri"/>
                <w:b/>
                <w:bCs/>
                <w:color w:val="000000"/>
                <w:sz w:val="16"/>
                <w:szCs w:val="16"/>
                <w:lang w:eastAsia="es-MX"/>
              </w:rPr>
            </w:pPr>
            <w:r w:rsidRPr="00FB07C0">
              <w:rPr>
                <w:rFonts w:eastAsia="Times New Roman" w:cs="Calibri"/>
                <w:b/>
                <w:bCs/>
                <w:color w:val="000000"/>
                <w:sz w:val="16"/>
                <w:szCs w:val="16"/>
                <w:lang w:eastAsia="es-MX"/>
              </w:rPr>
              <w:t>-1.7</w:t>
            </w:r>
          </w:p>
        </w:tc>
      </w:tr>
      <w:tr w:rsidR="00FB07C0" w:rsidRPr="00FB07C0" w14:paraId="04411478" w14:textId="77777777" w:rsidTr="00265C09">
        <w:trPr>
          <w:trHeight w:val="300"/>
        </w:trPr>
        <w:tc>
          <w:tcPr>
            <w:tcW w:w="1134" w:type="dxa"/>
            <w:tcBorders>
              <w:top w:val="nil"/>
              <w:left w:val="single" w:sz="8" w:space="0" w:color="auto"/>
              <w:bottom w:val="nil"/>
              <w:right w:val="nil"/>
            </w:tcBorders>
            <w:shd w:val="clear" w:color="auto" w:fill="auto"/>
            <w:hideMark/>
          </w:tcPr>
          <w:p w14:paraId="12352B75" w14:textId="77777777" w:rsidR="00FB07C0" w:rsidRPr="00FB07C0" w:rsidRDefault="00FB07C0" w:rsidP="00FB07C0">
            <w:pPr>
              <w:spacing w:after="0" w:line="240" w:lineRule="auto"/>
              <w:jc w:val="center"/>
              <w:rPr>
                <w:rFonts w:eastAsia="Times New Roman" w:cs="Calibri"/>
                <w:b/>
                <w:bCs/>
                <w:color w:val="000000"/>
                <w:sz w:val="16"/>
                <w:szCs w:val="16"/>
                <w:lang w:eastAsia="es-MX"/>
              </w:rPr>
            </w:pPr>
          </w:p>
        </w:tc>
        <w:tc>
          <w:tcPr>
            <w:tcW w:w="2840" w:type="dxa"/>
            <w:gridSpan w:val="3"/>
            <w:tcBorders>
              <w:top w:val="nil"/>
              <w:left w:val="nil"/>
              <w:bottom w:val="nil"/>
              <w:right w:val="nil"/>
            </w:tcBorders>
            <w:shd w:val="clear" w:color="auto" w:fill="auto"/>
            <w:vAlign w:val="center"/>
            <w:hideMark/>
          </w:tcPr>
          <w:p w14:paraId="1CD0E552"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Estados Unidos</w:t>
            </w:r>
          </w:p>
        </w:tc>
        <w:tc>
          <w:tcPr>
            <w:tcW w:w="1200" w:type="dxa"/>
            <w:gridSpan w:val="2"/>
            <w:tcBorders>
              <w:top w:val="nil"/>
              <w:left w:val="nil"/>
              <w:bottom w:val="nil"/>
              <w:right w:val="nil"/>
            </w:tcBorders>
            <w:shd w:val="clear" w:color="auto" w:fill="auto"/>
            <w:noWrap/>
            <w:vAlign w:val="center"/>
            <w:hideMark/>
          </w:tcPr>
          <w:p w14:paraId="14FA4F0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1.9</w:t>
            </w:r>
          </w:p>
        </w:tc>
        <w:tc>
          <w:tcPr>
            <w:tcW w:w="1200" w:type="dxa"/>
            <w:gridSpan w:val="2"/>
            <w:tcBorders>
              <w:top w:val="nil"/>
              <w:left w:val="nil"/>
              <w:bottom w:val="nil"/>
              <w:right w:val="nil"/>
            </w:tcBorders>
            <w:shd w:val="clear" w:color="auto" w:fill="auto"/>
            <w:noWrap/>
            <w:vAlign w:val="center"/>
            <w:hideMark/>
          </w:tcPr>
          <w:p w14:paraId="61B5DFDC"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0.5</w:t>
            </w:r>
          </w:p>
        </w:tc>
        <w:tc>
          <w:tcPr>
            <w:tcW w:w="1200" w:type="dxa"/>
            <w:gridSpan w:val="2"/>
            <w:tcBorders>
              <w:top w:val="nil"/>
              <w:left w:val="nil"/>
              <w:bottom w:val="nil"/>
              <w:right w:val="nil"/>
            </w:tcBorders>
            <w:shd w:val="clear" w:color="auto" w:fill="auto"/>
            <w:noWrap/>
            <w:vAlign w:val="center"/>
            <w:hideMark/>
          </w:tcPr>
          <w:p w14:paraId="1959D67D"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-0.6</w:t>
            </w:r>
          </w:p>
        </w:tc>
        <w:tc>
          <w:tcPr>
            <w:tcW w:w="1200" w:type="dxa"/>
            <w:gridSpan w:val="2"/>
            <w:tcBorders>
              <w:top w:val="nil"/>
              <w:left w:val="nil"/>
              <w:bottom w:val="nil"/>
              <w:right w:val="single" w:sz="8" w:space="0" w:color="auto"/>
            </w:tcBorders>
            <w:shd w:val="clear" w:color="auto" w:fill="auto"/>
            <w:noWrap/>
            <w:vAlign w:val="center"/>
            <w:hideMark/>
          </w:tcPr>
          <w:p w14:paraId="26862B8A"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-1.9</w:t>
            </w:r>
          </w:p>
        </w:tc>
      </w:tr>
      <w:tr w:rsidR="00FB07C0" w:rsidRPr="00FB07C0" w14:paraId="3FAF5ED4" w14:textId="77777777" w:rsidTr="00265C09">
        <w:trPr>
          <w:trHeight w:val="300"/>
        </w:trPr>
        <w:tc>
          <w:tcPr>
            <w:tcW w:w="1134" w:type="dxa"/>
            <w:tcBorders>
              <w:top w:val="nil"/>
              <w:left w:val="single" w:sz="8" w:space="0" w:color="auto"/>
              <w:bottom w:val="nil"/>
              <w:right w:val="nil"/>
            </w:tcBorders>
            <w:shd w:val="clear" w:color="auto" w:fill="auto"/>
            <w:hideMark/>
          </w:tcPr>
          <w:p w14:paraId="4FBAF012"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2840" w:type="dxa"/>
            <w:gridSpan w:val="3"/>
            <w:tcBorders>
              <w:top w:val="nil"/>
              <w:left w:val="nil"/>
              <w:bottom w:val="nil"/>
              <w:right w:val="nil"/>
            </w:tcBorders>
            <w:shd w:val="clear" w:color="auto" w:fill="auto"/>
            <w:vAlign w:val="center"/>
            <w:hideMark/>
          </w:tcPr>
          <w:p w14:paraId="5198D062"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Zona del euro</w:t>
            </w:r>
          </w:p>
        </w:tc>
        <w:tc>
          <w:tcPr>
            <w:tcW w:w="1200" w:type="dxa"/>
            <w:gridSpan w:val="2"/>
            <w:tcBorders>
              <w:top w:val="nil"/>
              <w:left w:val="nil"/>
              <w:bottom w:val="nil"/>
              <w:right w:val="nil"/>
            </w:tcBorders>
            <w:shd w:val="clear" w:color="auto" w:fill="auto"/>
            <w:noWrap/>
            <w:vAlign w:val="center"/>
            <w:hideMark/>
          </w:tcPr>
          <w:p w14:paraId="6E7F2461"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3.3</w:t>
            </w:r>
          </w:p>
        </w:tc>
        <w:tc>
          <w:tcPr>
            <w:tcW w:w="1200" w:type="dxa"/>
            <w:gridSpan w:val="2"/>
            <w:tcBorders>
              <w:top w:val="nil"/>
              <w:left w:val="nil"/>
              <w:bottom w:val="nil"/>
              <w:right w:val="nil"/>
            </w:tcBorders>
            <w:shd w:val="clear" w:color="auto" w:fill="auto"/>
            <w:noWrap/>
            <w:vAlign w:val="center"/>
            <w:hideMark/>
          </w:tcPr>
          <w:p w14:paraId="1EA382D8"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w:t>
            </w:r>
          </w:p>
        </w:tc>
        <w:tc>
          <w:tcPr>
            <w:tcW w:w="1200" w:type="dxa"/>
            <w:gridSpan w:val="2"/>
            <w:tcBorders>
              <w:top w:val="nil"/>
              <w:left w:val="nil"/>
              <w:bottom w:val="nil"/>
              <w:right w:val="nil"/>
            </w:tcBorders>
            <w:shd w:val="clear" w:color="auto" w:fill="auto"/>
            <w:noWrap/>
            <w:vAlign w:val="center"/>
            <w:hideMark/>
          </w:tcPr>
          <w:p w14:paraId="01DF57A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0.8</w:t>
            </w:r>
          </w:p>
        </w:tc>
        <w:tc>
          <w:tcPr>
            <w:tcW w:w="1200" w:type="dxa"/>
            <w:gridSpan w:val="2"/>
            <w:tcBorders>
              <w:top w:val="nil"/>
              <w:left w:val="nil"/>
              <w:bottom w:val="nil"/>
              <w:right w:val="single" w:sz="8" w:space="0" w:color="auto"/>
            </w:tcBorders>
            <w:shd w:val="clear" w:color="auto" w:fill="auto"/>
            <w:noWrap/>
            <w:vAlign w:val="center"/>
            <w:hideMark/>
          </w:tcPr>
          <w:p w14:paraId="7031C06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-1.9</w:t>
            </w:r>
          </w:p>
        </w:tc>
      </w:tr>
      <w:tr w:rsidR="00FB07C0" w:rsidRPr="00FB07C0" w14:paraId="3F693FB5" w14:textId="77777777" w:rsidTr="00265C09">
        <w:trPr>
          <w:trHeight w:val="315"/>
        </w:trPr>
        <w:tc>
          <w:tcPr>
            <w:tcW w:w="1134" w:type="dxa"/>
            <w:tcBorders>
              <w:top w:val="nil"/>
              <w:left w:val="single" w:sz="8" w:space="0" w:color="auto"/>
              <w:bottom w:val="single" w:sz="8" w:space="0" w:color="auto"/>
              <w:right w:val="nil"/>
            </w:tcBorders>
            <w:shd w:val="clear" w:color="auto" w:fill="auto"/>
            <w:hideMark/>
          </w:tcPr>
          <w:p w14:paraId="45D5BDF6"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2840" w:type="dxa"/>
            <w:gridSpan w:val="3"/>
            <w:tcBorders>
              <w:top w:val="nil"/>
              <w:left w:val="nil"/>
              <w:bottom w:val="single" w:sz="8" w:space="0" w:color="auto"/>
              <w:right w:val="nil"/>
            </w:tcBorders>
            <w:shd w:val="clear" w:color="auto" w:fill="auto"/>
            <w:vAlign w:val="center"/>
            <w:hideMark/>
          </w:tcPr>
          <w:p w14:paraId="33E56321"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Japón</w:t>
            </w:r>
          </w:p>
        </w:tc>
        <w:tc>
          <w:tcPr>
            <w:tcW w:w="1200" w:type="dxa"/>
            <w:gridSpan w:val="2"/>
            <w:tcBorders>
              <w:top w:val="nil"/>
              <w:left w:val="nil"/>
              <w:bottom w:val="single" w:sz="8" w:space="0" w:color="auto"/>
              <w:right w:val="nil"/>
            </w:tcBorders>
            <w:shd w:val="clear" w:color="auto" w:fill="auto"/>
            <w:noWrap/>
            <w:vAlign w:val="center"/>
            <w:hideMark/>
          </w:tcPr>
          <w:p w14:paraId="0218BDE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1.2</w:t>
            </w:r>
          </w:p>
        </w:tc>
        <w:tc>
          <w:tcPr>
            <w:tcW w:w="1200" w:type="dxa"/>
            <w:gridSpan w:val="2"/>
            <w:tcBorders>
              <w:top w:val="nil"/>
              <w:left w:val="nil"/>
              <w:bottom w:val="single" w:sz="8" w:space="0" w:color="auto"/>
              <w:right w:val="nil"/>
            </w:tcBorders>
            <w:shd w:val="clear" w:color="auto" w:fill="auto"/>
            <w:noWrap/>
            <w:vAlign w:val="center"/>
            <w:hideMark/>
          </w:tcPr>
          <w:p w14:paraId="0A39593A"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w:t>
            </w:r>
          </w:p>
        </w:tc>
        <w:tc>
          <w:tcPr>
            <w:tcW w:w="1200" w:type="dxa"/>
            <w:gridSpan w:val="2"/>
            <w:tcBorders>
              <w:top w:val="nil"/>
              <w:left w:val="nil"/>
              <w:bottom w:val="single" w:sz="8" w:space="0" w:color="auto"/>
              <w:right w:val="nil"/>
            </w:tcBorders>
            <w:shd w:val="clear" w:color="auto" w:fill="auto"/>
            <w:noWrap/>
            <w:vAlign w:val="center"/>
            <w:hideMark/>
          </w:tcPr>
          <w:p w14:paraId="5520BC8B"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-0.5</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63EE135A"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-0.3</w:t>
            </w:r>
          </w:p>
        </w:tc>
      </w:tr>
      <w:tr w:rsidR="00FB07C0" w:rsidRPr="00FB07C0" w14:paraId="74A01F1A" w14:textId="77777777" w:rsidTr="00265C09">
        <w:trPr>
          <w:gridAfter w:val="1"/>
          <w:wAfter w:w="6" w:type="dxa"/>
          <w:trHeight w:val="450"/>
        </w:trPr>
        <w:tc>
          <w:tcPr>
            <w:tcW w:w="3968" w:type="dxa"/>
            <w:gridSpan w:val="3"/>
            <w:tcBorders>
              <w:top w:val="single" w:sz="8" w:space="0" w:color="auto"/>
              <w:left w:val="single" w:sz="8" w:space="0" w:color="auto"/>
              <w:bottom w:val="single" w:sz="8" w:space="0" w:color="auto"/>
              <w:right w:val="nil"/>
            </w:tcBorders>
            <w:shd w:val="clear" w:color="auto" w:fill="auto"/>
            <w:vAlign w:val="center"/>
            <w:hideMark/>
          </w:tcPr>
          <w:p w14:paraId="43BDDEB1" w14:textId="77777777" w:rsidR="00FB07C0" w:rsidRPr="00FB07C0" w:rsidRDefault="00FB07C0" w:rsidP="00FB07C0">
            <w:pPr>
              <w:spacing w:after="0" w:line="240" w:lineRule="auto"/>
              <w:rPr>
                <w:rFonts w:eastAsia="Times New Roman" w:cs="Calibri"/>
                <w:b/>
                <w:bCs/>
                <w:color w:val="000000"/>
                <w:sz w:val="16"/>
                <w:szCs w:val="16"/>
                <w:lang w:eastAsia="es-MX"/>
              </w:rPr>
            </w:pPr>
            <w:r w:rsidRPr="00FB07C0">
              <w:rPr>
                <w:rFonts w:eastAsia="Times New Roman" w:cs="Calibri"/>
                <w:b/>
                <w:bCs/>
                <w:color w:val="000000"/>
                <w:sz w:val="16"/>
                <w:szCs w:val="16"/>
                <w:lang w:eastAsia="es-MX"/>
              </w:rPr>
              <w:t>Mercados emergentes y economías en desarrollo (MEED)</w:t>
            </w:r>
          </w:p>
        </w:tc>
        <w:tc>
          <w:tcPr>
            <w:tcW w:w="1200" w:type="dxa"/>
            <w:gridSpan w:val="2"/>
            <w:tcBorders>
              <w:top w:val="nil"/>
              <w:left w:val="nil"/>
              <w:bottom w:val="single" w:sz="8" w:space="0" w:color="auto"/>
              <w:right w:val="nil"/>
            </w:tcBorders>
            <w:shd w:val="clear" w:color="auto" w:fill="auto"/>
            <w:noWrap/>
            <w:vAlign w:val="center"/>
            <w:hideMark/>
          </w:tcPr>
          <w:p w14:paraId="66150144" w14:textId="77777777" w:rsidR="00FB07C0" w:rsidRPr="00FB07C0" w:rsidRDefault="00FB07C0" w:rsidP="00FB07C0">
            <w:pPr>
              <w:spacing w:after="0" w:line="240" w:lineRule="auto"/>
              <w:jc w:val="center"/>
              <w:rPr>
                <w:rFonts w:eastAsia="Times New Roman" w:cs="Calibri"/>
                <w:b/>
                <w:bCs/>
                <w:color w:val="000000"/>
                <w:sz w:val="16"/>
                <w:szCs w:val="16"/>
                <w:lang w:eastAsia="es-MX"/>
              </w:rPr>
            </w:pPr>
            <w:r w:rsidRPr="00FB07C0">
              <w:rPr>
                <w:rFonts w:eastAsia="Times New Roman" w:cs="Calibri"/>
                <w:b/>
                <w:bCs/>
                <w:color w:val="000000"/>
                <w:sz w:val="16"/>
                <w:szCs w:val="16"/>
                <w:lang w:eastAsia="es-MX"/>
              </w:rPr>
              <w:t>3.4</w:t>
            </w:r>
          </w:p>
        </w:tc>
        <w:tc>
          <w:tcPr>
            <w:tcW w:w="1200" w:type="dxa"/>
            <w:gridSpan w:val="2"/>
            <w:tcBorders>
              <w:top w:val="nil"/>
              <w:left w:val="nil"/>
              <w:bottom w:val="single" w:sz="8" w:space="0" w:color="auto"/>
              <w:right w:val="nil"/>
            </w:tcBorders>
            <w:shd w:val="clear" w:color="auto" w:fill="auto"/>
            <w:noWrap/>
            <w:vAlign w:val="center"/>
            <w:hideMark/>
          </w:tcPr>
          <w:p w14:paraId="4EDE8D28" w14:textId="77777777" w:rsidR="00FB07C0" w:rsidRPr="00FB07C0" w:rsidRDefault="00FB07C0" w:rsidP="00FB07C0">
            <w:pPr>
              <w:spacing w:after="0" w:line="240" w:lineRule="auto"/>
              <w:jc w:val="center"/>
              <w:rPr>
                <w:rFonts w:eastAsia="Times New Roman" w:cs="Calibri"/>
                <w:b/>
                <w:bCs/>
                <w:color w:val="000000"/>
                <w:sz w:val="16"/>
                <w:szCs w:val="16"/>
                <w:lang w:eastAsia="es-MX"/>
              </w:rPr>
            </w:pPr>
            <w:r w:rsidRPr="00FB07C0">
              <w:rPr>
                <w:rFonts w:eastAsia="Times New Roman" w:cs="Calibri"/>
                <w:b/>
                <w:bCs/>
                <w:color w:val="000000"/>
                <w:sz w:val="16"/>
                <w:szCs w:val="16"/>
                <w:lang w:eastAsia="es-MX"/>
              </w:rPr>
              <w:t>3.4</w:t>
            </w:r>
          </w:p>
        </w:tc>
        <w:tc>
          <w:tcPr>
            <w:tcW w:w="1200" w:type="dxa"/>
            <w:gridSpan w:val="2"/>
            <w:tcBorders>
              <w:top w:val="nil"/>
              <w:left w:val="nil"/>
              <w:bottom w:val="single" w:sz="8" w:space="0" w:color="auto"/>
              <w:right w:val="nil"/>
            </w:tcBorders>
            <w:shd w:val="clear" w:color="auto" w:fill="auto"/>
            <w:noWrap/>
            <w:vAlign w:val="center"/>
            <w:hideMark/>
          </w:tcPr>
          <w:p w14:paraId="4ADA103F" w14:textId="77777777" w:rsidR="00FB07C0" w:rsidRPr="00FB07C0" w:rsidRDefault="00FB07C0" w:rsidP="00FB07C0">
            <w:pPr>
              <w:spacing w:after="0" w:line="240" w:lineRule="auto"/>
              <w:jc w:val="center"/>
              <w:rPr>
                <w:rFonts w:eastAsia="Times New Roman" w:cs="Calibri"/>
                <w:b/>
                <w:bCs/>
                <w:color w:val="000000"/>
                <w:sz w:val="16"/>
                <w:szCs w:val="16"/>
                <w:lang w:eastAsia="es-MX"/>
              </w:rPr>
            </w:pPr>
            <w:r w:rsidRPr="00FB07C0">
              <w:rPr>
                <w:rFonts w:eastAsia="Times New Roman" w:cs="Calibri"/>
                <w:b/>
                <w:bCs/>
                <w:color w:val="000000"/>
                <w:sz w:val="16"/>
                <w:szCs w:val="16"/>
                <w:lang w:eastAsia="es-MX"/>
              </w:rPr>
              <w:t>0</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2AAE1D20" w14:textId="77777777" w:rsidR="00FB07C0" w:rsidRPr="00FB07C0" w:rsidRDefault="00FB07C0" w:rsidP="00FB07C0">
            <w:pPr>
              <w:spacing w:after="0" w:line="240" w:lineRule="auto"/>
              <w:jc w:val="center"/>
              <w:rPr>
                <w:rFonts w:eastAsia="Times New Roman" w:cs="Calibri"/>
                <w:b/>
                <w:bCs/>
                <w:color w:val="000000"/>
                <w:sz w:val="16"/>
                <w:szCs w:val="16"/>
                <w:lang w:eastAsia="es-MX"/>
              </w:rPr>
            </w:pPr>
            <w:r w:rsidRPr="00FB07C0">
              <w:rPr>
                <w:rFonts w:eastAsia="Times New Roman" w:cs="Calibri"/>
                <w:b/>
                <w:bCs/>
                <w:color w:val="000000"/>
                <w:sz w:val="16"/>
                <w:szCs w:val="16"/>
                <w:lang w:eastAsia="es-MX"/>
              </w:rPr>
              <w:t>-0.8</w:t>
            </w:r>
          </w:p>
        </w:tc>
      </w:tr>
      <w:tr w:rsidR="00FB07C0" w:rsidRPr="00FB07C0" w14:paraId="3F09E9BB" w14:textId="77777777" w:rsidTr="00265C09">
        <w:trPr>
          <w:trHeight w:val="300"/>
        </w:trPr>
        <w:tc>
          <w:tcPr>
            <w:tcW w:w="1134" w:type="dxa"/>
            <w:tcBorders>
              <w:top w:val="nil"/>
              <w:left w:val="single" w:sz="8" w:space="0" w:color="auto"/>
              <w:bottom w:val="nil"/>
              <w:right w:val="nil"/>
            </w:tcBorders>
            <w:shd w:val="clear" w:color="auto" w:fill="auto"/>
            <w:hideMark/>
          </w:tcPr>
          <w:p w14:paraId="3DD6176A" w14:textId="77777777" w:rsidR="00FB07C0" w:rsidRPr="00FB07C0" w:rsidRDefault="00FB07C0" w:rsidP="00FB07C0">
            <w:pPr>
              <w:spacing w:after="0" w:line="240" w:lineRule="auto"/>
              <w:jc w:val="center"/>
              <w:rPr>
                <w:rFonts w:eastAsia="Times New Roman" w:cs="Calibri"/>
                <w:b/>
                <w:bCs/>
                <w:color w:val="000000"/>
                <w:sz w:val="16"/>
                <w:szCs w:val="16"/>
                <w:lang w:eastAsia="es-MX"/>
              </w:rPr>
            </w:pPr>
          </w:p>
        </w:tc>
        <w:tc>
          <w:tcPr>
            <w:tcW w:w="2840" w:type="dxa"/>
            <w:gridSpan w:val="3"/>
            <w:tcBorders>
              <w:top w:val="single" w:sz="8" w:space="0" w:color="auto"/>
              <w:left w:val="nil"/>
              <w:bottom w:val="nil"/>
              <w:right w:val="nil"/>
            </w:tcBorders>
            <w:shd w:val="clear" w:color="auto" w:fill="auto"/>
            <w:vAlign w:val="center"/>
            <w:hideMark/>
          </w:tcPr>
          <w:p w14:paraId="594D17CC"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Asia oriental y el Pacífico</w:t>
            </w:r>
          </w:p>
        </w:tc>
        <w:tc>
          <w:tcPr>
            <w:tcW w:w="1200" w:type="dxa"/>
            <w:gridSpan w:val="2"/>
            <w:tcBorders>
              <w:top w:val="nil"/>
              <w:left w:val="nil"/>
              <w:bottom w:val="nil"/>
              <w:right w:val="nil"/>
            </w:tcBorders>
            <w:shd w:val="clear" w:color="auto" w:fill="auto"/>
            <w:noWrap/>
            <w:vAlign w:val="center"/>
            <w:hideMark/>
          </w:tcPr>
          <w:p w14:paraId="7D96C23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3.2</w:t>
            </w:r>
          </w:p>
        </w:tc>
        <w:tc>
          <w:tcPr>
            <w:tcW w:w="1200" w:type="dxa"/>
            <w:gridSpan w:val="2"/>
            <w:tcBorders>
              <w:top w:val="nil"/>
              <w:left w:val="nil"/>
              <w:bottom w:val="nil"/>
              <w:right w:val="nil"/>
            </w:tcBorders>
            <w:shd w:val="clear" w:color="auto" w:fill="auto"/>
            <w:noWrap/>
            <w:vAlign w:val="center"/>
            <w:hideMark/>
          </w:tcPr>
          <w:p w14:paraId="1BA6121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4.3</w:t>
            </w:r>
          </w:p>
        </w:tc>
        <w:tc>
          <w:tcPr>
            <w:tcW w:w="1200" w:type="dxa"/>
            <w:gridSpan w:val="2"/>
            <w:tcBorders>
              <w:top w:val="nil"/>
              <w:left w:val="nil"/>
              <w:bottom w:val="nil"/>
              <w:right w:val="nil"/>
            </w:tcBorders>
            <w:shd w:val="clear" w:color="auto" w:fill="auto"/>
            <w:noWrap/>
            <w:vAlign w:val="center"/>
            <w:hideMark/>
          </w:tcPr>
          <w:p w14:paraId="4D1119A1"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-1.2</w:t>
            </w:r>
          </w:p>
        </w:tc>
        <w:tc>
          <w:tcPr>
            <w:tcW w:w="1200" w:type="dxa"/>
            <w:gridSpan w:val="2"/>
            <w:tcBorders>
              <w:top w:val="nil"/>
              <w:left w:val="nil"/>
              <w:bottom w:val="nil"/>
              <w:right w:val="single" w:sz="8" w:space="0" w:color="auto"/>
            </w:tcBorders>
            <w:shd w:val="clear" w:color="auto" w:fill="auto"/>
            <w:noWrap/>
            <w:vAlign w:val="center"/>
            <w:hideMark/>
          </w:tcPr>
          <w:p w14:paraId="24111972"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-0.9</w:t>
            </w:r>
          </w:p>
        </w:tc>
      </w:tr>
      <w:tr w:rsidR="00FB07C0" w:rsidRPr="00FB07C0" w14:paraId="7877C7C6" w14:textId="77777777" w:rsidTr="00265C09">
        <w:trPr>
          <w:trHeight w:val="300"/>
        </w:trPr>
        <w:tc>
          <w:tcPr>
            <w:tcW w:w="1134" w:type="dxa"/>
            <w:tcBorders>
              <w:top w:val="nil"/>
              <w:left w:val="single" w:sz="8" w:space="0" w:color="auto"/>
              <w:bottom w:val="nil"/>
              <w:right w:val="nil"/>
            </w:tcBorders>
            <w:shd w:val="clear" w:color="auto" w:fill="auto"/>
            <w:hideMark/>
          </w:tcPr>
          <w:p w14:paraId="7A587110"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14:paraId="2DF6739E"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14:paraId="62BE312A"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China</w:t>
            </w:r>
          </w:p>
        </w:tc>
        <w:tc>
          <w:tcPr>
            <w:tcW w:w="1200" w:type="dxa"/>
            <w:gridSpan w:val="2"/>
            <w:tcBorders>
              <w:top w:val="nil"/>
              <w:left w:val="nil"/>
              <w:bottom w:val="nil"/>
              <w:right w:val="nil"/>
            </w:tcBorders>
            <w:shd w:val="clear" w:color="auto" w:fill="auto"/>
            <w:noWrap/>
            <w:vAlign w:val="center"/>
            <w:hideMark/>
          </w:tcPr>
          <w:p w14:paraId="3570FE0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2.7</w:t>
            </w:r>
          </w:p>
        </w:tc>
        <w:tc>
          <w:tcPr>
            <w:tcW w:w="1200" w:type="dxa"/>
            <w:gridSpan w:val="2"/>
            <w:tcBorders>
              <w:top w:val="nil"/>
              <w:left w:val="nil"/>
              <w:bottom w:val="nil"/>
              <w:right w:val="nil"/>
            </w:tcBorders>
            <w:shd w:val="clear" w:color="auto" w:fill="auto"/>
            <w:noWrap/>
            <w:vAlign w:val="center"/>
            <w:hideMark/>
          </w:tcPr>
          <w:p w14:paraId="4ACD8631"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4.3</w:t>
            </w:r>
          </w:p>
        </w:tc>
        <w:tc>
          <w:tcPr>
            <w:tcW w:w="1200" w:type="dxa"/>
            <w:gridSpan w:val="2"/>
            <w:tcBorders>
              <w:top w:val="nil"/>
              <w:left w:val="nil"/>
              <w:bottom w:val="nil"/>
              <w:right w:val="nil"/>
            </w:tcBorders>
            <w:shd w:val="clear" w:color="auto" w:fill="auto"/>
            <w:noWrap/>
            <w:vAlign w:val="center"/>
            <w:hideMark/>
          </w:tcPr>
          <w:p w14:paraId="49A1DC1E"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-1.6</w:t>
            </w:r>
          </w:p>
        </w:tc>
        <w:tc>
          <w:tcPr>
            <w:tcW w:w="1200" w:type="dxa"/>
            <w:gridSpan w:val="2"/>
            <w:tcBorders>
              <w:top w:val="nil"/>
              <w:left w:val="nil"/>
              <w:bottom w:val="nil"/>
              <w:right w:val="single" w:sz="8" w:space="0" w:color="auto"/>
            </w:tcBorders>
            <w:shd w:val="clear" w:color="auto" w:fill="auto"/>
            <w:noWrap/>
            <w:vAlign w:val="center"/>
            <w:hideMark/>
          </w:tcPr>
          <w:p w14:paraId="61864E54"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-0.9</w:t>
            </w:r>
          </w:p>
        </w:tc>
      </w:tr>
      <w:tr w:rsidR="00FB07C0" w:rsidRPr="00FB07C0" w14:paraId="055819F9" w14:textId="77777777" w:rsidTr="00265C09">
        <w:trPr>
          <w:trHeight w:val="300"/>
        </w:trPr>
        <w:tc>
          <w:tcPr>
            <w:tcW w:w="1134" w:type="dxa"/>
            <w:tcBorders>
              <w:top w:val="nil"/>
              <w:left w:val="single" w:sz="8" w:space="0" w:color="auto"/>
              <w:bottom w:val="nil"/>
              <w:right w:val="nil"/>
            </w:tcBorders>
            <w:shd w:val="clear" w:color="auto" w:fill="auto"/>
            <w:hideMark/>
          </w:tcPr>
          <w:p w14:paraId="26380046"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14:paraId="4D6F5552"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14:paraId="4329071A"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Indonesia</w:t>
            </w:r>
          </w:p>
        </w:tc>
        <w:tc>
          <w:tcPr>
            <w:tcW w:w="1200" w:type="dxa"/>
            <w:gridSpan w:val="2"/>
            <w:tcBorders>
              <w:top w:val="nil"/>
              <w:left w:val="nil"/>
              <w:bottom w:val="nil"/>
              <w:right w:val="nil"/>
            </w:tcBorders>
            <w:shd w:val="clear" w:color="auto" w:fill="auto"/>
            <w:noWrap/>
            <w:vAlign w:val="center"/>
            <w:hideMark/>
          </w:tcPr>
          <w:p w14:paraId="180241E5"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5.2</w:t>
            </w:r>
          </w:p>
        </w:tc>
        <w:tc>
          <w:tcPr>
            <w:tcW w:w="1200" w:type="dxa"/>
            <w:gridSpan w:val="2"/>
            <w:tcBorders>
              <w:top w:val="nil"/>
              <w:left w:val="nil"/>
              <w:bottom w:val="nil"/>
              <w:right w:val="nil"/>
            </w:tcBorders>
            <w:shd w:val="clear" w:color="auto" w:fill="auto"/>
            <w:noWrap/>
            <w:vAlign w:val="center"/>
            <w:hideMark/>
          </w:tcPr>
          <w:p w14:paraId="29A6B2AD"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4.8</w:t>
            </w:r>
          </w:p>
        </w:tc>
        <w:tc>
          <w:tcPr>
            <w:tcW w:w="1200" w:type="dxa"/>
            <w:gridSpan w:val="2"/>
            <w:tcBorders>
              <w:top w:val="nil"/>
              <w:left w:val="nil"/>
              <w:bottom w:val="nil"/>
              <w:right w:val="nil"/>
            </w:tcBorders>
            <w:shd w:val="clear" w:color="auto" w:fill="auto"/>
            <w:noWrap/>
            <w:vAlign w:val="center"/>
            <w:hideMark/>
          </w:tcPr>
          <w:p w14:paraId="7B21716F"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0.1</w:t>
            </w:r>
          </w:p>
        </w:tc>
        <w:tc>
          <w:tcPr>
            <w:tcW w:w="1200" w:type="dxa"/>
            <w:gridSpan w:val="2"/>
            <w:tcBorders>
              <w:top w:val="nil"/>
              <w:left w:val="nil"/>
              <w:bottom w:val="nil"/>
              <w:right w:val="single" w:sz="8" w:space="0" w:color="auto"/>
            </w:tcBorders>
            <w:shd w:val="clear" w:color="auto" w:fill="auto"/>
            <w:noWrap/>
            <w:vAlign w:val="center"/>
            <w:hideMark/>
          </w:tcPr>
          <w:p w14:paraId="4D09A051"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-0.5</w:t>
            </w:r>
          </w:p>
        </w:tc>
      </w:tr>
      <w:tr w:rsidR="00FB07C0" w:rsidRPr="00FB07C0" w14:paraId="385FE0DE" w14:textId="77777777" w:rsidTr="00265C09">
        <w:trPr>
          <w:trHeight w:val="315"/>
        </w:trPr>
        <w:tc>
          <w:tcPr>
            <w:tcW w:w="1134" w:type="dxa"/>
            <w:tcBorders>
              <w:top w:val="nil"/>
              <w:left w:val="single" w:sz="8" w:space="0" w:color="auto"/>
              <w:bottom w:val="single" w:sz="8" w:space="0" w:color="auto"/>
              <w:right w:val="nil"/>
            </w:tcBorders>
            <w:shd w:val="clear" w:color="auto" w:fill="auto"/>
            <w:hideMark/>
          </w:tcPr>
          <w:p w14:paraId="1FE91111"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180" w:type="dxa"/>
            <w:tcBorders>
              <w:top w:val="nil"/>
              <w:left w:val="nil"/>
              <w:bottom w:val="single" w:sz="8" w:space="0" w:color="auto"/>
              <w:right w:val="nil"/>
            </w:tcBorders>
            <w:shd w:val="clear" w:color="auto" w:fill="auto"/>
            <w:hideMark/>
          </w:tcPr>
          <w:p w14:paraId="4B408813"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660" w:type="dxa"/>
            <w:gridSpan w:val="2"/>
            <w:tcBorders>
              <w:top w:val="nil"/>
              <w:left w:val="nil"/>
              <w:bottom w:val="single" w:sz="8" w:space="0" w:color="auto"/>
              <w:right w:val="nil"/>
            </w:tcBorders>
            <w:shd w:val="clear" w:color="auto" w:fill="auto"/>
            <w:vAlign w:val="center"/>
            <w:hideMark/>
          </w:tcPr>
          <w:p w14:paraId="05B12503"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Tailandia</w:t>
            </w:r>
          </w:p>
        </w:tc>
        <w:tc>
          <w:tcPr>
            <w:tcW w:w="1200" w:type="dxa"/>
            <w:gridSpan w:val="2"/>
            <w:tcBorders>
              <w:top w:val="nil"/>
              <w:left w:val="nil"/>
              <w:bottom w:val="single" w:sz="8" w:space="0" w:color="auto"/>
              <w:right w:val="nil"/>
            </w:tcBorders>
            <w:shd w:val="clear" w:color="auto" w:fill="auto"/>
            <w:noWrap/>
            <w:vAlign w:val="center"/>
            <w:hideMark/>
          </w:tcPr>
          <w:p w14:paraId="77E58AF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3.4</w:t>
            </w:r>
          </w:p>
        </w:tc>
        <w:tc>
          <w:tcPr>
            <w:tcW w:w="1200" w:type="dxa"/>
            <w:gridSpan w:val="2"/>
            <w:tcBorders>
              <w:top w:val="nil"/>
              <w:left w:val="nil"/>
              <w:bottom w:val="single" w:sz="8" w:space="0" w:color="auto"/>
              <w:right w:val="nil"/>
            </w:tcBorders>
            <w:shd w:val="clear" w:color="auto" w:fill="auto"/>
            <w:noWrap/>
            <w:vAlign w:val="center"/>
            <w:hideMark/>
          </w:tcPr>
          <w:p w14:paraId="3C117D1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3.6</w:t>
            </w:r>
          </w:p>
        </w:tc>
        <w:tc>
          <w:tcPr>
            <w:tcW w:w="1200" w:type="dxa"/>
            <w:gridSpan w:val="2"/>
            <w:tcBorders>
              <w:top w:val="nil"/>
              <w:left w:val="nil"/>
              <w:bottom w:val="single" w:sz="8" w:space="0" w:color="auto"/>
              <w:right w:val="nil"/>
            </w:tcBorders>
            <w:shd w:val="clear" w:color="auto" w:fill="auto"/>
            <w:noWrap/>
            <w:vAlign w:val="center"/>
            <w:hideMark/>
          </w:tcPr>
          <w:p w14:paraId="05F81D3E"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0.5</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1A86971D"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-0.7</w:t>
            </w:r>
          </w:p>
        </w:tc>
      </w:tr>
      <w:tr w:rsidR="00FB07C0" w:rsidRPr="00FB07C0" w14:paraId="0A2B4A5E" w14:textId="77777777" w:rsidTr="00265C09">
        <w:trPr>
          <w:trHeight w:val="300"/>
        </w:trPr>
        <w:tc>
          <w:tcPr>
            <w:tcW w:w="1134" w:type="dxa"/>
            <w:tcBorders>
              <w:top w:val="nil"/>
              <w:left w:val="single" w:sz="8" w:space="0" w:color="auto"/>
              <w:bottom w:val="nil"/>
              <w:right w:val="nil"/>
            </w:tcBorders>
            <w:shd w:val="clear" w:color="auto" w:fill="auto"/>
            <w:hideMark/>
          </w:tcPr>
          <w:p w14:paraId="51427A5E"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2840" w:type="dxa"/>
            <w:gridSpan w:val="3"/>
            <w:tcBorders>
              <w:top w:val="single" w:sz="8" w:space="0" w:color="auto"/>
              <w:left w:val="nil"/>
              <w:bottom w:val="nil"/>
              <w:right w:val="nil"/>
            </w:tcBorders>
            <w:shd w:val="clear" w:color="auto" w:fill="auto"/>
            <w:vAlign w:val="center"/>
            <w:hideMark/>
          </w:tcPr>
          <w:p w14:paraId="7E5D3A31"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Europa y Asia central</w:t>
            </w:r>
          </w:p>
        </w:tc>
        <w:tc>
          <w:tcPr>
            <w:tcW w:w="1200" w:type="dxa"/>
            <w:gridSpan w:val="2"/>
            <w:tcBorders>
              <w:top w:val="nil"/>
              <w:left w:val="nil"/>
              <w:bottom w:val="nil"/>
              <w:right w:val="nil"/>
            </w:tcBorders>
            <w:shd w:val="clear" w:color="auto" w:fill="auto"/>
            <w:noWrap/>
            <w:vAlign w:val="center"/>
            <w:hideMark/>
          </w:tcPr>
          <w:p w14:paraId="598E6608"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0.2</w:t>
            </w:r>
          </w:p>
        </w:tc>
        <w:tc>
          <w:tcPr>
            <w:tcW w:w="1200" w:type="dxa"/>
            <w:gridSpan w:val="2"/>
            <w:tcBorders>
              <w:top w:val="nil"/>
              <w:left w:val="nil"/>
              <w:bottom w:val="nil"/>
              <w:right w:val="nil"/>
            </w:tcBorders>
            <w:shd w:val="clear" w:color="auto" w:fill="auto"/>
            <w:noWrap/>
            <w:vAlign w:val="center"/>
            <w:hideMark/>
          </w:tcPr>
          <w:p w14:paraId="46ED210A"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0.1</w:t>
            </w:r>
          </w:p>
        </w:tc>
        <w:tc>
          <w:tcPr>
            <w:tcW w:w="1200" w:type="dxa"/>
            <w:gridSpan w:val="2"/>
            <w:tcBorders>
              <w:top w:val="nil"/>
              <w:left w:val="nil"/>
              <w:bottom w:val="nil"/>
              <w:right w:val="nil"/>
            </w:tcBorders>
            <w:shd w:val="clear" w:color="auto" w:fill="auto"/>
            <w:noWrap/>
            <w:vAlign w:val="center"/>
            <w:hideMark/>
          </w:tcPr>
          <w:p w14:paraId="1219583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3.2</w:t>
            </w:r>
          </w:p>
        </w:tc>
        <w:tc>
          <w:tcPr>
            <w:tcW w:w="1200" w:type="dxa"/>
            <w:gridSpan w:val="2"/>
            <w:tcBorders>
              <w:top w:val="nil"/>
              <w:left w:val="nil"/>
              <w:bottom w:val="nil"/>
              <w:right w:val="single" w:sz="8" w:space="0" w:color="auto"/>
            </w:tcBorders>
            <w:shd w:val="clear" w:color="auto" w:fill="auto"/>
            <w:noWrap/>
            <w:vAlign w:val="center"/>
            <w:hideMark/>
          </w:tcPr>
          <w:p w14:paraId="71594EA7"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-1.4</w:t>
            </w:r>
          </w:p>
        </w:tc>
      </w:tr>
      <w:tr w:rsidR="00FB07C0" w:rsidRPr="00FB07C0" w14:paraId="20D80680" w14:textId="77777777" w:rsidTr="00265C09">
        <w:trPr>
          <w:trHeight w:val="450"/>
        </w:trPr>
        <w:tc>
          <w:tcPr>
            <w:tcW w:w="1134" w:type="dxa"/>
            <w:tcBorders>
              <w:top w:val="nil"/>
              <w:left w:val="single" w:sz="8" w:space="0" w:color="auto"/>
              <w:bottom w:val="nil"/>
              <w:right w:val="nil"/>
            </w:tcBorders>
            <w:shd w:val="clear" w:color="auto" w:fill="auto"/>
            <w:hideMark/>
          </w:tcPr>
          <w:p w14:paraId="39D0A8A1"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14:paraId="14E1EFF9"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14:paraId="3ABFE1DF"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Federación de Rusia</w:t>
            </w:r>
          </w:p>
        </w:tc>
        <w:tc>
          <w:tcPr>
            <w:tcW w:w="1200" w:type="dxa"/>
            <w:gridSpan w:val="2"/>
            <w:tcBorders>
              <w:top w:val="nil"/>
              <w:left w:val="nil"/>
              <w:bottom w:val="nil"/>
              <w:right w:val="nil"/>
            </w:tcBorders>
            <w:shd w:val="clear" w:color="auto" w:fill="auto"/>
            <w:noWrap/>
            <w:vAlign w:val="center"/>
            <w:hideMark/>
          </w:tcPr>
          <w:p w14:paraId="6E490D9D"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-3.5</w:t>
            </w:r>
          </w:p>
        </w:tc>
        <w:tc>
          <w:tcPr>
            <w:tcW w:w="1200" w:type="dxa"/>
            <w:gridSpan w:val="2"/>
            <w:tcBorders>
              <w:top w:val="nil"/>
              <w:left w:val="nil"/>
              <w:bottom w:val="nil"/>
              <w:right w:val="nil"/>
            </w:tcBorders>
            <w:shd w:val="clear" w:color="auto" w:fill="auto"/>
            <w:noWrap/>
            <w:vAlign w:val="center"/>
            <w:hideMark/>
          </w:tcPr>
          <w:p w14:paraId="039C2591"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-3.3</w:t>
            </w:r>
          </w:p>
        </w:tc>
        <w:tc>
          <w:tcPr>
            <w:tcW w:w="1200" w:type="dxa"/>
            <w:gridSpan w:val="2"/>
            <w:tcBorders>
              <w:top w:val="nil"/>
              <w:left w:val="nil"/>
              <w:bottom w:val="nil"/>
              <w:right w:val="nil"/>
            </w:tcBorders>
            <w:shd w:val="clear" w:color="auto" w:fill="auto"/>
            <w:noWrap/>
            <w:vAlign w:val="center"/>
            <w:hideMark/>
          </w:tcPr>
          <w:p w14:paraId="1859E3F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5.4</w:t>
            </w:r>
          </w:p>
        </w:tc>
        <w:tc>
          <w:tcPr>
            <w:tcW w:w="1200" w:type="dxa"/>
            <w:gridSpan w:val="2"/>
            <w:tcBorders>
              <w:top w:val="nil"/>
              <w:left w:val="nil"/>
              <w:bottom w:val="nil"/>
              <w:right w:val="single" w:sz="8" w:space="0" w:color="auto"/>
            </w:tcBorders>
            <w:shd w:val="clear" w:color="auto" w:fill="auto"/>
            <w:noWrap/>
            <w:vAlign w:val="center"/>
            <w:hideMark/>
          </w:tcPr>
          <w:p w14:paraId="4B8AA490"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-1.3</w:t>
            </w:r>
          </w:p>
        </w:tc>
      </w:tr>
      <w:tr w:rsidR="00FB07C0" w:rsidRPr="00FB07C0" w14:paraId="6291C5F6" w14:textId="77777777" w:rsidTr="00265C09">
        <w:trPr>
          <w:trHeight w:val="300"/>
        </w:trPr>
        <w:tc>
          <w:tcPr>
            <w:tcW w:w="1134" w:type="dxa"/>
            <w:tcBorders>
              <w:top w:val="nil"/>
              <w:left w:val="single" w:sz="8" w:space="0" w:color="auto"/>
              <w:bottom w:val="nil"/>
              <w:right w:val="nil"/>
            </w:tcBorders>
            <w:shd w:val="clear" w:color="auto" w:fill="auto"/>
            <w:hideMark/>
          </w:tcPr>
          <w:p w14:paraId="1A7E1C57"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14:paraId="73120627"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14:paraId="1582EA20"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Türkiye</w:t>
            </w:r>
          </w:p>
        </w:tc>
        <w:tc>
          <w:tcPr>
            <w:tcW w:w="1200" w:type="dxa"/>
            <w:gridSpan w:val="2"/>
            <w:tcBorders>
              <w:top w:val="nil"/>
              <w:left w:val="nil"/>
              <w:bottom w:val="nil"/>
              <w:right w:val="nil"/>
            </w:tcBorders>
            <w:shd w:val="clear" w:color="auto" w:fill="auto"/>
            <w:noWrap/>
            <w:vAlign w:val="center"/>
            <w:hideMark/>
          </w:tcPr>
          <w:p w14:paraId="5A5C8D17"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4.7</w:t>
            </w:r>
          </w:p>
        </w:tc>
        <w:tc>
          <w:tcPr>
            <w:tcW w:w="1200" w:type="dxa"/>
            <w:gridSpan w:val="2"/>
            <w:tcBorders>
              <w:top w:val="nil"/>
              <w:left w:val="nil"/>
              <w:bottom w:val="nil"/>
              <w:right w:val="nil"/>
            </w:tcBorders>
            <w:shd w:val="clear" w:color="auto" w:fill="auto"/>
            <w:noWrap/>
            <w:vAlign w:val="center"/>
            <w:hideMark/>
          </w:tcPr>
          <w:p w14:paraId="2B9D7F6D"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2.7</w:t>
            </w:r>
          </w:p>
        </w:tc>
        <w:tc>
          <w:tcPr>
            <w:tcW w:w="1200" w:type="dxa"/>
            <w:gridSpan w:val="2"/>
            <w:tcBorders>
              <w:top w:val="nil"/>
              <w:left w:val="nil"/>
              <w:bottom w:val="nil"/>
              <w:right w:val="nil"/>
            </w:tcBorders>
            <w:shd w:val="clear" w:color="auto" w:fill="auto"/>
            <w:noWrap/>
            <w:vAlign w:val="center"/>
            <w:hideMark/>
          </w:tcPr>
          <w:p w14:paraId="542E4ACB"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2.4</w:t>
            </w:r>
          </w:p>
        </w:tc>
        <w:tc>
          <w:tcPr>
            <w:tcW w:w="1200" w:type="dxa"/>
            <w:gridSpan w:val="2"/>
            <w:tcBorders>
              <w:top w:val="nil"/>
              <w:left w:val="nil"/>
              <w:bottom w:val="nil"/>
              <w:right w:val="single" w:sz="8" w:space="0" w:color="auto"/>
            </w:tcBorders>
            <w:shd w:val="clear" w:color="auto" w:fill="auto"/>
            <w:noWrap/>
            <w:vAlign w:val="center"/>
            <w:hideMark/>
          </w:tcPr>
          <w:p w14:paraId="0EF8318E"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-0.5</w:t>
            </w:r>
          </w:p>
        </w:tc>
      </w:tr>
      <w:tr w:rsidR="00FB07C0" w:rsidRPr="00FB07C0" w14:paraId="433A446D" w14:textId="77777777" w:rsidTr="00265C09">
        <w:trPr>
          <w:trHeight w:val="315"/>
        </w:trPr>
        <w:tc>
          <w:tcPr>
            <w:tcW w:w="1134" w:type="dxa"/>
            <w:tcBorders>
              <w:top w:val="nil"/>
              <w:left w:val="single" w:sz="8" w:space="0" w:color="auto"/>
              <w:bottom w:val="single" w:sz="8" w:space="0" w:color="auto"/>
              <w:right w:val="nil"/>
            </w:tcBorders>
            <w:shd w:val="clear" w:color="auto" w:fill="auto"/>
            <w:hideMark/>
          </w:tcPr>
          <w:p w14:paraId="0D64631C"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180" w:type="dxa"/>
            <w:tcBorders>
              <w:top w:val="nil"/>
              <w:left w:val="nil"/>
              <w:bottom w:val="single" w:sz="8" w:space="0" w:color="auto"/>
              <w:right w:val="nil"/>
            </w:tcBorders>
            <w:shd w:val="clear" w:color="auto" w:fill="auto"/>
            <w:hideMark/>
          </w:tcPr>
          <w:p w14:paraId="5F3ADC7F"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660" w:type="dxa"/>
            <w:gridSpan w:val="2"/>
            <w:tcBorders>
              <w:top w:val="nil"/>
              <w:left w:val="nil"/>
              <w:bottom w:val="single" w:sz="8" w:space="0" w:color="auto"/>
              <w:right w:val="nil"/>
            </w:tcBorders>
            <w:shd w:val="clear" w:color="auto" w:fill="auto"/>
            <w:vAlign w:val="center"/>
            <w:hideMark/>
          </w:tcPr>
          <w:p w14:paraId="7029DE3C"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Polonia</w:t>
            </w:r>
          </w:p>
        </w:tc>
        <w:tc>
          <w:tcPr>
            <w:tcW w:w="1200" w:type="dxa"/>
            <w:gridSpan w:val="2"/>
            <w:tcBorders>
              <w:top w:val="nil"/>
              <w:left w:val="nil"/>
              <w:bottom w:val="single" w:sz="8" w:space="0" w:color="auto"/>
              <w:right w:val="nil"/>
            </w:tcBorders>
            <w:shd w:val="clear" w:color="auto" w:fill="auto"/>
            <w:noWrap/>
            <w:vAlign w:val="center"/>
            <w:hideMark/>
          </w:tcPr>
          <w:p w14:paraId="113F856E"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4.4</w:t>
            </w:r>
          </w:p>
        </w:tc>
        <w:tc>
          <w:tcPr>
            <w:tcW w:w="1200" w:type="dxa"/>
            <w:gridSpan w:val="2"/>
            <w:tcBorders>
              <w:top w:val="nil"/>
              <w:left w:val="nil"/>
              <w:bottom w:val="single" w:sz="8" w:space="0" w:color="auto"/>
              <w:right w:val="nil"/>
            </w:tcBorders>
            <w:shd w:val="clear" w:color="auto" w:fill="auto"/>
            <w:noWrap/>
            <w:vAlign w:val="center"/>
            <w:hideMark/>
          </w:tcPr>
          <w:p w14:paraId="4CEE9A8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0.7</w:t>
            </w:r>
          </w:p>
        </w:tc>
        <w:tc>
          <w:tcPr>
            <w:tcW w:w="1200" w:type="dxa"/>
            <w:gridSpan w:val="2"/>
            <w:tcBorders>
              <w:top w:val="nil"/>
              <w:left w:val="nil"/>
              <w:bottom w:val="single" w:sz="8" w:space="0" w:color="auto"/>
              <w:right w:val="nil"/>
            </w:tcBorders>
            <w:shd w:val="clear" w:color="auto" w:fill="auto"/>
            <w:noWrap/>
            <w:vAlign w:val="center"/>
            <w:hideMark/>
          </w:tcPr>
          <w:p w14:paraId="78AA6D5A"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0.5</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3D3206C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-2.9</w:t>
            </w:r>
          </w:p>
        </w:tc>
      </w:tr>
      <w:tr w:rsidR="00FB07C0" w:rsidRPr="00FB07C0" w14:paraId="35BCF3D6" w14:textId="77777777" w:rsidTr="00265C09">
        <w:trPr>
          <w:trHeight w:val="300"/>
        </w:trPr>
        <w:tc>
          <w:tcPr>
            <w:tcW w:w="1134" w:type="dxa"/>
            <w:tcBorders>
              <w:top w:val="nil"/>
              <w:left w:val="single" w:sz="8" w:space="0" w:color="auto"/>
              <w:bottom w:val="nil"/>
              <w:right w:val="nil"/>
            </w:tcBorders>
            <w:shd w:val="clear" w:color="auto" w:fill="auto"/>
            <w:hideMark/>
          </w:tcPr>
          <w:p w14:paraId="2D5FDE6B"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2840" w:type="dxa"/>
            <w:gridSpan w:val="3"/>
            <w:tcBorders>
              <w:top w:val="single" w:sz="8" w:space="0" w:color="auto"/>
              <w:left w:val="nil"/>
              <w:bottom w:val="nil"/>
              <w:right w:val="nil"/>
            </w:tcBorders>
            <w:shd w:val="clear" w:color="auto" w:fill="auto"/>
            <w:vAlign w:val="center"/>
            <w:hideMark/>
          </w:tcPr>
          <w:p w14:paraId="51E47A06"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América Latina y el Caribe</w:t>
            </w:r>
          </w:p>
        </w:tc>
        <w:tc>
          <w:tcPr>
            <w:tcW w:w="1200" w:type="dxa"/>
            <w:gridSpan w:val="2"/>
            <w:tcBorders>
              <w:top w:val="nil"/>
              <w:left w:val="nil"/>
              <w:bottom w:val="nil"/>
              <w:right w:val="nil"/>
            </w:tcBorders>
            <w:shd w:val="clear" w:color="auto" w:fill="auto"/>
            <w:noWrap/>
            <w:vAlign w:val="center"/>
            <w:hideMark/>
          </w:tcPr>
          <w:p w14:paraId="452A192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3.6</w:t>
            </w:r>
          </w:p>
        </w:tc>
        <w:tc>
          <w:tcPr>
            <w:tcW w:w="1200" w:type="dxa"/>
            <w:gridSpan w:val="2"/>
            <w:tcBorders>
              <w:top w:val="nil"/>
              <w:left w:val="nil"/>
              <w:bottom w:val="nil"/>
              <w:right w:val="nil"/>
            </w:tcBorders>
            <w:shd w:val="clear" w:color="auto" w:fill="auto"/>
            <w:noWrap/>
            <w:vAlign w:val="center"/>
            <w:hideMark/>
          </w:tcPr>
          <w:p w14:paraId="7B132F3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1.3</w:t>
            </w:r>
          </w:p>
        </w:tc>
        <w:tc>
          <w:tcPr>
            <w:tcW w:w="1200" w:type="dxa"/>
            <w:gridSpan w:val="2"/>
            <w:tcBorders>
              <w:top w:val="nil"/>
              <w:left w:val="nil"/>
              <w:bottom w:val="nil"/>
              <w:right w:val="nil"/>
            </w:tcBorders>
            <w:shd w:val="clear" w:color="auto" w:fill="auto"/>
            <w:noWrap/>
            <w:vAlign w:val="center"/>
            <w:hideMark/>
          </w:tcPr>
          <w:p w14:paraId="2A06AF6A"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1.1</w:t>
            </w:r>
          </w:p>
        </w:tc>
        <w:tc>
          <w:tcPr>
            <w:tcW w:w="1200" w:type="dxa"/>
            <w:gridSpan w:val="2"/>
            <w:tcBorders>
              <w:top w:val="nil"/>
              <w:left w:val="nil"/>
              <w:bottom w:val="nil"/>
              <w:right w:val="single" w:sz="8" w:space="0" w:color="auto"/>
            </w:tcBorders>
            <w:shd w:val="clear" w:color="auto" w:fill="auto"/>
            <w:noWrap/>
            <w:vAlign w:val="center"/>
            <w:hideMark/>
          </w:tcPr>
          <w:p w14:paraId="5D8440F6"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-0.6</w:t>
            </w:r>
          </w:p>
        </w:tc>
      </w:tr>
      <w:tr w:rsidR="00FB07C0" w:rsidRPr="00FB07C0" w14:paraId="3E8F8FEE" w14:textId="77777777" w:rsidTr="00265C09">
        <w:trPr>
          <w:trHeight w:val="300"/>
        </w:trPr>
        <w:tc>
          <w:tcPr>
            <w:tcW w:w="1134" w:type="dxa"/>
            <w:tcBorders>
              <w:top w:val="nil"/>
              <w:left w:val="single" w:sz="8" w:space="0" w:color="auto"/>
              <w:bottom w:val="nil"/>
              <w:right w:val="nil"/>
            </w:tcBorders>
            <w:shd w:val="clear" w:color="auto" w:fill="auto"/>
            <w:hideMark/>
          </w:tcPr>
          <w:p w14:paraId="2CE323BF"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14:paraId="20DF2969"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14:paraId="2C445E83"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Brasil</w:t>
            </w:r>
          </w:p>
        </w:tc>
        <w:tc>
          <w:tcPr>
            <w:tcW w:w="1200" w:type="dxa"/>
            <w:gridSpan w:val="2"/>
            <w:tcBorders>
              <w:top w:val="nil"/>
              <w:left w:val="nil"/>
              <w:bottom w:val="nil"/>
              <w:right w:val="nil"/>
            </w:tcBorders>
            <w:shd w:val="clear" w:color="auto" w:fill="auto"/>
            <w:noWrap/>
            <w:vAlign w:val="center"/>
            <w:hideMark/>
          </w:tcPr>
          <w:p w14:paraId="55EA985D"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w:t>
            </w:r>
          </w:p>
        </w:tc>
        <w:tc>
          <w:tcPr>
            <w:tcW w:w="1200" w:type="dxa"/>
            <w:gridSpan w:val="2"/>
            <w:tcBorders>
              <w:top w:val="nil"/>
              <w:left w:val="nil"/>
              <w:bottom w:val="nil"/>
              <w:right w:val="nil"/>
            </w:tcBorders>
            <w:shd w:val="clear" w:color="auto" w:fill="auto"/>
            <w:noWrap/>
            <w:vAlign w:val="center"/>
            <w:hideMark/>
          </w:tcPr>
          <w:p w14:paraId="23E3FA4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0.8</w:t>
            </w:r>
          </w:p>
        </w:tc>
        <w:tc>
          <w:tcPr>
            <w:tcW w:w="1200" w:type="dxa"/>
            <w:gridSpan w:val="2"/>
            <w:tcBorders>
              <w:top w:val="nil"/>
              <w:left w:val="nil"/>
              <w:bottom w:val="nil"/>
              <w:right w:val="nil"/>
            </w:tcBorders>
            <w:shd w:val="clear" w:color="auto" w:fill="auto"/>
            <w:noWrap/>
            <w:vAlign w:val="center"/>
            <w:hideMark/>
          </w:tcPr>
          <w:p w14:paraId="7C057578"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1.5</w:t>
            </w:r>
          </w:p>
        </w:tc>
        <w:tc>
          <w:tcPr>
            <w:tcW w:w="1200" w:type="dxa"/>
            <w:gridSpan w:val="2"/>
            <w:tcBorders>
              <w:top w:val="nil"/>
              <w:left w:val="nil"/>
              <w:bottom w:val="nil"/>
              <w:right w:val="single" w:sz="8" w:space="0" w:color="auto"/>
            </w:tcBorders>
            <w:shd w:val="clear" w:color="auto" w:fill="auto"/>
            <w:noWrap/>
            <w:vAlign w:val="center"/>
            <w:hideMark/>
          </w:tcPr>
          <w:p w14:paraId="78786A36"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w:t>
            </w:r>
          </w:p>
        </w:tc>
      </w:tr>
      <w:tr w:rsidR="00FB07C0" w:rsidRPr="00FB07C0" w14:paraId="19EFB8A0" w14:textId="77777777" w:rsidTr="00265C09">
        <w:trPr>
          <w:trHeight w:val="300"/>
        </w:trPr>
        <w:tc>
          <w:tcPr>
            <w:tcW w:w="1134" w:type="dxa"/>
            <w:tcBorders>
              <w:top w:val="nil"/>
              <w:left w:val="single" w:sz="8" w:space="0" w:color="auto"/>
              <w:bottom w:val="nil"/>
              <w:right w:val="nil"/>
            </w:tcBorders>
            <w:shd w:val="clear" w:color="auto" w:fill="auto"/>
            <w:hideMark/>
          </w:tcPr>
          <w:p w14:paraId="2491701C"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14:paraId="7A86A30E"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14:paraId="1A2A5BD4"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México</w:t>
            </w:r>
          </w:p>
        </w:tc>
        <w:tc>
          <w:tcPr>
            <w:tcW w:w="1200" w:type="dxa"/>
            <w:gridSpan w:val="2"/>
            <w:tcBorders>
              <w:top w:val="nil"/>
              <w:left w:val="nil"/>
              <w:bottom w:val="nil"/>
              <w:right w:val="nil"/>
            </w:tcBorders>
            <w:shd w:val="clear" w:color="auto" w:fill="auto"/>
            <w:noWrap/>
            <w:vAlign w:val="center"/>
            <w:hideMark/>
          </w:tcPr>
          <w:p w14:paraId="6611A4B6"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2.6</w:t>
            </w:r>
          </w:p>
        </w:tc>
        <w:tc>
          <w:tcPr>
            <w:tcW w:w="1200" w:type="dxa"/>
            <w:gridSpan w:val="2"/>
            <w:tcBorders>
              <w:top w:val="nil"/>
              <w:left w:val="nil"/>
              <w:bottom w:val="nil"/>
              <w:right w:val="nil"/>
            </w:tcBorders>
            <w:shd w:val="clear" w:color="auto" w:fill="auto"/>
            <w:noWrap/>
            <w:vAlign w:val="center"/>
            <w:hideMark/>
          </w:tcPr>
          <w:p w14:paraId="4DE8CC02"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0.9</w:t>
            </w:r>
          </w:p>
        </w:tc>
        <w:tc>
          <w:tcPr>
            <w:tcW w:w="1200" w:type="dxa"/>
            <w:gridSpan w:val="2"/>
            <w:tcBorders>
              <w:top w:val="nil"/>
              <w:left w:val="nil"/>
              <w:bottom w:val="nil"/>
              <w:right w:val="nil"/>
            </w:tcBorders>
            <w:shd w:val="clear" w:color="auto" w:fill="auto"/>
            <w:noWrap/>
            <w:vAlign w:val="center"/>
            <w:hideMark/>
          </w:tcPr>
          <w:p w14:paraId="76E7462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0.9</w:t>
            </w:r>
          </w:p>
        </w:tc>
        <w:tc>
          <w:tcPr>
            <w:tcW w:w="1200" w:type="dxa"/>
            <w:gridSpan w:val="2"/>
            <w:tcBorders>
              <w:top w:val="nil"/>
              <w:left w:val="nil"/>
              <w:bottom w:val="nil"/>
              <w:right w:val="single" w:sz="8" w:space="0" w:color="auto"/>
            </w:tcBorders>
            <w:shd w:val="clear" w:color="auto" w:fill="auto"/>
            <w:noWrap/>
            <w:vAlign w:val="center"/>
            <w:hideMark/>
          </w:tcPr>
          <w:p w14:paraId="217B8024"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w:t>
            </w:r>
          </w:p>
        </w:tc>
      </w:tr>
      <w:tr w:rsidR="00FB07C0" w:rsidRPr="00FB07C0" w14:paraId="4EB2714B" w14:textId="77777777" w:rsidTr="00265C09">
        <w:trPr>
          <w:trHeight w:val="315"/>
        </w:trPr>
        <w:tc>
          <w:tcPr>
            <w:tcW w:w="1134" w:type="dxa"/>
            <w:tcBorders>
              <w:top w:val="nil"/>
              <w:left w:val="single" w:sz="8" w:space="0" w:color="auto"/>
              <w:bottom w:val="single" w:sz="8" w:space="0" w:color="auto"/>
              <w:right w:val="nil"/>
            </w:tcBorders>
            <w:shd w:val="clear" w:color="auto" w:fill="auto"/>
            <w:hideMark/>
          </w:tcPr>
          <w:p w14:paraId="1C8A99E9"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180" w:type="dxa"/>
            <w:tcBorders>
              <w:top w:val="nil"/>
              <w:left w:val="nil"/>
              <w:bottom w:val="single" w:sz="8" w:space="0" w:color="auto"/>
              <w:right w:val="nil"/>
            </w:tcBorders>
            <w:shd w:val="clear" w:color="auto" w:fill="auto"/>
            <w:hideMark/>
          </w:tcPr>
          <w:p w14:paraId="0C3F3393"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660" w:type="dxa"/>
            <w:gridSpan w:val="2"/>
            <w:tcBorders>
              <w:top w:val="nil"/>
              <w:left w:val="nil"/>
              <w:bottom w:val="single" w:sz="8" w:space="0" w:color="auto"/>
              <w:right w:val="nil"/>
            </w:tcBorders>
            <w:shd w:val="clear" w:color="auto" w:fill="auto"/>
            <w:vAlign w:val="center"/>
            <w:hideMark/>
          </w:tcPr>
          <w:p w14:paraId="6FAA3D28"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Argentina</w:t>
            </w:r>
          </w:p>
        </w:tc>
        <w:tc>
          <w:tcPr>
            <w:tcW w:w="1200" w:type="dxa"/>
            <w:gridSpan w:val="2"/>
            <w:tcBorders>
              <w:top w:val="nil"/>
              <w:left w:val="nil"/>
              <w:bottom w:val="single" w:sz="8" w:space="0" w:color="auto"/>
              <w:right w:val="nil"/>
            </w:tcBorders>
            <w:shd w:val="clear" w:color="auto" w:fill="auto"/>
            <w:noWrap/>
            <w:vAlign w:val="center"/>
            <w:hideMark/>
          </w:tcPr>
          <w:p w14:paraId="70F90E8E"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5.2</w:t>
            </w:r>
          </w:p>
        </w:tc>
        <w:tc>
          <w:tcPr>
            <w:tcW w:w="1200" w:type="dxa"/>
            <w:gridSpan w:val="2"/>
            <w:tcBorders>
              <w:top w:val="nil"/>
              <w:left w:val="nil"/>
              <w:bottom w:val="single" w:sz="8" w:space="0" w:color="auto"/>
              <w:right w:val="nil"/>
            </w:tcBorders>
            <w:shd w:val="clear" w:color="auto" w:fill="auto"/>
            <w:noWrap/>
            <w:vAlign w:val="center"/>
            <w:hideMark/>
          </w:tcPr>
          <w:p w14:paraId="1DB05480"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w:t>
            </w:r>
          </w:p>
        </w:tc>
        <w:tc>
          <w:tcPr>
            <w:tcW w:w="1200" w:type="dxa"/>
            <w:gridSpan w:val="2"/>
            <w:tcBorders>
              <w:top w:val="nil"/>
              <w:left w:val="nil"/>
              <w:bottom w:val="single" w:sz="8" w:space="0" w:color="auto"/>
              <w:right w:val="nil"/>
            </w:tcBorders>
            <w:shd w:val="clear" w:color="auto" w:fill="auto"/>
            <w:noWrap/>
            <w:vAlign w:val="center"/>
            <w:hideMark/>
          </w:tcPr>
          <w:p w14:paraId="10A6702B"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0.7</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5C29E7E7"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-0.5</w:t>
            </w:r>
          </w:p>
        </w:tc>
      </w:tr>
      <w:tr w:rsidR="00FB07C0" w:rsidRPr="00FB07C0" w14:paraId="2FED307A" w14:textId="77777777" w:rsidTr="00265C09">
        <w:trPr>
          <w:trHeight w:val="300"/>
        </w:trPr>
        <w:tc>
          <w:tcPr>
            <w:tcW w:w="1134" w:type="dxa"/>
            <w:tcBorders>
              <w:top w:val="nil"/>
              <w:left w:val="single" w:sz="8" w:space="0" w:color="auto"/>
              <w:bottom w:val="nil"/>
              <w:right w:val="nil"/>
            </w:tcBorders>
            <w:shd w:val="clear" w:color="auto" w:fill="auto"/>
            <w:hideMark/>
          </w:tcPr>
          <w:p w14:paraId="2EB12510"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2840" w:type="dxa"/>
            <w:gridSpan w:val="3"/>
            <w:tcBorders>
              <w:top w:val="single" w:sz="8" w:space="0" w:color="auto"/>
              <w:left w:val="nil"/>
              <w:bottom w:val="nil"/>
              <w:right w:val="nil"/>
            </w:tcBorders>
            <w:shd w:val="clear" w:color="auto" w:fill="auto"/>
            <w:vAlign w:val="center"/>
            <w:hideMark/>
          </w:tcPr>
          <w:p w14:paraId="5CE78FFB"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 xml:space="preserve">Oriente Medio y Norte de África </w:t>
            </w:r>
          </w:p>
        </w:tc>
        <w:tc>
          <w:tcPr>
            <w:tcW w:w="1200" w:type="dxa"/>
            <w:gridSpan w:val="2"/>
            <w:tcBorders>
              <w:top w:val="nil"/>
              <w:left w:val="nil"/>
              <w:bottom w:val="nil"/>
              <w:right w:val="nil"/>
            </w:tcBorders>
            <w:shd w:val="clear" w:color="auto" w:fill="auto"/>
            <w:noWrap/>
            <w:vAlign w:val="center"/>
            <w:hideMark/>
          </w:tcPr>
          <w:p w14:paraId="3A8B80BA"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5.7</w:t>
            </w:r>
          </w:p>
        </w:tc>
        <w:tc>
          <w:tcPr>
            <w:tcW w:w="1200" w:type="dxa"/>
            <w:gridSpan w:val="2"/>
            <w:tcBorders>
              <w:top w:val="nil"/>
              <w:left w:val="nil"/>
              <w:bottom w:val="nil"/>
              <w:right w:val="nil"/>
            </w:tcBorders>
            <w:shd w:val="clear" w:color="auto" w:fill="auto"/>
            <w:noWrap/>
            <w:vAlign w:val="center"/>
            <w:hideMark/>
          </w:tcPr>
          <w:p w14:paraId="14D632AB"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3.5</w:t>
            </w:r>
          </w:p>
        </w:tc>
        <w:tc>
          <w:tcPr>
            <w:tcW w:w="1200" w:type="dxa"/>
            <w:gridSpan w:val="2"/>
            <w:tcBorders>
              <w:top w:val="nil"/>
              <w:left w:val="nil"/>
              <w:bottom w:val="nil"/>
              <w:right w:val="nil"/>
            </w:tcBorders>
            <w:shd w:val="clear" w:color="auto" w:fill="auto"/>
            <w:noWrap/>
            <w:vAlign w:val="center"/>
            <w:hideMark/>
          </w:tcPr>
          <w:p w14:paraId="78628E74"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0.4</w:t>
            </w:r>
          </w:p>
        </w:tc>
        <w:tc>
          <w:tcPr>
            <w:tcW w:w="1200" w:type="dxa"/>
            <w:gridSpan w:val="2"/>
            <w:tcBorders>
              <w:top w:val="nil"/>
              <w:left w:val="nil"/>
              <w:bottom w:val="nil"/>
              <w:right w:val="single" w:sz="8" w:space="0" w:color="auto"/>
            </w:tcBorders>
            <w:shd w:val="clear" w:color="auto" w:fill="auto"/>
            <w:noWrap/>
            <w:vAlign w:val="center"/>
            <w:hideMark/>
          </w:tcPr>
          <w:p w14:paraId="77FFEB27"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-0.1</w:t>
            </w:r>
          </w:p>
        </w:tc>
      </w:tr>
      <w:tr w:rsidR="00FB07C0" w:rsidRPr="00FB07C0" w14:paraId="03A6D6B2" w14:textId="77777777" w:rsidTr="00265C09">
        <w:trPr>
          <w:trHeight w:val="300"/>
        </w:trPr>
        <w:tc>
          <w:tcPr>
            <w:tcW w:w="1134" w:type="dxa"/>
            <w:tcBorders>
              <w:top w:val="nil"/>
              <w:left w:val="single" w:sz="8" w:space="0" w:color="auto"/>
              <w:bottom w:val="nil"/>
              <w:right w:val="nil"/>
            </w:tcBorders>
            <w:shd w:val="clear" w:color="auto" w:fill="auto"/>
            <w:hideMark/>
          </w:tcPr>
          <w:p w14:paraId="39699528"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14:paraId="228BFB65"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14:paraId="6F381FB0"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Arabia Saudita</w:t>
            </w:r>
          </w:p>
        </w:tc>
        <w:tc>
          <w:tcPr>
            <w:tcW w:w="1200" w:type="dxa"/>
            <w:gridSpan w:val="2"/>
            <w:tcBorders>
              <w:top w:val="nil"/>
              <w:left w:val="nil"/>
              <w:bottom w:val="nil"/>
              <w:right w:val="nil"/>
            </w:tcBorders>
            <w:shd w:val="clear" w:color="auto" w:fill="auto"/>
            <w:noWrap/>
            <w:vAlign w:val="center"/>
            <w:hideMark/>
          </w:tcPr>
          <w:p w14:paraId="5724A68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8.3</w:t>
            </w:r>
          </w:p>
        </w:tc>
        <w:tc>
          <w:tcPr>
            <w:tcW w:w="1200" w:type="dxa"/>
            <w:gridSpan w:val="2"/>
            <w:tcBorders>
              <w:top w:val="nil"/>
              <w:left w:val="nil"/>
              <w:bottom w:val="nil"/>
              <w:right w:val="nil"/>
            </w:tcBorders>
            <w:shd w:val="clear" w:color="auto" w:fill="auto"/>
            <w:noWrap/>
            <w:vAlign w:val="center"/>
            <w:hideMark/>
          </w:tcPr>
          <w:p w14:paraId="3414C7EE"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3.7</w:t>
            </w:r>
          </w:p>
        </w:tc>
        <w:tc>
          <w:tcPr>
            <w:tcW w:w="1200" w:type="dxa"/>
            <w:gridSpan w:val="2"/>
            <w:tcBorders>
              <w:top w:val="nil"/>
              <w:left w:val="nil"/>
              <w:bottom w:val="nil"/>
              <w:right w:val="nil"/>
            </w:tcBorders>
            <w:shd w:val="clear" w:color="auto" w:fill="auto"/>
            <w:noWrap/>
            <w:vAlign w:val="center"/>
            <w:hideMark/>
          </w:tcPr>
          <w:p w14:paraId="1C46D53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1.3</w:t>
            </w:r>
          </w:p>
        </w:tc>
        <w:tc>
          <w:tcPr>
            <w:tcW w:w="1200" w:type="dxa"/>
            <w:gridSpan w:val="2"/>
            <w:tcBorders>
              <w:top w:val="nil"/>
              <w:left w:val="nil"/>
              <w:bottom w:val="nil"/>
              <w:right w:val="single" w:sz="8" w:space="0" w:color="auto"/>
            </w:tcBorders>
            <w:shd w:val="clear" w:color="auto" w:fill="auto"/>
            <w:noWrap/>
            <w:vAlign w:val="center"/>
            <w:hideMark/>
          </w:tcPr>
          <w:p w14:paraId="646EA46D"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-0.1</w:t>
            </w:r>
          </w:p>
        </w:tc>
      </w:tr>
      <w:tr w:rsidR="00FB07C0" w:rsidRPr="00FB07C0" w14:paraId="67BE1C16" w14:textId="77777777" w:rsidTr="00265C09">
        <w:trPr>
          <w:trHeight w:val="480"/>
        </w:trPr>
        <w:tc>
          <w:tcPr>
            <w:tcW w:w="1134" w:type="dxa"/>
            <w:tcBorders>
              <w:top w:val="nil"/>
              <w:left w:val="single" w:sz="8" w:space="0" w:color="auto"/>
              <w:bottom w:val="nil"/>
              <w:right w:val="nil"/>
            </w:tcBorders>
            <w:shd w:val="clear" w:color="auto" w:fill="auto"/>
            <w:hideMark/>
          </w:tcPr>
          <w:p w14:paraId="32873020"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14:paraId="074DFDB7"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14:paraId="560B10E6"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Irán, Rep. Islámica del</w:t>
            </w:r>
            <w:r w:rsidRPr="00FB07C0">
              <w:rPr>
                <w:rFonts w:eastAsia="Times New Roman" w:cs="Calibri"/>
                <w:color w:val="000000"/>
                <w:sz w:val="16"/>
                <w:szCs w:val="16"/>
                <w:vertAlign w:val="superscript"/>
                <w:lang w:eastAsia="es-MX"/>
              </w:rPr>
              <w:t>2</w:t>
            </w:r>
          </w:p>
        </w:tc>
        <w:tc>
          <w:tcPr>
            <w:tcW w:w="1200" w:type="dxa"/>
            <w:gridSpan w:val="2"/>
            <w:tcBorders>
              <w:top w:val="nil"/>
              <w:left w:val="nil"/>
              <w:bottom w:val="nil"/>
              <w:right w:val="nil"/>
            </w:tcBorders>
            <w:shd w:val="clear" w:color="auto" w:fill="auto"/>
            <w:noWrap/>
            <w:vAlign w:val="center"/>
            <w:hideMark/>
          </w:tcPr>
          <w:p w14:paraId="019422F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2.9</w:t>
            </w:r>
          </w:p>
        </w:tc>
        <w:tc>
          <w:tcPr>
            <w:tcW w:w="1200" w:type="dxa"/>
            <w:gridSpan w:val="2"/>
            <w:tcBorders>
              <w:top w:val="nil"/>
              <w:left w:val="nil"/>
              <w:bottom w:val="nil"/>
              <w:right w:val="nil"/>
            </w:tcBorders>
            <w:shd w:val="clear" w:color="auto" w:fill="auto"/>
            <w:noWrap/>
            <w:vAlign w:val="center"/>
            <w:hideMark/>
          </w:tcPr>
          <w:p w14:paraId="2B0E4EA6"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2.2</w:t>
            </w:r>
          </w:p>
        </w:tc>
        <w:tc>
          <w:tcPr>
            <w:tcW w:w="1200" w:type="dxa"/>
            <w:gridSpan w:val="2"/>
            <w:tcBorders>
              <w:top w:val="nil"/>
              <w:left w:val="nil"/>
              <w:bottom w:val="nil"/>
              <w:right w:val="nil"/>
            </w:tcBorders>
            <w:shd w:val="clear" w:color="auto" w:fill="auto"/>
            <w:noWrap/>
            <w:vAlign w:val="center"/>
            <w:hideMark/>
          </w:tcPr>
          <w:p w14:paraId="5EEC05E1"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-0.8</w:t>
            </w:r>
          </w:p>
        </w:tc>
        <w:tc>
          <w:tcPr>
            <w:tcW w:w="1200" w:type="dxa"/>
            <w:gridSpan w:val="2"/>
            <w:tcBorders>
              <w:top w:val="nil"/>
              <w:left w:val="nil"/>
              <w:bottom w:val="nil"/>
              <w:right w:val="single" w:sz="8" w:space="0" w:color="auto"/>
            </w:tcBorders>
            <w:shd w:val="clear" w:color="auto" w:fill="auto"/>
            <w:noWrap/>
            <w:vAlign w:val="center"/>
            <w:hideMark/>
          </w:tcPr>
          <w:p w14:paraId="1FAA6A56"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-0.5</w:t>
            </w:r>
          </w:p>
        </w:tc>
      </w:tr>
      <w:tr w:rsidR="00FB07C0" w:rsidRPr="00FB07C0" w14:paraId="2FEE8B88" w14:textId="77777777" w:rsidTr="00265C09">
        <w:trPr>
          <w:trHeight w:val="495"/>
        </w:trPr>
        <w:tc>
          <w:tcPr>
            <w:tcW w:w="1134" w:type="dxa"/>
            <w:tcBorders>
              <w:top w:val="nil"/>
              <w:left w:val="single" w:sz="8" w:space="0" w:color="auto"/>
              <w:bottom w:val="single" w:sz="8" w:space="0" w:color="auto"/>
              <w:right w:val="nil"/>
            </w:tcBorders>
            <w:shd w:val="clear" w:color="auto" w:fill="auto"/>
            <w:hideMark/>
          </w:tcPr>
          <w:p w14:paraId="034876B3"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180" w:type="dxa"/>
            <w:tcBorders>
              <w:top w:val="nil"/>
              <w:left w:val="nil"/>
              <w:bottom w:val="single" w:sz="8" w:space="0" w:color="auto"/>
              <w:right w:val="nil"/>
            </w:tcBorders>
            <w:shd w:val="clear" w:color="auto" w:fill="auto"/>
            <w:hideMark/>
          </w:tcPr>
          <w:p w14:paraId="0DFE6A6D"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660" w:type="dxa"/>
            <w:gridSpan w:val="2"/>
            <w:tcBorders>
              <w:top w:val="nil"/>
              <w:left w:val="nil"/>
              <w:bottom w:val="single" w:sz="8" w:space="0" w:color="auto"/>
              <w:right w:val="nil"/>
            </w:tcBorders>
            <w:shd w:val="clear" w:color="auto" w:fill="auto"/>
            <w:vAlign w:val="center"/>
            <w:hideMark/>
          </w:tcPr>
          <w:p w14:paraId="74459051"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Egipto, Rep. Árabe de</w:t>
            </w:r>
            <w:r w:rsidRPr="00FB07C0">
              <w:rPr>
                <w:rFonts w:eastAsia="Times New Roman" w:cs="Calibri"/>
                <w:color w:val="000000"/>
                <w:sz w:val="16"/>
                <w:szCs w:val="16"/>
                <w:vertAlign w:val="superscript"/>
                <w:lang w:eastAsia="es-MX"/>
              </w:rPr>
              <w:t>3</w:t>
            </w:r>
          </w:p>
        </w:tc>
        <w:tc>
          <w:tcPr>
            <w:tcW w:w="1200" w:type="dxa"/>
            <w:gridSpan w:val="2"/>
            <w:tcBorders>
              <w:top w:val="nil"/>
              <w:left w:val="nil"/>
              <w:bottom w:val="single" w:sz="8" w:space="0" w:color="auto"/>
              <w:right w:val="nil"/>
            </w:tcBorders>
            <w:shd w:val="clear" w:color="auto" w:fill="auto"/>
            <w:noWrap/>
            <w:vAlign w:val="center"/>
            <w:hideMark/>
          </w:tcPr>
          <w:p w14:paraId="2BBE7787"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6.6</w:t>
            </w:r>
          </w:p>
        </w:tc>
        <w:tc>
          <w:tcPr>
            <w:tcW w:w="1200" w:type="dxa"/>
            <w:gridSpan w:val="2"/>
            <w:tcBorders>
              <w:top w:val="nil"/>
              <w:left w:val="nil"/>
              <w:bottom w:val="single" w:sz="8" w:space="0" w:color="auto"/>
              <w:right w:val="nil"/>
            </w:tcBorders>
            <w:shd w:val="clear" w:color="auto" w:fill="auto"/>
            <w:noWrap/>
            <w:vAlign w:val="center"/>
            <w:hideMark/>
          </w:tcPr>
          <w:p w14:paraId="44FC328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4.5</w:t>
            </w:r>
          </w:p>
        </w:tc>
        <w:tc>
          <w:tcPr>
            <w:tcW w:w="1200" w:type="dxa"/>
            <w:gridSpan w:val="2"/>
            <w:tcBorders>
              <w:top w:val="nil"/>
              <w:left w:val="nil"/>
              <w:bottom w:val="single" w:sz="8" w:space="0" w:color="auto"/>
              <w:right w:val="nil"/>
            </w:tcBorders>
            <w:shd w:val="clear" w:color="auto" w:fill="auto"/>
            <w:noWrap/>
            <w:vAlign w:val="center"/>
            <w:hideMark/>
          </w:tcPr>
          <w:p w14:paraId="1A2A957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0.5</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6EB4FA2D"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-0.3</w:t>
            </w:r>
          </w:p>
        </w:tc>
      </w:tr>
      <w:tr w:rsidR="00FB07C0" w:rsidRPr="00FB07C0" w14:paraId="2AC4F8DD" w14:textId="77777777" w:rsidTr="00265C09">
        <w:trPr>
          <w:trHeight w:val="300"/>
        </w:trPr>
        <w:tc>
          <w:tcPr>
            <w:tcW w:w="1134" w:type="dxa"/>
            <w:tcBorders>
              <w:top w:val="nil"/>
              <w:left w:val="single" w:sz="8" w:space="0" w:color="auto"/>
              <w:bottom w:val="nil"/>
              <w:right w:val="nil"/>
            </w:tcBorders>
            <w:shd w:val="clear" w:color="auto" w:fill="auto"/>
            <w:hideMark/>
          </w:tcPr>
          <w:p w14:paraId="6D6BAB8F"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2840" w:type="dxa"/>
            <w:gridSpan w:val="3"/>
            <w:tcBorders>
              <w:top w:val="single" w:sz="8" w:space="0" w:color="auto"/>
              <w:left w:val="nil"/>
              <w:bottom w:val="nil"/>
              <w:right w:val="nil"/>
            </w:tcBorders>
            <w:shd w:val="clear" w:color="auto" w:fill="auto"/>
            <w:vAlign w:val="center"/>
            <w:hideMark/>
          </w:tcPr>
          <w:p w14:paraId="56A16DE8"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Asia meridional</w:t>
            </w:r>
          </w:p>
        </w:tc>
        <w:tc>
          <w:tcPr>
            <w:tcW w:w="1200" w:type="dxa"/>
            <w:gridSpan w:val="2"/>
            <w:tcBorders>
              <w:top w:val="nil"/>
              <w:left w:val="nil"/>
              <w:bottom w:val="nil"/>
              <w:right w:val="nil"/>
            </w:tcBorders>
            <w:shd w:val="clear" w:color="auto" w:fill="auto"/>
            <w:noWrap/>
            <w:vAlign w:val="center"/>
            <w:hideMark/>
          </w:tcPr>
          <w:p w14:paraId="0A0238EC"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6.1</w:t>
            </w:r>
          </w:p>
        </w:tc>
        <w:tc>
          <w:tcPr>
            <w:tcW w:w="1200" w:type="dxa"/>
            <w:gridSpan w:val="2"/>
            <w:tcBorders>
              <w:top w:val="nil"/>
              <w:left w:val="nil"/>
              <w:bottom w:val="nil"/>
              <w:right w:val="nil"/>
            </w:tcBorders>
            <w:shd w:val="clear" w:color="auto" w:fill="auto"/>
            <w:noWrap/>
            <w:vAlign w:val="center"/>
            <w:hideMark/>
          </w:tcPr>
          <w:p w14:paraId="124E6ED5"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5.5</w:t>
            </w:r>
          </w:p>
        </w:tc>
        <w:tc>
          <w:tcPr>
            <w:tcW w:w="1200" w:type="dxa"/>
            <w:gridSpan w:val="2"/>
            <w:tcBorders>
              <w:top w:val="nil"/>
              <w:left w:val="nil"/>
              <w:bottom w:val="nil"/>
              <w:right w:val="nil"/>
            </w:tcBorders>
            <w:shd w:val="clear" w:color="auto" w:fill="auto"/>
            <w:noWrap/>
            <w:vAlign w:val="center"/>
            <w:hideMark/>
          </w:tcPr>
          <w:p w14:paraId="65FEA496"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-0.7</w:t>
            </w:r>
          </w:p>
        </w:tc>
        <w:tc>
          <w:tcPr>
            <w:tcW w:w="1200" w:type="dxa"/>
            <w:gridSpan w:val="2"/>
            <w:tcBorders>
              <w:top w:val="nil"/>
              <w:left w:val="nil"/>
              <w:bottom w:val="nil"/>
              <w:right w:val="single" w:sz="8" w:space="0" w:color="auto"/>
            </w:tcBorders>
            <w:shd w:val="clear" w:color="auto" w:fill="auto"/>
            <w:noWrap/>
            <w:vAlign w:val="center"/>
            <w:hideMark/>
          </w:tcPr>
          <w:p w14:paraId="74FD0C12"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-0.3</w:t>
            </w:r>
          </w:p>
        </w:tc>
      </w:tr>
      <w:tr w:rsidR="00FB07C0" w:rsidRPr="00FB07C0" w14:paraId="3B90E9E0" w14:textId="77777777" w:rsidTr="00265C09">
        <w:trPr>
          <w:trHeight w:val="300"/>
        </w:trPr>
        <w:tc>
          <w:tcPr>
            <w:tcW w:w="1134" w:type="dxa"/>
            <w:tcBorders>
              <w:top w:val="nil"/>
              <w:left w:val="single" w:sz="8" w:space="0" w:color="auto"/>
              <w:bottom w:val="nil"/>
              <w:right w:val="nil"/>
            </w:tcBorders>
            <w:shd w:val="clear" w:color="auto" w:fill="auto"/>
            <w:hideMark/>
          </w:tcPr>
          <w:p w14:paraId="618C0688"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14:paraId="53E37DDA"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14:paraId="595FE3FE"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India</w:t>
            </w:r>
            <w:r w:rsidRPr="00FB07C0">
              <w:rPr>
                <w:rFonts w:eastAsia="Times New Roman" w:cs="Calibri"/>
                <w:color w:val="000000"/>
                <w:sz w:val="16"/>
                <w:szCs w:val="16"/>
                <w:vertAlign w:val="superscript"/>
                <w:lang w:eastAsia="es-MX"/>
              </w:rPr>
              <w:t>2</w:t>
            </w:r>
          </w:p>
        </w:tc>
        <w:tc>
          <w:tcPr>
            <w:tcW w:w="1200" w:type="dxa"/>
            <w:gridSpan w:val="2"/>
            <w:tcBorders>
              <w:top w:val="nil"/>
              <w:left w:val="nil"/>
              <w:bottom w:val="nil"/>
              <w:right w:val="nil"/>
            </w:tcBorders>
            <w:shd w:val="clear" w:color="auto" w:fill="auto"/>
            <w:noWrap/>
            <w:vAlign w:val="center"/>
            <w:hideMark/>
          </w:tcPr>
          <w:p w14:paraId="4EBA7245"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6.9</w:t>
            </w:r>
          </w:p>
        </w:tc>
        <w:tc>
          <w:tcPr>
            <w:tcW w:w="1200" w:type="dxa"/>
            <w:gridSpan w:val="2"/>
            <w:tcBorders>
              <w:top w:val="nil"/>
              <w:left w:val="nil"/>
              <w:bottom w:val="nil"/>
              <w:right w:val="nil"/>
            </w:tcBorders>
            <w:shd w:val="clear" w:color="auto" w:fill="auto"/>
            <w:noWrap/>
            <w:vAlign w:val="center"/>
            <w:hideMark/>
          </w:tcPr>
          <w:p w14:paraId="61BEA997"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6.6</w:t>
            </w:r>
          </w:p>
        </w:tc>
        <w:tc>
          <w:tcPr>
            <w:tcW w:w="1200" w:type="dxa"/>
            <w:gridSpan w:val="2"/>
            <w:tcBorders>
              <w:top w:val="nil"/>
              <w:left w:val="nil"/>
              <w:bottom w:val="nil"/>
              <w:right w:val="nil"/>
            </w:tcBorders>
            <w:shd w:val="clear" w:color="auto" w:fill="auto"/>
            <w:noWrap/>
            <w:vAlign w:val="center"/>
            <w:hideMark/>
          </w:tcPr>
          <w:p w14:paraId="6A7CEE9A"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-0.6</w:t>
            </w:r>
          </w:p>
        </w:tc>
        <w:tc>
          <w:tcPr>
            <w:tcW w:w="1200" w:type="dxa"/>
            <w:gridSpan w:val="2"/>
            <w:tcBorders>
              <w:top w:val="nil"/>
              <w:left w:val="nil"/>
              <w:bottom w:val="nil"/>
              <w:right w:val="single" w:sz="8" w:space="0" w:color="auto"/>
            </w:tcBorders>
            <w:shd w:val="clear" w:color="auto" w:fill="auto"/>
            <w:noWrap/>
            <w:vAlign w:val="center"/>
            <w:hideMark/>
          </w:tcPr>
          <w:p w14:paraId="55DA879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-0.5</w:t>
            </w:r>
          </w:p>
        </w:tc>
      </w:tr>
      <w:tr w:rsidR="00FB07C0" w:rsidRPr="00FB07C0" w14:paraId="216C0896" w14:textId="77777777" w:rsidTr="00265C09">
        <w:trPr>
          <w:trHeight w:val="300"/>
        </w:trPr>
        <w:tc>
          <w:tcPr>
            <w:tcW w:w="1134" w:type="dxa"/>
            <w:tcBorders>
              <w:top w:val="nil"/>
              <w:left w:val="single" w:sz="8" w:space="0" w:color="auto"/>
              <w:bottom w:val="nil"/>
              <w:right w:val="nil"/>
            </w:tcBorders>
            <w:shd w:val="clear" w:color="auto" w:fill="auto"/>
            <w:hideMark/>
          </w:tcPr>
          <w:p w14:paraId="4169026D"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14:paraId="748EF772"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14:paraId="2BB7C72D"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Pakistán</w:t>
            </w:r>
            <w:r w:rsidRPr="00FB07C0">
              <w:rPr>
                <w:rFonts w:eastAsia="Times New Roman" w:cs="Calibri"/>
                <w:color w:val="000000"/>
                <w:sz w:val="16"/>
                <w:szCs w:val="16"/>
                <w:vertAlign w:val="superscript"/>
                <w:lang w:eastAsia="es-MX"/>
              </w:rPr>
              <w:t>3</w:t>
            </w:r>
          </w:p>
        </w:tc>
        <w:tc>
          <w:tcPr>
            <w:tcW w:w="1200" w:type="dxa"/>
            <w:gridSpan w:val="2"/>
            <w:tcBorders>
              <w:top w:val="nil"/>
              <w:left w:val="nil"/>
              <w:bottom w:val="nil"/>
              <w:right w:val="nil"/>
            </w:tcBorders>
            <w:shd w:val="clear" w:color="auto" w:fill="auto"/>
            <w:noWrap/>
            <w:vAlign w:val="center"/>
            <w:hideMark/>
          </w:tcPr>
          <w:p w14:paraId="4460DF71"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6</w:t>
            </w:r>
          </w:p>
        </w:tc>
        <w:tc>
          <w:tcPr>
            <w:tcW w:w="1200" w:type="dxa"/>
            <w:gridSpan w:val="2"/>
            <w:tcBorders>
              <w:top w:val="nil"/>
              <w:left w:val="nil"/>
              <w:bottom w:val="nil"/>
              <w:right w:val="nil"/>
            </w:tcBorders>
            <w:shd w:val="clear" w:color="auto" w:fill="auto"/>
            <w:noWrap/>
            <w:vAlign w:val="center"/>
            <w:hideMark/>
          </w:tcPr>
          <w:p w14:paraId="5368C09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w:t>
            </w:r>
          </w:p>
        </w:tc>
        <w:tc>
          <w:tcPr>
            <w:tcW w:w="1200" w:type="dxa"/>
            <w:gridSpan w:val="2"/>
            <w:tcBorders>
              <w:top w:val="nil"/>
              <w:left w:val="nil"/>
              <w:bottom w:val="nil"/>
              <w:right w:val="nil"/>
            </w:tcBorders>
            <w:shd w:val="clear" w:color="auto" w:fill="auto"/>
            <w:noWrap/>
            <w:vAlign w:val="center"/>
            <w:hideMark/>
          </w:tcPr>
          <w:p w14:paraId="74B0AF06"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1.7</w:t>
            </w:r>
          </w:p>
        </w:tc>
        <w:tc>
          <w:tcPr>
            <w:tcW w:w="1200" w:type="dxa"/>
            <w:gridSpan w:val="2"/>
            <w:tcBorders>
              <w:top w:val="nil"/>
              <w:left w:val="nil"/>
              <w:bottom w:val="nil"/>
              <w:right w:val="single" w:sz="8" w:space="0" w:color="auto"/>
            </w:tcBorders>
            <w:shd w:val="clear" w:color="auto" w:fill="auto"/>
            <w:noWrap/>
            <w:vAlign w:val="center"/>
            <w:hideMark/>
          </w:tcPr>
          <w:p w14:paraId="39378166"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w:t>
            </w:r>
          </w:p>
        </w:tc>
      </w:tr>
      <w:tr w:rsidR="00FB07C0" w:rsidRPr="00FB07C0" w14:paraId="36B01501" w14:textId="77777777" w:rsidTr="00265C09">
        <w:trPr>
          <w:trHeight w:val="315"/>
        </w:trPr>
        <w:tc>
          <w:tcPr>
            <w:tcW w:w="1134" w:type="dxa"/>
            <w:tcBorders>
              <w:top w:val="nil"/>
              <w:left w:val="single" w:sz="8" w:space="0" w:color="auto"/>
              <w:bottom w:val="single" w:sz="8" w:space="0" w:color="auto"/>
              <w:right w:val="nil"/>
            </w:tcBorders>
            <w:shd w:val="clear" w:color="auto" w:fill="auto"/>
            <w:hideMark/>
          </w:tcPr>
          <w:p w14:paraId="489236DC"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180" w:type="dxa"/>
            <w:tcBorders>
              <w:top w:val="nil"/>
              <w:left w:val="nil"/>
              <w:bottom w:val="single" w:sz="8" w:space="0" w:color="auto"/>
              <w:right w:val="nil"/>
            </w:tcBorders>
            <w:shd w:val="clear" w:color="auto" w:fill="auto"/>
            <w:hideMark/>
          </w:tcPr>
          <w:p w14:paraId="2C4F83FE"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660" w:type="dxa"/>
            <w:gridSpan w:val="2"/>
            <w:tcBorders>
              <w:top w:val="nil"/>
              <w:left w:val="nil"/>
              <w:bottom w:val="single" w:sz="8" w:space="0" w:color="auto"/>
              <w:right w:val="nil"/>
            </w:tcBorders>
            <w:shd w:val="clear" w:color="auto" w:fill="auto"/>
            <w:vAlign w:val="center"/>
            <w:hideMark/>
          </w:tcPr>
          <w:p w14:paraId="01877A99"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Bangladesh</w:t>
            </w:r>
            <w:r w:rsidRPr="00FB07C0">
              <w:rPr>
                <w:rFonts w:eastAsia="Times New Roman" w:cs="Calibri"/>
                <w:color w:val="000000"/>
                <w:sz w:val="16"/>
                <w:szCs w:val="16"/>
                <w:vertAlign w:val="superscript"/>
                <w:lang w:eastAsia="es-MX"/>
              </w:rPr>
              <w:t>3</w:t>
            </w:r>
          </w:p>
        </w:tc>
        <w:tc>
          <w:tcPr>
            <w:tcW w:w="1200" w:type="dxa"/>
            <w:gridSpan w:val="2"/>
            <w:tcBorders>
              <w:top w:val="nil"/>
              <w:left w:val="nil"/>
              <w:bottom w:val="single" w:sz="8" w:space="0" w:color="auto"/>
              <w:right w:val="nil"/>
            </w:tcBorders>
            <w:shd w:val="clear" w:color="auto" w:fill="auto"/>
            <w:noWrap/>
            <w:vAlign w:val="center"/>
            <w:hideMark/>
          </w:tcPr>
          <w:p w14:paraId="4576F275"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7.2</w:t>
            </w:r>
          </w:p>
        </w:tc>
        <w:tc>
          <w:tcPr>
            <w:tcW w:w="1200" w:type="dxa"/>
            <w:gridSpan w:val="2"/>
            <w:tcBorders>
              <w:top w:val="nil"/>
              <w:left w:val="nil"/>
              <w:bottom w:val="single" w:sz="8" w:space="0" w:color="auto"/>
              <w:right w:val="nil"/>
            </w:tcBorders>
            <w:shd w:val="clear" w:color="auto" w:fill="auto"/>
            <w:noWrap/>
            <w:vAlign w:val="center"/>
            <w:hideMark/>
          </w:tcPr>
          <w:p w14:paraId="7F405927"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5.2</w:t>
            </w:r>
          </w:p>
        </w:tc>
        <w:tc>
          <w:tcPr>
            <w:tcW w:w="1200" w:type="dxa"/>
            <w:gridSpan w:val="2"/>
            <w:tcBorders>
              <w:top w:val="nil"/>
              <w:left w:val="nil"/>
              <w:bottom w:val="single" w:sz="8" w:space="0" w:color="auto"/>
              <w:right w:val="nil"/>
            </w:tcBorders>
            <w:shd w:val="clear" w:color="auto" w:fill="auto"/>
            <w:noWrap/>
            <w:vAlign w:val="center"/>
            <w:hideMark/>
          </w:tcPr>
          <w:p w14:paraId="62A932FD"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0.8</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1015FDA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-1.5</w:t>
            </w:r>
          </w:p>
        </w:tc>
      </w:tr>
      <w:tr w:rsidR="00FB07C0" w:rsidRPr="00FB07C0" w14:paraId="2469E785" w14:textId="77777777" w:rsidTr="00265C09">
        <w:trPr>
          <w:trHeight w:val="300"/>
        </w:trPr>
        <w:tc>
          <w:tcPr>
            <w:tcW w:w="1134" w:type="dxa"/>
            <w:tcBorders>
              <w:top w:val="nil"/>
              <w:left w:val="single" w:sz="8" w:space="0" w:color="auto"/>
              <w:bottom w:val="nil"/>
              <w:right w:val="nil"/>
            </w:tcBorders>
            <w:shd w:val="clear" w:color="auto" w:fill="auto"/>
            <w:hideMark/>
          </w:tcPr>
          <w:p w14:paraId="1C22A972"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2840" w:type="dxa"/>
            <w:gridSpan w:val="3"/>
            <w:tcBorders>
              <w:top w:val="single" w:sz="8" w:space="0" w:color="auto"/>
              <w:left w:val="nil"/>
              <w:bottom w:val="nil"/>
              <w:right w:val="nil"/>
            </w:tcBorders>
            <w:shd w:val="clear" w:color="auto" w:fill="auto"/>
            <w:vAlign w:val="center"/>
            <w:hideMark/>
          </w:tcPr>
          <w:p w14:paraId="78CB4B55"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África al sur del Sahara</w:t>
            </w:r>
          </w:p>
        </w:tc>
        <w:tc>
          <w:tcPr>
            <w:tcW w:w="1200" w:type="dxa"/>
            <w:gridSpan w:val="2"/>
            <w:tcBorders>
              <w:top w:val="nil"/>
              <w:left w:val="nil"/>
              <w:bottom w:val="nil"/>
              <w:right w:val="nil"/>
            </w:tcBorders>
            <w:shd w:val="clear" w:color="auto" w:fill="auto"/>
            <w:noWrap/>
            <w:vAlign w:val="center"/>
            <w:hideMark/>
          </w:tcPr>
          <w:p w14:paraId="2A1602AD"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3.4</w:t>
            </w:r>
          </w:p>
        </w:tc>
        <w:tc>
          <w:tcPr>
            <w:tcW w:w="1200" w:type="dxa"/>
            <w:gridSpan w:val="2"/>
            <w:tcBorders>
              <w:top w:val="nil"/>
              <w:left w:val="nil"/>
              <w:bottom w:val="nil"/>
              <w:right w:val="nil"/>
            </w:tcBorders>
            <w:shd w:val="clear" w:color="auto" w:fill="auto"/>
            <w:noWrap/>
            <w:vAlign w:val="center"/>
            <w:hideMark/>
          </w:tcPr>
          <w:p w14:paraId="297177FF"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3.6</w:t>
            </w:r>
          </w:p>
        </w:tc>
        <w:tc>
          <w:tcPr>
            <w:tcW w:w="1200" w:type="dxa"/>
            <w:gridSpan w:val="2"/>
            <w:tcBorders>
              <w:top w:val="nil"/>
              <w:left w:val="nil"/>
              <w:bottom w:val="nil"/>
              <w:right w:val="nil"/>
            </w:tcBorders>
            <w:shd w:val="clear" w:color="auto" w:fill="auto"/>
            <w:noWrap/>
            <w:vAlign w:val="center"/>
            <w:hideMark/>
          </w:tcPr>
          <w:p w14:paraId="0115409E"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-0.3</w:t>
            </w:r>
          </w:p>
        </w:tc>
        <w:tc>
          <w:tcPr>
            <w:tcW w:w="1200" w:type="dxa"/>
            <w:gridSpan w:val="2"/>
            <w:tcBorders>
              <w:top w:val="nil"/>
              <w:left w:val="nil"/>
              <w:bottom w:val="nil"/>
              <w:right w:val="single" w:sz="8" w:space="0" w:color="auto"/>
            </w:tcBorders>
            <w:shd w:val="clear" w:color="auto" w:fill="auto"/>
            <w:noWrap/>
            <w:vAlign w:val="center"/>
            <w:hideMark/>
          </w:tcPr>
          <w:p w14:paraId="275C8BBF"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-0.2</w:t>
            </w:r>
          </w:p>
        </w:tc>
      </w:tr>
      <w:tr w:rsidR="00FB07C0" w:rsidRPr="00FB07C0" w14:paraId="233616BD" w14:textId="77777777" w:rsidTr="00265C09">
        <w:trPr>
          <w:trHeight w:val="300"/>
        </w:trPr>
        <w:tc>
          <w:tcPr>
            <w:tcW w:w="1134" w:type="dxa"/>
            <w:tcBorders>
              <w:top w:val="nil"/>
              <w:left w:val="single" w:sz="8" w:space="0" w:color="auto"/>
              <w:bottom w:val="nil"/>
              <w:right w:val="nil"/>
            </w:tcBorders>
            <w:shd w:val="clear" w:color="auto" w:fill="auto"/>
            <w:hideMark/>
          </w:tcPr>
          <w:p w14:paraId="0DE3A316"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14:paraId="70F442F1"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14:paraId="65B905BB"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Nigeria</w:t>
            </w:r>
          </w:p>
        </w:tc>
        <w:tc>
          <w:tcPr>
            <w:tcW w:w="1200" w:type="dxa"/>
            <w:gridSpan w:val="2"/>
            <w:tcBorders>
              <w:top w:val="nil"/>
              <w:left w:val="nil"/>
              <w:bottom w:val="nil"/>
              <w:right w:val="nil"/>
            </w:tcBorders>
            <w:shd w:val="clear" w:color="auto" w:fill="auto"/>
            <w:noWrap/>
            <w:vAlign w:val="center"/>
            <w:hideMark/>
          </w:tcPr>
          <w:p w14:paraId="061DC801"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3.1</w:t>
            </w:r>
          </w:p>
        </w:tc>
        <w:tc>
          <w:tcPr>
            <w:tcW w:w="1200" w:type="dxa"/>
            <w:gridSpan w:val="2"/>
            <w:tcBorders>
              <w:top w:val="nil"/>
              <w:left w:val="nil"/>
              <w:bottom w:val="nil"/>
              <w:right w:val="nil"/>
            </w:tcBorders>
            <w:shd w:val="clear" w:color="auto" w:fill="auto"/>
            <w:noWrap/>
            <w:vAlign w:val="center"/>
            <w:hideMark/>
          </w:tcPr>
          <w:p w14:paraId="3F8E858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2.9</w:t>
            </w:r>
          </w:p>
        </w:tc>
        <w:tc>
          <w:tcPr>
            <w:tcW w:w="1200" w:type="dxa"/>
            <w:gridSpan w:val="2"/>
            <w:tcBorders>
              <w:top w:val="nil"/>
              <w:left w:val="nil"/>
              <w:bottom w:val="nil"/>
              <w:right w:val="nil"/>
            </w:tcBorders>
            <w:shd w:val="clear" w:color="auto" w:fill="auto"/>
            <w:noWrap/>
            <w:vAlign w:val="center"/>
            <w:hideMark/>
          </w:tcPr>
          <w:p w14:paraId="59A4C070"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-0.3</w:t>
            </w:r>
          </w:p>
        </w:tc>
        <w:tc>
          <w:tcPr>
            <w:tcW w:w="1200" w:type="dxa"/>
            <w:gridSpan w:val="2"/>
            <w:tcBorders>
              <w:top w:val="nil"/>
              <w:left w:val="nil"/>
              <w:bottom w:val="nil"/>
              <w:right w:val="single" w:sz="8" w:space="0" w:color="auto"/>
            </w:tcBorders>
            <w:shd w:val="clear" w:color="auto" w:fill="auto"/>
            <w:noWrap/>
            <w:vAlign w:val="center"/>
            <w:hideMark/>
          </w:tcPr>
          <w:p w14:paraId="20777E54"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-0.3</w:t>
            </w:r>
          </w:p>
        </w:tc>
      </w:tr>
      <w:tr w:rsidR="00FB07C0" w:rsidRPr="00FB07C0" w14:paraId="19572C50" w14:textId="77777777" w:rsidTr="00265C09">
        <w:trPr>
          <w:trHeight w:val="300"/>
        </w:trPr>
        <w:tc>
          <w:tcPr>
            <w:tcW w:w="1134" w:type="dxa"/>
            <w:tcBorders>
              <w:top w:val="nil"/>
              <w:left w:val="single" w:sz="8" w:space="0" w:color="auto"/>
              <w:bottom w:val="nil"/>
              <w:right w:val="nil"/>
            </w:tcBorders>
            <w:shd w:val="clear" w:color="auto" w:fill="auto"/>
            <w:hideMark/>
          </w:tcPr>
          <w:p w14:paraId="6D13094E"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14:paraId="0E58DB77"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14:paraId="01E82DE4"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Sudáfrica</w:t>
            </w:r>
          </w:p>
        </w:tc>
        <w:tc>
          <w:tcPr>
            <w:tcW w:w="1200" w:type="dxa"/>
            <w:gridSpan w:val="2"/>
            <w:tcBorders>
              <w:top w:val="nil"/>
              <w:left w:val="nil"/>
              <w:bottom w:val="nil"/>
              <w:right w:val="nil"/>
            </w:tcBorders>
            <w:shd w:val="clear" w:color="auto" w:fill="auto"/>
            <w:noWrap/>
            <w:vAlign w:val="center"/>
            <w:hideMark/>
          </w:tcPr>
          <w:p w14:paraId="43352625"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1.9</w:t>
            </w:r>
          </w:p>
        </w:tc>
        <w:tc>
          <w:tcPr>
            <w:tcW w:w="1200" w:type="dxa"/>
            <w:gridSpan w:val="2"/>
            <w:tcBorders>
              <w:top w:val="nil"/>
              <w:left w:val="nil"/>
              <w:bottom w:val="nil"/>
              <w:right w:val="nil"/>
            </w:tcBorders>
            <w:shd w:val="clear" w:color="auto" w:fill="auto"/>
            <w:noWrap/>
            <w:vAlign w:val="center"/>
            <w:hideMark/>
          </w:tcPr>
          <w:p w14:paraId="69053AA0"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1.4</w:t>
            </w:r>
          </w:p>
        </w:tc>
        <w:tc>
          <w:tcPr>
            <w:tcW w:w="1200" w:type="dxa"/>
            <w:gridSpan w:val="2"/>
            <w:tcBorders>
              <w:top w:val="nil"/>
              <w:left w:val="nil"/>
              <w:bottom w:val="nil"/>
              <w:right w:val="nil"/>
            </w:tcBorders>
            <w:shd w:val="clear" w:color="auto" w:fill="auto"/>
            <w:noWrap/>
            <w:vAlign w:val="center"/>
            <w:hideMark/>
          </w:tcPr>
          <w:p w14:paraId="08A6ED2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-0.2</w:t>
            </w:r>
          </w:p>
        </w:tc>
        <w:tc>
          <w:tcPr>
            <w:tcW w:w="1200" w:type="dxa"/>
            <w:gridSpan w:val="2"/>
            <w:tcBorders>
              <w:top w:val="nil"/>
              <w:left w:val="nil"/>
              <w:bottom w:val="nil"/>
              <w:right w:val="single" w:sz="8" w:space="0" w:color="auto"/>
            </w:tcBorders>
            <w:shd w:val="clear" w:color="auto" w:fill="auto"/>
            <w:noWrap/>
            <w:vAlign w:val="center"/>
            <w:hideMark/>
          </w:tcPr>
          <w:p w14:paraId="06E4F9FE"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-0.1</w:t>
            </w:r>
          </w:p>
        </w:tc>
      </w:tr>
      <w:tr w:rsidR="00FB07C0" w:rsidRPr="00FB07C0" w14:paraId="244A72BD" w14:textId="77777777" w:rsidTr="00265C09">
        <w:trPr>
          <w:trHeight w:val="315"/>
        </w:trPr>
        <w:tc>
          <w:tcPr>
            <w:tcW w:w="1134" w:type="dxa"/>
            <w:tcBorders>
              <w:top w:val="nil"/>
              <w:left w:val="single" w:sz="8" w:space="0" w:color="auto"/>
              <w:bottom w:val="single" w:sz="8" w:space="0" w:color="auto"/>
              <w:right w:val="nil"/>
            </w:tcBorders>
            <w:shd w:val="clear" w:color="auto" w:fill="auto"/>
            <w:hideMark/>
          </w:tcPr>
          <w:p w14:paraId="404BC4E4"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180" w:type="dxa"/>
            <w:tcBorders>
              <w:top w:val="nil"/>
              <w:left w:val="nil"/>
              <w:bottom w:val="single" w:sz="8" w:space="0" w:color="auto"/>
              <w:right w:val="nil"/>
            </w:tcBorders>
            <w:shd w:val="clear" w:color="auto" w:fill="auto"/>
            <w:hideMark/>
          </w:tcPr>
          <w:p w14:paraId="35CD31C6"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660" w:type="dxa"/>
            <w:gridSpan w:val="2"/>
            <w:tcBorders>
              <w:top w:val="nil"/>
              <w:left w:val="nil"/>
              <w:bottom w:val="single" w:sz="8" w:space="0" w:color="auto"/>
              <w:right w:val="nil"/>
            </w:tcBorders>
            <w:shd w:val="clear" w:color="auto" w:fill="auto"/>
            <w:vAlign w:val="center"/>
            <w:hideMark/>
          </w:tcPr>
          <w:p w14:paraId="1BFB55B2"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Angola</w:t>
            </w:r>
          </w:p>
        </w:tc>
        <w:tc>
          <w:tcPr>
            <w:tcW w:w="1200" w:type="dxa"/>
            <w:gridSpan w:val="2"/>
            <w:tcBorders>
              <w:top w:val="nil"/>
              <w:left w:val="nil"/>
              <w:bottom w:val="single" w:sz="8" w:space="0" w:color="auto"/>
              <w:right w:val="nil"/>
            </w:tcBorders>
            <w:shd w:val="clear" w:color="auto" w:fill="auto"/>
            <w:noWrap/>
            <w:vAlign w:val="center"/>
            <w:hideMark/>
          </w:tcPr>
          <w:p w14:paraId="14133C3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3.1</w:t>
            </w:r>
          </w:p>
        </w:tc>
        <w:tc>
          <w:tcPr>
            <w:tcW w:w="1200" w:type="dxa"/>
            <w:gridSpan w:val="2"/>
            <w:tcBorders>
              <w:top w:val="nil"/>
              <w:left w:val="nil"/>
              <w:bottom w:val="single" w:sz="8" w:space="0" w:color="auto"/>
              <w:right w:val="nil"/>
            </w:tcBorders>
            <w:shd w:val="clear" w:color="auto" w:fill="auto"/>
            <w:noWrap/>
            <w:vAlign w:val="center"/>
            <w:hideMark/>
          </w:tcPr>
          <w:p w14:paraId="40F91C4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2.8</w:t>
            </w:r>
          </w:p>
        </w:tc>
        <w:tc>
          <w:tcPr>
            <w:tcW w:w="1200" w:type="dxa"/>
            <w:gridSpan w:val="2"/>
            <w:tcBorders>
              <w:top w:val="nil"/>
              <w:left w:val="nil"/>
              <w:bottom w:val="single" w:sz="8" w:space="0" w:color="auto"/>
              <w:right w:val="nil"/>
            </w:tcBorders>
            <w:shd w:val="clear" w:color="auto" w:fill="auto"/>
            <w:noWrap/>
            <w:vAlign w:val="center"/>
            <w:hideMark/>
          </w:tcPr>
          <w:p w14:paraId="2FBEF95B"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4C70F3EC"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-0.5</w:t>
            </w:r>
          </w:p>
        </w:tc>
      </w:tr>
      <w:tr w:rsidR="00E824CF" w:rsidRPr="00FB07C0" w14:paraId="2AE7687D" w14:textId="77777777" w:rsidTr="004A5AEA">
        <w:trPr>
          <w:trHeight w:val="315"/>
        </w:trPr>
        <w:tc>
          <w:tcPr>
            <w:tcW w:w="1134" w:type="dxa"/>
            <w:tcBorders>
              <w:top w:val="single" w:sz="8" w:space="0" w:color="auto"/>
              <w:left w:val="single" w:sz="8" w:space="0" w:color="auto"/>
              <w:bottom w:val="single" w:sz="8" w:space="0" w:color="auto"/>
              <w:right w:val="nil"/>
            </w:tcBorders>
            <w:shd w:val="clear" w:color="auto" w:fill="AB0033"/>
            <w:vAlign w:val="center"/>
            <w:hideMark/>
          </w:tcPr>
          <w:p w14:paraId="0EDAF36E" w14:textId="77777777" w:rsidR="00E824CF" w:rsidRPr="00FB07C0" w:rsidRDefault="00E824CF" w:rsidP="00291DC2">
            <w:pPr>
              <w:spacing w:after="0" w:line="240" w:lineRule="auto"/>
              <w:rPr>
                <w:rFonts w:eastAsia="Times New Roman" w:cs="Calibri"/>
                <w:color w:val="244062"/>
                <w:sz w:val="16"/>
                <w:szCs w:val="16"/>
                <w:lang w:eastAsia="es-MX"/>
              </w:rPr>
            </w:pPr>
            <w:r w:rsidRPr="00FB07C0">
              <w:rPr>
                <w:rFonts w:eastAsia="Times New Roman" w:cs="Calibri"/>
                <w:color w:val="244062"/>
                <w:sz w:val="16"/>
                <w:szCs w:val="16"/>
                <w:lang w:eastAsia="es-MX"/>
              </w:rPr>
              <w:t> </w:t>
            </w:r>
          </w:p>
        </w:tc>
        <w:tc>
          <w:tcPr>
            <w:tcW w:w="1180" w:type="dxa"/>
            <w:tcBorders>
              <w:top w:val="single" w:sz="8" w:space="0" w:color="auto"/>
              <w:left w:val="nil"/>
              <w:bottom w:val="single" w:sz="8" w:space="0" w:color="auto"/>
              <w:right w:val="nil"/>
            </w:tcBorders>
            <w:shd w:val="clear" w:color="auto" w:fill="AB0033"/>
            <w:vAlign w:val="center"/>
            <w:hideMark/>
          </w:tcPr>
          <w:p w14:paraId="00B9861A" w14:textId="77777777" w:rsidR="00E824CF" w:rsidRPr="00FB07C0" w:rsidRDefault="00E824CF" w:rsidP="00291DC2">
            <w:pPr>
              <w:spacing w:after="0" w:line="240" w:lineRule="auto"/>
              <w:rPr>
                <w:rFonts w:eastAsia="Times New Roman" w:cs="Calibri"/>
                <w:color w:val="244062"/>
                <w:sz w:val="16"/>
                <w:szCs w:val="16"/>
                <w:lang w:eastAsia="es-MX"/>
              </w:rPr>
            </w:pPr>
            <w:r w:rsidRPr="00FB07C0">
              <w:rPr>
                <w:rFonts w:eastAsia="Times New Roman" w:cs="Calibri"/>
                <w:color w:val="244062"/>
                <w:sz w:val="16"/>
                <w:szCs w:val="16"/>
                <w:lang w:eastAsia="es-MX"/>
              </w:rPr>
              <w:t> </w:t>
            </w:r>
          </w:p>
        </w:tc>
        <w:tc>
          <w:tcPr>
            <w:tcW w:w="1660" w:type="dxa"/>
            <w:gridSpan w:val="2"/>
            <w:tcBorders>
              <w:top w:val="single" w:sz="8" w:space="0" w:color="auto"/>
              <w:left w:val="nil"/>
              <w:bottom w:val="single" w:sz="8" w:space="0" w:color="auto"/>
              <w:right w:val="nil"/>
            </w:tcBorders>
            <w:shd w:val="clear" w:color="auto" w:fill="AB0033"/>
            <w:vAlign w:val="center"/>
            <w:hideMark/>
          </w:tcPr>
          <w:p w14:paraId="685A3D54" w14:textId="77777777" w:rsidR="00E824CF" w:rsidRPr="00FB07C0" w:rsidRDefault="00E824CF" w:rsidP="00291DC2">
            <w:pPr>
              <w:spacing w:after="0" w:line="240" w:lineRule="auto"/>
              <w:rPr>
                <w:rFonts w:eastAsia="Times New Roman" w:cs="Calibri"/>
                <w:color w:val="244062"/>
                <w:sz w:val="16"/>
                <w:szCs w:val="16"/>
                <w:lang w:eastAsia="es-MX"/>
              </w:rPr>
            </w:pPr>
            <w:r w:rsidRPr="00FB07C0">
              <w:rPr>
                <w:rFonts w:eastAsia="Times New Roman" w:cs="Calibri"/>
                <w:color w:val="244062"/>
                <w:sz w:val="16"/>
                <w:szCs w:val="16"/>
                <w:lang w:eastAsia="es-MX"/>
              </w:rPr>
              <w:t> </w:t>
            </w:r>
          </w:p>
        </w:tc>
        <w:tc>
          <w:tcPr>
            <w:tcW w:w="1200" w:type="dxa"/>
            <w:gridSpan w:val="2"/>
            <w:tcBorders>
              <w:top w:val="nil"/>
              <w:left w:val="nil"/>
              <w:bottom w:val="single" w:sz="8" w:space="0" w:color="auto"/>
              <w:right w:val="nil"/>
            </w:tcBorders>
            <w:shd w:val="clear" w:color="auto" w:fill="AB0033"/>
            <w:noWrap/>
            <w:vAlign w:val="center"/>
            <w:hideMark/>
          </w:tcPr>
          <w:p w14:paraId="68EFADF5" w14:textId="77777777" w:rsidR="00E824CF" w:rsidRPr="00FB07C0" w:rsidRDefault="00E824CF" w:rsidP="00291DC2">
            <w:pPr>
              <w:spacing w:after="0" w:line="240" w:lineRule="auto"/>
              <w:jc w:val="center"/>
              <w:rPr>
                <w:rFonts w:eastAsia="Times New Roman" w:cs="Calibri"/>
                <w:b/>
                <w:bCs/>
                <w:color w:val="FFFFFF"/>
                <w:sz w:val="16"/>
                <w:szCs w:val="16"/>
                <w:lang w:eastAsia="es-MX"/>
              </w:rPr>
            </w:pPr>
            <w:r w:rsidRPr="00FB07C0">
              <w:rPr>
                <w:rFonts w:eastAsia="Times New Roman" w:cs="Calibri"/>
                <w:b/>
                <w:bCs/>
                <w:color w:val="FFFFFF"/>
                <w:sz w:val="16"/>
                <w:szCs w:val="16"/>
                <w:lang w:eastAsia="es-MX"/>
              </w:rPr>
              <w:t>2022e</w:t>
            </w:r>
          </w:p>
        </w:tc>
        <w:tc>
          <w:tcPr>
            <w:tcW w:w="1200" w:type="dxa"/>
            <w:gridSpan w:val="2"/>
            <w:tcBorders>
              <w:top w:val="nil"/>
              <w:left w:val="nil"/>
              <w:bottom w:val="single" w:sz="8" w:space="0" w:color="auto"/>
              <w:right w:val="nil"/>
            </w:tcBorders>
            <w:shd w:val="clear" w:color="auto" w:fill="AB0033"/>
            <w:noWrap/>
            <w:vAlign w:val="center"/>
            <w:hideMark/>
          </w:tcPr>
          <w:p w14:paraId="4DF191A1" w14:textId="77777777" w:rsidR="00E824CF" w:rsidRPr="00FB07C0" w:rsidRDefault="00E824CF" w:rsidP="00291DC2">
            <w:pPr>
              <w:spacing w:after="0" w:line="240" w:lineRule="auto"/>
              <w:jc w:val="center"/>
              <w:rPr>
                <w:rFonts w:eastAsia="Times New Roman" w:cs="Calibri"/>
                <w:b/>
                <w:bCs/>
                <w:color w:val="FFFFFF"/>
                <w:sz w:val="16"/>
                <w:szCs w:val="16"/>
                <w:lang w:eastAsia="es-MX"/>
              </w:rPr>
            </w:pPr>
            <w:r w:rsidRPr="00FB07C0">
              <w:rPr>
                <w:rFonts w:eastAsia="Times New Roman" w:cs="Calibri"/>
                <w:b/>
                <w:bCs/>
                <w:color w:val="FFFFFF"/>
                <w:sz w:val="16"/>
                <w:szCs w:val="16"/>
                <w:lang w:eastAsia="es-MX"/>
              </w:rPr>
              <w:t>2023f</w:t>
            </w:r>
          </w:p>
        </w:tc>
        <w:tc>
          <w:tcPr>
            <w:tcW w:w="1200" w:type="dxa"/>
            <w:gridSpan w:val="2"/>
            <w:tcBorders>
              <w:top w:val="nil"/>
              <w:left w:val="nil"/>
              <w:bottom w:val="single" w:sz="8" w:space="0" w:color="auto"/>
              <w:right w:val="nil"/>
            </w:tcBorders>
            <w:shd w:val="clear" w:color="auto" w:fill="AB0033"/>
            <w:noWrap/>
            <w:vAlign w:val="center"/>
            <w:hideMark/>
          </w:tcPr>
          <w:p w14:paraId="476CB078" w14:textId="77777777" w:rsidR="00E824CF" w:rsidRPr="00FB07C0" w:rsidRDefault="00E824CF" w:rsidP="00291DC2">
            <w:pPr>
              <w:spacing w:after="0" w:line="240" w:lineRule="auto"/>
              <w:jc w:val="center"/>
              <w:rPr>
                <w:rFonts w:eastAsia="Times New Roman" w:cs="Calibri"/>
                <w:b/>
                <w:bCs/>
                <w:color w:val="FFFFFF"/>
                <w:sz w:val="16"/>
                <w:szCs w:val="16"/>
                <w:lang w:eastAsia="es-MX"/>
              </w:rPr>
            </w:pPr>
            <w:r w:rsidRPr="00FB07C0">
              <w:rPr>
                <w:rFonts w:eastAsia="Times New Roman" w:cs="Calibri"/>
                <w:b/>
                <w:bCs/>
                <w:color w:val="FFFFFF"/>
                <w:sz w:val="16"/>
                <w:szCs w:val="16"/>
                <w:lang w:eastAsia="es-MX"/>
              </w:rPr>
              <w:t>2022e</w:t>
            </w:r>
          </w:p>
        </w:tc>
        <w:tc>
          <w:tcPr>
            <w:tcW w:w="1200" w:type="dxa"/>
            <w:gridSpan w:val="2"/>
            <w:tcBorders>
              <w:top w:val="nil"/>
              <w:left w:val="nil"/>
              <w:bottom w:val="single" w:sz="8" w:space="0" w:color="auto"/>
              <w:right w:val="nil"/>
            </w:tcBorders>
            <w:shd w:val="clear" w:color="auto" w:fill="AB0033"/>
            <w:noWrap/>
            <w:vAlign w:val="center"/>
            <w:hideMark/>
          </w:tcPr>
          <w:p w14:paraId="2FBAC369" w14:textId="77777777" w:rsidR="00E824CF" w:rsidRPr="00FB07C0" w:rsidRDefault="00E824CF" w:rsidP="00291DC2">
            <w:pPr>
              <w:spacing w:after="0" w:line="240" w:lineRule="auto"/>
              <w:jc w:val="center"/>
              <w:rPr>
                <w:rFonts w:eastAsia="Times New Roman" w:cs="Calibri"/>
                <w:b/>
                <w:bCs/>
                <w:color w:val="FFFFFF"/>
                <w:sz w:val="16"/>
                <w:szCs w:val="16"/>
                <w:lang w:eastAsia="es-MX"/>
              </w:rPr>
            </w:pPr>
            <w:r w:rsidRPr="00FB07C0">
              <w:rPr>
                <w:rFonts w:eastAsia="Times New Roman" w:cs="Calibri"/>
                <w:b/>
                <w:bCs/>
                <w:color w:val="FFFFFF"/>
                <w:sz w:val="16"/>
                <w:szCs w:val="16"/>
                <w:lang w:eastAsia="es-MX"/>
              </w:rPr>
              <w:t>2023f</w:t>
            </w:r>
          </w:p>
        </w:tc>
      </w:tr>
      <w:tr w:rsidR="00FB07C0" w:rsidRPr="00FB07C0" w14:paraId="63C1E304" w14:textId="77777777" w:rsidTr="00E824CF">
        <w:trPr>
          <w:trHeight w:val="450"/>
        </w:trPr>
        <w:tc>
          <w:tcPr>
            <w:tcW w:w="1134" w:type="dxa"/>
            <w:tcBorders>
              <w:top w:val="single" w:sz="8" w:space="0" w:color="auto"/>
              <w:left w:val="single" w:sz="8" w:space="0" w:color="auto"/>
              <w:bottom w:val="single" w:sz="8" w:space="0" w:color="auto"/>
              <w:right w:val="nil"/>
            </w:tcBorders>
            <w:shd w:val="clear" w:color="auto" w:fill="auto"/>
            <w:noWrap/>
            <w:vAlign w:val="center"/>
            <w:hideMark/>
          </w:tcPr>
          <w:p w14:paraId="57207382" w14:textId="77777777" w:rsidR="00FB07C0" w:rsidRPr="00FB07C0" w:rsidRDefault="00FB07C0" w:rsidP="00FB07C0">
            <w:pPr>
              <w:spacing w:after="0" w:line="240" w:lineRule="auto"/>
              <w:rPr>
                <w:rFonts w:eastAsia="Times New Roman" w:cs="Calibri"/>
                <w:b/>
                <w:bCs/>
                <w:i/>
                <w:iCs/>
                <w:color w:val="000000"/>
                <w:sz w:val="16"/>
                <w:szCs w:val="16"/>
                <w:lang w:eastAsia="es-MX"/>
              </w:rPr>
            </w:pPr>
            <w:r w:rsidRPr="00FB07C0">
              <w:rPr>
                <w:rFonts w:eastAsia="Times New Roman" w:cs="Calibri"/>
                <w:b/>
                <w:bCs/>
                <w:i/>
                <w:iCs/>
                <w:color w:val="000000"/>
                <w:sz w:val="16"/>
                <w:szCs w:val="16"/>
                <w:lang w:eastAsia="es-MX"/>
              </w:rPr>
              <w:t>Partidas informativas:</w:t>
            </w:r>
          </w:p>
        </w:tc>
        <w:tc>
          <w:tcPr>
            <w:tcW w:w="1180" w:type="dxa"/>
            <w:tcBorders>
              <w:top w:val="single" w:sz="8" w:space="0" w:color="auto"/>
              <w:left w:val="nil"/>
              <w:bottom w:val="nil"/>
              <w:right w:val="nil"/>
            </w:tcBorders>
            <w:shd w:val="clear" w:color="auto" w:fill="auto"/>
            <w:noWrap/>
            <w:vAlign w:val="center"/>
            <w:hideMark/>
          </w:tcPr>
          <w:p w14:paraId="12FC1A92" w14:textId="77777777" w:rsidR="00FB07C0" w:rsidRPr="00FB07C0" w:rsidRDefault="00FB07C0" w:rsidP="00FB07C0">
            <w:pPr>
              <w:spacing w:after="0" w:line="240" w:lineRule="auto"/>
              <w:rPr>
                <w:rFonts w:eastAsia="Times New Roman" w:cs="Calibri"/>
                <w:b/>
                <w:bCs/>
                <w:i/>
                <w:iCs/>
                <w:color w:val="000000"/>
                <w:sz w:val="16"/>
                <w:szCs w:val="16"/>
                <w:lang w:eastAsia="es-MX"/>
              </w:rPr>
            </w:pPr>
          </w:p>
        </w:tc>
        <w:tc>
          <w:tcPr>
            <w:tcW w:w="1660" w:type="dxa"/>
            <w:gridSpan w:val="2"/>
            <w:tcBorders>
              <w:top w:val="single" w:sz="8" w:space="0" w:color="auto"/>
              <w:left w:val="nil"/>
              <w:bottom w:val="nil"/>
              <w:right w:val="nil"/>
            </w:tcBorders>
            <w:shd w:val="clear" w:color="auto" w:fill="auto"/>
            <w:noWrap/>
            <w:vAlign w:val="center"/>
            <w:hideMark/>
          </w:tcPr>
          <w:p w14:paraId="6C940C6F"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200" w:type="dxa"/>
            <w:gridSpan w:val="2"/>
            <w:tcBorders>
              <w:top w:val="single" w:sz="8" w:space="0" w:color="auto"/>
              <w:left w:val="nil"/>
              <w:bottom w:val="nil"/>
              <w:right w:val="nil"/>
            </w:tcBorders>
            <w:shd w:val="clear" w:color="auto" w:fill="auto"/>
            <w:noWrap/>
            <w:vAlign w:val="center"/>
            <w:hideMark/>
          </w:tcPr>
          <w:p w14:paraId="06ADDD69"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200" w:type="dxa"/>
            <w:gridSpan w:val="2"/>
            <w:tcBorders>
              <w:top w:val="single" w:sz="8" w:space="0" w:color="auto"/>
              <w:left w:val="nil"/>
              <w:bottom w:val="nil"/>
              <w:right w:val="nil"/>
            </w:tcBorders>
            <w:shd w:val="clear" w:color="auto" w:fill="auto"/>
            <w:noWrap/>
            <w:vAlign w:val="center"/>
            <w:hideMark/>
          </w:tcPr>
          <w:p w14:paraId="5713CBF3" w14:textId="77777777" w:rsidR="00FB07C0" w:rsidRPr="00FB07C0" w:rsidRDefault="00FB07C0" w:rsidP="00FB07C0">
            <w:pPr>
              <w:spacing w:after="0" w:line="240" w:lineRule="auto"/>
              <w:jc w:val="center"/>
              <w:rPr>
                <w:rFonts w:ascii="Times New Roman" w:eastAsia="Times New Roman" w:hAnsi="Times New Roman"/>
                <w:sz w:val="20"/>
                <w:szCs w:val="20"/>
                <w:lang w:eastAsia="es-MX"/>
              </w:rPr>
            </w:pPr>
          </w:p>
        </w:tc>
        <w:tc>
          <w:tcPr>
            <w:tcW w:w="1200" w:type="dxa"/>
            <w:gridSpan w:val="2"/>
            <w:tcBorders>
              <w:top w:val="single" w:sz="8" w:space="0" w:color="auto"/>
              <w:left w:val="nil"/>
              <w:bottom w:val="nil"/>
              <w:right w:val="nil"/>
            </w:tcBorders>
            <w:shd w:val="clear" w:color="auto" w:fill="auto"/>
            <w:noWrap/>
            <w:vAlign w:val="center"/>
            <w:hideMark/>
          </w:tcPr>
          <w:p w14:paraId="2D841C12" w14:textId="77777777" w:rsidR="00FB07C0" w:rsidRPr="00FB07C0" w:rsidRDefault="00FB07C0" w:rsidP="00FB07C0">
            <w:pPr>
              <w:spacing w:after="0" w:line="240" w:lineRule="auto"/>
              <w:jc w:val="center"/>
              <w:rPr>
                <w:rFonts w:ascii="Times New Roman" w:eastAsia="Times New Roman" w:hAnsi="Times New Roman"/>
                <w:sz w:val="20"/>
                <w:szCs w:val="20"/>
                <w:lang w:eastAsia="es-MX"/>
              </w:rPr>
            </w:pPr>
          </w:p>
        </w:tc>
        <w:tc>
          <w:tcPr>
            <w:tcW w:w="1200" w:type="dxa"/>
            <w:gridSpan w:val="2"/>
            <w:tcBorders>
              <w:top w:val="single" w:sz="8" w:space="0" w:color="auto"/>
              <w:left w:val="nil"/>
              <w:bottom w:val="nil"/>
              <w:right w:val="single" w:sz="8" w:space="0" w:color="auto"/>
            </w:tcBorders>
            <w:shd w:val="clear" w:color="auto" w:fill="auto"/>
            <w:noWrap/>
            <w:vAlign w:val="center"/>
            <w:hideMark/>
          </w:tcPr>
          <w:p w14:paraId="40359C81" w14:textId="77777777" w:rsidR="00FB07C0" w:rsidRPr="00FB07C0" w:rsidRDefault="00FB07C0" w:rsidP="00FB07C0">
            <w:pPr>
              <w:spacing w:after="0" w:line="240" w:lineRule="auto"/>
              <w:jc w:val="center"/>
              <w:rPr>
                <w:rFonts w:ascii="Times New Roman" w:eastAsia="Times New Roman" w:hAnsi="Times New Roman"/>
                <w:sz w:val="20"/>
                <w:szCs w:val="20"/>
                <w:lang w:eastAsia="es-MX"/>
              </w:rPr>
            </w:pPr>
          </w:p>
        </w:tc>
      </w:tr>
      <w:tr w:rsidR="00FB07C0" w:rsidRPr="00FB07C0" w14:paraId="58F6F4F8" w14:textId="77777777" w:rsidTr="00265C09">
        <w:trPr>
          <w:gridAfter w:val="1"/>
          <w:wAfter w:w="6" w:type="dxa"/>
          <w:trHeight w:val="300"/>
        </w:trPr>
        <w:tc>
          <w:tcPr>
            <w:tcW w:w="3968" w:type="dxa"/>
            <w:gridSpan w:val="3"/>
            <w:tcBorders>
              <w:top w:val="single" w:sz="8" w:space="0" w:color="auto"/>
              <w:left w:val="single" w:sz="8" w:space="0" w:color="auto"/>
              <w:bottom w:val="nil"/>
              <w:right w:val="nil"/>
            </w:tcBorders>
            <w:shd w:val="clear" w:color="auto" w:fill="auto"/>
            <w:vAlign w:val="center"/>
            <w:hideMark/>
          </w:tcPr>
          <w:p w14:paraId="202F0EB6" w14:textId="77777777" w:rsidR="00FB07C0" w:rsidRPr="00FB07C0" w:rsidRDefault="00FB07C0" w:rsidP="00FB07C0">
            <w:pPr>
              <w:spacing w:after="0" w:line="240" w:lineRule="auto"/>
              <w:rPr>
                <w:rFonts w:eastAsia="Times New Roman" w:cs="Calibri"/>
                <w:b/>
                <w:bCs/>
                <w:color w:val="000000"/>
                <w:sz w:val="16"/>
                <w:szCs w:val="16"/>
                <w:lang w:eastAsia="es-MX"/>
              </w:rPr>
            </w:pPr>
            <w:r w:rsidRPr="00FB07C0">
              <w:rPr>
                <w:rFonts w:eastAsia="Times New Roman" w:cs="Calibri"/>
                <w:b/>
                <w:bCs/>
                <w:color w:val="000000"/>
                <w:sz w:val="16"/>
                <w:szCs w:val="16"/>
                <w:lang w:eastAsia="es-MX"/>
              </w:rPr>
              <w:t>PIB real</w:t>
            </w:r>
            <w:r w:rsidRPr="00FB07C0">
              <w:rPr>
                <w:rFonts w:eastAsia="Times New Roman" w:cs="Calibri"/>
                <w:b/>
                <w:bCs/>
                <w:color w:val="000000"/>
                <w:sz w:val="16"/>
                <w:szCs w:val="16"/>
                <w:vertAlign w:val="superscript"/>
                <w:lang w:eastAsia="es-MX"/>
              </w:rPr>
              <w:t>1</w:t>
            </w:r>
          </w:p>
        </w:tc>
        <w:tc>
          <w:tcPr>
            <w:tcW w:w="1200" w:type="dxa"/>
            <w:gridSpan w:val="2"/>
            <w:tcBorders>
              <w:top w:val="single" w:sz="8" w:space="0" w:color="auto"/>
              <w:left w:val="nil"/>
              <w:bottom w:val="nil"/>
              <w:right w:val="nil"/>
            </w:tcBorders>
            <w:shd w:val="clear" w:color="auto" w:fill="auto"/>
            <w:noWrap/>
            <w:vAlign w:val="center"/>
            <w:hideMark/>
          </w:tcPr>
          <w:p w14:paraId="48541211"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 </w:t>
            </w:r>
          </w:p>
        </w:tc>
        <w:tc>
          <w:tcPr>
            <w:tcW w:w="1200" w:type="dxa"/>
            <w:gridSpan w:val="2"/>
            <w:tcBorders>
              <w:top w:val="single" w:sz="8" w:space="0" w:color="auto"/>
              <w:left w:val="nil"/>
              <w:bottom w:val="nil"/>
              <w:right w:val="nil"/>
            </w:tcBorders>
            <w:shd w:val="clear" w:color="auto" w:fill="auto"/>
            <w:noWrap/>
            <w:vAlign w:val="center"/>
            <w:hideMark/>
          </w:tcPr>
          <w:p w14:paraId="5C45E79F"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 </w:t>
            </w:r>
          </w:p>
        </w:tc>
        <w:tc>
          <w:tcPr>
            <w:tcW w:w="1200" w:type="dxa"/>
            <w:gridSpan w:val="2"/>
            <w:tcBorders>
              <w:top w:val="single" w:sz="8" w:space="0" w:color="auto"/>
              <w:left w:val="nil"/>
              <w:bottom w:val="nil"/>
              <w:right w:val="nil"/>
            </w:tcBorders>
            <w:shd w:val="clear" w:color="auto" w:fill="auto"/>
            <w:noWrap/>
            <w:vAlign w:val="center"/>
            <w:hideMark/>
          </w:tcPr>
          <w:p w14:paraId="00D3A99D"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 </w:t>
            </w:r>
          </w:p>
        </w:tc>
        <w:tc>
          <w:tcPr>
            <w:tcW w:w="1200" w:type="dxa"/>
            <w:gridSpan w:val="2"/>
            <w:tcBorders>
              <w:top w:val="single" w:sz="8" w:space="0" w:color="auto"/>
              <w:left w:val="nil"/>
              <w:bottom w:val="nil"/>
              <w:right w:val="single" w:sz="8" w:space="0" w:color="auto"/>
            </w:tcBorders>
            <w:shd w:val="clear" w:color="auto" w:fill="auto"/>
            <w:noWrap/>
            <w:vAlign w:val="center"/>
            <w:hideMark/>
          </w:tcPr>
          <w:p w14:paraId="531EA042"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 </w:t>
            </w:r>
          </w:p>
        </w:tc>
      </w:tr>
      <w:tr w:rsidR="00FB07C0" w:rsidRPr="00FB07C0" w14:paraId="4DBCD950" w14:textId="77777777" w:rsidTr="00265C09">
        <w:trPr>
          <w:trHeight w:val="300"/>
        </w:trPr>
        <w:tc>
          <w:tcPr>
            <w:tcW w:w="1134" w:type="dxa"/>
            <w:tcBorders>
              <w:top w:val="nil"/>
              <w:left w:val="single" w:sz="8" w:space="0" w:color="auto"/>
              <w:bottom w:val="nil"/>
              <w:right w:val="nil"/>
            </w:tcBorders>
            <w:shd w:val="clear" w:color="auto" w:fill="auto"/>
            <w:hideMark/>
          </w:tcPr>
          <w:p w14:paraId="1520B01A" w14:textId="77777777" w:rsidR="00FB07C0" w:rsidRPr="00FB07C0" w:rsidRDefault="00FB07C0" w:rsidP="00FB07C0">
            <w:pPr>
              <w:spacing w:after="0" w:line="240" w:lineRule="auto"/>
              <w:jc w:val="center"/>
              <w:rPr>
                <w:rFonts w:eastAsia="Times New Roman" w:cs="Calibri"/>
                <w:color w:val="262626"/>
                <w:sz w:val="16"/>
                <w:szCs w:val="16"/>
                <w:lang w:eastAsia="es-MX"/>
              </w:rPr>
            </w:pPr>
          </w:p>
        </w:tc>
        <w:tc>
          <w:tcPr>
            <w:tcW w:w="2840" w:type="dxa"/>
            <w:gridSpan w:val="3"/>
            <w:tcBorders>
              <w:top w:val="nil"/>
              <w:left w:val="nil"/>
              <w:bottom w:val="nil"/>
              <w:right w:val="nil"/>
            </w:tcBorders>
            <w:shd w:val="clear" w:color="auto" w:fill="auto"/>
            <w:vAlign w:val="center"/>
            <w:hideMark/>
          </w:tcPr>
          <w:p w14:paraId="22109F67"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Países de ingreso alto</w:t>
            </w:r>
          </w:p>
        </w:tc>
        <w:tc>
          <w:tcPr>
            <w:tcW w:w="1200" w:type="dxa"/>
            <w:gridSpan w:val="2"/>
            <w:tcBorders>
              <w:top w:val="nil"/>
              <w:left w:val="nil"/>
              <w:bottom w:val="nil"/>
              <w:right w:val="nil"/>
            </w:tcBorders>
            <w:shd w:val="clear" w:color="auto" w:fill="auto"/>
            <w:noWrap/>
            <w:vAlign w:val="center"/>
            <w:hideMark/>
          </w:tcPr>
          <w:p w14:paraId="72BFF09B"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2.7</w:t>
            </w:r>
          </w:p>
        </w:tc>
        <w:tc>
          <w:tcPr>
            <w:tcW w:w="1200" w:type="dxa"/>
            <w:gridSpan w:val="2"/>
            <w:tcBorders>
              <w:top w:val="nil"/>
              <w:left w:val="nil"/>
              <w:bottom w:val="nil"/>
              <w:right w:val="nil"/>
            </w:tcBorders>
            <w:shd w:val="clear" w:color="auto" w:fill="auto"/>
            <w:noWrap/>
            <w:vAlign w:val="center"/>
            <w:hideMark/>
          </w:tcPr>
          <w:p w14:paraId="487E615F"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0.6</w:t>
            </w:r>
          </w:p>
        </w:tc>
        <w:tc>
          <w:tcPr>
            <w:tcW w:w="1200" w:type="dxa"/>
            <w:gridSpan w:val="2"/>
            <w:tcBorders>
              <w:top w:val="nil"/>
              <w:left w:val="nil"/>
              <w:bottom w:val="nil"/>
              <w:right w:val="nil"/>
            </w:tcBorders>
            <w:shd w:val="clear" w:color="auto" w:fill="auto"/>
            <w:noWrap/>
            <w:vAlign w:val="center"/>
            <w:hideMark/>
          </w:tcPr>
          <w:p w14:paraId="336A451E"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0</w:t>
            </w:r>
          </w:p>
        </w:tc>
        <w:tc>
          <w:tcPr>
            <w:tcW w:w="1200" w:type="dxa"/>
            <w:gridSpan w:val="2"/>
            <w:tcBorders>
              <w:top w:val="nil"/>
              <w:left w:val="nil"/>
              <w:bottom w:val="nil"/>
              <w:right w:val="single" w:sz="8" w:space="0" w:color="auto"/>
            </w:tcBorders>
            <w:shd w:val="clear" w:color="auto" w:fill="auto"/>
            <w:noWrap/>
            <w:vAlign w:val="center"/>
            <w:hideMark/>
          </w:tcPr>
          <w:p w14:paraId="0EEA4DF1"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-1.6</w:t>
            </w:r>
          </w:p>
        </w:tc>
      </w:tr>
      <w:tr w:rsidR="00FB07C0" w:rsidRPr="00FB07C0" w14:paraId="6FC2B54A" w14:textId="77777777" w:rsidTr="00265C09">
        <w:trPr>
          <w:trHeight w:val="300"/>
        </w:trPr>
        <w:tc>
          <w:tcPr>
            <w:tcW w:w="1134" w:type="dxa"/>
            <w:tcBorders>
              <w:top w:val="nil"/>
              <w:left w:val="single" w:sz="8" w:space="0" w:color="auto"/>
              <w:bottom w:val="nil"/>
              <w:right w:val="nil"/>
            </w:tcBorders>
            <w:shd w:val="clear" w:color="auto" w:fill="auto"/>
            <w:hideMark/>
          </w:tcPr>
          <w:p w14:paraId="60E9A5D5" w14:textId="77777777" w:rsidR="00FB07C0" w:rsidRPr="00FB07C0" w:rsidRDefault="00FB07C0" w:rsidP="00FB07C0">
            <w:pPr>
              <w:spacing w:after="0" w:line="240" w:lineRule="auto"/>
              <w:jc w:val="center"/>
              <w:rPr>
                <w:rFonts w:eastAsia="Times New Roman" w:cs="Calibri"/>
                <w:color w:val="262626"/>
                <w:sz w:val="16"/>
                <w:szCs w:val="16"/>
                <w:lang w:eastAsia="es-MX"/>
              </w:rPr>
            </w:pPr>
          </w:p>
        </w:tc>
        <w:tc>
          <w:tcPr>
            <w:tcW w:w="2840" w:type="dxa"/>
            <w:gridSpan w:val="3"/>
            <w:tcBorders>
              <w:top w:val="nil"/>
              <w:left w:val="nil"/>
              <w:bottom w:val="nil"/>
              <w:right w:val="nil"/>
            </w:tcBorders>
            <w:shd w:val="clear" w:color="auto" w:fill="auto"/>
            <w:vAlign w:val="center"/>
            <w:hideMark/>
          </w:tcPr>
          <w:p w14:paraId="7E8BB910"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Países de ingreso mediano</w:t>
            </w:r>
          </w:p>
        </w:tc>
        <w:tc>
          <w:tcPr>
            <w:tcW w:w="1200" w:type="dxa"/>
            <w:gridSpan w:val="2"/>
            <w:tcBorders>
              <w:top w:val="nil"/>
              <w:left w:val="nil"/>
              <w:bottom w:val="nil"/>
              <w:right w:val="nil"/>
            </w:tcBorders>
            <w:shd w:val="clear" w:color="auto" w:fill="auto"/>
            <w:noWrap/>
            <w:vAlign w:val="center"/>
            <w:hideMark/>
          </w:tcPr>
          <w:p w14:paraId="51478F1A"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3.2</w:t>
            </w:r>
          </w:p>
        </w:tc>
        <w:tc>
          <w:tcPr>
            <w:tcW w:w="1200" w:type="dxa"/>
            <w:gridSpan w:val="2"/>
            <w:tcBorders>
              <w:top w:val="nil"/>
              <w:left w:val="nil"/>
              <w:bottom w:val="nil"/>
              <w:right w:val="nil"/>
            </w:tcBorders>
            <w:shd w:val="clear" w:color="auto" w:fill="auto"/>
            <w:noWrap/>
            <w:vAlign w:val="center"/>
            <w:hideMark/>
          </w:tcPr>
          <w:p w14:paraId="4149AEB0"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3.4</w:t>
            </w:r>
          </w:p>
        </w:tc>
        <w:tc>
          <w:tcPr>
            <w:tcW w:w="1200" w:type="dxa"/>
            <w:gridSpan w:val="2"/>
            <w:tcBorders>
              <w:top w:val="nil"/>
              <w:left w:val="nil"/>
              <w:bottom w:val="nil"/>
              <w:right w:val="nil"/>
            </w:tcBorders>
            <w:shd w:val="clear" w:color="auto" w:fill="auto"/>
            <w:noWrap/>
            <w:vAlign w:val="center"/>
            <w:hideMark/>
          </w:tcPr>
          <w:p w14:paraId="42BF7266"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-0.1</w:t>
            </w:r>
          </w:p>
        </w:tc>
        <w:tc>
          <w:tcPr>
            <w:tcW w:w="1200" w:type="dxa"/>
            <w:gridSpan w:val="2"/>
            <w:tcBorders>
              <w:top w:val="nil"/>
              <w:left w:val="nil"/>
              <w:bottom w:val="nil"/>
              <w:right w:val="single" w:sz="8" w:space="0" w:color="auto"/>
            </w:tcBorders>
            <w:shd w:val="clear" w:color="auto" w:fill="auto"/>
            <w:noWrap/>
            <w:vAlign w:val="center"/>
            <w:hideMark/>
          </w:tcPr>
          <w:p w14:paraId="45949270"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-0.8</w:t>
            </w:r>
          </w:p>
        </w:tc>
      </w:tr>
      <w:tr w:rsidR="00FB07C0" w:rsidRPr="00FB07C0" w14:paraId="11364878" w14:textId="77777777" w:rsidTr="00265C09">
        <w:trPr>
          <w:trHeight w:val="300"/>
        </w:trPr>
        <w:tc>
          <w:tcPr>
            <w:tcW w:w="1134" w:type="dxa"/>
            <w:tcBorders>
              <w:top w:val="nil"/>
              <w:left w:val="single" w:sz="8" w:space="0" w:color="auto"/>
              <w:bottom w:val="nil"/>
              <w:right w:val="nil"/>
            </w:tcBorders>
            <w:shd w:val="clear" w:color="auto" w:fill="auto"/>
            <w:hideMark/>
          </w:tcPr>
          <w:p w14:paraId="1BB1D996" w14:textId="77777777" w:rsidR="00FB07C0" w:rsidRPr="00FB07C0" w:rsidRDefault="00FB07C0" w:rsidP="00FB07C0">
            <w:pPr>
              <w:spacing w:after="0" w:line="240" w:lineRule="auto"/>
              <w:jc w:val="center"/>
              <w:rPr>
                <w:rFonts w:eastAsia="Times New Roman" w:cs="Calibri"/>
                <w:color w:val="262626"/>
                <w:sz w:val="16"/>
                <w:szCs w:val="16"/>
                <w:lang w:eastAsia="es-MX"/>
              </w:rPr>
            </w:pPr>
          </w:p>
        </w:tc>
        <w:tc>
          <w:tcPr>
            <w:tcW w:w="2840" w:type="dxa"/>
            <w:gridSpan w:val="3"/>
            <w:tcBorders>
              <w:top w:val="nil"/>
              <w:left w:val="nil"/>
              <w:bottom w:val="nil"/>
              <w:right w:val="nil"/>
            </w:tcBorders>
            <w:shd w:val="clear" w:color="auto" w:fill="auto"/>
            <w:vAlign w:val="center"/>
            <w:hideMark/>
          </w:tcPr>
          <w:p w14:paraId="10F51328"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Países de ingreso bajo</w:t>
            </w:r>
          </w:p>
        </w:tc>
        <w:tc>
          <w:tcPr>
            <w:tcW w:w="1200" w:type="dxa"/>
            <w:gridSpan w:val="2"/>
            <w:tcBorders>
              <w:top w:val="nil"/>
              <w:left w:val="nil"/>
              <w:bottom w:val="nil"/>
              <w:right w:val="nil"/>
            </w:tcBorders>
            <w:shd w:val="clear" w:color="auto" w:fill="auto"/>
            <w:noWrap/>
            <w:vAlign w:val="center"/>
            <w:hideMark/>
          </w:tcPr>
          <w:p w14:paraId="24EC99D5"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4</w:t>
            </w:r>
          </w:p>
        </w:tc>
        <w:tc>
          <w:tcPr>
            <w:tcW w:w="1200" w:type="dxa"/>
            <w:gridSpan w:val="2"/>
            <w:tcBorders>
              <w:top w:val="nil"/>
              <w:left w:val="nil"/>
              <w:bottom w:val="nil"/>
              <w:right w:val="nil"/>
            </w:tcBorders>
            <w:shd w:val="clear" w:color="auto" w:fill="auto"/>
            <w:noWrap/>
            <w:vAlign w:val="center"/>
            <w:hideMark/>
          </w:tcPr>
          <w:p w14:paraId="23D651FA"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5.1</w:t>
            </w:r>
          </w:p>
        </w:tc>
        <w:tc>
          <w:tcPr>
            <w:tcW w:w="1200" w:type="dxa"/>
            <w:gridSpan w:val="2"/>
            <w:tcBorders>
              <w:top w:val="nil"/>
              <w:left w:val="nil"/>
              <w:bottom w:val="nil"/>
              <w:right w:val="nil"/>
            </w:tcBorders>
            <w:shd w:val="clear" w:color="auto" w:fill="auto"/>
            <w:noWrap/>
            <w:vAlign w:val="center"/>
            <w:hideMark/>
          </w:tcPr>
          <w:p w14:paraId="7013B63D"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0</w:t>
            </w:r>
          </w:p>
        </w:tc>
        <w:tc>
          <w:tcPr>
            <w:tcW w:w="1200" w:type="dxa"/>
            <w:gridSpan w:val="2"/>
            <w:tcBorders>
              <w:top w:val="nil"/>
              <w:left w:val="nil"/>
              <w:bottom w:val="nil"/>
              <w:right w:val="single" w:sz="8" w:space="0" w:color="auto"/>
            </w:tcBorders>
            <w:shd w:val="clear" w:color="auto" w:fill="auto"/>
            <w:noWrap/>
            <w:vAlign w:val="center"/>
            <w:hideMark/>
          </w:tcPr>
          <w:p w14:paraId="3F433ADF"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-0.1</w:t>
            </w:r>
          </w:p>
        </w:tc>
      </w:tr>
      <w:tr w:rsidR="00FB07C0" w:rsidRPr="00FB07C0" w14:paraId="01B74BF3" w14:textId="77777777" w:rsidTr="00265C09">
        <w:trPr>
          <w:trHeight w:val="300"/>
        </w:trPr>
        <w:tc>
          <w:tcPr>
            <w:tcW w:w="1134" w:type="dxa"/>
            <w:tcBorders>
              <w:top w:val="nil"/>
              <w:left w:val="single" w:sz="8" w:space="0" w:color="auto"/>
              <w:bottom w:val="nil"/>
              <w:right w:val="nil"/>
            </w:tcBorders>
            <w:shd w:val="clear" w:color="auto" w:fill="auto"/>
            <w:hideMark/>
          </w:tcPr>
          <w:p w14:paraId="6A86D3B2" w14:textId="77777777" w:rsidR="00FB07C0" w:rsidRPr="00FB07C0" w:rsidRDefault="00FB07C0" w:rsidP="00FB07C0">
            <w:pPr>
              <w:spacing w:after="0" w:line="240" w:lineRule="auto"/>
              <w:jc w:val="center"/>
              <w:rPr>
                <w:rFonts w:eastAsia="Times New Roman" w:cs="Calibri"/>
                <w:color w:val="262626"/>
                <w:sz w:val="16"/>
                <w:szCs w:val="16"/>
                <w:lang w:eastAsia="es-MX"/>
              </w:rPr>
            </w:pPr>
          </w:p>
        </w:tc>
        <w:tc>
          <w:tcPr>
            <w:tcW w:w="2840" w:type="dxa"/>
            <w:gridSpan w:val="3"/>
            <w:tcBorders>
              <w:top w:val="nil"/>
              <w:left w:val="nil"/>
              <w:bottom w:val="nil"/>
              <w:right w:val="nil"/>
            </w:tcBorders>
            <w:shd w:val="clear" w:color="auto" w:fill="auto"/>
            <w:vAlign w:val="center"/>
            <w:hideMark/>
          </w:tcPr>
          <w:p w14:paraId="51744508"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MEED, sin incluir a China</w:t>
            </w:r>
          </w:p>
        </w:tc>
        <w:tc>
          <w:tcPr>
            <w:tcW w:w="1200" w:type="dxa"/>
            <w:gridSpan w:val="2"/>
            <w:tcBorders>
              <w:top w:val="nil"/>
              <w:left w:val="nil"/>
              <w:bottom w:val="nil"/>
              <w:right w:val="nil"/>
            </w:tcBorders>
            <w:shd w:val="clear" w:color="auto" w:fill="auto"/>
            <w:noWrap/>
            <w:vAlign w:val="center"/>
            <w:hideMark/>
          </w:tcPr>
          <w:p w14:paraId="748916ED"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3.8</w:t>
            </w:r>
          </w:p>
        </w:tc>
        <w:tc>
          <w:tcPr>
            <w:tcW w:w="1200" w:type="dxa"/>
            <w:gridSpan w:val="2"/>
            <w:tcBorders>
              <w:top w:val="nil"/>
              <w:left w:val="nil"/>
              <w:bottom w:val="nil"/>
              <w:right w:val="nil"/>
            </w:tcBorders>
            <w:shd w:val="clear" w:color="auto" w:fill="auto"/>
            <w:noWrap/>
            <w:vAlign w:val="center"/>
            <w:hideMark/>
          </w:tcPr>
          <w:p w14:paraId="4A4165D4"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2.7</w:t>
            </w:r>
          </w:p>
        </w:tc>
        <w:tc>
          <w:tcPr>
            <w:tcW w:w="1200" w:type="dxa"/>
            <w:gridSpan w:val="2"/>
            <w:tcBorders>
              <w:top w:val="nil"/>
              <w:left w:val="nil"/>
              <w:bottom w:val="nil"/>
              <w:right w:val="nil"/>
            </w:tcBorders>
            <w:shd w:val="clear" w:color="auto" w:fill="auto"/>
            <w:noWrap/>
            <w:vAlign w:val="center"/>
            <w:hideMark/>
          </w:tcPr>
          <w:p w14:paraId="49EC46DD"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1.1</w:t>
            </w:r>
          </w:p>
        </w:tc>
        <w:tc>
          <w:tcPr>
            <w:tcW w:w="1200" w:type="dxa"/>
            <w:gridSpan w:val="2"/>
            <w:tcBorders>
              <w:top w:val="nil"/>
              <w:left w:val="nil"/>
              <w:bottom w:val="nil"/>
              <w:right w:val="single" w:sz="8" w:space="0" w:color="auto"/>
            </w:tcBorders>
            <w:shd w:val="clear" w:color="auto" w:fill="auto"/>
            <w:noWrap/>
            <w:vAlign w:val="center"/>
            <w:hideMark/>
          </w:tcPr>
          <w:p w14:paraId="086765C1"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-0.7</w:t>
            </w:r>
          </w:p>
        </w:tc>
      </w:tr>
      <w:tr w:rsidR="00FB07C0" w:rsidRPr="00FB07C0" w14:paraId="4F6EC7D7" w14:textId="77777777" w:rsidTr="00265C09">
        <w:trPr>
          <w:trHeight w:val="450"/>
        </w:trPr>
        <w:tc>
          <w:tcPr>
            <w:tcW w:w="1134" w:type="dxa"/>
            <w:tcBorders>
              <w:top w:val="nil"/>
              <w:left w:val="single" w:sz="8" w:space="0" w:color="auto"/>
              <w:bottom w:val="nil"/>
              <w:right w:val="nil"/>
            </w:tcBorders>
            <w:shd w:val="clear" w:color="auto" w:fill="auto"/>
            <w:hideMark/>
          </w:tcPr>
          <w:p w14:paraId="6FE94A8B" w14:textId="77777777" w:rsidR="00FB07C0" w:rsidRPr="00FB07C0" w:rsidRDefault="00FB07C0" w:rsidP="00FB07C0">
            <w:pPr>
              <w:spacing w:after="0" w:line="240" w:lineRule="auto"/>
              <w:jc w:val="center"/>
              <w:rPr>
                <w:rFonts w:eastAsia="Times New Roman" w:cs="Calibri"/>
                <w:color w:val="262626"/>
                <w:sz w:val="16"/>
                <w:szCs w:val="16"/>
                <w:lang w:eastAsia="es-MX"/>
              </w:rPr>
            </w:pPr>
          </w:p>
        </w:tc>
        <w:tc>
          <w:tcPr>
            <w:tcW w:w="2840" w:type="dxa"/>
            <w:gridSpan w:val="3"/>
            <w:tcBorders>
              <w:top w:val="nil"/>
              <w:left w:val="nil"/>
              <w:bottom w:val="nil"/>
              <w:right w:val="nil"/>
            </w:tcBorders>
            <w:shd w:val="clear" w:color="auto" w:fill="auto"/>
            <w:vAlign w:val="center"/>
            <w:hideMark/>
          </w:tcPr>
          <w:p w14:paraId="63DDA936"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MEED exportadores de productos básicos</w:t>
            </w:r>
          </w:p>
        </w:tc>
        <w:tc>
          <w:tcPr>
            <w:tcW w:w="1200" w:type="dxa"/>
            <w:gridSpan w:val="2"/>
            <w:tcBorders>
              <w:top w:val="nil"/>
              <w:left w:val="nil"/>
              <w:bottom w:val="nil"/>
              <w:right w:val="nil"/>
            </w:tcBorders>
            <w:shd w:val="clear" w:color="auto" w:fill="auto"/>
            <w:noWrap/>
            <w:vAlign w:val="center"/>
            <w:hideMark/>
          </w:tcPr>
          <w:p w14:paraId="49B170FB"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2.8</w:t>
            </w:r>
          </w:p>
        </w:tc>
        <w:tc>
          <w:tcPr>
            <w:tcW w:w="1200" w:type="dxa"/>
            <w:gridSpan w:val="2"/>
            <w:tcBorders>
              <w:top w:val="nil"/>
              <w:left w:val="nil"/>
              <w:bottom w:val="nil"/>
              <w:right w:val="nil"/>
            </w:tcBorders>
            <w:shd w:val="clear" w:color="auto" w:fill="auto"/>
            <w:noWrap/>
            <w:vAlign w:val="center"/>
            <w:hideMark/>
          </w:tcPr>
          <w:p w14:paraId="37482A65"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1.9</w:t>
            </w:r>
          </w:p>
        </w:tc>
        <w:tc>
          <w:tcPr>
            <w:tcW w:w="1200" w:type="dxa"/>
            <w:gridSpan w:val="2"/>
            <w:tcBorders>
              <w:top w:val="nil"/>
              <w:left w:val="nil"/>
              <w:bottom w:val="nil"/>
              <w:right w:val="nil"/>
            </w:tcBorders>
            <w:shd w:val="clear" w:color="auto" w:fill="auto"/>
            <w:noWrap/>
            <w:vAlign w:val="center"/>
            <w:hideMark/>
          </w:tcPr>
          <w:p w14:paraId="668F3D08"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1.6</w:t>
            </w:r>
          </w:p>
        </w:tc>
        <w:tc>
          <w:tcPr>
            <w:tcW w:w="1200" w:type="dxa"/>
            <w:gridSpan w:val="2"/>
            <w:tcBorders>
              <w:top w:val="nil"/>
              <w:left w:val="nil"/>
              <w:bottom w:val="nil"/>
              <w:right w:val="single" w:sz="8" w:space="0" w:color="auto"/>
            </w:tcBorders>
            <w:shd w:val="clear" w:color="auto" w:fill="auto"/>
            <w:noWrap/>
            <w:vAlign w:val="center"/>
            <w:hideMark/>
          </w:tcPr>
          <w:p w14:paraId="20253BAB"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-0.7</w:t>
            </w:r>
          </w:p>
        </w:tc>
      </w:tr>
      <w:tr w:rsidR="00FB07C0" w:rsidRPr="00FB07C0" w14:paraId="5FDCA392" w14:textId="77777777" w:rsidTr="00265C09">
        <w:trPr>
          <w:trHeight w:val="450"/>
        </w:trPr>
        <w:tc>
          <w:tcPr>
            <w:tcW w:w="1134" w:type="dxa"/>
            <w:tcBorders>
              <w:top w:val="nil"/>
              <w:left w:val="single" w:sz="8" w:space="0" w:color="auto"/>
              <w:bottom w:val="single" w:sz="8" w:space="0" w:color="auto"/>
              <w:right w:val="nil"/>
            </w:tcBorders>
            <w:shd w:val="clear" w:color="auto" w:fill="auto"/>
            <w:hideMark/>
          </w:tcPr>
          <w:p w14:paraId="67F57033"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2840" w:type="dxa"/>
            <w:gridSpan w:val="3"/>
            <w:tcBorders>
              <w:top w:val="nil"/>
              <w:left w:val="nil"/>
              <w:bottom w:val="single" w:sz="8" w:space="0" w:color="auto"/>
              <w:right w:val="nil"/>
            </w:tcBorders>
            <w:shd w:val="clear" w:color="auto" w:fill="auto"/>
            <w:vAlign w:val="center"/>
            <w:hideMark/>
          </w:tcPr>
          <w:p w14:paraId="4DDE4059"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MEED importadores de productos básicos</w:t>
            </w:r>
          </w:p>
        </w:tc>
        <w:tc>
          <w:tcPr>
            <w:tcW w:w="1200" w:type="dxa"/>
            <w:gridSpan w:val="2"/>
            <w:tcBorders>
              <w:top w:val="nil"/>
              <w:left w:val="nil"/>
              <w:bottom w:val="single" w:sz="8" w:space="0" w:color="auto"/>
              <w:right w:val="nil"/>
            </w:tcBorders>
            <w:shd w:val="clear" w:color="auto" w:fill="auto"/>
            <w:noWrap/>
            <w:vAlign w:val="center"/>
            <w:hideMark/>
          </w:tcPr>
          <w:p w14:paraId="62577EC8"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3.6</w:t>
            </w:r>
          </w:p>
        </w:tc>
        <w:tc>
          <w:tcPr>
            <w:tcW w:w="1200" w:type="dxa"/>
            <w:gridSpan w:val="2"/>
            <w:tcBorders>
              <w:top w:val="nil"/>
              <w:left w:val="nil"/>
              <w:bottom w:val="single" w:sz="8" w:space="0" w:color="auto"/>
              <w:right w:val="nil"/>
            </w:tcBorders>
            <w:shd w:val="clear" w:color="auto" w:fill="auto"/>
            <w:noWrap/>
            <w:vAlign w:val="center"/>
            <w:hideMark/>
          </w:tcPr>
          <w:p w14:paraId="51A7A070"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4.1</w:t>
            </w:r>
          </w:p>
        </w:tc>
        <w:tc>
          <w:tcPr>
            <w:tcW w:w="1200" w:type="dxa"/>
            <w:gridSpan w:val="2"/>
            <w:tcBorders>
              <w:top w:val="nil"/>
              <w:left w:val="nil"/>
              <w:bottom w:val="single" w:sz="8" w:space="0" w:color="auto"/>
              <w:right w:val="nil"/>
            </w:tcBorders>
            <w:shd w:val="clear" w:color="auto" w:fill="auto"/>
            <w:noWrap/>
            <w:vAlign w:val="center"/>
            <w:hideMark/>
          </w:tcPr>
          <w:p w14:paraId="26C2C41A"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-0.8</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18E9E400"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-0.8</w:t>
            </w:r>
          </w:p>
        </w:tc>
      </w:tr>
      <w:tr w:rsidR="00FB07C0" w:rsidRPr="00FB07C0" w14:paraId="47CFF03A" w14:textId="77777777" w:rsidTr="00265C09">
        <w:trPr>
          <w:trHeight w:val="870"/>
        </w:trPr>
        <w:tc>
          <w:tcPr>
            <w:tcW w:w="1134" w:type="dxa"/>
            <w:tcBorders>
              <w:top w:val="nil"/>
              <w:left w:val="single" w:sz="8" w:space="0" w:color="auto"/>
              <w:bottom w:val="single" w:sz="8" w:space="0" w:color="auto"/>
              <w:right w:val="nil"/>
            </w:tcBorders>
            <w:shd w:val="clear" w:color="auto" w:fill="auto"/>
            <w:hideMark/>
          </w:tcPr>
          <w:p w14:paraId="2E7C147F"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180" w:type="dxa"/>
            <w:tcBorders>
              <w:top w:val="nil"/>
              <w:left w:val="nil"/>
              <w:bottom w:val="single" w:sz="8" w:space="0" w:color="auto"/>
              <w:right w:val="nil"/>
            </w:tcBorders>
            <w:shd w:val="clear" w:color="auto" w:fill="auto"/>
            <w:hideMark/>
          </w:tcPr>
          <w:p w14:paraId="692B1AA9"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660" w:type="dxa"/>
            <w:gridSpan w:val="2"/>
            <w:tcBorders>
              <w:top w:val="nil"/>
              <w:left w:val="nil"/>
              <w:bottom w:val="single" w:sz="8" w:space="0" w:color="auto"/>
              <w:right w:val="nil"/>
            </w:tcBorders>
            <w:shd w:val="clear" w:color="auto" w:fill="auto"/>
            <w:vAlign w:val="center"/>
            <w:hideMark/>
          </w:tcPr>
          <w:p w14:paraId="35AAAD05"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MEED importadores de productos básicos, sin incluir a China</w:t>
            </w:r>
          </w:p>
        </w:tc>
        <w:tc>
          <w:tcPr>
            <w:tcW w:w="1200" w:type="dxa"/>
            <w:gridSpan w:val="2"/>
            <w:tcBorders>
              <w:top w:val="nil"/>
              <w:left w:val="nil"/>
              <w:bottom w:val="single" w:sz="8" w:space="0" w:color="auto"/>
              <w:right w:val="nil"/>
            </w:tcBorders>
            <w:shd w:val="clear" w:color="auto" w:fill="auto"/>
            <w:noWrap/>
            <w:vAlign w:val="center"/>
            <w:hideMark/>
          </w:tcPr>
          <w:p w14:paraId="6FBC7AAC"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5</w:t>
            </w:r>
          </w:p>
        </w:tc>
        <w:tc>
          <w:tcPr>
            <w:tcW w:w="1200" w:type="dxa"/>
            <w:gridSpan w:val="2"/>
            <w:tcBorders>
              <w:top w:val="nil"/>
              <w:left w:val="nil"/>
              <w:bottom w:val="single" w:sz="8" w:space="0" w:color="auto"/>
              <w:right w:val="nil"/>
            </w:tcBorders>
            <w:shd w:val="clear" w:color="auto" w:fill="auto"/>
            <w:noWrap/>
            <w:vAlign w:val="center"/>
            <w:hideMark/>
          </w:tcPr>
          <w:p w14:paraId="2CBAFADE"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3.8</w:t>
            </w:r>
          </w:p>
        </w:tc>
        <w:tc>
          <w:tcPr>
            <w:tcW w:w="1200" w:type="dxa"/>
            <w:gridSpan w:val="2"/>
            <w:tcBorders>
              <w:top w:val="nil"/>
              <w:left w:val="nil"/>
              <w:bottom w:val="single" w:sz="8" w:space="0" w:color="auto"/>
              <w:right w:val="nil"/>
            </w:tcBorders>
            <w:shd w:val="clear" w:color="auto" w:fill="auto"/>
            <w:noWrap/>
            <w:vAlign w:val="center"/>
            <w:hideMark/>
          </w:tcPr>
          <w:p w14:paraId="1C36DD2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0.4</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7FCF1E72"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-0.7</w:t>
            </w:r>
          </w:p>
        </w:tc>
      </w:tr>
      <w:tr w:rsidR="00FB07C0" w:rsidRPr="00FB07C0" w14:paraId="736BA735" w14:textId="77777777" w:rsidTr="00265C09">
        <w:trPr>
          <w:trHeight w:val="300"/>
        </w:trPr>
        <w:tc>
          <w:tcPr>
            <w:tcW w:w="1134" w:type="dxa"/>
            <w:tcBorders>
              <w:top w:val="nil"/>
              <w:left w:val="single" w:sz="8" w:space="0" w:color="auto"/>
              <w:bottom w:val="nil"/>
              <w:right w:val="nil"/>
            </w:tcBorders>
            <w:shd w:val="clear" w:color="auto" w:fill="auto"/>
            <w:hideMark/>
          </w:tcPr>
          <w:p w14:paraId="0F3FC1CE"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2840" w:type="dxa"/>
            <w:gridSpan w:val="3"/>
            <w:tcBorders>
              <w:top w:val="single" w:sz="8" w:space="0" w:color="auto"/>
              <w:left w:val="nil"/>
              <w:bottom w:val="nil"/>
              <w:right w:val="nil"/>
            </w:tcBorders>
            <w:shd w:val="clear" w:color="auto" w:fill="auto"/>
            <w:vAlign w:val="center"/>
            <w:hideMark/>
          </w:tcPr>
          <w:p w14:paraId="1BFAC26C"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EM7</w:t>
            </w:r>
          </w:p>
        </w:tc>
        <w:tc>
          <w:tcPr>
            <w:tcW w:w="1200" w:type="dxa"/>
            <w:gridSpan w:val="2"/>
            <w:tcBorders>
              <w:top w:val="nil"/>
              <w:left w:val="nil"/>
              <w:bottom w:val="nil"/>
              <w:right w:val="nil"/>
            </w:tcBorders>
            <w:shd w:val="clear" w:color="auto" w:fill="auto"/>
            <w:noWrap/>
            <w:vAlign w:val="center"/>
            <w:hideMark/>
          </w:tcPr>
          <w:p w14:paraId="7E0160C1"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w:t>
            </w:r>
          </w:p>
        </w:tc>
        <w:tc>
          <w:tcPr>
            <w:tcW w:w="1200" w:type="dxa"/>
            <w:gridSpan w:val="2"/>
            <w:tcBorders>
              <w:top w:val="nil"/>
              <w:left w:val="nil"/>
              <w:bottom w:val="nil"/>
              <w:right w:val="nil"/>
            </w:tcBorders>
            <w:shd w:val="clear" w:color="auto" w:fill="auto"/>
            <w:noWrap/>
            <w:vAlign w:val="center"/>
            <w:hideMark/>
          </w:tcPr>
          <w:p w14:paraId="15E9BCCF"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3.5</w:t>
            </w:r>
          </w:p>
        </w:tc>
        <w:tc>
          <w:tcPr>
            <w:tcW w:w="1200" w:type="dxa"/>
            <w:gridSpan w:val="2"/>
            <w:tcBorders>
              <w:top w:val="nil"/>
              <w:left w:val="nil"/>
              <w:bottom w:val="nil"/>
              <w:right w:val="nil"/>
            </w:tcBorders>
            <w:shd w:val="clear" w:color="auto" w:fill="auto"/>
            <w:noWrap/>
            <w:vAlign w:val="center"/>
            <w:hideMark/>
          </w:tcPr>
          <w:p w14:paraId="42FD0BDE"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-0.3</w:t>
            </w:r>
          </w:p>
        </w:tc>
        <w:tc>
          <w:tcPr>
            <w:tcW w:w="1200" w:type="dxa"/>
            <w:gridSpan w:val="2"/>
            <w:tcBorders>
              <w:top w:val="nil"/>
              <w:left w:val="nil"/>
              <w:bottom w:val="nil"/>
              <w:right w:val="single" w:sz="8" w:space="0" w:color="auto"/>
            </w:tcBorders>
            <w:shd w:val="clear" w:color="auto" w:fill="auto"/>
            <w:noWrap/>
            <w:vAlign w:val="center"/>
            <w:hideMark/>
          </w:tcPr>
          <w:p w14:paraId="00BD261C"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-0.8</w:t>
            </w:r>
          </w:p>
        </w:tc>
      </w:tr>
      <w:tr w:rsidR="00FB07C0" w:rsidRPr="00FB07C0" w14:paraId="46D6AC45" w14:textId="77777777" w:rsidTr="00265C09">
        <w:trPr>
          <w:trHeight w:val="480"/>
        </w:trPr>
        <w:tc>
          <w:tcPr>
            <w:tcW w:w="1134" w:type="dxa"/>
            <w:tcBorders>
              <w:top w:val="nil"/>
              <w:left w:val="single" w:sz="8" w:space="0" w:color="auto"/>
              <w:bottom w:val="single" w:sz="8" w:space="0" w:color="auto"/>
              <w:right w:val="nil"/>
            </w:tcBorders>
            <w:shd w:val="clear" w:color="auto" w:fill="auto"/>
            <w:hideMark/>
          </w:tcPr>
          <w:p w14:paraId="03FA8E73"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2840" w:type="dxa"/>
            <w:gridSpan w:val="3"/>
            <w:tcBorders>
              <w:top w:val="nil"/>
              <w:left w:val="nil"/>
              <w:bottom w:val="single" w:sz="8" w:space="0" w:color="auto"/>
              <w:right w:val="nil"/>
            </w:tcBorders>
            <w:shd w:val="clear" w:color="auto" w:fill="auto"/>
            <w:vAlign w:val="center"/>
            <w:hideMark/>
          </w:tcPr>
          <w:p w14:paraId="3E3789E6"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Todo el mundo (ponderaciones basadas en la PPA)</w:t>
            </w:r>
            <w:r w:rsidRPr="00FB07C0">
              <w:rPr>
                <w:rFonts w:eastAsia="Times New Roman" w:cs="Calibri"/>
                <w:color w:val="000000"/>
                <w:sz w:val="16"/>
                <w:szCs w:val="16"/>
                <w:vertAlign w:val="superscript"/>
                <w:lang w:eastAsia="es-MX"/>
              </w:rPr>
              <w:t>4</w:t>
            </w:r>
          </w:p>
        </w:tc>
        <w:tc>
          <w:tcPr>
            <w:tcW w:w="1200" w:type="dxa"/>
            <w:gridSpan w:val="2"/>
            <w:tcBorders>
              <w:top w:val="nil"/>
              <w:left w:val="nil"/>
              <w:bottom w:val="single" w:sz="8" w:space="0" w:color="auto"/>
              <w:right w:val="nil"/>
            </w:tcBorders>
            <w:shd w:val="clear" w:color="auto" w:fill="auto"/>
            <w:noWrap/>
            <w:vAlign w:val="center"/>
            <w:hideMark/>
          </w:tcPr>
          <w:p w14:paraId="73B21844"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3.1</w:t>
            </w:r>
          </w:p>
        </w:tc>
        <w:tc>
          <w:tcPr>
            <w:tcW w:w="1200" w:type="dxa"/>
            <w:gridSpan w:val="2"/>
            <w:tcBorders>
              <w:top w:val="nil"/>
              <w:left w:val="nil"/>
              <w:bottom w:val="single" w:sz="8" w:space="0" w:color="auto"/>
              <w:right w:val="nil"/>
            </w:tcBorders>
            <w:shd w:val="clear" w:color="auto" w:fill="auto"/>
            <w:noWrap/>
            <w:vAlign w:val="center"/>
            <w:hideMark/>
          </w:tcPr>
          <w:p w14:paraId="1259CF22"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2.2</w:t>
            </w:r>
          </w:p>
        </w:tc>
        <w:tc>
          <w:tcPr>
            <w:tcW w:w="1200" w:type="dxa"/>
            <w:gridSpan w:val="2"/>
            <w:tcBorders>
              <w:top w:val="nil"/>
              <w:left w:val="nil"/>
              <w:bottom w:val="single" w:sz="8" w:space="0" w:color="auto"/>
              <w:right w:val="nil"/>
            </w:tcBorders>
            <w:shd w:val="clear" w:color="auto" w:fill="auto"/>
            <w:noWrap/>
            <w:vAlign w:val="center"/>
            <w:hideMark/>
          </w:tcPr>
          <w:p w14:paraId="1A6C0A85"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3DDC488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-1.2</w:t>
            </w:r>
          </w:p>
        </w:tc>
      </w:tr>
      <w:tr w:rsidR="00FB07C0" w:rsidRPr="00FB07C0" w14:paraId="4748F037" w14:textId="77777777" w:rsidTr="00265C09">
        <w:trPr>
          <w:gridAfter w:val="1"/>
          <w:wAfter w:w="6" w:type="dxa"/>
          <w:trHeight w:val="315"/>
        </w:trPr>
        <w:tc>
          <w:tcPr>
            <w:tcW w:w="3968" w:type="dxa"/>
            <w:gridSpan w:val="3"/>
            <w:tcBorders>
              <w:top w:val="single" w:sz="8" w:space="0" w:color="auto"/>
              <w:left w:val="single" w:sz="8" w:space="0" w:color="auto"/>
              <w:bottom w:val="single" w:sz="8" w:space="0" w:color="auto"/>
              <w:right w:val="nil"/>
            </w:tcBorders>
            <w:shd w:val="clear" w:color="auto" w:fill="auto"/>
            <w:vAlign w:val="center"/>
            <w:hideMark/>
          </w:tcPr>
          <w:p w14:paraId="349BB560" w14:textId="77777777" w:rsidR="00FB07C0" w:rsidRPr="00FB07C0" w:rsidRDefault="00FB07C0" w:rsidP="00FB07C0">
            <w:pPr>
              <w:spacing w:after="0" w:line="240" w:lineRule="auto"/>
              <w:rPr>
                <w:rFonts w:eastAsia="Times New Roman" w:cs="Calibri"/>
                <w:b/>
                <w:bCs/>
                <w:color w:val="000000"/>
                <w:sz w:val="16"/>
                <w:szCs w:val="16"/>
                <w:lang w:eastAsia="es-MX"/>
              </w:rPr>
            </w:pPr>
            <w:r w:rsidRPr="00FB07C0">
              <w:rPr>
                <w:rFonts w:eastAsia="Times New Roman" w:cs="Calibri"/>
                <w:b/>
                <w:bCs/>
                <w:color w:val="000000"/>
                <w:sz w:val="16"/>
                <w:szCs w:val="16"/>
                <w:lang w:eastAsia="es-MX"/>
              </w:rPr>
              <w:t>Volumen del comercio mundial</w:t>
            </w:r>
            <w:r w:rsidRPr="00FB07C0">
              <w:rPr>
                <w:rFonts w:eastAsia="Times New Roman" w:cs="Calibri"/>
                <w:b/>
                <w:bCs/>
                <w:color w:val="000000"/>
                <w:sz w:val="16"/>
                <w:szCs w:val="16"/>
                <w:vertAlign w:val="superscript"/>
                <w:lang w:eastAsia="es-MX"/>
              </w:rPr>
              <w:t>5</w:t>
            </w:r>
          </w:p>
        </w:tc>
        <w:tc>
          <w:tcPr>
            <w:tcW w:w="1200" w:type="dxa"/>
            <w:gridSpan w:val="2"/>
            <w:tcBorders>
              <w:top w:val="nil"/>
              <w:left w:val="nil"/>
              <w:bottom w:val="single" w:sz="8" w:space="0" w:color="auto"/>
              <w:right w:val="nil"/>
            </w:tcBorders>
            <w:shd w:val="clear" w:color="auto" w:fill="auto"/>
            <w:noWrap/>
            <w:vAlign w:val="center"/>
            <w:hideMark/>
          </w:tcPr>
          <w:p w14:paraId="5489E357" w14:textId="77777777" w:rsidR="00FB07C0" w:rsidRPr="00FB07C0" w:rsidRDefault="00FB07C0" w:rsidP="00FB07C0">
            <w:pPr>
              <w:spacing w:after="0" w:line="240" w:lineRule="auto"/>
              <w:jc w:val="center"/>
              <w:rPr>
                <w:rFonts w:eastAsia="Times New Roman" w:cs="Calibri"/>
                <w:b/>
                <w:bCs/>
                <w:color w:val="262626"/>
                <w:sz w:val="16"/>
                <w:szCs w:val="16"/>
                <w:lang w:eastAsia="es-MX"/>
              </w:rPr>
            </w:pPr>
            <w:r w:rsidRPr="00FB07C0">
              <w:rPr>
                <w:rFonts w:eastAsia="Times New Roman" w:cs="Calibri"/>
                <w:b/>
                <w:bCs/>
                <w:color w:val="262626"/>
                <w:sz w:val="16"/>
                <w:szCs w:val="16"/>
                <w:lang w:eastAsia="es-MX"/>
              </w:rPr>
              <w:t>4</w:t>
            </w:r>
          </w:p>
        </w:tc>
        <w:tc>
          <w:tcPr>
            <w:tcW w:w="1200" w:type="dxa"/>
            <w:gridSpan w:val="2"/>
            <w:tcBorders>
              <w:top w:val="nil"/>
              <w:left w:val="nil"/>
              <w:bottom w:val="single" w:sz="8" w:space="0" w:color="auto"/>
              <w:right w:val="nil"/>
            </w:tcBorders>
            <w:shd w:val="clear" w:color="auto" w:fill="auto"/>
            <w:noWrap/>
            <w:vAlign w:val="center"/>
            <w:hideMark/>
          </w:tcPr>
          <w:p w14:paraId="48E354AD" w14:textId="77777777" w:rsidR="00FB07C0" w:rsidRPr="00FB07C0" w:rsidRDefault="00FB07C0" w:rsidP="00FB07C0">
            <w:pPr>
              <w:spacing w:after="0" w:line="240" w:lineRule="auto"/>
              <w:jc w:val="center"/>
              <w:rPr>
                <w:rFonts w:eastAsia="Times New Roman" w:cs="Calibri"/>
                <w:b/>
                <w:bCs/>
                <w:color w:val="262626"/>
                <w:sz w:val="16"/>
                <w:szCs w:val="16"/>
                <w:lang w:eastAsia="es-MX"/>
              </w:rPr>
            </w:pPr>
            <w:r w:rsidRPr="00FB07C0">
              <w:rPr>
                <w:rFonts w:eastAsia="Times New Roman" w:cs="Calibri"/>
                <w:b/>
                <w:bCs/>
                <w:color w:val="262626"/>
                <w:sz w:val="16"/>
                <w:szCs w:val="16"/>
                <w:lang w:eastAsia="es-MX"/>
              </w:rPr>
              <w:t>1.6</w:t>
            </w:r>
          </w:p>
        </w:tc>
        <w:tc>
          <w:tcPr>
            <w:tcW w:w="1200" w:type="dxa"/>
            <w:gridSpan w:val="2"/>
            <w:tcBorders>
              <w:top w:val="nil"/>
              <w:left w:val="nil"/>
              <w:bottom w:val="single" w:sz="8" w:space="0" w:color="auto"/>
              <w:right w:val="nil"/>
            </w:tcBorders>
            <w:shd w:val="clear" w:color="auto" w:fill="auto"/>
            <w:noWrap/>
            <w:vAlign w:val="center"/>
            <w:hideMark/>
          </w:tcPr>
          <w:p w14:paraId="5434430B" w14:textId="77777777" w:rsidR="00FB07C0" w:rsidRPr="00FB07C0" w:rsidRDefault="00FB07C0" w:rsidP="00FB07C0">
            <w:pPr>
              <w:spacing w:after="0" w:line="240" w:lineRule="auto"/>
              <w:jc w:val="center"/>
              <w:rPr>
                <w:rFonts w:eastAsia="Times New Roman" w:cs="Calibri"/>
                <w:b/>
                <w:bCs/>
                <w:color w:val="262626"/>
                <w:sz w:val="16"/>
                <w:szCs w:val="16"/>
                <w:lang w:eastAsia="es-MX"/>
              </w:rPr>
            </w:pPr>
            <w:r w:rsidRPr="00FB07C0">
              <w:rPr>
                <w:rFonts w:eastAsia="Times New Roman" w:cs="Calibri"/>
                <w:b/>
                <w:bCs/>
                <w:color w:val="262626"/>
                <w:sz w:val="16"/>
                <w:szCs w:val="16"/>
                <w:lang w:eastAsia="es-MX"/>
              </w:rPr>
              <w:t>0</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73FCE0CC" w14:textId="77777777" w:rsidR="00FB07C0" w:rsidRPr="00FB07C0" w:rsidRDefault="00FB07C0" w:rsidP="00FB07C0">
            <w:pPr>
              <w:spacing w:after="0" w:line="240" w:lineRule="auto"/>
              <w:jc w:val="center"/>
              <w:rPr>
                <w:rFonts w:eastAsia="Times New Roman" w:cs="Calibri"/>
                <w:b/>
                <w:bCs/>
                <w:color w:val="262626"/>
                <w:sz w:val="16"/>
                <w:szCs w:val="16"/>
                <w:lang w:eastAsia="es-MX"/>
              </w:rPr>
            </w:pPr>
            <w:r w:rsidRPr="00FB07C0">
              <w:rPr>
                <w:rFonts w:eastAsia="Times New Roman" w:cs="Calibri"/>
                <w:b/>
                <w:bCs/>
                <w:color w:val="262626"/>
                <w:sz w:val="16"/>
                <w:szCs w:val="16"/>
                <w:lang w:eastAsia="es-MX"/>
              </w:rPr>
              <w:t>-2.7</w:t>
            </w:r>
          </w:p>
        </w:tc>
      </w:tr>
      <w:tr w:rsidR="00FB07C0" w:rsidRPr="00FB07C0" w14:paraId="64B60AB0" w14:textId="77777777" w:rsidTr="00265C09">
        <w:trPr>
          <w:trHeight w:val="315"/>
        </w:trPr>
        <w:tc>
          <w:tcPr>
            <w:tcW w:w="1134" w:type="dxa"/>
            <w:tcBorders>
              <w:top w:val="nil"/>
              <w:left w:val="single" w:sz="8" w:space="0" w:color="auto"/>
              <w:bottom w:val="single" w:sz="8" w:space="0" w:color="auto"/>
              <w:right w:val="nil"/>
            </w:tcBorders>
            <w:shd w:val="clear" w:color="auto" w:fill="auto"/>
            <w:hideMark/>
          </w:tcPr>
          <w:p w14:paraId="54343C6E"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180" w:type="dxa"/>
            <w:tcBorders>
              <w:top w:val="nil"/>
              <w:left w:val="nil"/>
              <w:bottom w:val="single" w:sz="8" w:space="0" w:color="auto"/>
              <w:right w:val="nil"/>
            </w:tcBorders>
            <w:shd w:val="clear" w:color="auto" w:fill="auto"/>
            <w:hideMark/>
          </w:tcPr>
          <w:p w14:paraId="72FF289E"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660" w:type="dxa"/>
            <w:gridSpan w:val="2"/>
            <w:tcBorders>
              <w:top w:val="nil"/>
              <w:left w:val="nil"/>
              <w:bottom w:val="single" w:sz="8" w:space="0" w:color="auto"/>
              <w:right w:val="nil"/>
            </w:tcBorders>
            <w:shd w:val="clear" w:color="auto" w:fill="auto"/>
            <w:hideMark/>
          </w:tcPr>
          <w:p w14:paraId="41C61B60"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200" w:type="dxa"/>
            <w:gridSpan w:val="2"/>
            <w:tcBorders>
              <w:top w:val="nil"/>
              <w:left w:val="nil"/>
              <w:bottom w:val="single" w:sz="8" w:space="0" w:color="auto"/>
              <w:right w:val="nil"/>
            </w:tcBorders>
            <w:shd w:val="clear" w:color="auto" w:fill="auto"/>
            <w:noWrap/>
            <w:vAlign w:val="center"/>
            <w:hideMark/>
          </w:tcPr>
          <w:p w14:paraId="681513F4" w14:textId="77777777" w:rsidR="00FB07C0" w:rsidRPr="00FB07C0" w:rsidRDefault="00FB07C0" w:rsidP="00FB07C0">
            <w:pPr>
              <w:spacing w:after="0" w:line="240" w:lineRule="auto"/>
              <w:jc w:val="center"/>
              <w:rPr>
                <w:rFonts w:eastAsia="Times New Roman" w:cs="Calibri"/>
                <w:b/>
                <w:bCs/>
                <w:color w:val="262626"/>
                <w:sz w:val="16"/>
                <w:szCs w:val="16"/>
                <w:lang w:eastAsia="es-MX"/>
              </w:rPr>
            </w:pPr>
            <w:r w:rsidRPr="00FB07C0">
              <w:rPr>
                <w:rFonts w:eastAsia="Times New Roman" w:cs="Calibri"/>
                <w:b/>
                <w:bCs/>
                <w:color w:val="262626"/>
                <w:sz w:val="16"/>
                <w:szCs w:val="16"/>
                <w:lang w:eastAsia="es-MX"/>
              </w:rPr>
              <w:t> </w:t>
            </w:r>
          </w:p>
        </w:tc>
        <w:tc>
          <w:tcPr>
            <w:tcW w:w="1200" w:type="dxa"/>
            <w:gridSpan w:val="2"/>
            <w:tcBorders>
              <w:top w:val="nil"/>
              <w:left w:val="nil"/>
              <w:bottom w:val="single" w:sz="8" w:space="0" w:color="auto"/>
              <w:right w:val="nil"/>
            </w:tcBorders>
            <w:shd w:val="clear" w:color="auto" w:fill="auto"/>
            <w:noWrap/>
            <w:vAlign w:val="center"/>
            <w:hideMark/>
          </w:tcPr>
          <w:p w14:paraId="0BAB6EEE" w14:textId="77777777" w:rsidR="00FB07C0" w:rsidRPr="00FB07C0" w:rsidRDefault="00FB07C0" w:rsidP="00FB07C0">
            <w:pPr>
              <w:spacing w:after="0" w:line="240" w:lineRule="auto"/>
              <w:jc w:val="center"/>
              <w:rPr>
                <w:rFonts w:eastAsia="Times New Roman" w:cs="Calibri"/>
                <w:b/>
                <w:bCs/>
                <w:color w:val="262626"/>
                <w:sz w:val="16"/>
                <w:szCs w:val="16"/>
                <w:lang w:eastAsia="es-MX"/>
              </w:rPr>
            </w:pPr>
            <w:r w:rsidRPr="00FB07C0">
              <w:rPr>
                <w:rFonts w:eastAsia="Times New Roman" w:cs="Calibri"/>
                <w:b/>
                <w:bCs/>
                <w:color w:val="262626"/>
                <w:sz w:val="16"/>
                <w:szCs w:val="16"/>
                <w:lang w:eastAsia="es-MX"/>
              </w:rPr>
              <w:t> </w:t>
            </w:r>
          </w:p>
        </w:tc>
        <w:tc>
          <w:tcPr>
            <w:tcW w:w="1200" w:type="dxa"/>
            <w:gridSpan w:val="2"/>
            <w:tcBorders>
              <w:top w:val="nil"/>
              <w:left w:val="nil"/>
              <w:bottom w:val="single" w:sz="8" w:space="0" w:color="auto"/>
              <w:right w:val="nil"/>
            </w:tcBorders>
            <w:shd w:val="clear" w:color="auto" w:fill="auto"/>
            <w:noWrap/>
            <w:vAlign w:val="center"/>
            <w:hideMark/>
          </w:tcPr>
          <w:p w14:paraId="4ACB5A88" w14:textId="77777777" w:rsidR="00FB07C0" w:rsidRPr="00FB07C0" w:rsidRDefault="00FB07C0" w:rsidP="00FB07C0">
            <w:pPr>
              <w:spacing w:after="0" w:line="240" w:lineRule="auto"/>
              <w:jc w:val="center"/>
              <w:rPr>
                <w:rFonts w:eastAsia="Times New Roman" w:cs="Calibri"/>
                <w:b/>
                <w:bCs/>
                <w:color w:val="262626"/>
                <w:sz w:val="16"/>
                <w:szCs w:val="16"/>
                <w:lang w:eastAsia="es-MX"/>
              </w:rPr>
            </w:pPr>
            <w:r w:rsidRPr="00FB07C0">
              <w:rPr>
                <w:rFonts w:eastAsia="Times New Roman" w:cs="Calibri"/>
                <w:b/>
                <w:bCs/>
                <w:color w:val="262626"/>
                <w:sz w:val="16"/>
                <w:szCs w:val="16"/>
                <w:lang w:eastAsia="es-MX"/>
              </w:rPr>
              <w:t> </w:t>
            </w:r>
          </w:p>
        </w:tc>
        <w:tc>
          <w:tcPr>
            <w:tcW w:w="1200" w:type="dxa"/>
            <w:gridSpan w:val="2"/>
            <w:tcBorders>
              <w:top w:val="nil"/>
              <w:left w:val="nil"/>
              <w:bottom w:val="single" w:sz="8" w:space="0" w:color="auto"/>
              <w:right w:val="nil"/>
            </w:tcBorders>
            <w:shd w:val="clear" w:color="auto" w:fill="auto"/>
            <w:noWrap/>
            <w:vAlign w:val="center"/>
            <w:hideMark/>
          </w:tcPr>
          <w:p w14:paraId="765CE47A" w14:textId="77777777" w:rsidR="00FB07C0" w:rsidRPr="00FB07C0" w:rsidRDefault="00FB07C0" w:rsidP="00FB07C0">
            <w:pPr>
              <w:spacing w:after="0" w:line="240" w:lineRule="auto"/>
              <w:jc w:val="center"/>
              <w:rPr>
                <w:rFonts w:eastAsia="Times New Roman" w:cs="Calibri"/>
                <w:b/>
                <w:bCs/>
                <w:color w:val="262626"/>
                <w:sz w:val="16"/>
                <w:szCs w:val="16"/>
                <w:lang w:eastAsia="es-MX"/>
              </w:rPr>
            </w:pPr>
            <w:r w:rsidRPr="00FB07C0">
              <w:rPr>
                <w:rFonts w:eastAsia="Times New Roman" w:cs="Calibri"/>
                <w:b/>
                <w:bCs/>
                <w:color w:val="262626"/>
                <w:sz w:val="16"/>
                <w:szCs w:val="16"/>
                <w:lang w:eastAsia="es-MX"/>
              </w:rPr>
              <w:t> </w:t>
            </w:r>
          </w:p>
        </w:tc>
      </w:tr>
      <w:tr w:rsidR="00FB07C0" w:rsidRPr="00FB07C0" w14:paraId="6D824F7A" w14:textId="77777777" w:rsidTr="00265C09">
        <w:trPr>
          <w:gridAfter w:val="1"/>
          <w:wAfter w:w="6" w:type="dxa"/>
          <w:trHeight w:val="300"/>
        </w:trPr>
        <w:tc>
          <w:tcPr>
            <w:tcW w:w="3968" w:type="dxa"/>
            <w:gridSpan w:val="3"/>
            <w:tcBorders>
              <w:top w:val="single" w:sz="8" w:space="0" w:color="auto"/>
              <w:left w:val="single" w:sz="8" w:space="0" w:color="auto"/>
              <w:bottom w:val="nil"/>
              <w:right w:val="nil"/>
            </w:tcBorders>
            <w:shd w:val="clear" w:color="auto" w:fill="auto"/>
            <w:vAlign w:val="center"/>
            <w:hideMark/>
          </w:tcPr>
          <w:p w14:paraId="36C4F135" w14:textId="77777777" w:rsidR="00FB07C0" w:rsidRPr="00FB07C0" w:rsidRDefault="00FB07C0" w:rsidP="00FB07C0">
            <w:pPr>
              <w:spacing w:after="0" w:line="240" w:lineRule="auto"/>
              <w:rPr>
                <w:rFonts w:eastAsia="Times New Roman" w:cs="Calibri"/>
                <w:b/>
                <w:bCs/>
                <w:color w:val="000000"/>
                <w:sz w:val="16"/>
                <w:szCs w:val="16"/>
                <w:lang w:eastAsia="es-MX"/>
              </w:rPr>
            </w:pPr>
            <w:r w:rsidRPr="00FB07C0">
              <w:rPr>
                <w:rFonts w:eastAsia="Times New Roman" w:cs="Calibri"/>
                <w:b/>
                <w:bCs/>
                <w:color w:val="000000"/>
                <w:sz w:val="16"/>
                <w:szCs w:val="16"/>
                <w:lang w:eastAsia="es-MX"/>
              </w:rPr>
              <w:t>Precios de los productos básicos</w:t>
            </w:r>
            <w:r w:rsidRPr="00FB07C0">
              <w:rPr>
                <w:rFonts w:eastAsia="Times New Roman" w:cs="Calibri"/>
                <w:b/>
                <w:bCs/>
                <w:color w:val="000000"/>
                <w:sz w:val="16"/>
                <w:szCs w:val="16"/>
                <w:vertAlign w:val="superscript"/>
                <w:lang w:eastAsia="es-MX"/>
              </w:rPr>
              <w:t>6</w:t>
            </w:r>
          </w:p>
        </w:tc>
        <w:tc>
          <w:tcPr>
            <w:tcW w:w="1200" w:type="dxa"/>
            <w:gridSpan w:val="2"/>
            <w:tcBorders>
              <w:top w:val="nil"/>
              <w:left w:val="nil"/>
              <w:bottom w:val="nil"/>
              <w:right w:val="nil"/>
            </w:tcBorders>
            <w:shd w:val="clear" w:color="auto" w:fill="auto"/>
            <w:noWrap/>
            <w:vAlign w:val="center"/>
            <w:hideMark/>
          </w:tcPr>
          <w:p w14:paraId="3C664DFA" w14:textId="77777777" w:rsidR="00FB07C0" w:rsidRPr="00FB07C0" w:rsidRDefault="00FB07C0" w:rsidP="00FB07C0">
            <w:pPr>
              <w:spacing w:after="0" w:line="240" w:lineRule="auto"/>
              <w:rPr>
                <w:rFonts w:eastAsia="Times New Roman" w:cs="Calibri"/>
                <w:b/>
                <w:bCs/>
                <w:color w:val="000000"/>
                <w:sz w:val="16"/>
                <w:szCs w:val="16"/>
                <w:lang w:eastAsia="es-MX"/>
              </w:rPr>
            </w:pPr>
          </w:p>
        </w:tc>
        <w:tc>
          <w:tcPr>
            <w:tcW w:w="1200" w:type="dxa"/>
            <w:gridSpan w:val="2"/>
            <w:tcBorders>
              <w:top w:val="nil"/>
              <w:left w:val="nil"/>
              <w:bottom w:val="nil"/>
              <w:right w:val="nil"/>
            </w:tcBorders>
            <w:shd w:val="clear" w:color="auto" w:fill="auto"/>
            <w:noWrap/>
            <w:vAlign w:val="center"/>
            <w:hideMark/>
          </w:tcPr>
          <w:p w14:paraId="3BCA53DA" w14:textId="77777777" w:rsidR="00FB07C0" w:rsidRPr="00FB07C0" w:rsidRDefault="00FB07C0" w:rsidP="00FB07C0">
            <w:pPr>
              <w:spacing w:after="0" w:line="240" w:lineRule="auto"/>
              <w:jc w:val="right"/>
              <w:rPr>
                <w:rFonts w:ascii="Times New Roman" w:eastAsia="Times New Roman" w:hAnsi="Times New Roman"/>
                <w:sz w:val="20"/>
                <w:szCs w:val="20"/>
                <w:lang w:eastAsia="es-MX"/>
              </w:rPr>
            </w:pPr>
          </w:p>
        </w:tc>
        <w:tc>
          <w:tcPr>
            <w:tcW w:w="1200" w:type="dxa"/>
            <w:gridSpan w:val="2"/>
            <w:tcBorders>
              <w:top w:val="nil"/>
              <w:left w:val="nil"/>
              <w:bottom w:val="nil"/>
              <w:right w:val="nil"/>
            </w:tcBorders>
            <w:shd w:val="clear" w:color="auto" w:fill="auto"/>
            <w:noWrap/>
            <w:vAlign w:val="center"/>
            <w:hideMark/>
          </w:tcPr>
          <w:p w14:paraId="5BFF987A" w14:textId="77777777" w:rsidR="00FB07C0" w:rsidRPr="00FB07C0" w:rsidRDefault="00FB07C0" w:rsidP="00FB07C0">
            <w:pPr>
              <w:spacing w:after="0" w:line="240" w:lineRule="auto"/>
              <w:jc w:val="right"/>
              <w:rPr>
                <w:rFonts w:ascii="Times New Roman" w:eastAsia="Times New Roman" w:hAnsi="Times New Roman"/>
                <w:sz w:val="20"/>
                <w:szCs w:val="20"/>
                <w:lang w:eastAsia="es-MX"/>
              </w:rPr>
            </w:pPr>
          </w:p>
        </w:tc>
        <w:tc>
          <w:tcPr>
            <w:tcW w:w="1200" w:type="dxa"/>
            <w:gridSpan w:val="2"/>
            <w:tcBorders>
              <w:top w:val="nil"/>
              <w:left w:val="nil"/>
              <w:bottom w:val="nil"/>
              <w:right w:val="single" w:sz="8" w:space="0" w:color="auto"/>
            </w:tcBorders>
            <w:shd w:val="clear" w:color="auto" w:fill="auto"/>
            <w:noWrap/>
            <w:vAlign w:val="center"/>
            <w:hideMark/>
          </w:tcPr>
          <w:p w14:paraId="778968B1" w14:textId="77777777" w:rsidR="00FB07C0" w:rsidRPr="00FB07C0" w:rsidRDefault="00FB07C0" w:rsidP="00FB07C0">
            <w:pPr>
              <w:spacing w:after="0" w:line="240" w:lineRule="auto"/>
              <w:jc w:val="right"/>
              <w:rPr>
                <w:rFonts w:eastAsia="Times New Roman" w:cs="Calibri"/>
                <w:color w:val="244062"/>
                <w:sz w:val="16"/>
                <w:szCs w:val="16"/>
                <w:lang w:eastAsia="es-MX"/>
              </w:rPr>
            </w:pPr>
            <w:r w:rsidRPr="00FB07C0">
              <w:rPr>
                <w:rFonts w:eastAsia="Times New Roman" w:cs="Calibri"/>
                <w:color w:val="244062"/>
                <w:sz w:val="16"/>
                <w:szCs w:val="16"/>
                <w:lang w:eastAsia="es-MX"/>
              </w:rPr>
              <w:t> </w:t>
            </w:r>
          </w:p>
        </w:tc>
      </w:tr>
      <w:tr w:rsidR="00FB07C0" w:rsidRPr="00FB07C0" w14:paraId="0D8C77E6" w14:textId="77777777" w:rsidTr="00265C09">
        <w:trPr>
          <w:trHeight w:val="300"/>
        </w:trPr>
        <w:tc>
          <w:tcPr>
            <w:tcW w:w="1134" w:type="dxa"/>
            <w:tcBorders>
              <w:top w:val="nil"/>
              <w:left w:val="single" w:sz="8" w:space="0" w:color="auto"/>
              <w:bottom w:val="nil"/>
              <w:right w:val="nil"/>
            </w:tcBorders>
            <w:shd w:val="clear" w:color="auto" w:fill="auto"/>
            <w:hideMark/>
          </w:tcPr>
          <w:p w14:paraId="3B2FDADB" w14:textId="77777777" w:rsidR="00FB07C0" w:rsidRPr="00FB07C0" w:rsidRDefault="00FB07C0" w:rsidP="00FB07C0">
            <w:pPr>
              <w:spacing w:after="0" w:line="240" w:lineRule="auto"/>
              <w:jc w:val="right"/>
              <w:rPr>
                <w:rFonts w:eastAsia="Times New Roman" w:cs="Calibri"/>
                <w:color w:val="244062"/>
                <w:sz w:val="16"/>
                <w:szCs w:val="16"/>
                <w:lang w:eastAsia="es-MX"/>
              </w:rPr>
            </w:pPr>
          </w:p>
        </w:tc>
        <w:tc>
          <w:tcPr>
            <w:tcW w:w="2840" w:type="dxa"/>
            <w:gridSpan w:val="3"/>
            <w:tcBorders>
              <w:top w:val="nil"/>
              <w:left w:val="nil"/>
              <w:bottom w:val="nil"/>
              <w:right w:val="nil"/>
            </w:tcBorders>
            <w:shd w:val="clear" w:color="auto" w:fill="auto"/>
            <w:vAlign w:val="center"/>
            <w:hideMark/>
          </w:tcPr>
          <w:p w14:paraId="35EBCDD0"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Índice de precios de la energía</w:t>
            </w:r>
          </w:p>
        </w:tc>
        <w:tc>
          <w:tcPr>
            <w:tcW w:w="1200" w:type="dxa"/>
            <w:gridSpan w:val="2"/>
            <w:tcBorders>
              <w:top w:val="nil"/>
              <w:left w:val="nil"/>
              <w:bottom w:val="nil"/>
              <w:right w:val="nil"/>
            </w:tcBorders>
            <w:shd w:val="clear" w:color="auto" w:fill="auto"/>
            <w:noWrap/>
            <w:vAlign w:val="center"/>
            <w:hideMark/>
          </w:tcPr>
          <w:p w14:paraId="32437EA1"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151.7</w:t>
            </w:r>
          </w:p>
        </w:tc>
        <w:tc>
          <w:tcPr>
            <w:tcW w:w="1200" w:type="dxa"/>
            <w:gridSpan w:val="2"/>
            <w:tcBorders>
              <w:top w:val="nil"/>
              <w:left w:val="nil"/>
              <w:bottom w:val="nil"/>
              <w:right w:val="nil"/>
            </w:tcBorders>
            <w:shd w:val="clear" w:color="auto" w:fill="auto"/>
            <w:noWrap/>
            <w:vAlign w:val="center"/>
            <w:hideMark/>
          </w:tcPr>
          <w:p w14:paraId="625DA6B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130.5</w:t>
            </w:r>
          </w:p>
        </w:tc>
        <w:tc>
          <w:tcPr>
            <w:tcW w:w="1200" w:type="dxa"/>
            <w:gridSpan w:val="2"/>
            <w:tcBorders>
              <w:top w:val="nil"/>
              <w:left w:val="nil"/>
              <w:bottom w:val="nil"/>
              <w:right w:val="nil"/>
            </w:tcBorders>
            <w:shd w:val="clear" w:color="auto" w:fill="auto"/>
            <w:noWrap/>
            <w:vAlign w:val="center"/>
            <w:hideMark/>
          </w:tcPr>
          <w:p w14:paraId="3DD1146B"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7.1</w:t>
            </w:r>
          </w:p>
        </w:tc>
        <w:tc>
          <w:tcPr>
            <w:tcW w:w="1200" w:type="dxa"/>
            <w:gridSpan w:val="2"/>
            <w:tcBorders>
              <w:top w:val="nil"/>
              <w:left w:val="nil"/>
              <w:bottom w:val="nil"/>
              <w:right w:val="single" w:sz="8" w:space="0" w:color="auto"/>
            </w:tcBorders>
            <w:shd w:val="clear" w:color="auto" w:fill="auto"/>
            <w:noWrap/>
            <w:vAlign w:val="center"/>
            <w:hideMark/>
          </w:tcPr>
          <w:p w14:paraId="19091C3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4.4</w:t>
            </w:r>
          </w:p>
        </w:tc>
      </w:tr>
      <w:tr w:rsidR="00FB07C0" w:rsidRPr="00FB07C0" w14:paraId="72B078FC" w14:textId="77777777" w:rsidTr="00265C09">
        <w:trPr>
          <w:trHeight w:val="675"/>
        </w:trPr>
        <w:tc>
          <w:tcPr>
            <w:tcW w:w="1134" w:type="dxa"/>
            <w:tcBorders>
              <w:top w:val="nil"/>
              <w:left w:val="single" w:sz="8" w:space="0" w:color="auto"/>
              <w:bottom w:val="nil"/>
              <w:right w:val="nil"/>
            </w:tcBorders>
            <w:shd w:val="clear" w:color="auto" w:fill="auto"/>
            <w:hideMark/>
          </w:tcPr>
          <w:p w14:paraId="60E06714"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14:paraId="1BDF50C5"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14:paraId="612A5B9F"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Precio del petróleo (USD por barril)</w:t>
            </w:r>
          </w:p>
        </w:tc>
        <w:tc>
          <w:tcPr>
            <w:tcW w:w="1200" w:type="dxa"/>
            <w:gridSpan w:val="2"/>
            <w:tcBorders>
              <w:top w:val="nil"/>
              <w:left w:val="nil"/>
              <w:bottom w:val="nil"/>
              <w:right w:val="nil"/>
            </w:tcBorders>
            <w:shd w:val="clear" w:color="auto" w:fill="auto"/>
            <w:noWrap/>
            <w:vAlign w:val="center"/>
            <w:hideMark/>
          </w:tcPr>
          <w:p w14:paraId="3109DC9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100</w:t>
            </w:r>
          </w:p>
        </w:tc>
        <w:tc>
          <w:tcPr>
            <w:tcW w:w="1200" w:type="dxa"/>
            <w:gridSpan w:val="2"/>
            <w:tcBorders>
              <w:top w:val="nil"/>
              <w:left w:val="nil"/>
              <w:bottom w:val="nil"/>
              <w:right w:val="nil"/>
            </w:tcBorders>
            <w:shd w:val="clear" w:color="auto" w:fill="auto"/>
            <w:noWrap/>
            <w:vAlign w:val="center"/>
            <w:hideMark/>
          </w:tcPr>
          <w:p w14:paraId="62609A65"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88</w:t>
            </w:r>
          </w:p>
        </w:tc>
        <w:tc>
          <w:tcPr>
            <w:tcW w:w="1200" w:type="dxa"/>
            <w:gridSpan w:val="2"/>
            <w:tcBorders>
              <w:top w:val="nil"/>
              <w:left w:val="nil"/>
              <w:bottom w:val="nil"/>
              <w:right w:val="nil"/>
            </w:tcBorders>
            <w:shd w:val="clear" w:color="auto" w:fill="auto"/>
            <w:noWrap/>
            <w:vAlign w:val="center"/>
            <w:hideMark/>
          </w:tcPr>
          <w:p w14:paraId="2F0FF31A"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w:t>
            </w:r>
          </w:p>
        </w:tc>
        <w:tc>
          <w:tcPr>
            <w:tcW w:w="1200" w:type="dxa"/>
            <w:gridSpan w:val="2"/>
            <w:tcBorders>
              <w:top w:val="nil"/>
              <w:left w:val="nil"/>
              <w:bottom w:val="nil"/>
              <w:right w:val="single" w:sz="8" w:space="0" w:color="auto"/>
            </w:tcBorders>
            <w:shd w:val="clear" w:color="auto" w:fill="auto"/>
            <w:noWrap/>
            <w:vAlign w:val="center"/>
            <w:hideMark/>
          </w:tcPr>
          <w:p w14:paraId="11EE0131"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-4</w:t>
            </w:r>
          </w:p>
        </w:tc>
      </w:tr>
      <w:tr w:rsidR="00FB07C0" w:rsidRPr="00FB07C0" w14:paraId="66C5605B" w14:textId="77777777" w:rsidTr="00265C09">
        <w:trPr>
          <w:trHeight w:val="450"/>
        </w:trPr>
        <w:tc>
          <w:tcPr>
            <w:tcW w:w="1134" w:type="dxa"/>
            <w:tcBorders>
              <w:top w:val="nil"/>
              <w:left w:val="single" w:sz="8" w:space="0" w:color="auto"/>
              <w:bottom w:val="single" w:sz="8" w:space="0" w:color="auto"/>
              <w:right w:val="nil"/>
            </w:tcBorders>
            <w:shd w:val="clear" w:color="auto" w:fill="auto"/>
            <w:vAlign w:val="center"/>
            <w:hideMark/>
          </w:tcPr>
          <w:p w14:paraId="771E409F"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 </w:t>
            </w:r>
          </w:p>
        </w:tc>
        <w:tc>
          <w:tcPr>
            <w:tcW w:w="2840" w:type="dxa"/>
            <w:gridSpan w:val="3"/>
            <w:tcBorders>
              <w:top w:val="nil"/>
              <w:left w:val="nil"/>
              <w:bottom w:val="single" w:sz="8" w:space="0" w:color="auto"/>
              <w:right w:val="nil"/>
            </w:tcBorders>
            <w:shd w:val="clear" w:color="auto" w:fill="auto"/>
            <w:vAlign w:val="center"/>
            <w:hideMark/>
          </w:tcPr>
          <w:p w14:paraId="5EA21550"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Índice de precios de productos básicos no energéticos</w:t>
            </w:r>
          </w:p>
        </w:tc>
        <w:tc>
          <w:tcPr>
            <w:tcW w:w="1200" w:type="dxa"/>
            <w:gridSpan w:val="2"/>
            <w:tcBorders>
              <w:top w:val="nil"/>
              <w:left w:val="nil"/>
              <w:bottom w:val="single" w:sz="8" w:space="0" w:color="auto"/>
              <w:right w:val="nil"/>
            </w:tcBorders>
            <w:shd w:val="clear" w:color="auto" w:fill="auto"/>
            <w:noWrap/>
            <w:vAlign w:val="center"/>
            <w:hideMark/>
          </w:tcPr>
          <w:p w14:paraId="0B187A27"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123.7</w:t>
            </w:r>
          </w:p>
        </w:tc>
        <w:tc>
          <w:tcPr>
            <w:tcW w:w="1200" w:type="dxa"/>
            <w:gridSpan w:val="2"/>
            <w:tcBorders>
              <w:top w:val="nil"/>
              <w:left w:val="nil"/>
              <w:bottom w:val="single" w:sz="8" w:space="0" w:color="auto"/>
              <w:right w:val="nil"/>
            </w:tcBorders>
            <w:shd w:val="clear" w:color="auto" w:fill="auto"/>
            <w:noWrap/>
            <w:vAlign w:val="center"/>
            <w:hideMark/>
          </w:tcPr>
          <w:p w14:paraId="4512E6B6"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113.7</w:t>
            </w:r>
          </w:p>
        </w:tc>
        <w:tc>
          <w:tcPr>
            <w:tcW w:w="1200" w:type="dxa"/>
            <w:gridSpan w:val="2"/>
            <w:tcBorders>
              <w:top w:val="nil"/>
              <w:left w:val="nil"/>
              <w:bottom w:val="single" w:sz="8" w:space="0" w:color="auto"/>
              <w:right w:val="nil"/>
            </w:tcBorders>
            <w:shd w:val="clear" w:color="auto" w:fill="auto"/>
            <w:noWrap/>
            <w:vAlign w:val="center"/>
            <w:hideMark/>
          </w:tcPr>
          <w:p w14:paraId="0129A4F8"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-8.4</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35AA7132"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-7.6</w:t>
            </w:r>
          </w:p>
        </w:tc>
      </w:tr>
    </w:tbl>
    <w:p w14:paraId="0B1ABE0D" w14:textId="6EB8964F" w:rsidR="00FB07C0" w:rsidRDefault="00FB07C0" w:rsidP="00E92EC1">
      <w:pPr>
        <w:jc w:val="both"/>
        <w:rPr>
          <w:rFonts w:asciiTheme="minorHAnsi" w:hAnsiTheme="minorHAnsi" w:cstheme="minorHAnsi"/>
          <w:sz w:val="18"/>
          <w:szCs w:val="18"/>
        </w:rPr>
      </w:pPr>
      <w:r>
        <w:rPr>
          <w:rFonts w:asciiTheme="minorHAnsi" w:hAnsiTheme="minorHAnsi" w:cstheme="minorHAnsi"/>
          <w:sz w:val="18"/>
          <w:szCs w:val="18"/>
        </w:rPr>
        <w:fldChar w:fldCharType="end"/>
      </w:r>
    </w:p>
    <w:p w14:paraId="55EDDF93" w14:textId="21A6F82D" w:rsidR="00FB07C0" w:rsidRDefault="00FB07C0" w:rsidP="00E92EC1">
      <w:pPr>
        <w:jc w:val="both"/>
        <w:rPr>
          <w:rFonts w:asciiTheme="minorHAnsi" w:hAnsiTheme="minorHAnsi" w:cstheme="minorHAnsi"/>
          <w:sz w:val="18"/>
          <w:szCs w:val="18"/>
        </w:rPr>
      </w:pPr>
    </w:p>
    <w:p w14:paraId="1D8B8DCC" w14:textId="0DCB8E79" w:rsidR="00FB07C0" w:rsidRDefault="00FB07C0" w:rsidP="00E92EC1">
      <w:pPr>
        <w:jc w:val="both"/>
        <w:rPr>
          <w:rFonts w:asciiTheme="minorHAnsi" w:hAnsiTheme="minorHAnsi" w:cstheme="minorHAnsi"/>
          <w:sz w:val="18"/>
          <w:szCs w:val="18"/>
        </w:rPr>
      </w:pPr>
    </w:p>
    <w:p w14:paraId="552576BF" w14:textId="19495F78" w:rsidR="00FB07C0" w:rsidRDefault="00FB07C0" w:rsidP="00E92EC1">
      <w:pPr>
        <w:jc w:val="both"/>
        <w:rPr>
          <w:rFonts w:asciiTheme="minorHAnsi" w:hAnsiTheme="minorHAnsi" w:cstheme="minorHAnsi"/>
          <w:sz w:val="18"/>
          <w:szCs w:val="18"/>
        </w:rPr>
      </w:pPr>
    </w:p>
    <w:p w14:paraId="2EE04F85" w14:textId="77777777" w:rsidR="00FB07C0" w:rsidRDefault="00FB07C0" w:rsidP="00E92EC1">
      <w:pPr>
        <w:jc w:val="both"/>
        <w:rPr>
          <w:rFonts w:asciiTheme="minorHAnsi" w:hAnsiTheme="minorHAnsi" w:cstheme="minorHAnsi"/>
          <w:sz w:val="18"/>
          <w:szCs w:val="18"/>
        </w:rPr>
      </w:pPr>
    </w:p>
    <w:p w14:paraId="15A078F1" w14:textId="484C67AD" w:rsidR="00FB07C0" w:rsidRDefault="00FB07C0" w:rsidP="00E92EC1">
      <w:pPr>
        <w:jc w:val="both"/>
        <w:rPr>
          <w:rFonts w:asciiTheme="minorHAnsi" w:hAnsiTheme="minorHAnsi" w:cstheme="minorHAnsi"/>
          <w:sz w:val="18"/>
          <w:szCs w:val="18"/>
        </w:rPr>
      </w:pPr>
    </w:p>
    <w:p w14:paraId="3632458B" w14:textId="41A2BC57" w:rsidR="00FB07C0" w:rsidRDefault="00FB07C0" w:rsidP="00E92EC1">
      <w:pPr>
        <w:jc w:val="both"/>
        <w:rPr>
          <w:rFonts w:asciiTheme="minorHAnsi" w:hAnsiTheme="minorHAnsi" w:cstheme="minorHAnsi"/>
          <w:sz w:val="18"/>
          <w:szCs w:val="18"/>
        </w:rPr>
      </w:pPr>
    </w:p>
    <w:p w14:paraId="1B201D17" w14:textId="3A08B9C5" w:rsidR="00FB07C0" w:rsidRDefault="00FB07C0" w:rsidP="00E92EC1">
      <w:pPr>
        <w:jc w:val="both"/>
        <w:rPr>
          <w:rFonts w:asciiTheme="minorHAnsi" w:hAnsiTheme="minorHAnsi" w:cstheme="minorHAnsi"/>
          <w:sz w:val="18"/>
          <w:szCs w:val="18"/>
        </w:rPr>
      </w:pPr>
    </w:p>
    <w:p w14:paraId="7BCBA02A" w14:textId="4DCC7726" w:rsidR="00FB07C0" w:rsidRDefault="00FB07C0" w:rsidP="00E92EC1">
      <w:pPr>
        <w:jc w:val="both"/>
        <w:rPr>
          <w:rFonts w:asciiTheme="minorHAnsi" w:hAnsiTheme="minorHAnsi" w:cstheme="minorHAnsi"/>
          <w:sz w:val="18"/>
          <w:szCs w:val="18"/>
        </w:rPr>
      </w:pPr>
    </w:p>
    <w:p w14:paraId="3803CB71" w14:textId="26924BE9" w:rsidR="00FB07C0" w:rsidRDefault="00FB07C0" w:rsidP="00E92EC1">
      <w:pPr>
        <w:jc w:val="both"/>
        <w:rPr>
          <w:rFonts w:asciiTheme="minorHAnsi" w:hAnsiTheme="minorHAnsi" w:cstheme="minorHAnsi"/>
          <w:sz w:val="18"/>
          <w:szCs w:val="18"/>
        </w:rPr>
      </w:pPr>
    </w:p>
    <w:p w14:paraId="5576EDFA" w14:textId="77777777" w:rsidR="00B34B21" w:rsidRDefault="00B34B21" w:rsidP="00E92EC1">
      <w:pPr>
        <w:jc w:val="both"/>
        <w:rPr>
          <w:rFonts w:asciiTheme="minorHAnsi" w:hAnsiTheme="minorHAnsi" w:cstheme="minorHAnsi"/>
          <w:sz w:val="18"/>
          <w:szCs w:val="18"/>
        </w:rPr>
      </w:pPr>
    </w:p>
    <w:p w14:paraId="5D010767" w14:textId="0849D889" w:rsidR="00E92EC1" w:rsidRPr="00B34B21" w:rsidRDefault="00E92EC1" w:rsidP="00E92EC1">
      <w:pPr>
        <w:jc w:val="both"/>
        <w:rPr>
          <w:rFonts w:asciiTheme="minorHAnsi" w:hAnsiTheme="minorHAnsi" w:cstheme="minorHAnsi"/>
          <w:b/>
          <w:bCs/>
          <w:sz w:val="20"/>
          <w:szCs w:val="18"/>
        </w:rPr>
      </w:pPr>
      <w:r w:rsidRPr="00B34B21">
        <w:rPr>
          <w:rFonts w:asciiTheme="minorHAnsi" w:hAnsiTheme="minorHAnsi" w:cstheme="minorHAnsi"/>
          <w:b/>
          <w:bCs/>
          <w:sz w:val="20"/>
          <w:szCs w:val="18"/>
        </w:rPr>
        <w:t xml:space="preserve">2.1.5.- </w:t>
      </w:r>
      <w:r w:rsidR="00901A86" w:rsidRPr="00B34B21">
        <w:rPr>
          <w:rFonts w:asciiTheme="minorHAnsi" w:hAnsiTheme="minorHAnsi" w:cstheme="minorHAnsi"/>
          <w:b/>
          <w:bCs/>
          <w:sz w:val="20"/>
          <w:szCs w:val="18"/>
        </w:rPr>
        <w:t>Inflación</w:t>
      </w:r>
      <w:r w:rsidRPr="00B34B21">
        <w:rPr>
          <w:rFonts w:asciiTheme="minorHAnsi" w:hAnsiTheme="minorHAnsi" w:cstheme="minorHAnsi"/>
          <w:b/>
          <w:bCs/>
          <w:sz w:val="20"/>
          <w:szCs w:val="18"/>
        </w:rPr>
        <w:t xml:space="preserve"> </w:t>
      </w:r>
      <w:r w:rsidR="00291DC2" w:rsidRPr="00B34B21">
        <w:rPr>
          <w:rFonts w:asciiTheme="minorHAnsi" w:hAnsiTheme="minorHAnsi" w:cstheme="minorHAnsi"/>
          <w:b/>
          <w:bCs/>
          <w:sz w:val="20"/>
          <w:szCs w:val="18"/>
        </w:rPr>
        <w:t>Mundial. -</w:t>
      </w:r>
    </w:p>
    <w:p w14:paraId="0B85E5A5" w14:textId="77777777" w:rsidR="00E92EC1" w:rsidRPr="00E850D6" w:rsidRDefault="00E92EC1" w:rsidP="00E92EC1">
      <w:pPr>
        <w:pStyle w:val="NormalWeb"/>
        <w:spacing w:before="240" w:beforeAutospacing="0" w:after="240" w:afterAutospacing="0"/>
        <w:jc w:val="both"/>
        <w:rPr>
          <w:rFonts w:asciiTheme="minorHAnsi" w:hAnsiTheme="minorHAnsi" w:cstheme="minorHAnsi"/>
          <w:sz w:val="18"/>
          <w:szCs w:val="18"/>
        </w:rPr>
      </w:pPr>
      <w:r w:rsidRPr="00E850D6">
        <w:rPr>
          <w:rFonts w:asciiTheme="minorHAnsi" w:hAnsiTheme="minorHAnsi" w:cstheme="minorHAnsi"/>
          <w:sz w:val="18"/>
          <w:szCs w:val="18"/>
        </w:rPr>
        <w:t>La actividad económica mundial está experimentando una desaceleración generalizada y más acentuada de lo previsto, con la inflación más alta registrada en varios decenios. La crisis del costo de vida, el endurecimiento de las condiciones financieras en la mayoría de las regiones, la invasión rusa de Ucrania y la persistencia de la pandemia de COVID-19 inciden notablemente en las perspectivas. Según los pronósticos, el crecimiento mundial se desacelerará de 6,0% en 2021 a 3,2% en 2022 y 2,7% en 2023. Exceptuando la crisis financiera mundial y la fase aguda de la pandemia de COVID-19, este es el perfil de crecimiento más flojo desde 2001.</w:t>
      </w:r>
    </w:p>
    <w:p w14:paraId="2AC79BA5" w14:textId="77777777" w:rsidR="00E92EC1" w:rsidRPr="00E850D6" w:rsidRDefault="00E92EC1" w:rsidP="00E92EC1">
      <w:pPr>
        <w:pStyle w:val="NormalWeb"/>
        <w:spacing w:before="240" w:beforeAutospacing="0" w:after="240" w:afterAutospacing="0"/>
        <w:jc w:val="both"/>
        <w:rPr>
          <w:rFonts w:asciiTheme="minorHAnsi" w:hAnsiTheme="minorHAnsi" w:cstheme="minorHAnsi"/>
          <w:sz w:val="18"/>
          <w:szCs w:val="18"/>
        </w:rPr>
      </w:pPr>
      <w:r w:rsidRPr="00E850D6">
        <w:rPr>
          <w:rFonts w:asciiTheme="minorHAnsi" w:hAnsiTheme="minorHAnsi" w:cstheme="minorHAnsi"/>
          <w:sz w:val="18"/>
          <w:szCs w:val="18"/>
        </w:rPr>
        <w:t>Se debe mantener el curso de política monetaria para restaurar la estabilidad de precios, y la política fiscal debe procurar aliviar las presiones sobre el costo de vida, manteniendo una orientación lo suficientemente restrictiva para que esté alineada con la política monetaria. Para contribuir más a la lucha con la inflación se puede recurrir a reformas estructurales que mejoren la productividad y alivien las restricciones sobre la oferta, en tanto que la cooperación multilateral es necesaria para acelerar la transición a la energía verde y evitar la fragmentación.</w:t>
      </w:r>
    </w:p>
    <w:p w14:paraId="46AAE554" w14:textId="31ED867B" w:rsidR="00E92EC1" w:rsidRPr="00B34B21" w:rsidRDefault="00E92EC1" w:rsidP="00E92EC1">
      <w:pPr>
        <w:pStyle w:val="NormalWeb"/>
        <w:rPr>
          <w:rFonts w:asciiTheme="minorHAnsi" w:hAnsiTheme="minorHAnsi" w:cstheme="minorHAnsi"/>
          <w:b/>
          <w:bCs/>
          <w:sz w:val="20"/>
          <w:szCs w:val="18"/>
        </w:rPr>
      </w:pPr>
      <w:r w:rsidRPr="00B34B21">
        <w:rPr>
          <w:rFonts w:asciiTheme="minorHAnsi" w:hAnsiTheme="minorHAnsi" w:cstheme="minorHAnsi"/>
          <w:b/>
          <w:bCs/>
          <w:sz w:val="20"/>
          <w:szCs w:val="18"/>
        </w:rPr>
        <w:t xml:space="preserve">2.2.- Escenarios </w:t>
      </w:r>
      <w:r w:rsidR="00901A86" w:rsidRPr="00B34B21">
        <w:rPr>
          <w:rFonts w:asciiTheme="minorHAnsi" w:hAnsiTheme="minorHAnsi" w:cstheme="minorHAnsi"/>
          <w:b/>
          <w:bCs/>
          <w:sz w:val="20"/>
          <w:szCs w:val="18"/>
        </w:rPr>
        <w:t>Económicos</w:t>
      </w:r>
      <w:r w:rsidRPr="00B34B21">
        <w:rPr>
          <w:rFonts w:asciiTheme="minorHAnsi" w:hAnsiTheme="minorHAnsi" w:cstheme="minorHAnsi"/>
          <w:b/>
          <w:bCs/>
          <w:sz w:val="20"/>
          <w:szCs w:val="18"/>
        </w:rPr>
        <w:t xml:space="preserve"> para </w:t>
      </w:r>
      <w:r w:rsidR="00901A86" w:rsidRPr="00B34B21">
        <w:rPr>
          <w:rFonts w:asciiTheme="minorHAnsi" w:hAnsiTheme="minorHAnsi" w:cstheme="minorHAnsi"/>
          <w:b/>
          <w:bCs/>
          <w:sz w:val="20"/>
          <w:szCs w:val="18"/>
        </w:rPr>
        <w:t>México</w:t>
      </w:r>
      <w:r w:rsidRPr="00B34B21">
        <w:rPr>
          <w:rFonts w:asciiTheme="minorHAnsi" w:hAnsiTheme="minorHAnsi" w:cstheme="minorHAnsi"/>
          <w:b/>
          <w:bCs/>
          <w:sz w:val="20"/>
          <w:szCs w:val="18"/>
        </w:rPr>
        <w:t xml:space="preserve"> al cierre del cuarto trimestre del 2022. </w:t>
      </w:r>
    </w:p>
    <w:p w14:paraId="252C9FEF" w14:textId="7C7E7504" w:rsidR="00E92EC1" w:rsidRPr="00B34B21" w:rsidRDefault="00E92EC1" w:rsidP="00E92EC1">
      <w:pPr>
        <w:pStyle w:val="NormalWeb"/>
        <w:rPr>
          <w:rFonts w:asciiTheme="minorHAnsi" w:hAnsiTheme="minorHAnsi" w:cstheme="minorHAnsi"/>
          <w:b/>
          <w:bCs/>
          <w:sz w:val="20"/>
          <w:szCs w:val="18"/>
        </w:rPr>
      </w:pPr>
      <w:r w:rsidRPr="00B34B21">
        <w:rPr>
          <w:rFonts w:asciiTheme="minorHAnsi" w:hAnsiTheme="minorHAnsi" w:cstheme="minorHAnsi"/>
          <w:b/>
          <w:bCs/>
          <w:sz w:val="20"/>
          <w:szCs w:val="18"/>
        </w:rPr>
        <w:t xml:space="preserve">2.2.1.- Producto Interno Bruto del </w:t>
      </w:r>
      <w:r w:rsidR="00901A86" w:rsidRPr="00B34B21">
        <w:rPr>
          <w:rFonts w:asciiTheme="minorHAnsi" w:hAnsiTheme="minorHAnsi" w:cstheme="minorHAnsi"/>
          <w:b/>
          <w:bCs/>
          <w:sz w:val="20"/>
          <w:szCs w:val="18"/>
        </w:rPr>
        <w:t>país</w:t>
      </w:r>
      <w:r w:rsidRPr="00B34B21">
        <w:rPr>
          <w:rFonts w:asciiTheme="minorHAnsi" w:hAnsiTheme="minorHAnsi" w:cstheme="minorHAnsi"/>
          <w:b/>
          <w:bCs/>
          <w:sz w:val="20"/>
          <w:szCs w:val="18"/>
        </w:rPr>
        <w:t xml:space="preserve"> </w:t>
      </w:r>
      <w:r w:rsidR="00291DC2" w:rsidRPr="00B34B21">
        <w:rPr>
          <w:rFonts w:asciiTheme="minorHAnsi" w:hAnsiTheme="minorHAnsi" w:cstheme="minorHAnsi"/>
          <w:b/>
          <w:bCs/>
          <w:sz w:val="20"/>
          <w:szCs w:val="18"/>
        </w:rPr>
        <w:t>PIB. -</w:t>
      </w:r>
    </w:p>
    <w:p w14:paraId="3C005430" w14:textId="05630A08" w:rsidR="00E92EC1" w:rsidRPr="00E850D6" w:rsidRDefault="00E92EC1" w:rsidP="00E7497F">
      <w:pPr>
        <w:pStyle w:val="NormalWeb"/>
        <w:jc w:val="both"/>
        <w:rPr>
          <w:rFonts w:asciiTheme="minorHAnsi" w:hAnsiTheme="minorHAnsi" w:cstheme="minorHAnsi"/>
          <w:sz w:val="18"/>
          <w:szCs w:val="18"/>
        </w:rPr>
      </w:pPr>
      <w:r w:rsidRPr="00E850D6">
        <w:rPr>
          <w:rFonts w:asciiTheme="minorHAnsi" w:hAnsiTheme="minorHAnsi" w:cstheme="minorHAnsi"/>
          <w:sz w:val="18"/>
          <w:szCs w:val="18"/>
        </w:rPr>
        <w:t>Por lo que corresponde al comportamiento del PIB durante el 2022, el INEGI informó que por el tercer trimestre de 2022 y con cifras desestacionalizadas,</w:t>
      </w:r>
      <w:r w:rsidRPr="00E850D6">
        <w:rPr>
          <w:rFonts w:asciiTheme="minorHAnsi" w:hAnsiTheme="minorHAnsi" w:cstheme="minorHAnsi"/>
          <w:position w:val="8"/>
          <w:sz w:val="18"/>
          <w:szCs w:val="18"/>
        </w:rPr>
        <w:t xml:space="preserve"> </w:t>
      </w:r>
      <w:r w:rsidRPr="00E850D6">
        <w:rPr>
          <w:rFonts w:asciiTheme="minorHAnsi" w:hAnsiTheme="minorHAnsi" w:cstheme="minorHAnsi"/>
          <w:sz w:val="18"/>
          <w:szCs w:val="18"/>
        </w:rPr>
        <w:t>el Producto Interno Bruto (PIB)</w:t>
      </w:r>
      <w:r w:rsidRPr="00E850D6">
        <w:rPr>
          <w:rFonts w:asciiTheme="minorHAnsi" w:hAnsiTheme="minorHAnsi" w:cstheme="minorHAnsi"/>
          <w:position w:val="8"/>
          <w:sz w:val="18"/>
          <w:szCs w:val="18"/>
        </w:rPr>
        <w:t xml:space="preserve"> </w:t>
      </w:r>
      <w:r w:rsidRPr="00E850D6">
        <w:rPr>
          <w:rFonts w:asciiTheme="minorHAnsi" w:hAnsiTheme="minorHAnsi" w:cstheme="minorHAnsi"/>
          <w:sz w:val="18"/>
          <w:szCs w:val="18"/>
        </w:rPr>
        <w:t xml:space="preserve">avanzó 0.9 % a tasa trimestral, en </w:t>
      </w:r>
      <w:r w:rsidR="00901A86" w:rsidRPr="00E850D6">
        <w:rPr>
          <w:rFonts w:asciiTheme="minorHAnsi" w:hAnsiTheme="minorHAnsi" w:cstheme="minorHAnsi"/>
          <w:sz w:val="18"/>
          <w:szCs w:val="18"/>
        </w:rPr>
        <w:t>términos</w:t>
      </w:r>
      <w:r w:rsidRPr="00E850D6">
        <w:rPr>
          <w:rFonts w:asciiTheme="minorHAnsi" w:hAnsiTheme="minorHAnsi" w:cstheme="minorHAnsi"/>
          <w:sz w:val="18"/>
          <w:szCs w:val="18"/>
        </w:rPr>
        <w:t xml:space="preserve"> reales. </w:t>
      </w:r>
    </w:p>
    <w:p w14:paraId="73AA9066" w14:textId="5FA2D51B" w:rsidR="00E92EC1" w:rsidRPr="00E850D6" w:rsidRDefault="00E92EC1" w:rsidP="00E7497F">
      <w:pPr>
        <w:pStyle w:val="NormalWeb"/>
        <w:jc w:val="both"/>
        <w:rPr>
          <w:rFonts w:asciiTheme="minorHAnsi" w:hAnsiTheme="minorHAnsi" w:cstheme="minorHAnsi"/>
          <w:sz w:val="18"/>
          <w:szCs w:val="18"/>
        </w:rPr>
      </w:pPr>
      <w:r w:rsidRPr="00E850D6">
        <w:rPr>
          <w:rFonts w:asciiTheme="minorHAnsi" w:hAnsiTheme="minorHAnsi" w:cstheme="minorHAnsi"/>
          <w:sz w:val="18"/>
          <w:szCs w:val="18"/>
        </w:rPr>
        <w:t xml:space="preserve">Por componente y con series ajustadas por estacionalidad, el comportamiento fue el siguiente: el PIB de las actividades primarias </w:t>
      </w:r>
      <w:r w:rsidR="00396A2F" w:rsidRPr="00E850D6">
        <w:rPr>
          <w:rFonts w:asciiTheme="minorHAnsi" w:hAnsiTheme="minorHAnsi" w:cstheme="minorHAnsi"/>
          <w:sz w:val="18"/>
          <w:szCs w:val="18"/>
        </w:rPr>
        <w:t>creció</w:t>
      </w:r>
      <w:r w:rsidRPr="00E850D6">
        <w:rPr>
          <w:rFonts w:asciiTheme="minorHAnsi" w:hAnsiTheme="minorHAnsi" w:cstheme="minorHAnsi"/>
          <w:sz w:val="18"/>
          <w:szCs w:val="18"/>
        </w:rPr>
        <w:t xml:space="preserve">́ 2 %; el de las terciarias, 1.1 % y el de las secundarias, 0.6 % respecto al trimestre anterior. </w:t>
      </w:r>
    </w:p>
    <w:p w14:paraId="71728686" w14:textId="55F4D2CF" w:rsidR="00E92EC1" w:rsidRPr="00E850D6" w:rsidRDefault="00E92EC1" w:rsidP="00E7497F">
      <w:pPr>
        <w:pStyle w:val="NormalWeb"/>
        <w:jc w:val="both"/>
        <w:rPr>
          <w:rFonts w:asciiTheme="minorHAnsi" w:hAnsiTheme="minorHAnsi" w:cstheme="minorHAnsi"/>
          <w:sz w:val="18"/>
          <w:szCs w:val="18"/>
        </w:rPr>
      </w:pPr>
      <w:r w:rsidRPr="00E850D6">
        <w:rPr>
          <w:rFonts w:asciiTheme="minorHAnsi" w:hAnsiTheme="minorHAnsi" w:cstheme="minorHAnsi"/>
          <w:sz w:val="18"/>
          <w:szCs w:val="18"/>
        </w:rPr>
        <w:t xml:space="preserve">A tasa anual y con series desestacionalizadas, en el tercer trimestre de 2022, el PIB incrementó 4.3 % en </w:t>
      </w:r>
      <w:r w:rsidR="00396A2F" w:rsidRPr="00E850D6">
        <w:rPr>
          <w:rFonts w:asciiTheme="minorHAnsi" w:hAnsiTheme="minorHAnsi" w:cstheme="minorHAnsi"/>
          <w:sz w:val="18"/>
          <w:szCs w:val="18"/>
        </w:rPr>
        <w:t>términos</w:t>
      </w:r>
      <w:r w:rsidRPr="00E850D6">
        <w:rPr>
          <w:rFonts w:asciiTheme="minorHAnsi" w:hAnsiTheme="minorHAnsi" w:cstheme="minorHAnsi"/>
          <w:sz w:val="18"/>
          <w:szCs w:val="18"/>
        </w:rPr>
        <w:t xml:space="preserve"> reales. Por grandes grupos de actividades </w:t>
      </w:r>
      <w:r w:rsidR="00396A2F" w:rsidRPr="00E850D6">
        <w:rPr>
          <w:rFonts w:asciiTheme="minorHAnsi" w:hAnsiTheme="minorHAnsi" w:cstheme="minorHAnsi"/>
          <w:sz w:val="18"/>
          <w:szCs w:val="18"/>
        </w:rPr>
        <w:t>económicas</w:t>
      </w:r>
      <w:r w:rsidRPr="00E850D6">
        <w:rPr>
          <w:rFonts w:asciiTheme="minorHAnsi" w:hAnsiTheme="minorHAnsi" w:cstheme="minorHAnsi"/>
          <w:sz w:val="18"/>
          <w:szCs w:val="18"/>
        </w:rPr>
        <w:t xml:space="preserve">, el PIB de las actividades terciarias </w:t>
      </w:r>
      <w:r w:rsidR="00396A2F" w:rsidRPr="00E850D6">
        <w:rPr>
          <w:rFonts w:asciiTheme="minorHAnsi" w:hAnsiTheme="minorHAnsi" w:cstheme="minorHAnsi"/>
          <w:sz w:val="18"/>
          <w:szCs w:val="18"/>
        </w:rPr>
        <w:t>ascendió</w:t>
      </w:r>
      <w:r w:rsidRPr="00E850D6">
        <w:rPr>
          <w:rFonts w:asciiTheme="minorHAnsi" w:hAnsiTheme="minorHAnsi" w:cstheme="minorHAnsi"/>
          <w:sz w:val="18"/>
          <w:szCs w:val="18"/>
        </w:rPr>
        <w:t xml:space="preserve">́ 4.5 %; el de las secundarias, 3.7 % y el de las primarias, 3.2 por ciento. </w:t>
      </w:r>
    </w:p>
    <w:p w14:paraId="519FAB0E" w14:textId="77777777" w:rsidR="00E92EC1" w:rsidRPr="00E850D6" w:rsidRDefault="00E92EC1" w:rsidP="00E92EC1">
      <w:pPr>
        <w:pStyle w:val="NormalWeb"/>
        <w:rPr>
          <w:rFonts w:asciiTheme="minorHAnsi" w:hAnsiTheme="minorHAnsi" w:cstheme="minorHAnsi"/>
          <w:sz w:val="18"/>
          <w:szCs w:val="18"/>
        </w:rPr>
      </w:pPr>
      <w:r w:rsidRPr="00E850D6">
        <w:rPr>
          <w:rFonts w:asciiTheme="minorHAnsi" w:hAnsiTheme="minorHAnsi" w:cstheme="minorHAnsi"/>
          <w:sz w:val="18"/>
          <w:szCs w:val="18"/>
        </w:rPr>
        <w:t xml:space="preserve">Por lo que en los primeros nueve meses de 2022 y con series desestacionalizadas, el PIB aumentó 2.8 % a tasa anual. </w:t>
      </w:r>
    </w:p>
    <w:p w14:paraId="4C4D636D" w14:textId="77777777" w:rsidR="00E92EC1" w:rsidRPr="00676CED" w:rsidRDefault="00E92EC1" w:rsidP="00E92EC1">
      <w:pPr>
        <w:pStyle w:val="NormalWeb"/>
        <w:spacing w:before="0" w:beforeAutospacing="0" w:after="0" w:afterAutospacing="0"/>
        <w:jc w:val="center"/>
        <w:rPr>
          <w:rFonts w:asciiTheme="minorHAnsi" w:hAnsiTheme="minorHAnsi" w:cstheme="minorHAnsi"/>
          <w:sz w:val="18"/>
          <w:szCs w:val="18"/>
        </w:rPr>
      </w:pPr>
      <w:r w:rsidRPr="00676CED">
        <w:rPr>
          <w:rFonts w:asciiTheme="minorHAnsi" w:hAnsiTheme="minorHAnsi" w:cstheme="minorHAnsi"/>
          <w:b/>
          <w:bCs/>
          <w:sz w:val="18"/>
          <w:szCs w:val="18"/>
        </w:rPr>
        <w:t>PRODUCTO INTERNO BRUTO</w:t>
      </w:r>
    </w:p>
    <w:p w14:paraId="4FEC2011" w14:textId="77777777" w:rsidR="00E92EC1" w:rsidRPr="00676CED" w:rsidRDefault="00E92EC1" w:rsidP="00E92EC1">
      <w:pPr>
        <w:pStyle w:val="NormalWeb"/>
        <w:spacing w:before="0" w:beforeAutospacing="0" w:after="0" w:afterAutospacing="0"/>
        <w:jc w:val="center"/>
        <w:rPr>
          <w:rFonts w:asciiTheme="minorHAnsi" w:hAnsiTheme="minorHAnsi" w:cstheme="minorHAnsi"/>
          <w:b/>
          <w:bCs/>
          <w:sz w:val="18"/>
          <w:szCs w:val="18"/>
        </w:rPr>
      </w:pPr>
      <w:r w:rsidRPr="00676CED">
        <w:rPr>
          <w:rFonts w:asciiTheme="minorHAnsi" w:hAnsiTheme="minorHAnsi" w:cstheme="minorHAnsi"/>
          <w:b/>
          <w:bCs/>
          <w:sz w:val="18"/>
          <w:szCs w:val="18"/>
        </w:rPr>
        <w:t>TERCER TRIMESTRE DE 2022</w:t>
      </w:r>
    </w:p>
    <w:p w14:paraId="3097135A" w14:textId="2850B9F9" w:rsidR="00E92EC1" w:rsidRDefault="00E92EC1" w:rsidP="00E92EC1">
      <w:pPr>
        <w:pStyle w:val="NormalWeb"/>
        <w:spacing w:before="0" w:beforeAutospacing="0" w:after="0" w:afterAutospacing="0"/>
        <w:jc w:val="center"/>
        <w:rPr>
          <w:rFonts w:asciiTheme="minorHAnsi" w:hAnsiTheme="minorHAnsi" w:cstheme="minorHAnsi"/>
          <w:b/>
          <w:bCs/>
          <w:sz w:val="18"/>
          <w:szCs w:val="18"/>
        </w:rPr>
      </w:pPr>
      <w:r w:rsidRPr="00676CED">
        <w:rPr>
          <w:rFonts w:asciiTheme="minorHAnsi" w:hAnsiTheme="minorHAnsi" w:cstheme="minorHAnsi"/>
          <w:b/>
          <w:bCs/>
          <w:sz w:val="18"/>
          <w:szCs w:val="18"/>
        </w:rPr>
        <w:t>CIFRAS DESESTACIONALIZADAS</w:t>
      </w:r>
    </w:p>
    <w:p w14:paraId="3BFB4298" w14:textId="0D67CBF1" w:rsidR="00E05A33" w:rsidRDefault="00E05A33" w:rsidP="00E92EC1">
      <w:pPr>
        <w:pStyle w:val="NormalWeb"/>
        <w:spacing w:before="0" w:beforeAutospacing="0" w:after="0" w:afterAutospacing="0"/>
        <w:jc w:val="center"/>
        <w:rPr>
          <w:rFonts w:asciiTheme="minorHAnsi" w:hAnsiTheme="minorHAnsi" w:cstheme="minorHAnsi"/>
          <w:b/>
          <w:bCs/>
          <w:sz w:val="18"/>
          <w:szCs w:val="18"/>
        </w:rPr>
      </w:pPr>
    </w:p>
    <w:p w14:paraId="62078263" w14:textId="4F9D71A5" w:rsidR="00E05A33" w:rsidRDefault="00E05A33" w:rsidP="00E92EC1">
      <w:pPr>
        <w:pStyle w:val="NormalWeb"/>
        <w:spacing w:before="0" w:beforeAutospacing="0" w:after="0" w:afterAutospacing="0"/>
        <w:jc w:val="center"/>
        <w:rPr>
          <w:rFonts w:asciiTheme="minorHAnsi" w:hAnsiTheme="minorHAnsi" w:cstheme="minorHAnsi"/>
          <w:b/>
          <w:bCs/>
          <w:sz w:val="18"/>
          <w:szCs w:val="18"/>
        </w:rPr>
      </w:pPr>
    </w:p>
    <w:tbl>
      <w:tblPr>
        <w:tblW w:w="7938" w:type="dxa"/>
        <w:tblInd w:w="-5" w:type="dxa"/>
        <w:tblCellMar>
          <w:left w:w="70" w:type="dxa"/>
          <w:right w:w="70" w:type="dxa"/>
        </w:tblCellMar>
        <w:tblLook w:val="04A0" w:firstRow="1" w:lastRow="0" w:firstColumn="1" w:lastColumn="0" w:noHBand="0" w:noVBand="1"/>
      </w:tblPr>
      <w:tblGrid>
        <w:gridCol w:w="2552"/>
        <w:gridCol w:w="1984"/>
        <w:gridCol w:w="2120"/>
        <w:gridCol w:w="1282"/>
      </w:tblGrid>
      <w:tr w:rsidR="00E05A33" w:rsidRPr="00E05A33" w14:paraId="75D68565" w14:textId="77777777" w:rsidTr="004A5AEA">
        <w:trPr>
          <w:trHeight w:val="300"/>
        </w:trPr>
        <w:tc>
          <w:tcPr>
            <w:tcW w:w="2552" w:type="dxa"/>
            <w:vMerge w:val="restart"/>
            <w:tcBorders>
              <w:top w:val="single" w:sz="4" w:space="0" w:color="auto"/>
              <w:left w:val="single" w:sz="4" w:space="0" w:color="auto"/>
              <w:bottom w:val="single" w:sz="4" w:space="0" w:color="auto"/>
              <w:right w:val="single" w:sz="4" w:space="0" w:color="auto"/>
            </w:tcBorders>
            <w:shd w:val="clear" w:color="auto" w:fill="AB0033"/>
            <w:noWrap/>
            <w:vAlign w:val="center"/>
            <w:hideMark/>
          </w:tcPr>
          <w:p w14:paraId="6D7C00B6" w14:textId="77777777" w:rsidR="00E05A33" w:rsidRPr="00E05A33" w:rsidRDefault="00E05A33" w:rsidP="00E05A33">
            <w:pPr>
              <w:spacing w:after="0" w:line="240" w:lineRule="auto"/>
              <w:jc w:val="center"/>
              <w:rPr>
                <w:rFonts w:eastAsia="Times New Roman" w:cs="Calibri"/>
                <w:color w:val="FFFFFF"/>
                <w:sz w:val="18"/>
                <w:szCs w:val="18"/>
                <w:lang w:eastAsia="es-MX"/>
              </w:rPr>
            </w:pPr>
            <w:r w:rsidRPr="00E05A33">
              <w:rPr>
                <w:rFonts w:eastAsia="Times New Roman" w:cs="Calibri"/>
                <w:color w:val="FFFFFF"/>
                <w:sz w:val="18"/>
                <w:szCs w:val="18"/>
                <w:lang w:eastAsia="es-MX"/>
              </w:rPr>
              <w:t xml:space="preserve">Concepto </w:t>
            </w:r>
          </w:p>
        </w:tc>
        <w:tc>
          <w:tcPr>
            <w:tcW w:w="5386" w:type="dxa"/>
            <w:gridSpan w:val="3"/>
            <w:tcBorders>
              <w:top w:val="single" w:sz="4" w:space="0" w:color="auto"/>
              <w:left w:val="nil"/>
              <w:bottom w:val="single" w:sz="4" w:space="0" w:color="auto"/>
              <w:right w:val="single" w:sz="4" w:space="0" w:color="auto"/>
            </w:tcBorders>
            <w:shd w:val="clear" w:color="auto" w:fill="AB0033"/>
            <w:noWrap/>
            <w:vAlign w:val="center"/>
            <w:hideMark/>
          </w:tcPr>
          <w:p w14:paraId="493448B8" w14:textId="1D05F2F5" w:rsidR="00E05A33" w:rsidRPr="00E05A33" w:rsidRDefault="00E05A33" w:rsidP="00E05A33">
            <w:pPr>
              <w:spacing w:after="0" w:line="240" w:lineRule="auto"/>
              <w:jc w:val="center"/>
              <w:rPr>
                <w:rFonts w:eastAsia="Times New Roman" w:cs="Calibri"/>
                <w:color w:val="FFFFFF"/>
                <w:sz w:val="18"/>
                <w:szCs w:val="18"/>
                <w:lang w:eastAsia="es-MX"/>
              </w:rPr>
            </w:pPr>
            <w:r w:rsidRPr="00E05A33">
              <w:rPr>
                <w:rFonts w:eastAsia="Times New Roman" w:cs="Calibri"/>
                <w:color w:val="FFFFFF"/>
                <w:sz w:val="18"/>
                <w:szCs w:val="18"/>
                <w:lang w:eastAsia="es-MX"/>
              </w:rPr>
              <w:t xml:space="preserve">Variación porcentual real respecto al: </w:t>
            </w:r>
          </w:p>
        </w:tc>
      </w:tr>
      <w:tr w:rsidR="00E05A33" w:rsidRPr="00E05A33" w14:paraId="5D416E82" w14:textId="77777777" w:rsidTr="004A5AEA">
        <w:trPr>
          <w:trHeight w:val="405"/>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41C869A1" w14:textId="77777777" w:rsidR="00E05A33" w:rsidRPr="00E05A33" w:rsidRDefault="00E05A33" w:rsidP="00E05A33">
            <w:pPr>
              <w:spacing w:after="0" w:line="240" w:lineRule="auto"/>
              <w:rPr>
                <w:rFonts w:eastAsia="Times New Roman" w:cs="Calibri"/>
                <w:color w:val="FFFFFF"/>
                <w:sz w:val="18"/>
                <w:szCs w:val="18"/>
                <w:lang w:eastAsia="es-MX"/>
              </w:rPr>
            </w:pPr>
          </w:p>
        </w:tc>
        <w:tc>
          <w:tcPr>
            <w:tcW w:w="1984" w:type="dxa"/>
            <w:tcBorders>
              <w:top w:val="nil"/>
              <w:left w:val="nil"/>
              <w:bottom w:val="single" w:sz="4" w:space="0" w:color="auto"/>
              <w:right w:val="single" w:sz="4" w:space="0" w:color="auto"/>
            </w:tcBorders>
            <w:shd w:val="clear" w:color="auto" w:fill="AB0033"/>
            <w:noWrap/>
            <w:vAlign w:val="center"/>
            <w:hideMark/>
          </w:tcPr>
          <w:p w14:paraId="40891BBB" w14:textId="77777777" w:rsidR="00E05A33" w:rsidRPr="00E05A33" w:rsidRDefault="00E05A33" w:rsidP="00E05A33">
            <w:pPr>
              <w:spacing w:after="0" w:line="240" w:lineRule="auto"/>
              <w:jc w:val="center"/>
              <w:rPr>
                <w:rFonts w:eastAsia="Times New Roman" w:cs="Calibri"/>
                <w:color w:val="FFFFFF"/>
                <w:sz w:val="18"/>
                <w:szCs w:val="18"/>
                <w:lang w:eastAsia="es-MX"/>
              </w:rPr>
            </w:pPr>
            <w:r w:rsidRPr="00E05A33">
              <w:rPr>
                <w:rFonts w:eastAsia="Times New Roman" w:cs="Calibri"/>
                <w:color w:val="FFFFFF"/>
                <w:sz w:val="18"/>
                <w:szCs w:val="18"/>
                <w:lang w:eastAsia="es-MX"/>
              </w:rPr>
              <w:t xml:space="preserve">Trimestre previo </w:t>
            </w:r>
          </w:p>
        </w:tc>
        <w:tc>
          <w:tcPr>
            <w:tcW w:w="2120" w:type="dxa"/>
            <w:tcBorders>
              <w:top w:val="nil"/>
              <w:left w:val="nil"/>
              <w:bottom w:val="single" w:sz="4" w:space="0" w:color="auto"/>
              <w:right w:val="single" w:sz="4" w:space="0" w:color="auto"/>
            </w:tcBorders>
            <w:shd w:val="clear" w:color="auto" w:fill="AB0033"/>
            <w:vAlign w:val="center"/>
            <w:hideMark/>
          </w:tcPr>
          <w:p w14:paraId="66F9B165" w14:textId="77777777" w:rsidR="00E05A33" w:rsidRPr="00E05A33" w:rsidRDefault="00E05A33" w:rsidP="00E05A33">
            <w:pPr>
              <w:spacing w:after="0" w:line="240" w:lineRule="auto"/>
              <w:jc w:val="center"/>
              <w:rPr>
                <w:rFonts w:eastAsia="Times New Roman" w:cs="Calibri"/>
                <w:color w:val="FFFFFF"/>
                <w:sz w:val="18"/>
                <w:szCs w:val="18"/>
                <w:lang w:eastAsia="es-MX"/>
              </w:rPr>
            </w:pPr>
            <w:r w:rsidRPr="00E05A33">
              <w:rPr>
                <w:rFonts w:eastAsia="Times New Roman" w:cs="Calibri"/>
                <w:color w:val="FFFFFF"/>
                <w:sz w:val="18"/>
                <w:szCs w:val="18"/>
                <w:lang w:eastAsia="es-MX"/>
              </w:rPr>
              <w:t xml:space="preserve">Mismo trimestre de 2021 </w:t>
            </w:r>
          </w:p>
        </w:tc>
        <w:tc>
          <w:tcPr>
            <w:tcW w:w="1282" w:type="dxa"/>
            <w:tcBorders>
              <w:top w:val="nil"/>
              <w:left w:val="nil"/>
              <w:bottom w:val="single" w:sz="4" w:space="0" w:color="auto"/>
              <w:right w:val="single" w:sz="4" w:space="0" w:color="auto"/>
            </w:tcBorders>
            <w:shd w:val="clear" w:color="auto" w:fill="AB0033"/>
            <w:noWrap/>
            <w:vAlign w:val="center"/>
            <w:hideMark/>
          </w:tcPr>
          <w:p w14:paraId="14174F14" w14:textId="77777777" w:rsidR="00E05A33" w:rsidRPr="00E05A33" w:rsidRDefault="00E05A33" w:rsidP="00E05A33">
            <w:pPr>
              <w:spacing w:after="0" w:line="240" w:lineRule="auto"/>
              <w:jc w:val="center"/>
              <w:rPr>
                <w:rFonts w:eastAsia="Times New Roman" w:cs="Calibri"/>
                <w:color w:val="FFFFFF"/>
                <w:sz w:val="18"/>
                <w:szCs w:val="18"/>
                <w:lang w:eastAsia="es-MX"/>
              </w:rPr>
            </w:pPr>
            <w:r w:rsidRPr="00E05A33">
              <w:rPr>
                <w:rFonts w:eastAsia="Times New Roman" w:cs="Calibri"/>
                <w:color w:val="FFFFFF"/>
                <w:sz w:val="18"/>
                <w:szCs w:val="18"/>
                <w:lang w:eastAsia="es-MX"/>
              </w:rPr>
              <w:t xml:space="preserve">9 meses de 2021 </w:t>
            </w:r>
          </w:p>
        </w:tc>
      </w:tr>
      <w:tr w:rsidR="00E05A33" w:rsidRPr="00E05A33" w14:paraId="357F41F5" w14:textId="77777777" w:rsidTr="00E05A33">
        <w:trPr>
          <w:trHeight w:val="40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2394C91" w14:textId="77777777" w:rsidR="00E05A33" w:rsidRPr="00E05A33" w:rsidRDefault="00E05A33" w:rsidP="00E05A33">
            <w:pPr>
              <w:spacing w:after="0" w:line="240" w:lineRule="auto"/>
              <w:jc w:val="center"/>
              <w:rPr>
                <w:rFonts w:eastAsia="Times New Roman" w:cs="Calibri"/>
                <w:b/>
                <w:bCs/>
                <w:color w:val="000000"/>
                <w:sz w:val="18"/>
                <w:szCs w:val="18"/>
                <w:lang w:eastAsia="es-MX"/>
              </w:rPr>
            </w:pPr>
            <w:r w:rsidRPr="00E05A33">
              <w:rPr>
                <w:rFonts w:eastAsia="Times New Roman" w:cs="Calibri"/>
                <w:b/>
                <w:bCs/>
                <w:color w:val="000000"/>
                <w:sz w:val="18"/>
                <w:szCs w:val="18"/>
                <w:lang w:eastAsia="es-MX"/>
              </w:rPr>
              <w:t xml:space="preserve">PIB </w:t>
            </w:r>
          </w:p>
        </w:tc>
        <w:tc>
          <w:tcPr>
            <w:tcW w:w="1984" w:type="dxa"/>
            <w:tcBorders>
              <w:top w:val="nil"/>
              <w:left w:val="nil"/>
              <w:bottom w:val="single" w:sz="4" w:space="0" w:color="auto"/>
              <w:right w:val="single" w:sz="4" w:space="0" w:color="auto"/>
            </w:tcBorders>
            <w:shd w:val="clear" w:color="auto" w:fill="auto"/>
            <w:noWrap/>
            <w:vAlign w:val="center"/>
            <w:hideMark/>
          </w:tcPr>
          <w:p w14:paraId="5B3B1A43" w14:textId="77777777" w:rsidR="00E05A33" w:rsidRPr="00E05A33" w:rsidRDefault="00E05A33" w:rsidP="00E05A33">
            <w:pPr>
              <w:spacing w:after="0" w:line="240" w:lineRule="auto"/>
              <w:jc w:val="center"/>
              <w:rPr>
                <w:rFonts w:eastAsia="Times New Roman" w:cs="Calibri"/>
                <w:b/>
                <w:bCs/>
                <w:color w:val="000000"/>
                <w:sz w:val="18"/>
                <w:szCs w:val="18"/>
                <w:lang w:eastAsia="es-MX"/>
              </w:rPr>
            </w:pPr>
            <w:r w:rsidRPr="00E05A33">
              <w:rPr>
                <w:rFonts w:eastAsia="Times New Roman" w:cs="Calibri"/>
                <w:b/>
                <w:bCs/>
                <w:color w:val="000000"/>
                <w:sz w:val="18"/>
                <w:szCs w:val="18"/>
                <w:lang w:eastAsia="es-MX"/>
              </w:rPr>
              <w:t>0.9</w:t>
            </w:r>
          </w:p>
        </w:tc>
        <w:tc>
          <w:tcPr>
            <w:tcW w:w="2120" w:type="dxa"/>
            <w:tcBorders>
              <w:top w:val="nil"/>
              <w:left w:val="nil"/>
              <w:bottom w:val="single" w:sz="4" w:space="0" w:color="auto"/>
              <w:right w:val="single" w:sz="4" w:space="0" w:color="auto"/>
            </w:tcBorders>
            <w:shd w:val="clear" w:color="auto" w:fill="auto"/>
            <w:noWrap/>
            <w:vAlign w:val="center"/>
            <w:hideMark/>
          </w:tcPr>
          <w:p w14:paraId="056B500A" w14:textId="77777777" w:rsidR="00E05A33" w:rsidRPr="00E05A33" w:rsidRDefault="00E05A33" w:rsidP="00E05A33">
            <w:pPr>
              <w:spacing w:after="0" w:line="240" w:lineRule="auto"/>
              <w:jc w:val="center"/>
              <w:rPr>
                <w:rFonts w:eastAsia="Times New Roman" w:cs="Calibri"/>
                <w:b/>
                <w:bCs/>
                <w:color w:val="000000"/>
                <w:sz w:val="18"/>
                <w:szCs w:val="18"/>
                <w:lang w:eastAsia="es-MX"/>
              </w:rPr>
            </w:pPr>
            <w:r w:rsidRPr="00E05A33">
              <w:rPr>
                <w:rFonts w:eastAsia="Times New Roman" w:cs="Calibri"/>
                <w:b/>
                <w:bCs/>
                <w:color w:val="000000"/>
                <w:sz w:val="18"/>
                <w:szCs w:val="18"/>
                <w:lang w:eastAsia="es-MX"/>
              </w:rPr>
              <w:t>4.3</w:t>
            </w:r>
          </w:p>
        </w:tc>
        <w:tc>
          <w:tcPr>
            <w:tcW w:w="1282" w:type="dxa"/>
            <w:tcBorders>
              <w:top w:val="nil"/>
              <w:left w:val="nil"/>
              <w:bottom w:val="single" w:sz="4" w:space="0" w:color="auto"/>
              <w:right w:val="single" w:sz="4" w:space="0" w:color="auto"/>
            </w:tcBorders>
            <w:shd w:val="clear" w:color="auto" w:fill="auto"/>
            <w:noWrap/>
            <w:vAlign w:val="center"/>
            <w:hideMark/>
          </w:tcPr>
          <w:p w14:paraId="00EA3EFE" w14:textId="77777777" w:rsidR="00E05A33" w:rsidRPr="00E05A33" w:rsidRDefault="00E05A33" w:rsidP="00E05A33">
            <w:pPr>
              <w:spacing w:after="0" w:line="240" w:lineRule="auto"/>
              <w:jc w:val="center"/>
              <w:rPr>
                <w:rFonts w:eastAsia="Times New Roman" w:cs="Calibri"/>
                <w:b/>
                <w:bCs/>
                <w:color w:val="000000"/>
                <w:sz w:val="18"/>
                <w:szCs w:val="18"/>
                <w:lang w:eastAsia="es-MX"/>
              </w:rPr>
            </w:pPr>
            <w:r w:rsidRPr="00E05A33">
              <w:rPr>
                <w:rFonts w:eastAsia="Times New Roman" w:cs="Calibri"/>
                <w:b/>
                <w:bCs/>
                <w:color w:val="000000"/>
                <w:sz w:val="18"/>
                <w:szCs w:val="18"/>
                <w:lang w:eastAsia="es-MX"/>
              </w:rPr>
              <w:t>2.8</w:t>
            </w:r>
          </w:p>
        </w:tc>
      </w:tr>
      <w:tr w:rsidR="00E05A33" w:rsidRPr="00E05A33" w14:paraId="2A79D04B" w14:textId="77777777" w:rsidTr="00E05A33">
        <w:trPr>
          <w:trHeight w:val="40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E1229DF" w14:textId="77777777" w:rsidR="00E05A33" w:rsidRPr="00E05A33" w:rsidRDefault="00E05A33" w:rsidP="00E05A33">
            <w:pPr>
              <w:spacing w:after="0" w:line="240" w:lineRule="auto"/>
              <w:jc w:val="center"/>
              <w:rPr>
                <w:rFonts w:eastAsia="Times New Roman" w:cs="Calibri"/>
                <w:color w:val="000000"/>
                <w:sz w:val="18"/>
                <w:szCs w:val="18"/>
                <w:lang w:eastAsia="es-MX"/>
              </w:rPr>
            </w:pPr>
            <w:r w:rsidRPr="00E05A33">
              <w:rPr>
                <w:rFonts w:eastAsia="Times New Roman" w:cs="Calibri"/>
                <w:color w:val="000000"/>
                <w:sz w:val="18"/>
                <w:szCs w:val="18"/>
                <w:lang w:eastAsia="es-MX"/>
              </w:rPr>
              <w:t>Actividades Primarias</w:t>
            </w:r>
          </w:p>
        </w:tc>
        <w:tc>
          <w:tcPr>
            <w:tcW w:w="1984" w:type="dxa"/>
            <w:tcBorders>
              <w:top w:val="nil"/>
              <w:left w:val="nil"/>
              <w:bottom w:val="single" w:sz="4" w:space="0" w:color="auto"/>
              <w:right w:val="single" w:sz="4" w:space="0" w:color="auto"/>
            </w:tcBorders>
            <w:shd w:val="clear" w:color="auto" w:fill="auto"/>
            <w:noWrap/>
            <w:vAlign w:val="center"/>
            <w:hideMark/>
          </w:tcPr>
          <w:p w14:paraId="49DD3B75" w14:textId="77777777" w:rsidR="00E05A33" w:rsidRPr="00E05A33" w:rsidRDefault="00E05A33" w:rsidP="00E05A33">
            <w:pPr>
              <w:spacing w:after="0" w:line="240" w:lineRule="auto"/>
              <w:jc w:val="center"/>
              <w:rPr>
                <w:rFonts w:eastAsia="Times New Roman" w:cs="Calibri"/>
                <w:color w:val="000000"/>
                <w:sz w:val="18"/>
                <w:szCs w:val="18"/>
                <w:lang w:eastAsia="es-MX"/>
              </w:rPr>
            </w:pPr>
            <w:r w:rsidRPr="00E05A33">
              <w:rPr>
                <w:rFonts w:eastAsia="Times New Roman" w:cs="Calibri"/>
                <w:color w:val="000000"/>
                <w:sz w:val="18"/>
                <w:szCs w:val="18"/>
                <w:lang w:eastAsia="es-MX"/>
              </w:rPr>
              <w:t>2</w:t>
            </w:r>
          </w:p>
        </w:tc>
        <w:tc>
          <w:tcPr>
            <w:tcW w:w="2120" w:type="dxa"/>
            <w:tcBorders>
              <w:top w:val="nil"/>
              <w:left w:val="nil"/>
              <w:bottom w:val="single" w:sz="4" w:space="0" w:color="auto"/>
              <w:right w:val="single" w:sz="4" w:space="0" w:color="auto"/>
            </w:tcBorders>
            <w:shd w:val="clear" w:color="auto" w:fill="auto"/>
            <w:noWrap/>
            <w:vAlign w:val="center"/>
            <w:hideMark/>
          </w:tcPr>
          <w:p w14:paraId="473EE3A0" w14:textId="77777777" w:rsidR="00E05A33" w:rsidRPr="00E05A33" w:rsidRDefault="00E05A33" w:rsidP="00E05A33">
            <w:pPr>
              <w:spacing w:after="0" w:line="240" w:lineRule="auto"/>
              <w:jc w:val="center"/>
              <w:rPr>
                <w:rFonts w:eastAsia="Times New Roman" w:cs="Calibri"/>
                <w:color w:val="000000"/>
                <w:sz w:val="18"/>
                <w:szCs w:val="18"/>
                <w:lang w:eastAsia="es-MX"/>
              </w:rPr>
            </w:pPr>
            <w:r w:rsidRPr="00E05A33">
              <w:rPr>
                <w:rFonts w:eastAsia="Times New Roman" w:cs="Calibri"/>
                <w:color w:val="000000"/>
                <w:sz w:val="18"/>
                <w:szCs w:val="18"/>
                <w:lang w:eastAsia="es-MX"/>
              </w:rPr>
              <w:t>3.2</w:t>
            </w:r>
          </w:p>
        </w:tc>
        <w:tc>
          <w:tcPr>
            <w:tcW w:w="1282" w:type="dxa"/>
            <w:tcBorders>
              <w:top w:val="nil"/>
              <w:left w:val="nil"/>
              <w:bottom w:val="single" w:sz="4" w:space="0" w:color="auto"/>
              <w:right w:val="single" w:sz="4" w:space="0" w:color="auto"/>
            </w:tcBorders>
            <w:shd w:val="clear" w:color="auto" w:fill="auto"/>
            <w:noWrap/>
            <w:vAlign w:val="center"/>
            <w:hideMark/>
          </w:tcPr>
          <w:p w14:paraId="52AF4F16" w14:textId="77777777" w:rsidR="00E05A33" w:rsidRPr="00E05A33" w:rsidRDefault="00E05A33" w:rsidP="00E05A33">
            <w:pPr>
              <w:spacing w:after="0" w:line="240" w:lineRule="auto"/>
              <w:jc w:val="center"/>
              <w:rPr>
                <w:rFonts w:eastAsia="Times New Roman" w:cs="Calibri"/>
                <w:color w:val="000000"/>
                <w:sz w:val="18"/>
                <w:szCs w:val="18"/>
                <w:lang w:eastAsia="es-MX"/>
              </w:rPr>
            </w:pPr>
            <w:r w:rsidRPr="00E05A33">
              <w:rPr>
                <w:rFonts w:eastAsia="Times New Roman" w:cs="Calibri"/>
                <w:color w:val="000000"/>
                <w:sz w:val="18"/>
                <w:szCs w:val="18"/>
                <w:lang w:eastAsia="es-MX"/>
              </w:rPr>
              <w:t>1.5</w:t>
            </w:r>
          </w:p>
        </w:tc>
      </w:tr>
      <w:tr w:rsidR="00E05A33" w:rsidRPr="00E05A33" w14:paraId="63A8129A" w14:textId="77777777" w:rsidTr="00E05A33">
        <w:trPr>
          <w:trHeight w:val="40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E3883CC" w14:textId="77777777" w:rsidR="00E05A33" w:rsidRPr="00E05A33" w:rsidRDefault="00E05A33" w:rsidP="00E05A33">
            <w:pPr>
              <w:spacing w:after="0" w:line="240" w:lineRule="auto"/>
              <w:jc w:val="center"/>
              <w:rPr>
                <w:rFonts w:eastAsia="Times New Roman" w:cs="Calibri"/>
                <w:color w:val="000000"/>
                <w:sz w:val="18"/>
                <w:szCs w:val="18"/>
                <w:lang w:eastAsia="es-MX"/>
              </w:rPr>
            </w:pPr>
            <w:r w:rsidRPr="00E05A33">
              <w:rPr>
                <w:rFonts w:eastAsia="Times New Roman" w:cs="Calibri"/>
                <w:color w:val="000000"/>
                <w:sz w:val="18"/>
                <w:szCs w:val="18"/>
                <w:lang w:eastAsia="es-MX"/>
              </w:rPr>
              <w:t>Actividades Secundarias</w:t>
            </w:r>
          </w:p>
        </w:tc>
        <w:tc>
          <w:tcPr>
            <w:tcW w:w="1984" w:type="dxa"/>
            <w:tcBorders>
              <w:top w:val="nil"/>
              <w:left w:val="nil"/>
              <w:bottom w:val="single" w:sz="4" w:space="0" w:color="auto"/>
              <w:right w:val="single" w:sz="4" w:space="0" w:color="auto"/>
            </w:tcBorders>
            <w:shd w:val="clear" w:color="auto" w:fill="auto"/>
            <w:noWrap/>
            <w:vAlign w:val="center"/>
            <w:hideMark/>
          </w:tcPr>
          <w:p w14:paraId="7924E593" w14:textId="77777777" w:rsidR="00E05A33" w:rsidRPr="00E05A33" w:rsidRDefault="00E05A33" w:rsidP="00E05A33">
            <w:pPr>
              <w:spacing w:after="0" w:line="240" w:lineRule="auto"/>
              <w:jc w:val="center"/>
              <w:rPr>
                <w:rFonts w:eastAsia="Times New Roman" w:cs="Calibri"/>
                <w:color w:val="000000"/>
                <w:sz w:val="18"/>
                <w:szCs w:val="18"/>
                <w:lang w:eastAsia="es-MX"/>
              </w:rPr>
            </w:pPr>
            <w:r w:rsidRPr="00E05A33">
              <w:rPr>
                <w:rFonts w:eastAsia="Times New Roman" w:cs="Calibri"/>
                <w:color w:val="000000"/>
                <w:sz w:val="18"/>
                <w:szCs w:val="18"/>
                <w:lang w:eastAsia="es-MX"/>
              </w:rPr>
              <w:t>0.6</w:t>
            </w:r>
          </w:p>
        </w:tc>
        <w:tc>
          <w:tcPr>
            <w:tcW w:w="2120" w:type="dxa"/>
            <w:tcBorders>
              <w:top w:val="nil"/>
              <w:left w:val="nil"/>
              <w:bottom w:val="single" w:sz="4" w:space="0" w:color="auto"/>
              <w:right w:val="single" w:sz="4" w:space="0" w:color="auto"/>
            </w:tcBorders>
            <w:shd w:val="clear" w:color="auto" w:fill="auto"/>
            <w:noWrap/>
            <w:vAlign w:val="center"/>
            <w:hideMark/>
          </w:tcPr>
          <w:p w14:paraId="178828A6" w14:textId="77777777" w:rsidR="00E05A33" w:rsidRPr="00E05A33" w:rsidRDefault="00E05A33" w:rsidP="00E05A33">
            <w:pPr>
              <w:spacing w:after="0" w:line="240" w:lineRule="auto"/>
              <w:jc w:val="center"/>
              <w:rPr>
                <w:rFonts w:eastAsia="Times New Roman" w:cs="Calibri"/>
                <w:color w:val="000000"/>
                <w:sz w:val="18"/>
                <w:szCs w:val="18"/>
                <w:lang w:eastAsia="es-MX"/>
              </w:rPr>
            </w:pPr>
            <w:r w:rsidRPr="00E05A33">
              <w:rPr>
                <w:rFonts w:eastAsia="Times New Roman" w:cs="Calibri"/>
                <w:color w:val="000000"/>
                <w:sz w:val="18"/>
                <w:szCs w:val="18"/>
                <w:lang w:eastAsia="es-MX"/>
              </w:rPr>
              <w:t>3.7</w:t>
            </w:r>
          </w:p>
        </w:tc>
        <w:tc>
          <w:tcPr>
            <w:tcW w:w="1282" w:type="dxa"/>
            <w:tcBorders>
              <w:top w:val="nil"/>
              <w:left w:val="nil"/>
              <w:bottom w:val="single" w:sz="4" w:space="0" w:color="auto"/>
              <w:right w:val="single" w:sz="4" w:space="0" w:color="auto"/>
            </w:tcBorders>
            <w:shd w:val="clear" w:color="auto" w:fill="auto"/>
            <w:noWrap/>
            <w:vAlign w:val="center"/>
            <w:hideMark/>
          </w:tcPr>
          <w:p w14:paraId="5D8C1FAD" w14:textId="4554ECAF" w:rsidR="00E05A33" w:rsidRPr="00E05A33" w:rsidRDefault="00E7497F" w:rsidP="00E05A33">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3.3</w:t>
            </w:r>
          </w:p>
        </w:tc>
      </w:tr>
      <w:tr w:rsidR="00E05A33" w:rsidRPr="00E05A33" w14:paraId="743346CE" w14:textId="77777777" w:rsidTr="00E05A33">
        <w:trPr>
          <w:trHeight w:val="40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1DE8738" w14:textId="77777777" w:rsidR="00E05A33" w:rsidRPr="00E05A33" w:rsidRDefault="00E05A33" w:rsidP="00E05A33">
            <w:pPr>
              <w:spacing w:after="0" w:line="240" w:lineRule="auto"/>
              <w:jc w:val="center"/>
              <w:rPr>
                <w:rFonts w:eastAsia="Times New Roman" w:cs="Calibri"/>
                <w:color w:val="000000"/>
                <w:sz w:val="18"/>
                <w:szCs w:val="18"/>
                <w:lang w:eastAsia="es-MX"/>
              </w:rPr>
            </w:pPr>
            <w:r w:rsidRPr="00E05A33">
              <w:rPr>
                <w:rFonts w:eastAsia="Times New Roman" w:cs="Calibri"/>
                <w:color w:val="000000"/>
                <w:sz w:val="18"/>
                <w:szCs w:val="18"/>
                <w:lang w:eastAsia="es-MX"/>
              </w:rPr>
              <w:t>Actividades Terciarias</w:t>
            </w:r>
          </w:p>
        </w:tc>
        <w:tc>
          <w:tcPr>
            <w:tcW w:w="1984" w:type="dxa"/>
            <w:tcBorders>
              <w:top w:val="nil"/>
              <w:left w:val="nil"/>
              <w:bottom w:val="single" w:sz="4" w:space="0" w:color="auto"/>
              <w:right w:val="single" w:sz="4" w:space="0" w:color="auto"/>
            </w:tcBorders>
            <w:shd w:val="clear" w:color="auto" w:fill="auto"/>
            <w:noWrap/>
            <w:vAlign w:val="center"/>
            <w:hideMark/>
          </w:tcPr>
          <w:p w14:paraId="10F6510E" w14:textId="77777777" w:rsidR="00E05A33" w:rsidRPr="00E05A33" w:rsidRDefault="00E05A33" w:rsidP="00E05A33">
            <w:pPr>
              <w:spacing w:after="0" w:line="240" w:lineRule="auto"/>
              <w:jc w:val="center"/>
              <w:rPr>
                <w:rFonts w:eastAsia="Times New Roman" w:cs="Calibri"/>
                <w:color w:val="000000"/>
                <w:sz w:val="18"/>
                <w:szCs w:val="18"/>
                <w:lang w:eastAsia="es-MX"/>
              </w:rPr>
            </w:pPr>
            <w:r w:rsidRPr="00E05A33">
              <w:rPr>
                <w:rFonts w:eastAsia="Times New Roman" w:cs="Calibri"/>
                <w:color w:val="000000"/>
                <w:sz w:val="18"/>
                <w:szCs w:val="18"/>
                <w:lang w:eastAsia="es-MX"/>
              </w:rPr>
              <w:t>1.1.</w:t>
            </w:r>
          </w:p>
        </w:tc>
        <w:tc>
          <w:tcPr>
            <w:tcW w:w="2120" w:type="dxa"/>
            <w:tcBorders>
              <w:top w:val="nil"/>
              <w:left w:val="nil"/>
              <w:bottom w:val="single" w:sz="4" w:space="0" w:color="auto"/>
              <w:right w:val="single" w:sz="4" w:space="0" w:color="auto"/>
            </w:tcBorders>
            <w:shd w:val="clear" w:color="auto" w:fill="auto"/>
            <w:noWrap/>
            <w:vAlign w:val="center"/>
            <w:hideMark/>
          </w:tcPr>
          <w:p w14:paraId="5490342A" w14:textId="77777777" w:rsidR="00E05A33" w:rsidRPr="00E05A33" w:rsidRDefault="00E05A33" w:rsidP="00E05A33">
            <w:pPr>
              <w:spacing w:after="0" w:line="240" w:lineRule="auto"/>
              <w:jc w:val="center"/>
              <w:rPr>
                <w:rFonts w:eastAsia="Times New Roman" w:cs="Calibri"/>
                <w:color w:val="000000"/>
                <w:sz w:val="18"/>
                <w:szCs w:val="18"/>
                <w:lang w:eastAsia="es-MX"/>
              </w:rPr>
            </w:pPr>
            <w:r w:rsidRPr="00E05A33">
              <w:rPr>
                <w:rFonts w:eastAsia="Times New Roman" w:cs="Calibri"/>
                <w:color w:val="000000"/>
                <w:sz w:val="18"/>
                <w:szCs w:val="18"/>
                <w:lang w:eastAsia="es-MX"/>
              </w:rPr>
              <w:t>4.5</w:t>
            </w:r>
          </w:p>
        </w:tc>
        <w:tc>
          <w:tcPr>
            <w:tcW w:w="1282" w:type="dxa"/>
            <w:tcBorders>
              <w:top w:val="nil"/>
              <w:left w:val="nil"/>
              <w:bottom w:val="single" w:sz="4" w:space="0" w:color="auto"/>
              <w:right w:val="single" w:sz="4" w:space="0" w:color="auto"/>
            </w:tcBorders>
            <w:shd w:val="clear" w:color="auto" w:fill="auto"/>
            <w:noWrap/>
            <w:vAlign w:val="center"/>
            <w:hideMark/>
          </w:tcPr>
          <w:p w14:paraId="3B2E244C" w14:textId="77777777" w:rsidR="00E05A33" w:rsidRPr="00E05A33" w:rsidRDefault="00E05A33" w:rsidP="00E05A33">
            <w:pPr>
              <w:spacing w:after="0" w:line="240" w:lineRule="auto"/>
              <w:jc w:val="center"/>
              <w:rPr>
                <w:rFonts w:eastAsia="Times New Roman" w:cs="Calibri"/>
                <w:color w:val="000000"/>
                <w:sz w:val="18"/>
                <w:szCs w:val="18"/>
                <w:lang w:eastAsia="es-MX"/>
              </w:rPr>
            </w:pPr>
            <w:r w:rsidRPr="00E05A33">
              <w:rPr>
                <w:rFonts w:eastAsia="Times New Roman" w:cs="Calibri"/>
                <w:color w:val="000000"/>
                <w:sz w:val="18"/>
                <w:szCs w:val="18"/>
                <w:lang w:eastAsia="es-MX"/>
              </w:rPr>
              <w:t>2.4</w:t>
            </w:r>
          </w:p>
        </w:tc>
      </w:tr>
    </w:tbl>
    <w:p w14:paraId="245797C6" w14:textId="77777777" w:rsidR="00E05A33" w:rsidRDefault="00E05A33" w:rsidP="00E92EC1">
      <w:pPr>
        <w:pStyle w:val="NormalWeb"/>
        <w:spacing w:before="0" w:beforeAutospacing="0" w:after="0" w:afterAutospacing="0"/>
        <w:ind w:left="993"/>
        <w:rPr>
          <w:rFonts w:asciiTheme="minorHAnsi" w:hAnsiTheme="minorHAnsi" w:cstheme="minorHAnsi"/>
          <w:sz w:val="14"/>
          <w:szCs w:val="14"/>
        </w:rPr>
      </w:pPr>
    </w:p>
    <w:p w14:paraId="14EDE791" w14:textId="6D1045ED" w:rsidR="00E92EC1" w:rsidRPr="00676CED" w:rsidRDefault="00E92EC1" w:rsidP="00E05A33">
      <w:pPr>
        <w:pStyle w:val="NormalWeb"/>
        <w:spacing w:before="0" w:beforeAutospacing="0" w:after="0" w:afterAutospacing="0"/>
        <w:ind w:left="993" w:hanging="993"/>
        <w:rPr>
          <w:rFonts w:asciiTheme="minorHAnsi" w:hAnsiTheme="minorHAnsi" w:cstheme="minorHAnsi"/>
          <w:sz w:val="14"/>
          <w:szCs w:val="14"/>
        </w:rPr>
      </w:pPr>
      <w:r w:rsidRPr="00676CED">
        <w:rPr>
          <w:rFonts w:asciiTheme="minorHAnsi" w:hAnsiTheme="minorHAnsi" w:cstheme="minorHAnsi"/>
          <w:sz w:val="14"/>
          <w:szCs w:val="14"/>
        </w:rPr>
        <w:t>Nota: La serie desestacionalizada de los agregados se calcula de manera independiente a la de sus componentes.</w:t>
      </w:r>
    </w:p>
    <w:p w14:paraId="05D94F57" w14:textId="51BA140C" w:rsidR="00E92EC1" w:rsidRDefault="00E92EC1" w:rsidP="00E05A33">
      <w:pPr>
        <w:pStyle w:val="NormalWeb"/>
        <w:spacing w:before="0" w:beforeAutospacing="0" w:after="0" w:afterAutospacing="0"/>
        <w:ind w:left="993" w:hanging="993"/>
        <w:rPr>
          <w:rFonts w:asciiTheme="minorHAnsi" w:hAnsiTheme="minorHAnsi" w:cstheme="minorHAnsi"/>
          <w:sz w:val="14"/>
          <w:szCs w:val="14"/>
        </w:rPr>
      </w:pPr>
      <w:r w:rsidRPr="00676CED">
        <w:rPr>
          <w:rFonts w:asciiTheme="minorHAnsi" w:hAnsiTheme="minorHAnsi" w:cstheme="minorHAnsi"/>
          <w:sz w:val="14"/>
          <w:szCs w:val="14"/>
        </w:rPr>
        <w:t>Fuente: INEGI</w:t>
      </w:r>
    </w:p>
    <w:p w14:paraId="6A9FF1FD" w14:textId="17FC40A4" w:rsidR="00E05A33" w:rsidRDefault="00E05A33" w:rsidP="00E92EC1">
      <w:pPr>
        <w:pStyle w:val="NormalWeb"/>
        <w:spacing w:before="0" w:beforeAutospacing="0" w:after="0" w:afterAutospacing="0"/>
        <w:ind w:left="993"/>
        <w:rPr>
          <w:rFonts w:asciiTheme="minorHAnsi" w:hAnsiTheme="minorHAnsi" w:cstheme="minorHAnsi"/>
          <w:sz w:val="14"/>
          <w:szCs w:val="14"/>
        </w:rPr>
      </w:pPr>
    </w:p>
    <w:p w14:paraId="43489F41" w14:textId="77777777" w:rsidR="00E05A33" w:rsidRPr="00676CED" w:rsidRDefault="00E05A33" w:rsidP="00E05A33">
      <w:pPr>
        <w:pStyle w:val="NormalWeb"/>
        <w:spacing w:before="0" w:beforeAutospacing="0" w:after="0" w:afterAutospacing="0"/>
        <w:ind w:left="993"/>
        <w:rPr>
          <w:rFonts w:asciiTheme="minorHAnsi" w:hAnsiTheme="minorHAnsi" w:cstheme="minorHAnsi"/>
          <w:sz w:val="14"/>
          <w:szCs w:val="14"/>
        </w:rPr>
      </w:pPr>
    </w:p>
    <w:p w14:paraId="7CC56FC7" w14:textId="4D43C360" w:rsidR="00E92EC1" w:rsidRDefault="00E92EC1" w:rsidP="00E05A33">
      <w:pPr>
        <w:pStyle w:val="NormalWeb"/>
        <w:spacing w:before="0" w:beforeAutospacing="0" w:after="0" w:afterAutospacing="0"/>
        <w:jc w:val="center"/>
        <w:rPr>
          <w:rFonts w:asciiTheme="minorHAnsi" w:hAnsiTheme="minorHAnsi" w:cstheme="minorHAnsi"/>
        </w:rPr>
      </w:pPr>
    </w:p>
    <w:p w14:paraId="3D5E27D2" w14:textId="3A6C6E70" w:rsidR="00E92EC1" w:rsidRPr="00B34B21" w:rsidRDefault="00E92EC1" w:rsidP="00E05A33">
      <w:pPr>
        <w:pStyle w:val="NormalWeb"/>
        <w:spacing w:before="0" w:beforeAutospacing="0" w:after="0" w:afterAutospacing="0"/>
        <w:jc w:val="both"/>
        <w:rPr>
          <w:rFonts w:asciiTheme="minorHAnsi" w:hAnsiTheme="minorHAnsi" w:cstheme="minorHAnsi"/>
          <w:b/>
          <w:sz w:val="20"/>
          <w:szCs w:val="18"/>
        </w:rPr>
      </w:pPr>
      <w:r w:rsidRPr="00B34B21">
        <w:rPr>
          <w:rFonts w:asciiTheme="minorHAnsi" w:hAnsiTheme="minorHAnsi" w:cstheme="minorHAnsi"/>
          <w:b/>
          <w:sz w:val="20"/>
          <w:szCs w:val="18"/>
        </w:rPr>
        <w:t>2.2.2.- Tasa de Interés referencial a un día del Banxico.</w:t>
      </w:r>
    </w:p>
    <w:p w14:paraId="602A66F3" w14:textId="77777777" w:rsidR="00E92EC1" w:rsidRPr="00E850D6" w:rsidRDefault="00E92EC1" w:rsidP="00E05A33">
      <w:pPr>
        <w:spacing w:after="0" w:line="240" w:lineRule="auto"/>
        <w:jc w:val="both"/>
        <w:rPr>
          <w:rFonts w:asciiTheme="minorHAnsi" w:hAnsiTheme="minorHAnsi" w:cstheme="minorHAnsi"/>
          <w:sz w:val="18"/>
          <w:szCs w:val="18"/>
        </w:rPr>
      </w:pPr>
    </w:p>
    <w:p w14:paraId="34C6B926" w14:textId="74DE644D" w:rsidR="00E92EC1" w:rsidRPr="00E850D6" w:rsidRDefault="00E92EC1" w:rsidP="00E05A33">
      <w:pPr>
        <w:spacing w:after="0" w:line="240" w:lineRule="auto"/>
        <w:jc w:val="both"/>
        <w:rPr>
          <w:rFonts w:asciiTheme="minorHAnsi" w:hAnsiTheme="minorHAnsi" w:cstheme="minorHAnsi"/>
          <w:sz w:val="18"/>
          <w:szCs w:val="18"/>
        </w:rPr>
      </w:pPr>
      <w:r w:rsidRPr="00E850D6">
        <w:rPr>
          <w:rFonts w:asciiTheme="minorHAnsi" w:hAnsiTheme="minorHAnsi" w:cstheme="minorHAnsi"/>
          <w:sz w:val="18"/>
          <w:szCs w:val="18"/>
        </w:rPr>
        <w:t xml:space="preserve">La Junta de Gobierno del Banco de </w:t>
      </w:r>
      <w:r w:rsidR="00396A2F" w:rsidRPr="00E850D6">
        <w:rPr>
          <w:rFonts w:asciiTheme="minorHAnsi" w:hAnsiTheme="minorHAnsi" w:cstheme="minorHAnsi"/>
          <w:sz w:val="18"/>
          <w:szCs w:val="18"/>
        </w:rPr>
        <w:t>México</w:t>
      </w:r>
      <w:r w:rsidRPr="00E850D6">
        <w:rPr>
          <w:rFonts w:asciiTheme="minorHAnsi" w:hAnsiTheme="minorHAnsi" w:cstheme="minorHAnsi"/>
          <w:sz w:val="18"/>
          <w:szCs w:val="18"/>
        </w:rPr>
        <w:t xml:space="preserve"> </w:t>
      </w:r>
      <w:r w:rsidR="00396A2F" w:rsidRPr="00E850D6">
        <w:rPr>
          <w:rFonts w:asciiTheme="minorHAnsi" w:hAnsiTheme="minorHAnsi" w:cstheme="minorHAnsi"/>
          <w:sz w:val="18"/>
          <w:szCs w:val="18"/>
        </w:rPr>
        <w:t>decidió</w:t>
      </w:r>
      <w:r w:rsidRPr="00E850D6">
        <w:rPr>
          <w:rFonts w:asciiTheme="minorHAnsi" w:hAnsiTheme="minorHAnsi" w:cstheme="minorHAnsi"/>
          <w:sz w:val="18"/>
          <w:szCs w:val="18"/>
        </w:rPr>
        <w:t xml:space="preserve">́ incrementar en 50 puntos base el objetivo para la Tasa de </w:t>
      </w:r>
      <w:r w:rsidR="00396A2F" w:rsidRPr="00E850D6">
        <w:rPr>
          <w:rFonts w:asciiTheme="minorHAnsi" w:hAnsiTheme="minorHAnsi" w:cstheme="minorHAnsi"/>
          <w:sz w:val="18"/>
          <w:szCs w:val="18"/>
        </w:rPr>
        <w:t>Interés</w:t>
      </w:r>
      <w:r w:rsidRPr="00E850D6">
        <w:rPr>
          <w:rFonts w:asciiTheme="minorHAnsi" w:hAnsiTheme="minorHAnsi" w:cstheme="minorHAnsi"/>
          <w:sz w:val="18"/>
          <w:szCs w:val="18"/>
        </w:rPr>
        <w:t xml:space="preserve"> Interbancaria a un </w:t>
      </w:r>
      <w:r w:rsidR="00396A2F" w:rsidRPr="00E850D6">
        <w:rPr>
          <w:rFonts w:asciiTheme="minorHAnsi" w:hAnsiTheme="minorHAnsi" w:cstheme="minorHAnsi"/>
          <w:sz w:val="18"/>
          <w:szCs w:val="18"/>
        </w:rPr>
        <w:t>día</w:t>
      </w:r>
      <w:r w:rsidRPr="00E850D6">
        <w:rPr>
          <w:rFonts w:asciiTheme="minorHAnsi" w:hAnsiTheme="minorHAnsi" w:cstheme="minorHAnsi"/>
          <w:sz w:val="18"/>
          <w:szCs w:val="18"/>
        </w:rPr>
        <w:t xml:space="preserve"> a un nivel de 10.50%, con efectos a partir del 16 de diciembre de 2022.</w:t>
      </w:r>
    </w:p>
    <w:p w14:paraId="05390EE6" w14:textId="77777777" w:rsidR="00FE4136" w:rsidRDefault="00FE4136" w:rsidP="00E05A33">
      <w:pPr>
        <w:spacing w:after="0" w:line="240" w:lineRule="auto"/>
        <w:jc w:val="both"/>
        <w:rPr>
          <w:rFonts w:asciiTheme="minorHAnsi" w:hAnsiTheme="minorHAnsi" w:cstheme="minorHAnsi"/>
          <w:sz w:val="18"/>
          <w:szCs w:val="18"/>
        </w:rPr>
      </w:pPr>
    </w:p>
    <w:p w14:paraId="5E03B86A" w14:textId="066253E4" w:rsidR="00E92EC1" w:rsidRDefault="00E92EC1" w:rsidP="00E05A33">
      <w:pPr>
        <w:spacing w:after="0" w:line="240" w:lineRule="auto"/>
        <w:jc w:val="both"/>
        <w:rPr>
          <w:rFonts w:asciiTheme="minorHAnsi" w:hAnsiTheme="minorHAnsi" w:cstheme="minorHAnsi"/>
          <w:sz w:val="18"/>
          <w:szCs w:val="18"/>
        </w:rPr>
      </w:pPr>
      <w:r w:rsidRPr="00E850D6">
        <w:rPr>
          <w:rFonts w:asciiTheme="minorHAnsi" w:hAnsiTheme="minorHAnsi" w:cstheme="minorHAnsi"/>
          <w:sz w:val="18"/>
          <w:szCs w:val="18"/>
        </w:rPr>
        <w:t xml:space="preserve">La actividad </w:t>
      </w:r>
      <w:r w:rsidR="00396A2F" w:rsidRPr="00E850D6">
        <w:rPr>
          <w:rFonts w:asciiTheme="minorHAnsi" w:hAnsiTheme="minorHAnsi" w:cstheme="minorHAnsi"/>
          <w:sz w:val="18"/>
          <w:szCs w:val="18"/>
        </w:rPr>
        <w:t>económica</w:t>
      </w:r>
      <w:r w:rsidRPr="00E850D6">
        <w:rPr>
          <w:rFonts w:asciiTheme="minorHAnsi" w:hAnsiTheme="minorHAnsi" w:cstheme="minorHAnsi"/>
          <w:sz w:val="18"/>
          <w:szCs w:val="18"/>
        </w:rPr>
        <w:t xml:space="preserve"> mundial se </w:t>
      </w:r>
      <w:r w:rsidR="00396A2F" w:rsidRPr="00E850D6">
        <w:rPr>
          <w:rFonts w:asciiTheme="minorHAnsi" w:hAnsiTheme="minorHAnsi" w:cstheme="minorHAnsi"/>
          <w:sz w:val="18"/>
          <w:szCs w:val="18"/>
        </w:rPr>
        <w:t>recuperó</w:t>
      </w:r>
      <w:r w:rsidRPr="00E850D6">
        <w:rPr>
          <w:rFonts w:asciiTheme="minorHAnsi" w:hAnsiTheme="minorHAnsi" w:cstheme="minorHAnsi"/>
          <w:sz w:val="18"/>
          <w:szCs w:val="18"/>
        </w:rPr>
        <w:t xml:space="preserve">́ moderadamente en el tercer trimestre, aunque las perspectivas para 2023 siguieron </w:t>
      </w:r>
      <w:r w:rsidR="00396A2F" w:rsidRPr="00E850D6">
        <w:rPr>
          <w:rFonts w:asciiTheme="minorHAnsi" w:hAnsiTheme="minorHAnsi" w:cstheme="minorHAnsi"/>
          <w:sz w:val="18"/>
          <w:szCs w:val="18"/>
        </w:rPr>
        <w:t>deteriorándose</w:t>
      </w:r>
      <w:r w:rsidRPr="00E850D6">
        <w:rPr>
          <w:rFonts w:asciiTheme="minorHAnsi" w:hAnsiTheme="minorHAnsi" w:cstheme="minorHAnsi"/>
          <w:sz w:val="18"/>
          <w:szCs w:val="18"/>
        </w:rPr>
        <w:t xml:space="preserve">. La </w:t>
      </w:r>
      <w:r w:rsidR="00396A2F" w:rsidRPr="00E850D6">
        <w:rPr>
          <w:rFonts w:asciiTheme="minorHAnsi" w:hAnsiTheme="minorHAnsi" w:cstheme="minorHAnsi"/>
          <w:sz w:val="18"/>
          <w:szCs w:val="18"/>
        </w:rPr>
        <w:t>inflación</w:t>
      </w:r>
      <w:r w:rsidRPr="00E850D6">
        <w:rPr>
          <w:rFonts w:asciiTheme="minorHAnsi" w:hAnsiTheme="minorHAnsi" w:cstheme="minorHAnsi"/>
          <w:sz w:val="18"/>
          <w:szCs w:val="18"/>
        </w:rPr>
        <w:t xml:space="preserve"> global se mantiene elevada, si bien la general disminuyó en diversas </w:t>
      </w:r>
      <w:r w:rsidR="00396A2F" w:rsidRPr="00E850D6">
        <w:rPr>
          <w:rFonts w:asciiTheme="minorHAnsi" w:hAnsiTheme="minorHAnsi" w:cstheme="minorHAnsi"/>
          <w:sz w:val="18"/>
          <w:szCs w:val="18"/>
        </w:rPr>
        <w:t>economías</w:t>
      </w:r>
      <w:r w:rsidRPr="00E850D6">
        <w:rPr>
          <w:rFonts w:asciiTheme="minorHAnsi" w:hAnsiTheme="minorHAnsi" w:cstheme="minorHAnsi"/>
          <w:sz w:val="18"/>
          <w:szCs w:val="18"/>
        </w:rPr>
        <w:t xml:space="preserve"> ante menores presiones en los precios de alimentos y </w:t>
      </w:r>
      <w:r w:rsidR="00291DC2" w:rsidRPr="00E850D6">
        <w:rPr>
          <w:rFonts w:asciiTheme="minorHAnsi" w:hAnsiTheme="minorHAnsi" w:cstheme="minorHAnsi"/>
          <w:sz w:val="18"/>
          <w:szCs w:val="18"/>
        </w:rPr>
        <w:t>energéticos</w:t>
      </w:r>
      <w:r w:rsidRPr="00E850D6">
        <w:rPr>
          <w:rFonts w:asciiTheme="minorHAnsi" w:hAnsiTheme="minorHAnsi" w:cstheme="minorHAnsi"/>
          <w:sz w:val="18"/>
          <w:szCs w:val="18"/>
        </w:rPr>
        <w:t xml:space="preserve">. Un amplio </w:t>
      </w:r>
      <w:r w:rsidR="00291DC2" w:rsidRPr="00E850D6">
        <w:rPr>
          <w:rFonts w:asciiTheme="minorHAnsi" w:hAnsiTheme="minorHAnsi" w:cstheme="minorHAnsi"/>
          <w:sz w:val="18"/>
          <w:szCs w:val="18"/>
        </w:rPr>
        <w:t>número</w:t>
      </w:r>
      <w:r w:rsidRPr="00E850D6">
        <w:rPr>
          <w:rFonts w:asciiTheme="minorHAnsi" w:hAnsiTheme="minorHAnsi" w:cstheme="minorHAnsi"/>
          <w:sz w:val="18"/>
          <w:szCs w:val="18"/>
        </w:rPr>
        <w:t xml:space="preserve"> de bancos centrales continuó incrementando sus tasas de referencia. Algunos mencionaron que </w:t>
      </w:r>
      <w:r w:rsidR="00291DC2" w:rsidRPr="00E850D6">
        <w:rPr>
          <w:rFonts w:asciiTheme="minorHAnsi" w:hAnsiTheme="minorHAnsi" w:cstheme="minorHAnsi"/>
          <w:sz w:val="18"/>
          <w:szCs w:val="18"/>
        </w:rPr>
        <w:t>comenzarían</w:t>
      </w:r>
      <w:r w:rsidRPr="00E850D6">
        <w:rPr>
          <w:rFonts w:asciiTheme="minorHAnsi" w:hAnsiTheme="minorHAnsi" w:cstheme="minorHAnsi"/>
          <w:sz w:val="18"/>
          <w:szCs w:val="18"/>
        </w:rPr>
        <w:t xml:space="preserve"> a moderar la magnitud de sus aumentos. No obstante, se anticipa que dichas tasas permanezcan en niveles altos por un periodo prolongado. En su </w:t>
      </w:r>
      <w:r w:rsidR="00291DC2" w:rsidRPr="00E850D6">
        <w:rPr>
          <w:rFonts w:asciiTheme="minorHAnsi" w:hAnsiTheme="minorHAnsi" w:cstheme="minorHAnsi"/>
          <w:sz w:val="18"/>
          <w:szCs w:val="18"/>
        </w:rPr>
        <w:t>decisión</w:t>
      </w:r>
      <w:r w:rsidRPr="00E850D6">
        <w:rPr>
          <w:rFonts w:asciiTheme="minorHAnsi" w:hAnsiTheme="minorHAnsi" w:cstheme="minorHAnsi"/>
          <w:sz w:val="18"/>
          <w:szCs w:val="18"/>
        </w:rPr>
        <w:t xml:space="preserve"> </w:t>
      </w:r>
      <w:r w:rsidR="00291DC2" w:rsidRPr="00E850D6">
        <w:rPr>
          <w:rFonts w:asciiTheme="minorHAnsi" w:hAnsiTheme="minorHAnsi" w:cstheme="minorHAnsi"/>
          <w:sz w:val="18"/>
          <w:szCs w:val="18"/>
        </w:rPr>
        <w:t>más</w:t>
      </w:r>
      <w:r w:rsidRPr="00E850D6">
        <w:rPr>
          <w:rFonts w:asciiTheme="minorHAnsi" w:hAnsiTheme="minorHAnsi" w:cstheme="minorHAnsi"/>
          <w:sz w:val="18"/>
          <w:szCs w:val="18"/>
        </w:rPr>
        <w:t xml:space="preserve"> reciente, la Reserva Federal de Estados Unidos aumentó el rango objetivo para la tasa de fondos federales en 50 puntos base, </w:t>
      </w:r>
      <w:r w:rsidR="00291DC2" w:rsidRPr="00E850D6">
        <w:rPr>
          <w:rFonts w:asciiTheme="minorHAnsi" w:hAnsiTheme="minorHAnsi" w:cstheme="minorHAnsi"/>
          <w:sz w:val="18"/>
          <w:szCs w:val="18"/>
        </w:rPr>
        <w:t>después</w:t>
      </w:r>
      <w:r w:rsidRPr="00E850D6">
        <w:rPr>
          <w:rFonts w:asciiTheme="minorHAnsi" w:hAnsiTheme="minorHAnsi" w:cstheme="minorHAnsi"/>
          <w:sz w:val="18"/>
          <w:szCs w:val="18"/>
        </w:rPr>
        <w:t xml:space="preserve"> de cuatro incrementos consecutivos de 75 puntos base. Asimismo, anticipó incrementos adicionales. Entre los riesgos globales destacan los asociados a la pandemia, la </w:t>
      </w:r>
      <w:r w:rsidR="00291DC2" w:rsidRPr="00E850D6">
        <w:rPr>
          <w:rFonts w:asciiTheme="minorHAnsi" w:hAnsiTheme="minorHAnsi" w:cstheme="minorHAnsi"/>
          <w:sz w:val="18"/>
          <w:szCs w:val="18"/>
        </w:rPr>
        <w:t>prolongación</w:t>
      </w:r>
      <w:r w:rsidRPr="00E850D6">
        <w:rPr>
          <w:rFonts w:asciiTheme="minorHAnsi" w:hAnsiTheme="minorHAnsi" w:cstheme="minorHAnsi"/>
          <w:sz w:val="18"/>
          <w:szCs w:val="18"/>
        </w:rPr>
        <w:t xml:space="preserve"> de las presiones inflacionarias, el agravamiento de las tensiones </w:t>
      </w:r>
      <w:r w:rsidR="00291DC2" w:rsidRPr="00E850D6">
        <w:rPr>
          <w:rFonts w:asciiTheme="minorHAnsi" w:hAnsiTheme="minorHAnsi" w:cstheme="minorHAnsi"/>
          <w:sz w:val="18"/>
          <w:szCs w:val="18"/>
        </w:rPr>
        <w:t>geopolíticas</w:t>
      </w:r>
      <w:r w:rsidRPr="00E850D6">
        <w:rPr>
          <w:rFonts w:asciiTheme="minorHAnsi" w:hAnsiTheme="minorHAnsi" w:cstheme="minorHAnsi"/>
          <w:sz w:val="18"/>
          <w:szCs w:val="18"/>
        </w:rPr>
        <w:t xml:space="preserve"> y condiciones monetarias y financieras más apretadas.</w:t>
      </w:r>
    </w:p>
    <w:p w14:paraId="583D1329" w14:textId="77777777" w:rsidR="00E05A33" w:rsidRPr="00E850D6" w:rsidRDefault="00E05A33" w:rsidP="00E05A33">
      <w:pPr>
        <w:spacing w:after="0" w:line="240" w:lineRule="auto"/>
        <w:jc w:val="both"/>
        <w:rPr>
          <w:rFonts w:asciiTheme="minorHAnsi" w:hAnsiTheme="minorHAnsi" w:cstheme="minorHAnsi"/>
          <w:sz w:val="18"/>
          <w:szCs w:val="18"/>
        </w:rPr>
      </w:pPr>
    </w:p>
    <w:p w14:paraId="13CAE2C0" w14:textId="625A1E29"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El peso mexicano siguió mostrando resiliencia, si bien con cierta volatilidad. Por su parte, las tasas de </w:t>
      </w:r>
      <w:r w:rsidR="00291DC2" w:rsidRPr="00E850D6">
        <w:rPr>
          <w:rFonts w:asciiTheme="minorHAnsi" w:hAnsiTheme="minorHAnsi" w:cstheme="minorHAnsi"/>
          <w:sz w:val="18"/>
          <w:szCs w:val="18"/>
        </w:rPr>
        <w:t>interés</w:t>
      </w:r>
      <w:r w:rsidRPr="00E850D6">
        <w:rPr>
          <w:rFonts w:asciiTheme="minorHAnsi" w:hAnsiTheme="minorHAnsi" w:cstheme="minorHAnsi"/>
          <w:sz w:val="18"/>
          <w:szCs w:val="18"/>
        </w:rPr>
        <w:t xml:space="preserve"> de corto plazo aumentaron y las de mediano y largo plazos disminuyeron significativamente. Se espera que en el cuarto trimestre la </w:t>
      </w:r>
      <w:r w:rsidR="00291DC2" w:rsidRPr="00E850D6">
        <w:rPr>
          <w:rFonts w:asciiTheme="minorHAnsi" w:hAnsiTheme="minorHAnsi" w:cstheme="minorHAnsi"/>
          <w:sz w:val="18"/>
          <w:szCs w:val="18"/>
        </w:rPr>
        <w:t>economía</w:t>
      </w:r>
      <w:r w:rsidRPr="00E850D6">
        <w:rPr>
          <w:rFonts w:asciiTheme="minorHAnsi" w:hAnsiTheme="minorHAnsi" w:cstheme="minorHAnsi"/>
          <w:sz w:val="18"/>
          <w:szCs w:val="18"/>
        </w:rPr>
        <w:t xml:space="preserve"> mexicana haya continuado </w:t>
      </w:r>
      <w:r w:rsidR="00291DC2" w:rsidRPr="00E850D6">
        <w:rPr>
          <w:rFonts w:asciiTheme="minorHAnsi" w:hAnsiTheme="minorHAnsi" w:cstheme="minorHAnsi"/>
          <w:sz w:val="18"/>
          <w:szCs w:val="18"/>
        </w:rPr>
        <w:t>recuperándose</w:t>
      </w:r>
      <w:r w:rsidRPr="00E850D6">
        <w:rPr>
          <w:rFonts w:asciiTheme="minorHAnsi" w:hAnsiTheme="minorHAnsi" w:cstheme="minorHAnsi"/>
          <w:sz w:val="18"/>
          <w:szCs w:val="18"/>
        </w:rPr>
        <w:t>, si bien a un ritmo menor. Así, se prevé que las condiciones de holgura sigan reduciéndose.</w:t>
      </w:r>
    </w:p>
    <w:p w14:paraId="16669A06" w14:textId="7850EC34"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La </w:t>
      </w:r>
      <w:r w:rsidR="00291DC2" w:rsidRPr="00E850D6">
        <w:rPr>
          <w:rFonts w:asciiTheme="minorHAnsi" w:hAnsiTheme="minorHAnsi" w:cstheme="minorHAnsi"/>
          <w:sz w:val="18"/>
          <w:szCs w:val="18"/>
        </w:rPr>
        <w:t>inflación</w:t>
      </w:r>
      <w:r w:rsidRPr="00E850D6">
        <w:rPr>
          <w:rFonts w:asciiTheme="minorHAnsi" w:hAnsiTheme="minorHAnsi" w:cstheme="minorHAnsi"/>
          <w:sz w:val="18"/>
          <w:szCs w:val="18"/>
        </w:rPr>
        <w:t xml:space="preserve"> general continuó disminuyendo en noviembre para ubicarse en 7.80%, reflejando la </w:t>
      </w:r>
      <w:r w:rsidR="00291DC2" w:rsidRPr="00E850D6">
        <w:rPr>
          <w:rFonts w:asciiTheme="minorHAnsi" w:hAnsiTheme="minorHAnsi" w:cstheme="minorHAnsi"/>
          <w:sz w:val="18"/>
          <w:szCs w:val="18"/>
        </w:rPr>
        <w:t>reducción</w:t>
      </w:r>
      <w:r w:rsidRPr="00E850D6">
        <w:rPr>
          <w:rFonts w:asciiTheme="minorHAnsi" w:hAnsiTheme="minorHAnsi" w:cstheme="minorHAnsi"/>
          <w:sz w:val="18"/>
          <w:szCs w:val="18"/>
        </w:rPr>
        <w:t xml:space="preserve"> del componente no subyacente. En cambio, la </w:t>
      </w:r>
      <w:r w:rsidR="00291DC2" w:rsidRPr="00E850D6">
        <w:rPr>
          <w:rFonts w:asciiTheme="minorHAnsi" w:hAnsiTheme="minorHAnsi" w:cstheme="minorHAnsi"/>
          <w:sz w:val="18"/>
          <w:szCs w:val="18"/>
        </w:rPr>
        <w:t>inflación</w:t>
      </w:r>
      <w:r w:rsidRPr="00E850D6">
        <w:rPr>
          <w:rFonts w:asciiTheme="minorHAnsi" w:hAnsiTheme="minorHAnsi" w:cstheme="minorHAnsi"/>
          <w:sz w:val="18"/>
          <w:szCs w:val="18"/>
        </w:rPr>
        <w:t xml:space="preserve"> subyacente mantuvo su tendencia al alza, para ubicarse en 8.51%. La </w:t>
      </w:r>
      <w:r w:rsidR="00291DC2" w:rsidRPr="00E850D6">
        <w:rPr>
          <w:rFonts w:asciiTheme="minorHAnsi" w:hAnsiTheme="minorHAnsi" w:cstheme="minorHAnsi"/>
          <w:sz w:val="18"/>
          <w:szCs w:val="18"/>
        </w:rPr>
        <w:t>inflación</w:t>
      </w:r>
      <w:r w:rsidRPr="00E850D6">
        <w:rPr>
          <w:rFonts w:asciiTheme="minorHAnsi" w:hAnsiTheme="minorHAnsi" w:cstheme="minorHAnsi"/>
          <w:sz w:val="18"/>
          <w:szCs w:val="18"/>
        </w:rPr>
        <w:t xml:space="preserve"> general como la subyacente fueron menores que las expectativas de los analistas. Las expectativas de </w:t>
      </w:r>
      <w:r w:rsidR="00291DC2" w:rsidRPr="00E850D6">
        <w:rPr>
          <w:rFonts w:asciiTheme="minorHAnsi" w:hAnsiTheme="minorHAnsi" w:cstheme="minorHAnsi"/>
          <w:sz w:val="18"/>
          <w:szCs w:val="18"/>
        </w:rPr>
        <w:t>inflación</w:t>
      </w:r>
      <w:r w:rsidRPr="00E850D6">
        <w:rPr>
          <w:rFonts w:asciiTheme="minorHAnsi" w:hAnsiTheme="minorHAnsi" w:cstheme="minorHAnsi"/>
          <w:sz w:val="18"/>
          <w:szCs w:val="18"/>
        </w:rPr>
        <w:t xml:space="preserve"> para 2022 y 2023 disminuyeron para la general, mientras que para la subyacente volvieron a ajustarse moderadamente al alza. Las de mediano y largo plazos se mantuvieron estables, si bien por arriba de la meta.</w:t>
      </w:r>
    </w:p>
    <w:p w14:paraId="3210068E" w14:textId="34A6F494"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Los </w:t>
      </w:r>
      <w:r w:rsidR="00094E52" w:rsidRPr="00E850D6">
        <w:rPr>
          <w:rFonts w:asciiTheme="minorHAnsi" w:hAnsiTheme="minorHAnsi" w:cstheme="minorHAnsi"/>
          <w:sz w:val="18"/>
          <w:szCs w:val="18"/>
        </w:rPr>
        <w:t>pronósticos</w:t>
      </w:r>
      <w:r w:rsidRPr="00E850D6">
        <w:rPr>
          <w:rFonts w:asciiTheme="minorHAnsi" w:hAnsiTheme="minorHAnsi" w:cstheme="minorHAnsi"/>
          <w:sz w:val="18"/>
          <w:szCs w:val="18"/>
        </w:rPr>
        <w:t xml:space="preserve"> para la </w:t>
      </w:r>
      <w:r w:rsidR="00094E52" w:rsidRPr="00E850D6">
        <w:rPr>
          <w:rFonts w:asciiTheme="minorHAnsi" w:hAnsiTheme="minorHAnsi" w:cstheme="minorHAnsi"/>
          <w:sz w:val="18"/>
          <w:szCs w:val="18"/>
        </w:rPr>
        <w:t>inflación</w:t>
      </w:r>
      <w:r w:rsidRPr="00E850D6">
        <w:rPr>
          <w:rFonts w:asciiTheme="minorHAnsi" w:hAnsiTheme="minorHAnsi" w:cstheme="minorHAnsi"/>
          <w:sz w:val="18"/>
          <w:szCs w:val="18"/>
        </w:rPr>
        <w:t xml:space="preserve"> general se ajustaron a la baja para los dos primeros trimestres y posteriormente se revisaron marginalmente al alza hasta el cuarto trimestre de 2023, ante cierto incremento en la trayectoria prevista de la </w:t>
      </w:r>
      <w:r w:rsidR="00C254F8" w:rsidRPr="00E850D6">
        <w:rPr>
          <w:rFonts w:asciiTheme="minorHAnsi" w:hAnsiTheme="minorHAnsi" w:cstheme="minorHAnsi"/>
          <w:sz w:val="18"/>
          <w:szCs w:val="18"/>
        </w:rPr>
        <w:t>inflación</w:t>
      </w:r>
      <w:r w:rsidRPr="00E850D6">
        <w:rPr>
          <w:rFonts w:asciiTheme="minorHAnsi" w:hAnsiTheme="minorHAnsi" w:cstheme="minorHAnsi"/>
          <w:sz w:val="18"/>
          <w:szCs w:val="18"/>
        </w:rPr>
        <w:t xml:space="preserve"> subyacente. Se sigue anticipando que la </w:t>
      </w:r>
      <w:r w:rsidR="00291DC2" w:rsidRPr="00E850D6">
        <w:rPr>
          <w:rFonts w:asciiTheme="minorHAnsi" w:hAnsiTheme="minorHAnsi" w:cstheme="minorHAnsi"/>
          <w:sz w:val="18"/>
          <w:szCs w:val="18"/>
        </w:rPr>
        <w:t>inflación</w:t>
      </w:r>
      <w:r w:rsidRPr="00E850D6">
        <w:rPr>
          <w:rFonts w:asciiTheme="minorHAnsi" w:hAnsiTheme="minorHAnsi" w:cstheme="minorHAnsi"/>
          <w:sz w:val="18"/>
          <w:szCs w:val="18"/>
        </w:rPr>
        <w:t xml:space="preserve"> converja a la meta de 3% en el tercer trimestre de 2024 (ver cuadro). Estas previsiones </w:t>
      </w:r>
      <w:r w:rsidR="00291DC2" w:rsidRPr="00E850D6">
        <w:rPr>
          <w:rFonts w:asciiTheme="minorHAnsi" w:hAnsiTheme="minorHAnsi" w:cstheme="minorHAnsi"/>
          <w:sz w:val="18"/>
          <w:szCs w:val="18"/>
        </w:rPr>
        <w:t>están</w:t>
      </w:r>
      <w:r w:rsidRPr="00E850D6">
        <w:rPr>
          <w:rFonts w:asciiTheme="minorHAnsi" w:hAnsiTheme="minorHAnsi" w:cstheme="minorHAnsi"/>
          <w:sz w:val="18"/>
          <w:szCs w:val="18"/>
        </w:rPr>
        <w:t xml:space="preserve"> sujetas a riesgos. Al alza: i) persistencia de la </w:t>
      </w:r>
      <w:r w:rsidR="00094E52" w:rsidRPr="00E850D6">
        <w:rPr>
          <w:rFonts w:asciiTheme="minorHAnsi" w:hAnsiTheme="minorHAnsi" w:cstheme="minorHAnsi"/>
          <w:sz w:val="18"/>
          <w:szCs w:val="18"/>
        </w:rPr>
        <w:t>inflación</w:t>
      </w:r>
      <w:r w:rsidRPr="00E850D6">
        <w:rPr>
          <w:rFonts w:asciiTheme="minorHAnsi" w:hAnsiTheme="minorHAnsi" w:cstheme="minorHAnsi"/>
          <w:sz w:val="18"/>
          <w:szCs w:val="18"/>
        </w:rPr>
        <w:t xml:space="preserve"> subyacente en niveles elevados; ii) presiones inflacionarias externas derivadas de la pandemia; iii) presiones en los precios agropecuarios y </w:t>
      </w:r>
      <w:r w:rsidR="00291DC2" w:rsidRPr="00E850D6">
        <w:rPr>
          <w:rFonts w:asciiTheme="minorHAnsi" w:hAnsiTheme="minorHAnsi" w:cstheme="minorHAnsi"/>
          <w:sz w:val="18"/>
          <w:szCs w:val="18"/>
        </w:rPr>
        <w:t>energéticos</w:t>
      </w:r>
      <w:r w:rsidRPr="00E850D6">
        <w:rPr>
          <w:rFonts w:asciiTheme="minorHAnsi" w:hAnsiTheme="minorHAnsi" w:cstheme="minorHAnsi"/>
          <w:sz w:val="18"/>
          <w:szCs w:val="18"/>
        </w:rPr>
        <w:t xml:space="preserve"> por el conflicto </w:t>
      </w:r>
      <w:r w:rsidR="00C254F8" w:rsidRPr="00E850D6">
        <w:rPr>
          <w:rFonts w:asciiTheme="minorHAnsi" w:hAnsiTheme="minorHAnsi" w:cstheme="minorHAnsi"/>
          <w:sz w:val="18"/>
          <w:szCs w:val="18"/>
        </w:rPr>
        <w:t>geopolítico</w:t>
      </w:r>
      <w:r w:rsidRPr="00E850D6">
        <w:rPr>
          <w:rFonts w:asciiTheme="minorHAnsi" w:hAnsiTheme="minorHAnsi" w:cstheme="minorHAnsi"/>
          <w:sz w:val="18"/>
          <w:szCs w:val="18"/>
        </w:rPr>
        <w:t xml:space="preserve">; iv) </w:t>
      </w:r>
      <w:r w:rsidR="00094E52" w:rsidRPr="00E850D6">
        <w:rPr>
          <w:rFonts w:asciiTheme="minorHAnsi" w:hAnsiTheme="minorHAnsi" w:cstheme="minorHAnsi"/>
          <w:sz w:val="18"/>
          <w:szCs w:val="18"/>
        </w:rPr>
        <w:t>depreciación</w:t>
      </w:r>
      <w:r w:rsidRPr="00E850D6">
        <w:rPr>
          <w:rFonts w:asciiTheme="minorHAnsi" w:hAnsiTheme="minorHAnsi" w:cstheme="minorHAnsi"/>
          <w:sz w:val="18"/>
          <w:szCs w:val="18"/>
        </w:rPr>
        <w:t xml:space="preserve"> cambiaria; y v) mayores presiones de costos. A la baja: i) una </w:t>
      </w:r>
      <w:r w:rsidR="00291DC2" w:rsidRPr="00E850D6">
        <w:rPr>
          <w:rFonts w:asciiTheme="minorHAnsi" w:hAnsiTheme="minorHAnsi" w:cstheme="minorHAnsi"/>
          <w:sz w:val="18"/>
          <w:szCs w:val="18"/>
        </w:rPr>
        <w:t>desaceleración</w:t>
      </w:r>
      <w:r w:rsidRPr="00E850D6">
        <w:rPr>
          <w:rFonts w:asciiTheme="minorHAnsi" w:hAnsiTheme="minorHAnsi" w:cstheme="minorHAnsi"/>
          <w:sz w:val="18"/>
          <w:szCs w:val="18"/>
        </w:rPr>
        <w:t xml:space="preserve"> de la </w:t>
      </w:r>
      <w:r w:rsidR="00C254F8" w:rsidRPr="00E850D6">
        <w:rPr>
          <w:rFonts w:asciiTheme="minorHAnsi" w:hAnsiTheme="minorHAnsi" w:cstheme="minorHAnsi"/>
          <w:sz w:val="18"/>
          <w:szCs w:val="18"/>
        </w:rPr>
        <w:t>economía</w:t>
      </w:r>
      <w:r w:rsidRPr="00E850D6">
        <w:rPr>
          <w:rFonts w:asciiTheme="minorHAnsi" w:hAnsiTheme="minorHAnsi" w:cstheme="minorHAnsi"/>
          <w:sz w:val="18"/>
          <w:szCs w:val="18"/>
        </w:rPr>
        <w:t xml:space="preserve"> global mayor a la anticipada; ii) una </w:t>
      </w:r>
      <w:r w:rsidR="00094E52" w:rsidRPr="00E850D6">
        <w:rPr>
          <w:rFonts w:asciiTheme="minorHAnsi" w:hAnsiTheme="minorHAnsi" w:cstheme="minorHAnsi"/>
          <w:sz w:val="18"/>
          <w:szCs w:val="18"/>
        </w:rPr>
        <w:t>disminución</w:t>
      </w:r>
      <w:r w:rsidRPr="00E850D6">
        <w:rPr>
          <w:rFonts w:asciiTheme="minorHAnsi" w:hAnsiTheme="minorHAnsi" w:cstheme="minorHAnsi"/>
          <w:sz w:val="18"/>
          <w:szCs w:val="18"/>
        </w:rPr>
        <w:t xml:space="preserve"> en la intensidad del conflicto </w:t>
      </w:r>
      <w:r w:rsidR="00094E52" w:rsidRPr="00E850D6">
        <w:rPr>
          <w:rFonts w:asciiTheme="minorHAnsi" w:hAnsiTheme="minorHAnsi" w:cstheme="minorHAnsi"/>
          <w:sz w:val="18"/>
          <w:szCs w:val="18"/>
        </w:rPr>
        <w:t>geopolítico</w:t>
      </w:r>
      <w:r w:rsidRPr="00E850D6">
        <w:rPr>
          <w:rFonts w:asciiTheme="minorHAnsi" w:hAnsiTheme="minorHAnsi" w:cstheme="minorHAnsi"/>
          <w:sz w:val="18"/>
          <w:szCs w:val="18"/>
        </w:rPr>
        <w:t xml:space="preserve">; iii) un mejor funcionamiento de las cadenas de suministro; iv) un menor traspaso de algunas presiones de costos; y v) un efecto mayor al previsto de las medidas del Gobierno Federal ante la </w:t>
      </w:r>
      <w:r w:rsidR="00C254F8" w:rsidRPr="00E850D6">
        <w:rPr>
          <w:rFonts w:asciiTheme="minorHAnsi" w:hAnsiTheme="minorHAnsi" w:cstheme="minorHAnsi"/>
          <w:sz w:val="18"/>
          <w:szCs w:val="18"/>
        </w:rPr>
        <w:t>carestía</w:t>
      </w:r>
      <w:r w:rsidRPr="00E850D6">
        <w:rPr>
          <w:rFonts w:asciiTheme="minorHAnsi" w:hAnsiTheme="minorHAnsi" w:cstheme="minorHAnsi"/>
          <w:sz w:val="18"/>
          <w:szCs w:val="18"/>
        </w:rPr>
        <w:t xml:space="preserve">. Si bien algunos choques han dado </w:t>
      </w:r>
      <w:r w:rsidR="00C254F8" w:rsidRPr="00E850D6">
        <w:rPr>
          <w:rFonts w:asciiTheme="minorHAnsi" w:hAnsiTheme="minorHAnsi" w:cstheme="minorHAnsi"/>
          <w:sz w:val="18"/>
          <w:szCs w:val="18"/>
        </w:rPr>
        <w:t>señales</w:t>
      </w:r>
      <w:r w:rsidRPr="00E850D6">
        <w:rPr>
          <w:rFonts w:asciiTheme="minorHAnsi" w:hAnsiTheme="minorHAnsi" w:cstheme="minorHAnsi"/>
          <w:sz w:val="18"/>
          <w:szCs w:val="18"/>
        </w:rPr>
        <w:t xml:space="preserve"> de </w:t>
      </w:r>
      <w:r w:rsidR="00C254F8" w:rsidRPr="00E850D6">
        <w:rPr>
          <w:rFonts w:asciiTheme="minorHAnsi" w:hAnsiTheme="minorHAnsi" w:cstheme="minorHAnsi"/>
          <w:sz w:val="18"/>
          <w:szCs w:val="18"/>
        </w:rPr>
        <w:t>mitigación</w:t>
      </w:r>
      <w:r w:rsidRPr="00E850D6">
        <w:rPr>
          <w:rFonts w:asciiTheme="minorHAnsi" w:hAnsiTheme="minorHAnsi" w:cstheme="minorHAnsi"/>
          <w:sz w:val="18"/>
          <w:szCs w:val="18"/>
        </w:rPr>
        <w:t xml:space="preserve">, el balance de riesgos en la trayectoria prevista para la </w:t>
      </w:r>
      <w:r w:rsidR="00C254F8" w:rsidRPr="00E850D6">
        <w:rPr>
          <w:rFonts w:asciiTheme="minorHAnsi" w:hAnsiTheme="minorHAnsi" w:cstheme="minorHAnsi"/>
          <w:sz w:val="18"/>
          <w:szCs w:val="18"/>
        </w:rPr>
        <w:t>inflación</w:t>
      </w:r>
      <w:r w:rsidRPr="00E850D6">
        <w:rPr>
          <w:rFonts w:asciiTheme="minorHAnsi" w:hAnsiTheme="minorHAnsi" w:cstheme="minorHAnsi"/>
          <w:sz w:val="18"/>
          <w:szCs w:val="18"/>
        </w:rPr>
        <w:t xml:space="preserve"> en el horizonte de </w:t>
      </w:r>
      <w:r w:rsidR="00C254F8" w:rsidRPr="00E850D6">
        <w:rPr>
          <w:rFonts w:asciiTheme="minorHAnsi" w:hAnsiTheme="minorHAnsi" w:cstheme="minorHAnsi"/>
          <w:sz w:val="18"/>
          <w:szCs w:val="18"/>
        </w:rPr>
        <w:t>pronóstico</w:t>
      </w:r>
      <w:r w:rsidRPr="00E850D6">
        <w:rPr>
          <w:rFonts w:asciiTheme="minorHAnsi" w:hAnsiTheme="minorHAnsi" w:cstheme="minorHAnsi"/>
          <w:sz w:val="18"/>
          <w:szCs w:val="18"/>
        </w:rPr>
        <w:t xml:space="preserve"> sigue sesgado al alza.</w:t>
      </w:r>
    </w:p>
    <w:p w14:paraId="230D2A0D" w14:textId="10D40182" w:rsidR="00E92EC1"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La Junta de Gobierno </w:t>
      </w:r>
      <w:r w:rsidR="00C254F8" w:rsidRPr="00E850D6">
        <w:rPr>
          <w:rFonts w:asciiTheme="minorHAnsi" w:hAnsiTheme="minorHAnsi" w:cstheme="minorHAnsi"/>
          <w:sz w:val="18"/>
          <w:szCs w:val="18"/>
        </w:rPr>
        <w:t>evaluó</w:t>
      </w:r>
      <w:r w:rsidRPr="00E850D6">
        <w:rPr>
          <w:rFonts w:asciiTheme="minorHAnsi" w:hAnsiTheme="minorHAnsi" w:cstheme="minorHAnsi"/>
          <w:sz w:val="18"/>
          <w:szCs w:val="18"/>
        </w:rPr>
        <w:t xml:space="preserve">́ la magnitud y diversidad de los choques que han afectado a la </w:t>
      </w:r>
      <w:r w:rsidR="00C254F8" w:rsidRPr="00E850D6">
        <w:rPr>
          <w:rFonts w:asciiTheme="minorHAnsi" w:hAnsiTheme="minorHAnsi" w:cstheme="minorHAnsi"/>
          <w:sz w:val="18"/>
          <w:szCs w:val="18"/>
        </w:rPr>
        <w:t>inflación</w:t>
      </w:r>
      <w:r w:rsidRPr="00E850D6">
        <w:rPr>
          <w:rFonts w:asciiTheme="minorHAnsi" w:hAnsiTheme="minorHAnsi" w:cstheme="minorHAnsi"/>
          <w:sz w:val="18"/>
          <w:szCs w:val="18"/>
        </w:rPr>
        <w:t xml:space="preserve"> y sus determinantes, así como la </w:t>
      </w:r>
      <w:r w:rsidR="00C254F8" w:rsidRPr="00E850D6">
        <w:rPr>
          <w:rFonts w:asciiTheme="minorHAnsi" w:hAnsiTheme="minorHAnsi" w:cstheme="minorHAnsi"/>
          <w:sz w:val="18"/>
          <w:szCs w:val="18"/>
        </w:rPr>
        <w:t>evolución</w:t>
      </w:r>
      <w:r w:rsidRPr="00E850D6">
        <w:rPr>
          <w:rFonts w:asciiTheme="minorHAnsi" w:hAnsiTheme="minorHAnsi" w:cstheme="minorHAnsi"/>
          <w:sz w:val="18"/>
          <w:szCs w:val="18"/>
        </w:rPr>
        <w:t xml:space="preserve"> de las expectativas de mediano y largo plazos y el proceso de </w:t>
      </w:r>
      <w:r w:rsidR="00C254F8" w:rsidRPr="00E850D6">
        <w:rPr>
          <w:rFonts w:asciiTheme="minorHAnsi" w:hAnsiTheme="minorHAnsi" w:cstheme="minorHAnsi"/>
          <w:sz w:val="18"/>
          <w:szCs w:val="18"/>
        </w:rPr>
        <w:t>formación</w:t>
      </w:r>
      <w:r w:rsidRPr="00E850D6">
        <w:rPr>
          <w:rFonts w:asciiTheme="minorHAnsi" w:hAnsiTheme="minorHAnsi" w:cstheme="minorHAnsi"/>
          <w:sz w:val="18"/>
          <w:szCs w:val="18"/>
        </w:rPr>
        <w:t xml:space="preserve"> de precios. Consideró los retos para la </w:t>
      </w:r>
      <w:r w:rsidR="00C254F8" w:rsidRPr="00E850D6">
        <w:rPr>
          <w:rFonts w:asciiTheme="minorHAnsi" w:hAnsiTheme="minorHAnsi" w:cstheme="minorHAnsi"/>
          <w:sz w:val="18"/>
          <w:szCs w:val="18"/>
        </w:rPr>
        <w:t>conducción</w:t>
      </w:r>
      <w:r w:rsidRPr="00E850D6">
        <w:rPr>
          <w:rFonts w:asciiTheme="minorHAnsi" w:hAnsiTheme="minorHAnsi" w:cstheme="minorHAnsi"/>
          <w:sz w:val="18"/>
          <w:szCs w:val="18"/>
        </w:rPr>
        <w:t xml:space="preserve"> de la </w:t>
      </w:r>
      <w:r w:rsidR="00C254F8" w:rsidRPr="00E850D6">
        <w:rPr>
          <w:rFonts w:asciiTheme="minorHAnsi" w:hAnsiTheme="minorHAnsi" w:cstheme="minorHAnsi"/>
          <w:sz w:val="18"/>
          <w:szCs w:val="18"/>
        </w:rPr>
        <w:t>política</w:t>
      </w:r>
      <w:r w:rsidRPr="00E850D6">
        <w:rPr>
          <w:rFonts w:asciiTheme="minorHAnsi" w:hAnsiTheme="minorHAnsi" w:cstheme="minorHAnsi"/>
          <w:sz w:val="18"/>
          <w:szCs w:val="18"/>
        </w:rPr>
        <w:t xml:space="preserve"> monetaria ante el apretamiento de las condiciones financieras globales, el entorno de incertidumbre, las presiones inflacionarias acumuladas de la pandemia y del conflicto </w:t>
      </w:r>
      <w:r w:rsidR="00C254F8" w:rsidRPr="00E850D6">
        <w:rPr>
          <w:rFonts w:asciiTheme="minorHAnsi" w:hAnsiTheme="minorHAnsi" w:cstheme="minorHAnsi"/>
          <w:sz w:val="18"/>
          <w:szCs w:val="18"/>
        </w:rPr>
        <w:t>geopolítico</w:t>
      </w:r>
      <w:r w:rsidRPr="00E850D6">
        <w:rPr>
          <w:rFonts w:asciiTheme="minorHAnsi" w:hAnsiTheme="minorHAnsi" w:cstheme="minorHAnsi"/>
          <w:sz w:val="18"/>
          <w:szCs w:val="18"/>
        </w:rPr>
        <w:t xml:space="preserve">, y la posibilidad de mayores afectaciones a la </w:t>
      </w:r>
      <w:r w:rsidR="00C254F8" w:rsidRPr="00E850D6">
        <w:rPr>
          <w:rFonts w:asciiTheme="minorHAnsi" w:hAnsiTheme="minorHAnsi" w:cstheme="minorHAnsi"/>
          <w:sz w:val="18"/>
          <w:szCs w:val="18"/>
        </w:rPr>
        <w:t>inflación</w:t>
      </w:r>
      <w:r w:rsidRPr="00E850D6">
        <w:rPr>
          <w:rFonts w:asciiTheme="minorHAnsi" w:hAnsiTheme="minorHAnsi" w:cstheme="minorHAnsi"/>
          <w:sz w:val="18"/>
          <w:szCs w:val="18"/>
        </w:rPr>
        <w:t xml:space="preserve">, </w:t>
      </w:r>
      <w:r w:rsidR="00C254F8" w:rsidRPr="00E850D6">
        <w:rPr>
          <w:rFonts w:asciiTheme="minorHAnsi" w:hAnsiTheme="minorHAnsi" w:cstheme="minorHAnsi"/>
          <w:sz w:val="18"/>
          <w:szCs w:val="18"/>
        </w:rPr>
        <w:t>así</w:t>
      </w:r>
      <w:r w:rsidRPr="00E850D6">
        <w:rPr>
          <w:rFonts w:asciiTheme="minorHAnsi" w:hAnsiTheme="minorHAnsi" w:cstheme="minorHAnsi"/>
          <w:sz w:val="18"/>
          <w:szCs w:val="18"/>
        </w:rPr>
        <w:t xml:space="preserve">́ como la postura monetaria que ya se ha alcanzado en este ciclo alcista. Con base en ello, </w:t>
      </w:r>
      <w:r w:rsidR="00C254F8" w:rsidRPr="00E850D6">
        <w:rPr>
          <w:rFonts w:asciiTheme="minorHAnsi" w:hAnsiTheme="minorHAnsi" w:cstheme="minorHAnsi"/>
          <w:sz w:val="18"/>
          <w:szCs w:val="18"/>
        </w:rPr>
        <w:t>decidió</w:t>
      </w:r>
      <w:r w:rsidRPr="00E850D6">
        <w:rPr>
          <w:rFonts w:asciiTheme="minorHAnsi" w:hAnsiTheme="minorHAnsi" w:cstheme="minorHAnsi"/>
          <w:sz w:val="18"/>
          <w:szCs w:val="18"/>
        </w:rPr>
        <w:t xml:space="preserve">́ por </w:t>
      </w:r>
      <w:r w:rsidR="00C254F8" w:rsidRPr="00E850D6">
        <w:rPr>
          <w:rFonts w:asciiTheme="minorHAnsi" w:hAnsiTheme="minorHAnsi" w:cstheme="minorHAnsi"/>
          <w:sz w:val="18"/>
          <w:szCs w:val="18"/>
        </w:rPr>
        <w:t>mayoría</w:t>
      </w:r>
      <w:r w:rsidRPr="00E850D6">
        <w:rPr>
          <w:rFonts w:asciiTheme="minorHAnsi" w:hAnsiTheme="minorHAnsi" w:cstheme="minorHAnsi"/>
          <w:sz w:val="18"/>
          <w:szCs w:val="18"/>
        </w:rPr>
        <w:t xml:space="preserve"> incrementar en 50 puntos base el objetivo para la Tasa de </w:t>
      </w:r>
      <w:r w:rsidR="00C254F8" w:rsidRPr="00E850D6">
        <w:rPr>
          <w:rFonts w:asciiTheme="minorHAnsi" w:hAnsiTheme="minorHAnsi" w:cstheme="minorHAnsi"/>
          <w:sz w:val="18"/>
          <w:szCs w:val="18"/>
        </w:rPr>
        <w:t>Interés</w:t>
      </w:r>
      <w:r w:rsidRPr="00E850D6">
        <w:rPr>
          <w:rFonts w:asciiTheme="minorHAnsi" w:hAnsiTheme="minorHAnsi" w:cstheme="minorHAnsi"/>
          <w:sz w:val="18"/>
          <w:szCs w:val="18"/>
        </w:rPr>
        <w:t xml:space="preserve"> Interbancaria a un </w:t>
      </w:r>
      <w:r w:rsidR="00C254F8" w:rsidRPr="00E850D6">
        <w:rPr>
          <w:rFonts w:asciiTheme="minorHAnsi" w:hAnsiTheme="minorHAnsi" w:cstheme="minorHAnsi"/>
          <w:sz w:val="18"/>
          <w:szCs w:val="18"/>
        </w:rPr>
        <w:t>día</w:t>
      </w:r>
      <w:r w:rsidRPr="00E850D6">
        <w:rPr>
          <w:rFonts w:asciiTheme="minorHAnsi" w:hAnsiTheme="minorHAnsi" w:cstheme="minorHAnsi"/>
          <w:sz w:val="18"/>
          <w:szCs w:val="18"/>
        </w:rPr>
        <w:t xml:space="preserve"> a un nivel de 10.50%. Con esta </w:t>
      </w:r>
      <w:r w:rsidR="00C254F8" w:rsidRPr="00E850D6">
        <w:rPr>
          <w:rFonts w:asciiTheme="minorHAnsi" w:hAnsiTheme="minorHAnsi" w:cstheme="minorHAnsi"/>
          <w:sz w:val="18"/>
          <w:szCs w:val="18"/>
        </w:rPr>
        <w:t>acción</w:t>
      </w:r>
      <w:r w:rsidRPr="00E850D6">
        <w:rPr>
          <w:rFonts w:asciiTheme="minorHAnsi" w:hAnsiTheme="minorHAnsi" w:cstheme="minorHAnsi"/>
          <w:sz w:val="18"/>
          <w:szCs w:val="18"/>
        </w:rPr>
        <w:t xml:space="preserve">, la postura de </w:t>
      </w:r>
      <w:r w:rsidR="00C254F8" w:rsidRPr="00E850D6">
        <w:rPr>
          <w:rFonts w:asciiTheme="minorHAnsi" w:hAnsiTheme="minorHAnsi" w:cstheme="minorHAnsi"/>
          <w:sz w:val="18"/>
          <w:szCs w:val="18"/>
        </w:rPr>
        <w:t>política</w:t>
      </w:r>
      <w:r w:rsidRPr="00E850D6">
        <w:rPr>
          <w:rFonts w:asciiTheme="minorHAnsi" w:hAnsiTheme="minorHAnsi" w:cstheme="minorHAnsi"/>
          <w:sz w:val="18"/>
          <w:szCs w:val="18"/>
        </w:rPr>
        <w:t xml:space="preserve"> monetaria se ajusta a la trayectoria que se requiere para que la </w:t>
      </w:r>
      <w:r w:rsidR="00C254F8" w:rsidRPr="00E850D6">
        <w:rPr>
          <w:rFonts w:asciiTheme="minorHAnsi" w:hAnsiTheme="minorHAnsi" w:cstheme="minorHAnsi"/>
          <w:sz w:val="18"/>
          <w:szCs w:val="18"/>
        </w:rPr>
        <w:t>inflación</w:t>
      </w:r>
      <w:r w:rsidRPr="00E850D6">
        <w:rPr>
          <w:rFonts w:asciiTheme="minorHAnsi" w:hAnsiTheme="minorHAnsi" w:cstheme="minorHAnsi"/>
          <w:sz w:val="18"/>
          <w:szCs w:val="18"/>
        </w:rPr>
        <w:t xml:space="preserve"> converja a su meta de 3% dentro del horizonte de </w:t>
      </w:r>
      <w:r w:rsidR="00C254F8" w:rsidRPr="00E850D6">
        <w:rPr>
          <w:rFonts w:asciiTheme="minorHAnsi" w:hAnsiTheme="minorHAnsi" w:cstheme="minorHAnsi"/>
          <w:sz w:val="18"/>
          <w:szCs w:val="18"/>
        </w:rPr>
        <w:t>pronóstico</w:t>
      </w:r>
      <w:r w:rsidRPr="00E850D6">
        <w:rPr>
          <w:rFonts w:asciiTheme="minorHAnsi" w:hAnsiTheme="minorHAnsi" w:cstheme="minorHAnsi"/>
          <w:sz w:val="18"/>
          <w:szCs w:val="18"/>
        </w:rPr>
        <w:t>.</w:t>
      </w:r>
    </w:p>
    <w:p w14:paraId="304A8137" w14:textId="0012C212" w:rsidR="00245CD9" w:rsidRDefault="00245CD9" w:rsidP="00E92EC1">
      <w:pPr>
        <w:jc w:val="both"/>
        <w:rPr>
          <w:rFonts w:asciiTheme="minorHAnsi" w:hAnsiTheme="minorHAnsi" w:cstheme="minorHAnsi"/>
          <w:sz w:val="18"/>
          <w:szCs w:val="18"/>
        </w:rPr>
      </w:pPr>
    </w:p>
    <w:p w14:paraId="6CD77A4E" w14:textId="102B850E" w:rsidR="00245CD9" w:rsidRDefault="00245CD9" w:rsidP="00E92EC1">
      <w:pPr>
        <w:jc w:val="both"/>
        <w:rPr>
          <w:rFonts w:asciiTheme="minorHAnsi" w:hAnsiTheme="minorHAnsi" w:cstheme="minorHAnsi"/>
          <w:sz w:val="18"/>
          <w:szCs w:val="18"/>
        </w:rPr>
      </w:pPr>
    </w:p>
    <w:p w14:paraId="709C2700" w14:textId="2B0F1C5F" w:rsidR="00245CD9" w:rsidRDefault="00245CD9" w:rsidP="00E92EC1">
      <w:pPr>
        <w:jc w:val="both"/>
        <w:rPr>
          <w:rFonts w:asciiTheme="minorHAnsi" w:hAnsiTheme="minorHAnsi" w:cstheme="minorHAnsi"/>
          <w:sz w:val="18"/>
          <w:szCs w:val="18"/>
        </w:rPr>
      </w:pPr>
      <w:r w:rsidRPr="00676CED">
        <w:rPr>
          <w:rFonts w:asciiTheme="minorHAnsi" w:hAnsiTheme="minorHAnsi" w:cstheme="minorHAnsi"/>
          <w:noProof/>
          <w:sz w:val="18"/>
          <w:szCs w:val="18"/>
          <w:lang w:eastAsia="es-MX"/>
        </w:rPr>
        <w:drawing>
          <wp:anchor distT="0" distB="0" distL="114300" distR="114300" simplePos="0" relativeHeight="251665408" behindDoc="0" locked="0" layoutInCell="1" allowOverlap="1" wp14:anchorId="733E93CA" wp14:editId="7E00A147">
            <wp:simplePos x="0" y="0"/>
            <wp:positionH relativeFrom="column">
              <wp:posOffset>99707</wp:posOffset>
            </wp:positionH>
            <wp:positionV relativeFrom="paragraph">
              <wp:posOffset>206447</wp:posOffset>
            </wp:positionV>
            <wp:extent cx="5612130" cy="2917190"/>
            <wp:effectExtent l="0" t="0" r="762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2130" cy="2917190"/>
                    </a:xfrm>
                    <a:prstGeom prst="rect">
                      <a:avLst/>
                    </a:prstGeom>
                  </pic:spPr>
                </pic:pic>
              </a:graphicData>
            </a:graphic>
          </wp:anchor>
        </w:drawing>
      </w:r>
    </w:p>
    <w:p w14:paraId="00D843BB" w14:textId="77777777" w:rsidR="00245CD9" w:rsidRDefault="00245CD9" w:rsidP="00E92EC1">
      <w:pPr>
        <w:pStyle w:val="NormalWeb"/>
        <w:spacing w:before="0" w:beforeAutospacing="0" w:after="0" w:afterAutospacing="0"/>
        <w:jc w:val="both"/>
        <w:rPr>
          <w:rFonts w:asciiTheme="minorHAnsi" w:hAnsiTheme="minorHAnsi" w:cstheme="minorHAnsi"/>
          <w:b/>
          <w:sz w:val="18"/>
          <w:szCs w:val="18"/>
        </w:rPr>
      </w:pPr>
    </w:p>
    <w:p w14:paraId="774BA653" w14:textId="7CF93E4E" w:rsidR="00E92EC1" w:rsidRPr="00B34B21" w:rsidRDefault="00E92EC1" w:rsidP="00E92EC1">
      <w:pPr>
        <w:pStyle w:val="NormalWeb"/>
        <w:spacing w:before="0" w:beforeAutospacing="0" w:after="0" w:afterAutospacing="0"/>
        <w:jc w:val="both"/>
        <w:rPr>
          <w:rFonts w:asciiTheme="minorHAnsi" w:hAnsiTheme="minorHAnsi" w:cstheme="minorHAnsi"/>
          <w:b/>
          <w:sz w:val="20"/>
          <w:szCs w:val="18"/>
        </w:rPr>
      </w:pPr>
      <w:r w:rsidRPr="00B34B21">
        <w:rPr>
          <w:rFonts w:asciiTheme="minorHAnsi" w:hAnsiTheme="minorHAnsi" w:cstheme="minorHAnsi"/>
          <w:b/>
          <w:sz w:val="20"/>
          <w:szCs w:val="18"/>
        </w:rPr>
        <w:t>2.2.3.- Paridad cambiaria Peso/Dólar.</w:t>
      </w:r>
    </w:p>
    <w:p w14:paraId="1938EBCE" w14:textId="4CEDC454" w:rsidR="00E92EC1" w:rsidRPr="00B34B21" w:rsidRDefault="00E92EC1" w:rsidP="00E92EC1">
      <w:pPr>
        <w:jc w:val="both"/>
        <w:rPr>
          <w:rFonts w:asciiTheme="minorHAnsi" w:hAnsiTheme="minorHAnsi" w:cstheme="minorHAnsi"/>
          <w:b/>
          <w:bCs/>
          <w:sz w:val="20"/>
          <w:szCs w:val="18"/>
        </w:rPr>
      </w:pPr>
      <w:r w:rsidRPr="00B34B21">
        <w:rPr>
          <w:rFonts w:asciiTheme="minorHAnsi" w:hAnsiTheme="minorHAnsi" w:cstheme="minorHAnsi"/>
          <w:b/>
          <w:bCs/>
          <w:sz w:val="20"/>
          <w:szCs w:val="18"/>
        </w:rPr>
        <w:t xml:space="preserve">El peso mexicano es una de las divisas con mejor </w:t>
      </w:r>
      <w:r w:rsidR="00291DC2" w:rsidRPr="00B34B21">
        <w:rPr>
          <w:rFonts w:asciiTheme="minorHAnsi" w:hAnsiTheme="minorHAnsi" w:cstheme="minorHAnsi"/>
          <w:b/>
          <w:bCs/>
          <w:sz w:val="20"/>
          <w:szCs w:val="18"/>
        </w:rPr>
        <w:t>desempeño</w:t>
      </w:r>
      <w:r w:rsidRPr="00B34B21">
        <w:rPr>
          <w:rFonts w:asciiTheme="minorHAnsi" w:hAnsiTheme="minorHAnsi" w:cstheme="minorHAnsi"/>
          <w:b/>
          <w:bCs/>
          <w:sz w:val="20"/>
          <w:szCs w:val="18"/>
        </w:rPr>
        <w:t xml:space="preserve"> en 2022</w:t>
      </w:r>
    </w:p>
    <w:p w14:paraId="1DDBCCCB" w14:textId="31C85449"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Por segundo </w:t>
      </w:r>
      <w:r w:rsidR="00291DC2" w:rsidRPr="00E850D6">
        <w:rPr>
          <w:rFonts w:asciiTheme="minorHAnsi" w:hAnsiTheme="minorHAnsi" w:cstheme="minorHAnsi"/>
          <w:sz w:val="18"/>
          <w:szCs w:val="18"/>
        </w:rPr>
        <w:t>año</w:t>
      </w:r>
      <w:r w:rsidRPr="00E850D6">
        <w:rPr>
          <w:rFonts w:asciiTheme="minorHAnsi" w:hAnsiTheme="minorHAnsi" w:cstheme="minorHAnsi"/>
          <w:sz w:val="18"/>
          <w:szCs w:val="18"/>
        </w:rPr>
        <w:t xml:space="preserve"> consecutivo el peso mexicano ha tenido un </w:t>
      </w:r>
      <w:r w:rsidR="00291DC2" w:rsidRPr="00E850D6">
        <w:rPr>
          <w:rFonts w:asciiTheme="minorHAnsi" w:hAnsiTheme="minorHAnsi" w:cstheme="minorHAnsi"/>
          <w:sz w:val="18"/>
          <w:szCs w:val="18"/>
        </w:rPr>
        <w:t>desempeño</w:t>
      </w:r>
      <w:r w:rsidRPr="00E850D6">
        <w:rPr>
          <w:rFonts w:asciiTheme="minorHAnsi" w:hAnsiTheme="minorHAnsi" w:cstheme="minorHAnsi"/>
          <w:sz w:val="18"/>
          <w:szCs w:val="18"/>
        </w:rPr>
        <w:t xml:space="preserve"> superior al promedio de una canasta de divisas de </w:t>
      </w:r>
      <w:r w:rsidR="00291DC2" w:rsidRPr="00E850D6">
        <w:rPr>
          <w:rFonts w:asciiTheme="minorHAnsi" w:hAnsiTheme="minorHAnsi" w:cstheme="minorHAnsi"/>
          <w:sz w:val="18"/>
          <w:szCs w:val="18"/>
        </w:rPr>
        <w:t>economías</w:t>
      </w:r>
      <w:r w:rsidRPr="00E850D6">
        <w:rPr>
          <w:rFonts w:asciiTheme="minorHAnsi" w:hAnsiTheme="minorHAnsi" w:cstheme="minorHAnsi"/>
          <w:sz w:val="18"/>
          <w:szCs w:val="18"/>
        </w:rPr>
        <w:t xml:space="preserve"> emergentes. El alto diferencial de tasas de </w:t>
      </w:r>
      <w:r w:rsidR="00291DC2" w:rsidRPr="00E850D6">
        <w:rPr>
          <w:rFonts w:asciiTheme="minorHAnsi" w:hAnsiTheme="minorHAnsi" w:cstheme="minorHAnsi"/>
          <w:sz w:val="18"/>
          <w:szCs w:val="18"/>
        </w:rPr>
        <w:t>interés</w:t>
      </w:r>
      <w:r w:rsidRPr="00E850D6">
        <w:rPr>
          <w:rFonts w:asciiTheme="minorHAnsi" w:hAnsiTheme="minorHAnsi" w:cstheme="minorHAnsi"/>
          <w:sz w:val="18"/>
          <w:szCs w:val="18"/>
        </w:rPr>
        <w:t xml:space="preserve"> con respecto a EE.UU., el manejo prudente de las finanzas </w:t>
      </w:r>
      <w:r w:rsidR="00291DC2" w:rsidRPr="00E850D6">
        <w:rPr>
          <w:rFonts w:asciiTheme="minorHAnsi" w:hAnsiTheme="minorHAnsi" w:cstheme="minorHAnsi"/>
          <w:sz w:val="18"/>
          <w:szCs w:val="18"/>
        </w:rPr>
        <w:t>públicas</w:t>
      </w:r>
      <w:r w:rsidRPr="00E850D6">
        <w:rPr>
          <w:rFonts w:asciiTheme="minorHAnsi" w:hAnsiTheme="minorHAnsi" w:cstheme="minorHAnsi"/>
          <w:sz w:val="18"/>
          <w:szCs w:val="18"/>
        </w:rPr>
        <w:t xml:space="preserve"> por parte del gobierno federal, en un contexto de </w:t>
      </w:r>
      <w:r w:rsidR="00291DC2" w:rsidRPr="00E850D6">
        <w:rPr>
          <w:rFonts w:asciiTheme="minorHAnsi" w:hAnsiTheme="minorHAnsi" w:cstheme="minorHAnsi"/>
          <w:sz w:val="18"/>
          <w:szCs w:val="18"/>
        </w:rPr>
        <w:t>expansión</w:t>
      </w:r>
      <w:r w:rsidRPr="00E850D6">
        <w:rPr>
          <w:rFonts w:asciiTheme="minorHAnsi" w:hAnsiTheme="minorHAnsi" w:cstheme="minorHAnsi"/>
          <w:sz w:val="18"/>
          <w:szCs w:val="18"/>
        </w:rPr>
        <w:t xml:space="preserve"> fiscal en la gran </w:t>
      </w:r>
      <w:r w:rsidR="00291DC2" w:rsidRPr="00E850D6">
        <w:rPr>
          <w:rFonts w:asciiTheme="minorHAnsi" w:hAnsiTheme="minorHAnsi" w:cstheme="minorHAnsi"/>
          <w:sz w:val="18"/>
          <w:szCs w:val="18"/>
        </w:rPr>
        <w:t>mayoría</w:t>
      </w:r>
      <w:r w:rsidRPr="00E850D6">
        <w:rPr>
          <w:rFonts w:asciiTheme="minorHAnsi" w:hAnsiTheme="minorHAnsi" w:cstheme="minorHAnsi"/>
          <w:sz w:val="18"/>
          <w:szCs w:val="18"/>
        </w:rPr>
        <w:t xml:space="preserve"> de </w:t>
      </w:r>
      <w:r w:rsidR="00291DC2" w:rsidRPr="00E850D6">
        <w:rPr>
          <w:rFonts w:asciiTheme="minorHAnsi" w:hAnsiTheme="minorHAnsi" w:cstheme="minorHAnsi"/>
          <w:sz w:val="18"/>
          <w:szCs w:val="18"/>
        </w:rPr>
        <w:t>países</w:t>
      </w:r>
      <w:r w:rsidRPr="00E850D6">
        <w:rPr>
          <w:rFonts w:asciiTheme="minorHAnsi" w:hAnsiTheme="minorHAnsi" w:cstheme="minorHAnsi"/>
          <w:sz w:val="18"/>
          <w:szCs w:val="18"/>
        </w:rPr>
        <w:t xml:space="preserve"> y la </w:t>
      </w:r>
      <w:r w:rsidR="00291DC2" w:rsidRPr="00E850D6">
        <w:rPr>
          <w:rFonts w:asciiTheme="minorHAnsi" w:hAnsiTheme="minorHAnsi" w:cstheme="minorHAnsi"/>
          <w:sz w:val="18"/>
          <w:szCs w:val="18"/>
        </w:rPr>
        <w:t>previsión</w:t>
      </w:r>
      <w:r w:rsidRPr="00E850D6">
        <w:rPr>
          <w:rFonts w:asciiTheme="minorHAnsi" w:hAnsiTheme="minorHAnsi" w:cstheme="minorHAnsi"/>
          <w:sz w:val="18"/>
          <w:szCs w:val="18"/>
        </w:rPr>
        <w:t xml:space="preserve"> de bajos déficits de cuenta corriente en el corto y mediano plazo son los principales factores que explican la relativa fortaleza del peso mexicano en el pasado reciente y </w:t>
      </w:r>
      <w:r w:rsidR="00291DC2" w:rsidRPr="00E850D6">
        <w:rPr>
          <w:rFonts w:asciiTheme="minorHAnsi" w:hAnsiTheme="minorHAnsi" w:cstheme="minorHAnsi"/>
          <w:sz w:val="18"/>
          <w:szCs w:val="18"/>
        </w:rPr>
        <w:t>continuarán</w:t>
      </w:r>
      <w:r w:rsidRPr="00E850D6">
        <w:rPr>
          <w:rFonts w:asciiTheme="minorHAnsi" w:hAnsiTheme="minorHAnsi" w:cstheme="minorHAnsi"/>
          <w:sz w:val="18"/>
          <w:szCs w:val="18"/>
        </w:rPr>
        <w:t xml:space="preserve"> apoyando el </w:t>
      </w:r>
      <w:r w:rsidR="00291DC2" w:rsidRPr="00E850D6">
        <w:rPr>
          <w:rFonts w:asciiTheme="minorHAnsi" w:hAnsiTheme="minorHAnsi" w:cstheme="minorHAnsi"/>
          <w:sz w:val="18"/>
          <w:szCs w:val="18"/>
        </w:rPr>
        <w:t>desempeño</w:t>
      </w:r>
      <w:r w:rsidRPr="00E850D6">
        <w:rPr>
          <w:rFonts w:asciiTheme="minorHAnsi" w:hAnsiTheme="minorHAnsi" w:cstheme="minorHAnsi"/>
          <w:sz w:val="18"/>
          <w:szCs w:val="18"/>
        </w:rPr>
        <w:t xml:space="preserve"> del mismo en los </w:t>
      </w:r>
      <w:r w:rsidR="00291DC2" w:rsidRPr="00E850D6">
        <w:rPr>
          <w:rFonts w:asciiTheme="minorHAnsi" w:hAnsiTheme="minorHAnsi" w:cstheme="minorHAnsi"/>
          <w:sz w:val="18"/>
          <w:szCs w:val="18"/>
        </w:rPr>
        <w:t>próximos</w:t>
      </w:r>
      <w:r w:rsidRPr="00E850D6">
        <w:rPr>
          <w:rFonts w:asciiTheme="minorHAnsi" w:hAnsiTheme="minorHAnsi" w:cstheme="minorHAnsi"/>
          <w:sz w:val="18"/>
          <w:szCs w:val="18"/>
        </w:rPr>
        <w:t xml:space="preserve"> meses. Prevemos que el tipo de cambio sea 19.6 pesos por </w:t>
      </w:r>
      <w:r w:rsidR="00291DC2" w:rsidRPr="00E850D6">
        <w:rPr>
          <w:rFonts w:asciiTheme="minorHAnsi" w:hAnsiTheme="minorHAnsi" w:cstheme="minorHAnsi"/>
          <w:sz w:val="18"/>
          <w:szCs w:val="18"/>
        </w:rPr>
        <w:t>dólar</w:t>
      </w:r>
      <w:r w:rsidRPr="00E850D6">
        <w:rPr>
          <w:rFonts w:asciiTheme="minorHAnsi" w:hAnsiTheme="minorHAnsi" w:cstheme="minorHAnsi"/>
          <w:sz w:val="18"/>
          <w:szCs w:val="18"/>
        </w:rPr>
        <w:t xml:space="preserve"> para diciembre de 2022 y 20.1 pesos por </w:t>
      </w:r>
      <w:r w:rsidR="00291DC2" w:rsidRPr="00E850D6">
        <w:rPr>
          <w:rFonts w:asciiTheme="minorHAnsi" w:hAnsiTheme="minorHAnsi" w:cstheme="minorHAnsi"/>
          <w:sz w:val="18"/>
          <w:szCs w:val="18"/>
        </w:rPr>
        <w:t>dólar</w:t>
      </w:r>
      <w:r w:rsidRPr="00E850D6">
        <w:rPr>
          <w:rFonts w:asciiTheme="minorHAnsi" w:hAnsiTheme="minorHAnsi" w:cstheme="minorHAnsi"/>
          <w:sz w:val="18"/>
          <w:szCs w:val="18"/>
        </w:rPr>
        <w:t xml:space="preserve"> para fines de 2023.</w:t>
      </w:r>
    </w:p>
    <w:p w14:paraId="4B802BC4" w14:textId="693E2452"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La política cambiaria es responsabilidad de la Comisión de Cambios, la cual está integrada por funcionarios de la Secretaría de Hacienda y Crédito Público y el Banco de México. A finales de 1994, dicha Comisión acordó que el tipo de cambio fuera determinado libremente por las fuerzas del mercado (tipo de cambio flexible o flotante).</w:t>
      </w:r>
    </w:p>
    <w:p w14:paraId="0F1BE3F6" w14:textId="77777777" w:rsidR="00E92EC1" w:rsidRPr="00E850D6" w:rsidRDefault="00E92EC1" w:rsidP="00E92EC1">
      <w:pPr>
        <w:pStyle w:val="NormalWeb"/>
        <w:spacing w:before="0" w:beforeAutospacing="0" w:after="0" w:afterAutospacing="0"/>
        <w:jc w:val="both"/>
        <w:rPr>
          <w:rFonts w:asciiTheme="minorHAnsi" w:hAnsiTheme="minorHAnsi" w:cstheme="minorHAnsi"/>
          <w:sz w:val="18"/>
          <w:szCs w:val="18"/>
        </w:rPr>
      </w:pPr>
      <w:r w:rsidRPr="00E850D6">
        <w:rPr>
          <w:rFonts w:asciiTheme="minorHAnsi" w:hAnsiTheme="minorHAnsi" w:cstheme="minorHAnsi"/>
          <w:bCs/>
          <w:sz w:val="18"/>
          <w:szCs w:val="18"/>
        </w:rPr>
        <w:t xml:space="preserve">En relación con este tema, la SHCP informó que se renovó de nueva cuenta la Línea de Crédito Flexible con el Fondo Monetario Internacional, disminuyéndola de 61 mil mdd a 50 mil mdd, y manifestando que podría solicitar otra reducción a mediados del 2022, opción que no realizó dada la estabilidad del Peso vs él Dólar. </w:t>
      </w:r>
    </w:p>
    <w:p w14:paraId="3C04FB1B" w14:textId="77777777" w:rsidR="00E92EC1" w:rsidRPr="00E850D6" w:rsidRDefault="00E92EC1" w:rsidP="00E92EC1">
      <w:pPr>
        <w:jc w:val="both"/>
        <w:rPr>
          <w:rFonts w:asciiTheme="minorHAnsi" w:hAnsiTheme="minorHAnsi" w:cstheme="minorHAnsi"/>
          <w:sz w:val="18"/>
          <w:szCs w:val="18"/>
        </w:rPr>
      </w:pPr>
    </w:p>
    <w:p w14:paraId="26221121" w14:textId="77777777" w:rsidR="00E92EC1" w:rsidRPr="00B34B21" w:rsidRDefault="00E92EC1" w:rsidP="00E92EC1">
      <w:pPr>
        <w:pStyle w:val="NormalWeb"/>
        <w:spacing w:before="0" w:beforeAutospacing="0" w:after="0" w:afterAutospacing="0"/>
        <w:jc w:val="both"/>
        <w:rPr>
          <w:rFonts w:asciiTheme="minorHAnsi" w:hAnsiTheme="minorHAnsi" w:cstheme="minorHAnsi"/>
          <w:b/>
          <w:sz w:val="20"/>
          <w:szCs w:val="18"/>
        </w:rPr>
      </w:pPr>
      <w:r w:rsidRPr="00B34B21">
        <w:rPr>
          <w:rFonts w:asciiTheme="minorHAnsi" w:hAnsiTheme="minorHAnsi" w:cstheme="minorHAnsi"/>
          <w:b/>
          <w:sz w:val="20"/>
          <w:szCs w:val="18"/>
        </w:rPr>
        <w:t>2.2.4.- Tasa de Inflación al Consumidor. INPC</w:t>
      </w:r>
    </w:p>
    <w:p w14:paraId="03F7DC0F" w14:textId="77777777" w:rsidR="00E92EC1" w:rsidRPr="00E850D6" w:rsidRDefault="00E92EC1" w:rsidP="00E92EC1">
      <w:pPr>
        <w:pStyle w:val="NormalWeb"/>
        <w:spacing w:before="0" w:beforeAutospacing="0" w:after="0" w:afterAutospacing="0"/>
        <w:jc w:val="both"/>
        <w:rPr>
          <w:rFonts w:asciiTheme="minorHAnsi" w:hAnsiTheme="minorHAnsi" w:cstheme="minorHAnsi"/>
          <w:b/>
          <w:sz w:val="18"/>
          <w:szCs w:val="18"/>
        </w:rPr>
      </w:pPr>
    </w:p>
    <w:p w14:paraId="66C8994F" w14:textId="2CC98ECF" w:rsidR="00E92EC1" w:rsidRPr="00E850D6"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t xml:space="preserve">En la primera quincena de diciembre de 2022, el </w:t>
      </w:r>
      <w:r w:rsidR="005520BE" w:rsidRPr="00E850D6">
        <w:rPr>
          <w:rFonts w:asciiTheme="minorHAnsi" w:hAnsiTheme="minorHAnsi" w:cstheme="minorHAnsi"/>
          <w:bCs/>
          <w:sz w:val="18"/>
          <w:szCs w:val="18"/>
        </w:rPr>
        <w:t>Índice</w:t>
      </w:r>
      <w:r w:rsidRPr="00E850D6">
        <w:rPr>
          <w:rFonts w:asciiTheme="minorHAnsi" w:hAnsiTheme="minorHAnsi" w:cstheme="minorHAnsi"/>
          <w:bCs/>
          <w:sz w:val="18"/>
          <w:szCs w:val="18"/>
        </w:rPr>
        <w:t xml:space="preserve"> Nacional de Precios al Consumidor (INPC) aumentó 0.39 % respecto a la quincena anterior. Con este resultado, la </w:t>
      </w:r>
      <w:r w:rsidR="00E11288" w:rsidRPr="00E850D6">
        <w:rPr>
          <w:rFonts w:asciiTheme="minorHAnsi" w:hAnsiTheme="minorHAnsi" w:cstheme="minorHAnsi"/>
          <w:bCs/>
          <w:sz w:val="18"/>
          <w:szCs w:val="18"/>
        </w:rPr>
        <w:t>inflación</w:t>
      </w:r>
      <w:r w:rsidRPr="00E850D6">
        <w:rPr>
          <w:rFonts w:asciiTheme="minorHAnsi" w:hAnsiTheme="minorHAnsi" w:cstheme="minorHAnsi"/>
          <w:bCs/>
          <w:sz w:val="18"/>
          <w:szCs w:val="18"/>
        </w:rPr>
        <w:t xml:space="preserve"> general anual se ubicó en 7.77 por ciento. En la misma quincena de 2021, la </w:t>
      </w:r>
      <w:r w:rsidR="00E11288" w:rsidRPr="00E850D6">
        <w:rPr>
          <w:rFonts w:asciiTheme="minorHAnsi" w:hAnsiTheme="minorHAnsi" w:cstheme="minorHAnsi"/>
          <w:bCs/>
          <w:sz w:val="18"/>
          <w:szCs w:val="18"/>
        </w:rPr>
        <w:t>inflación</w:t>
      </w:r>
      <w:r w:rsidRPr="00E850D6">
        <w:rPr>
          <w:rFonts w:asciiTheme="minorHAnsi" w:hAnsiTheme="minorHAnsi" w:cstheme="minorHAnsi"/>
          <w:bCs/>
          <w:sz w:val="18"/>
          <w:szCs w:val="18"/>
        </w:rPr>
        <w:t xml:space="preserve"> quincenal fue de 0.10 % y la anual, de 7.45 por ciento.</w:t>
      </w:r>
    </w:p>
    <w:p w14:paraId="1620B216" w14:textId="2570518E" w:rsidR="00E92EC1" w:rsidRPr="00E850D6"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t xml:space="preserve">El </w:t>
      </w:r>
      <w:r w:rsidR="00E11288" w:rsidRPr="00E850D6">
        <w:rPr>
          <w:rFonts w:asciiTheme="minorHAnsi" w:hAnsiTheme="minorHAnsi" w:cstheme="minorHAnsi"/>
          <w:bCs/>
          <w:sz w:val="18"/>
          <w:szCs w:val="18"/>
        </w:rPr>
        <w:t>índice</w:t>
      </w:r>
      <w:r w:rsidRPr="00E850D6">
        <w:rPr>
          <w:rFonts w:asciiTheme="minorHAnsi" w:hAnsiTheme="minorHAnsi" w:cstheme="minorHAnsi"/>
          <w:bCs/>
          <w:sz w:val="18"/>
          <w:szCs w:val="18"/>
        </w:rPr>
        <w:t xml:space="preserve"> de precios subyacente1 registró un incremento de 0.57 % a tasa quincenal y de 8.35 % a tasa anual. En el mismo periodo, el </w:t>
      </w:r>
      <w:r w:rsidR="00E11288" w:rsidRPr="00E850D6">
        <w:rPr>
          <w:rFonts w:asciiTheme="minorHAnsi" w:hAnsiTheme="minorHAnsi" w:cstheme="minorHAnsi"/>
          <w:bCs/>
          <w:sz w:val="18"/>
          <w:szCs w:val="18"/>
        </w:rPr>
        <w:t>índice</w:t>
      </w:r>
      <w:r w:rsidRPr="00E850D6">
        <w:rPr>
          <w:rFonts w:asciiTheme="minorHAnsi" w:hAnsiTheme="minorHAnsi" w:cstheme="minorHAnsi"/>
          <w:bCs/>
          <w:sz w:val="18"/>
          <w:szCs w:val="18"/>
        </w:rPr>
        <w:t xml:space="preserve"> de precios no subyacente disminuyó 0.14 % a tasa quincenal y subió 6.08 % a tasa anual.</w:t>
      </w:r>
    </w:p>
    <w:p w14:paraId="203A59A4" w14:textId="24F50E75" w:rsidR="00E92EC1" w:rsidRPr="00E850D6"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t xml:space="preserve">Al interior del </w:t>
      </w:r>
      <w:r w:rsidR="00E11288" w:rsidRPr="00E850D6">
        <w:rPr>
          <w:rFonts w:asciiTheme="minorHAnsi" w:hAnsiTheme="minorHAnsi" w:cstheme="minorHAnsi"/>
          <w:bCs/>
          <w:sz w:val="18"/>
          <w:szCs w:val="18"/>
        </w:rPr>
        <w:t>índice</w:t>
      </w:r>
      <w:r w:rsidRPr="00E850D6">
        <w:rPr>
          <w:rFonts w:asciiTheme="minorHAnsi" w:hAnsiTheme="minorHAnsi" w:cstheme="minorHAnsi"/>
          <w:bCs/>
          <w:sz w:val="18"/>
          <w:szCs w:val="18"/>
        </w:rPr>
        <w:t xml:space="preserve"> subyacente, los precios de las </w:t>
      </w:r>
      <w:r w:rsidR="00E11288" w:rsidRPr="00E850D6">
        <w:rPr>
          <w:rFonts w:asciiTheme="minorHAnsi" w:hAnsiTheme="minorHAnsi" w:cstheme="minorHAnsi"/>
          <w:bCs/>
          <w:sz w:val="18"/>
          <w:szCs w:val="18"/>
        </w:rPr>
        <w:t>mercancías</w:t>
      </w:r>
      <w:r w:rsidRPr="00E850D6">
        <w:rPr>
          <w:rFonts w:asciiTheme="minorHAnsi" w:hAnsiTheme="minorHAnsi" w:cstheme="minorHAnsi"/>
          <w:bCs/>
          <w:sz w:val="18"/>
          <w:szCs w:val="18"/>
        </w:rPr>
        <w:t xml:space="preserve"> crecieron 0.62 % y los de servicios, 0.51 % a tasa quincenal.</w:t>
      </w:r>
    </w:p>
    <w:p w14:paraId="5EB063A2" w14:textId="545E1F23" w:rsidR="00E92EC1" w:rsidRPr="00E850D6"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t xml:space="preserve">Dentro del </w:t>
      </w:r>
      <w:r w:rsidR="00E11288" w:rsidRPr="00E850D6">
        <w:rPr>
          <w:rFonts w:asciiTheme="minorHAnsi" w:hAnsiTheme="minorHAnsi" w:cstheme="minorHAnsi"/>
          <w:bCs/>
          <w:sz w:val="18"/>
          <w:szCs w:val="18"/>
        </w:rPr>
        <w:t>índice</w:t>
      </w:r>
      <w:r w:rsidRPr="00E850D6">
        <w:rPr>
          <w:rFonts w:asciiTheme="minorHAnsi" w:hAnsiTheme="minorHAnsi" w:cstheme="minorHAnsi"/>
          <w:bCs/>
          <w:sz w:val="18"/>
          <w:szCs w:val="18"/>
        </w:rPr>
        <w:t xml:space="preserve"> no subyacente y a tasa quincenal, los precios de los productos agropecuarios aumentaron 0.34 % y los de </w:t>
      </w:r>
      <w:r w:rsidR="00E11288" w:rsidRPr="00E850D6">
        <w:rPr>
          <w:rFonts w:asciiTheme="minorHAnsi" w:hAnsiTheme="minorHAnsi" w:cstheme="minorHAnsi"/>
          <w:bCs/>
          <w:sz w:val="18"/>
          <w:szCs w:val="18"/>
        </w:rPr>
        <w:t>energéticos</w:t>
      </w:r>
      <w:r w:rsidRPr="00E850D6">
        <w:rPr>
          <w:rFonts w:asciiTheme="minorHAnsi" w:hAnsiTheme="minorHAnsi" w:cstheme="minorHAnsi"/>
          <w:bCs/>
          <w:sz w:val="18"/>
          <w:szCs w:val="18"/>
        </w:rPr>
        <w:t xml:space="preserve"> y tarifas autorizadas por el gobierno bajaron 0.54 por ciento.</w:t>
      </w:r>
    </w:p>
    <w:p w14:paraId="6ABEF58A" w14:textId="605DC6B8" w:rsidR="00E92EC1" w:rsidRPr="00B34B21" w:rsidRDefault="00E92EC1" w:rsidP="00E92EC1">
      <w:pPr>
        <w:jc w:val="both"/>
        <w:rPr>
          <w:rFonts w:asciiTheme="minorHAnsi" w:hAnsiTheme="minorHAnsi" w:cstheme="minorHAnsi"/>
          <w:b/>
          <w:bCs/>
          <w:sz w:val="20"/>
          <w:szCs w:val="18"/>
        </w:rPr>
      </w:pPr>
      <w:r w:rsidRPr="00B34B21">
        <w:rPr>
          <w:rFonts w:asciiTheme="minorHAnsi" w:hAnsiTheme="minorHAnsi" w:cstheme="minorHAnsi"/>
          <w:b/>
          <w:bCs/>
          <w:sz w:val="20"/>
          <w:szCs w:val="18"/>
        </w:rPr>
        <w:t xml:space="preserve">Componentes del </w:t>
      </w:r>
      <w:r w:rsidR="00E11288" w:rsidRPr="00B34B21">
        <w:rPr>
          <w:rFonts w:asciiTheme="minorHAnsi" w:hAnsiTheme="minorHAnsi" w:cstheme="minorHAnsi"/>
          <w:b/>
          <w:bCs/>
          <w:sz w:val="20"/>
          <w:szCs w:val="18"/>
        </w:rPr>
        <w:t>Índice</w:t>
      </w:r>
      <w:r w:rsidRPr="00B34B21">
        <w:rPr>
          <w:rFonts w:asciiTheme="minorHAnsi" w:hAnsiTheme="minorHAnsi" w:cstheme="minorHAnsi"/>
          <w:b/>
          <w:bCs/>
          <w:sz w:val="20"/>
          <w:szCs w:val="18"/>
        </w:rPr>
        <w:t xml:space="preserve"> Nacional de Precios al Consumidor</w:t>
      </w:r>
    </w:p>
    <w:p w14:paraId="3ADEA6DE" w14:textId="15A86673"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En la primera quincena de diciembre de 2022, la </w:t>
      </w:r>
      <w:r w:rsidR="00E11288" w:rsidRPr="00E850D6">
        <w:rPr>
          <w:rFonts w:asciiTheme="minorHAnsi" w:hAnsiTheme="minorHAnsi" w:cstheme="minorHAnsi"/>
          <w:sz w:val="18"/>
          <w:szCs w:val="18"/>
        </w:rPr>
        <w:t>variación</w:t>
      </w:r>
      <w:r w:rsidRPr="00E850D6">
        <w:rPr>
          <w:rFonts w:asciiTheme="minorHAnsi" w:hAnsiTheme="minorHAnsi" w:cstheme="minorHAnsi"/>
          <w:sz w:val="18"/>
          <w:szCs w:val="18"/>
        </w:rPr>
        <w:t xml:space="preserve"> de los </w:t>
      </w:r>
      <w:r w:rsidR="00E11288" w:rsidRPr="00E850D6">
        <w:rPr>
          <w:rFonts w:asciiTheme="minorHAnsi" w:hAnsiTheme="minorHAnsi" w:cstheme="minorHAnsi"/>
          <w:sz w:val="18"/>
          <w:szCs w:val="18"/>
        </w:rPr>
        <w:t>índices</w:t>
      </w:r>
      <w:r w:rsidRPr="00E850D6">
        <w:rPr>
          <w:rFonts w:asciiTheme="minorHAnsi" w:hAnsiTheme="minorHAnsi" w:cstheme="minorHAnsi"/>
          <w:sz w:val="18"/>
          <w:szCs w:val="18"/>
        </w:rPr>
        <w:t xml:space="preserve"> subyacente y no subyacente fue de 0.57 y -0.14%, respectivamente. En la misma quincena de 2021 fue de 0.59 y -1.29 por ciento, asi mismo la </w:t>
      </w:r>
      <w:r w:rsidR="00E11288" w:rsidRPr="00E850D6">
        <w:rPr>
          <w:rFonts w:asciiTheme="minorHAnsi" w:hAnsiTheme="minorHAnsi" w:cstheme="minorHAnsi"/>
          <w:sz w:val="18"/>
          <w:szCs w:val="18"/>
        </w:rPr>
        <w:t>variación</w:t>
      </w:r>
      <w:r w:rsidRPr="00E850D6">
        <w:rPr>
          <w:rFonts w:asciiTheme="minorHAnsi" w:hAnsiTheme="minorHAnsi" w:cstheme="minorHAnsi"/>
          <w:sz w:val="18"/>
          <w:szCs w:val="18"/>
        </w:rPr>
        <w:t xml:space="preserve"> anual del INPC fue de 7.77 % y la de los </w:t>
      </w:r>
      <w:r w:rsidR="00E11288" w:rsidRPr="00E850D6">
        <w:rPr>
          <w:rFonts w:asciiTheme="minorHAnsi" w:hAnsiTheme="minorHAnsi" w:cstheme="minorHAnsi"/>
          <w:sz w:val="18"/>
          <w:szCs w:val="18"/>
        </w:rPr>
        <w:t>índices</w:t>
      </w:r>
      <w:r w:rsidRPr="00E850D6">
        <w:rPr>
          <w:rFonts w:asciiTheme="minorHAnsi" w:hAnsiTheme="minorHAnsi" w:cstheme="minorHAnsi"/>
          <w:sz w:val="18"/>
          <w:szCs w:val="18"/>
        </w:rPr>
        <w:t xml:space="preserve"> subyacente y no subyacente de 8.35 y 6.08 %, respectivamente. En el mismo periodo del </w:t>
      </w:r>
      <w:r w:rsidR="00E11288" w:rsidRPr="00E850D6">
        <w:rPr>
          <w:rFonts w:asciiTheme="minorHAnsi" w:hAnsiTheme="minorHAnsi" w:cstheme="minorHAnsi"/>
          <w:sz w:val="18"/>
          <w:szCs w:val="18"/>
        </w:rPr>
        <w:t>año</w:t>
      </w:r>
      <w:r w:rsidRPr="00E850D6">
        <w:rPr>
          <w:rFonts w:asciiTheme="minorHAnsi" w:hAnsiTheme="minorHAnsi" w:cstheme="minorHAnsi"/>
          <w:sz w:val="18"/>
          <w:szCs w:val="18"/>
        </w:rPr>
        <w:t xml:space="preserve"> anterior, el INPC aumentó 7.45 % y sus componentes, 5.87 y 12.34 %, en ese orden.</w:t>
      </w:r>
    </w:p>
    <w:p w14:paraId="4833F7C1" w14:textId="77777777"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En el siguiente cuadro se muestran las entidades federativas en las que el INPC alcanzó las mayores y menores variaciones en la primera quincena de diciembre de 2022.</w:t>
      </w:r>
    </w:p>
    <w:p w14:paraId="0CB4715F" w14:textId="77777777" w:rsidR="00E92EC1" w:rsidRPr="00676CED" w:rsidRDefault="00E92EC1" w:rsidP="00E92EC1">
      <w:pPr>
        <w:jc w:val="both"/>
        <w:rPr>
          <w:rFonts w:asciiTheme="minorHAnsi" w:hAnsiTheme="minorHAnsi" w:cstheme="minorHAnsi"/>
          <w:sz w:val="18"/>
          <w:szCs w:val="18"/>
        </w:rPr>
      </w:pPr>
    </w:p>
    <w:p w14:paraId="016DFD37" w14:textId="77777777" w:rsidR="00E92EC1" w:rsidRPr="00676CED" w:rsidRDefault="00E92EC1" w:rsidP="00E92EC1">
      <w:pPr>
        <w:jc w:val="center"/>
        <w:rPr>
          <w:rFonts w:asciiTheme="minorHAnsi" w:hAnsiTheme="minorHAnsi" w:cstheme="minorHAnsi"/>
          <w:b/>
          <w:bCs/>
          <w:sz w:val="18"/>
          <w:szCs w:val="18"/>
        </w:rPr>
      </w:pPr>
      <w:r w:rsidRPr="00676CED">
        <w:rPr>
          <w:rFonts w:asciiTheme="minorHAnsi" w:hAnsiTheme="minorHAnsi" w:cstheme="minorHAnsi"/>
          <w:b/>
          <w:bCs/>
          <w:sz w:val="18"/>
          <w:szCs w:val="18"/>
        </w:rPr>
        <w:t xml:space="preserve">ÍNDICE NACIONAL DE PRECIOS AL CONSUMIDOR </w:t>
      </w:r>
    </w:p>
    <w:p w14:paraId="7397E731" w14:textId="77777777" w:rsidR="00E92EC1" w:rsidRPr="00676CED" w:rsidRDefault="00E92EC1" w:rsidP="00E92EC1">
      <w:pPr>
        <w:jc w:val="center"/>
        <w:rPr>
          <w:rFonts w:asciiTheme="minorHAnsi" w:hAnsiTheme="minorHAnsi" w:cstheme="minorHAnsi"/>
          <w:b/>
          <w:bCs/>
          <w:sz w:val="18"/>
          <w:szCs w:val="18"/>
        </w:rPr>
      </w:pPr>
      <w:r w:rsidRPr="00676CED">
        <w:rPr>
          <w:rFonts w:asciiTheme="minorHAnsi" w:hAnsiTheme="minorHAnsi" w:cstheme="minorHAnsi"/>
          <w:b/>
          <w:bCs/>
          <w:sz w:val="18"/>
          <w:szCs w:val="18"/>
        </w:rPr>
        <w:t>ENTIDADES FEDERATIVAS CON MAYOR Y MENOR VARIACIÓN *</w:t>
      </w:r>
    </w:p>
    <w:p w14:paraId="3564D0B1" w14:textId="0B940486" w:rsidR="00E92EC1" w:rsidRPr="00676CED" w:rsidRDefault="00E92EC1" w:rsidP="00E92EC1">
      <w:pPr>
        <w:jc w:val="center"/>
        <w:rPr>
          <w:rFonts w:asciiTheme="minorHAnsi" w:hAnsiTheme="minorHAnsi" w:cstheme="minorHAnsi"/>
          <w:b/>
          <w:bCs/>
          <w:sz w:val="18"/>
          <w:szCs w:val="18"/>
        </w:rPr>
      </w:pPr>
      <w:r w:rsidRPr="00676CED">
        <w:rPr>
          <w:rFonts w:asciiTheme="minorHAnsi" w:hAnsiTheme="minorHAnsi" w:cstheme="minorHAnsi"/>
          <w:b/>
          <w:bCs/>
          <w:sz w:val="18"/>
          <w:szCs w:val="18"/>
        </w:rPr>
        <w:t>Diciembre de 2022</w:t>
      </w:r>
    </w:p>
    <w:tbl>
      <w:tblPr>
        <w:tblW w:w="8359" w:type="dxa"/>
        <w:tblCellMar>
          <w:left w:w="70" w:type="dxa"/>
          <w:right w:w="70" w:type="dxa"/>
        </w:tblCellMar>
        <w:tblLook w:val="04A0" w:firstRow="1" w:lastRow="0" w:firstColumn="1" w:lastColumn="0" w:noHBand="0" w:noVBand="1"/>
      </w:tblPr>
      <w:tblGrid>
        <w:gridCol w:w="2420"/>
        <w:gridCol w:w="1686"/>
        <w:gridCol w:w="2552"/>
        <w:gridCol w:w="1701"/>
      </w:tblGrid>
      <w:tr w:rsidR="00E92EC1" w:rsidRPr="00676CED" w14:paraId="7D82B269" w14:textId="77777777" w:rsidTr="00204583">
        <w:trPr>
          <w:trHeight w:val="340"/>
        </w:trPr>
        <w:tc>
          <w:tcPr>
            <w:tcW w:w="2420"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77A6D670" w14:textId="77777777" w:rsidR="00E92EC1" w:rsidRPr="00676CED" w:rsidRDefault="00E92EC1" w:rsidP="00A24CED">
            <w:pPr>
              <w:jc w:val="center"/>
              <w:rPr>
                <w:rFonts w:asciiTheme="minorHAnsi" w:hAnsiTheme="minorHAnsi" w:cstheme="minorHAnsi"/>
                <w:b/>
                <w:bCs/>
                <w:color w:val="FFFFFF"/>
                <w:sz w:val="18"/>
                <w:szCs w:val="18"/>
              </w:rPr>
            </w:pPr>
            <w:r w:rsidRPr="00676CED">
              <w:rPr>
                <w:rFonts w:asciiTheme="minorHAnsi" w:hAnsiTheme="minorHAnsi" w:cstheme="minorHAnsi"/>
                <w:b/>
                <w:bCs/>
                <w:color w:val="FFFFFF"/>
                <w:sz w:val="18"/>
                <w:szCs w:val="18"/>
              </w:rPr>
              <w:t>Entidades con variación por arriba del promedio nacional</w:t>
            </w:r>
          </w:p>
        </w:tc>
        <w:tc>
          <w:tcPr>
            <w:tcW w:w="1686" w:type="dxa"/>
            <w:tcBorders>
              <w:top w:val="single" w:sz="4" w:space="0" w:color="auto"/>
              <w:left w:val="nil"/>
              <w:bottom w:val="single" w:sz="4" w:space="0" w:color="auto"/>
              <w:right w:val="single" w:sz="4" w:space="0" w:color="auto"/>
            </w:tcBorders>
            <w:shd w:val="clear" w:color="auto" w:fill="AB0033"/>
            <w:vAlign w:val="center"/>
            <w:hideMark/>
          </w:tcPr>
          <w:p w14:paraId="567D731C" w14:textId="77777777" w:rsidR="00E92EC1" w:rsidRPr="00676CED" w:rsidRDefault="00E92EC1" w:rsidP="00A24CED">
            <w:pPr>
              <w:jc w:val="center"/>
              <w:rPr>
                <w:rFonts w:asciiTheme="minorHAnsi" w:hAnsiTheme="minorHAnsi" w:cstheme="minorHAnsi"/>
                <w:b/>
                <w:bCs/>
                <w:color w:val="FFFFFF"/>
                <w:sz w:val="18"/>
                <w:szCs w:val="18"/>
              </w:rPr>
            </w:pPr>
            <w:r w:rsidRPr="00676CED">
              <w:rPr>
                <w:rFonts w:asciiTheme="minorHAnsi" w:hAnsiTheme="minorHAnsi" w:cstheme="minorHAnsi"/>
                <w:b/>
                <w:bCs/>
                <w:color w:val="FFFFFF"/>
                <w:sz w:val="18"/>
                <w:szCs w:val="18"/>
              </w:rPr>
              <w:t>Variación % quincenal</w:t>
            </w:r>
          </w:p>
        </w:tc>
        <w:tc>
          <w:tcPr>
            <w:tcW w:w="2552" w:type="dxa"/>
            <w:tcBorders>
              <w:top w:val="single" w:sz="4" w:space="0" w:color="auto"/>
              <w:left w:val="nil"/>
              <w:bottom w:val="single" w:sz="4" w:space="0" w:color="auto"/>
              <w:right w:val="single" w:sz="4" w:space="0" w:color="auto"/>
            </w:tcBorders>
            <w:shd w:val="clear" w:color="auto" w:fill="AB0033"/>
            <w:vAlign w:val="center"/>
            <w:hideMark/>
          </w:tcPr>
          <w:p w14:paraId="25B5CCB8" w14:textId="77777777" w:rsidR="00E92EC1" w:rsidRPr="00676CED" w:rsidRDefault="00E92EC1" w:rsidP="00A24CED">
            <w:pPr>
              <w:jc w:val="center"/>
              <w:rPr>
                <w:rFonts w:asciiTheme="minorHAnsi" w:hAnsiTheme="minorHAnsi" w:cstheme="minorHAnsi"/>
                <w:b/>
                <w:bCs/>
                <w:color w:val="FFFFFF"/>
                <w:sz w:val="18"/>
                <w:szCs w:val="18"/>
              </w:rPr>
            </w:pPr>
            <w:r w:rsidRPr="00676CED">
              <w:rPr>
                <w:rFonts w:asciiTheme="minorHAnsi" w:hAnsiTheme="minorHAnsi" w:cstheme="minorHAnsi"/>
                <w:b/>
                <w:bCs/>
                <w:color w:val="FFFFFF"/>
                <w:sz w:val="18"/>
                <w:szCs w:val="18"/>
              </w:rPr>
              <w:t>Entidades con variación por debajo del promedio nacional</w:t>
            </w:r>
          </w:p>
        </w:tc>
        <w:tc>
          <w:tcPr>
            <w:tcW w:w="1701" w:type="dxa"/>
            <w:tcBorders>
              <w:top w:val="single" w:sz="4" w:space="0" w:color="auto"/>
              <w:left w:val="nil"/>
              <w:bottom w:val="single" w:sz="4" w:space="0" w:color="auto"/>
              <w:right w:val="single" w:sz="4" w:space="0" w:color="auto"/>
            </w:tcBorders>
            <w:shd w:val="clear" w:color="auto" w:fill="AB0033"/>
            <w:vAlign w:val="center"/>
            <w:hideMark/>
          </w:tcPr>
          <w:p w14:paraId="4A7B76A0" w14:textId="77777777" w:rsidR="00E92EC1" w:rsidRPr="00676CED" w:rsidRDefault="00E92EC1" w:rsidP="00A24CED">
            <w:pPr>
              <w:jc w:val="center"/>
              <w:rPr>
                <w:rFonts w:asciiTheme="minorHAnsi" w:hAnsiTheme="minorHAnsi" w:cstheme="minorHAnsi"/>
                <w:b/>
                <w:bCs/>
                <w:color w:val="FFFFFF"/>
                <w:sz w:val="18"/>
                <w:szCs w:val="18"/>
              </w:rPr>
            </w:pPr>
            <w:r w:rsidRPr="00676CED">
              <w:rPr>
                <w:rFonts w:asciiTheme="minorHAnsi" w:hAnsiTheme="minorHAnsi" w:cstheme="minorHAnsi"/>
                <w:b/>
                <w:bCs/>
                <w:color w:val="FFFFFF"/>
                <w:sz w:val="18"/>
                <w:szCs w:val="18"/>
              </w:rPr>
              <w:t>Variación % quincenal</w:t>
            </w:r>
          </w:p>
        </w:tc>
      </w:tr>
      <w:tr w:rsidR="00E92EC1" w:rsidRPr="00676CED" w14:paraId="6953AC1C" w14:textId="77777777" w:rsidTr="00204583">
        <w:trPr>
          <w:trHeight w:val="284"/>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A0361A1" w14:textId="6E239421" w:rsidR="00E92EC1" w:rsidRPr="00676CED" w:rsidRDefault="00E92EC1" w:rsidP="00A24CED">
            <w:pPr>
              <w:rPr>
                <w:rFonts w:asciiTheme="minorHAnsi" w:hAnsiTheme="minorHAnsi" w:cstheme="minorHAnsi"/>
                <w:color w:val="000000"/>
                <w:sz w:val="18"/>
                <w:szCs w:val="18"/>
              </w:rPr>
            </w:pPr>
            <w:r w:rsidRPr="00676CED">
              <w:rPr>
                <w:rFonts w:asciiTheme="minorHAnsi" w:hAnsiTheme="minorHAnsi" w:cstheme="minorHAnsi"/>
                <w:color w:val="000000"/>
                <w:sz w:val="18"/>
                <w:szCs w:val="18"/>
              </w:rPr>
              <w:t xml:space="preserve">Campeche </w:t>
            </w:r>
          </w:p>
        </w:tc>
        <w:tc>
          <w:tcPr>
            <w:tcW w:w="1686" w:type="dxa"/>
            <w:tcBorders>
              <w:top w:val="nil"/>
              <w:left w:val="nil"/>
              <w:bottom w:val="single" w:sz="4" w:space="0" w:color="auto"/>
              <w:right w:val="single" w:sz="4" w:space="0" w:color="auto"/>
            </w:tcBorders>
            <w:shd w:val="clear" w:color="auto" w:fill="auto"/>
            <w:noWrap/>
            <w:vAlign w:val="bottom"/>
            <w:hideMark/>
          </w:tcPr>
          <w:p w14:paraId="0EC51E28"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0.99</w:t>
            </w:r>
          </w:p>
        </w:tc>
        <w:tc>
          <w:tcPr>
            <w:tcW w:w="2552" w:type="dxa"/>
            <w:tcBorders>
              <w:top w:val="nil"/>
              <w:left w:val="nil"/>
              <w:bottom w:val="single" w:sz="4" w:space="0" w:color="auto"/>
              <w:right w:val="single" w:sz="4" w:space="0" w:color="auto"/>
            </w:tcBorders>
            <w:shd w:val="clear" w:color="auto" w:fill="auto"/>
            <w:noWrap/>
            <w:vAlign w:val="bottom"/>
            <w:hideMark/>
          </w:tcPr>
          <w:p w14:paraId="3B228EA4" w14:textId="77777777" w:rsidR="00E92EC1" w:rsidRPr="00676CED" w:rsidRDefault="00E92EC1" w:rsidP="00A24CED">
            <w:pPr>
              <w:rPr>
                <w:rFonts w:asciiTheme="minorHAnsi" w:hAnsiTheme="minorHAnsi" w:cstheme="minorHAnsi"/>
                <w:color w:val="000000"/>
                <w:sz w:val="18"/>
                <w:szCs w:val="18"/>
              </w:rPr>
            </w:pPr>
            <w:r w:rsidRPr="00676CED">
              <w:rPr>
                <w:rFonts w:asciiTheme="minorHAnsi" w:hAnsiTheme="minorHAnsi" w:cstheme="minorHAnsi"/>
                <w:color w:val="000000"/>
                <w:sz w:val="18"/>
                <w:szCs w:val="18"/>
              </w:rPr>
              <w:t>Chiapas</w:t>
            </w:r>
          </w:p>
        </w:tc>
        <w:tc>
          <w:tcPr>
            <w:tcW w:w="1701" w:type="dxa"/>
            <w:tcBorders>
              <w:top w:val="nil"/>
              <w:left w:val="nil"/>
              <w:bottom w:val="single" w:sz="4" w:space="0" w:color="auto"/>
              <w:right w:val="single" w:sz="4" w:space="0" w:color="auto"/>
            </w:tcBorders>
            <w:shd w:val="clear" w:color="auto" w:fill="auto"/>
            <w:noWrap/>
            <w:vAlign w:val="bottom"/>
            <w:hideMark/>
          </w:tcPr>
          <w:p w14:paraId="37C70691"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-0.16</w:t>
            </w:r>
          </w:p>
        </w:tc>
      </w:tr>
      <w:tr w:rsidR="00E92EC1" w:rsidRPr="00676CED" w14:paraId="0D07D42F" w14:textId="77777777" w:rsidTr="00204583">
        <w:trPr>
          <w:trHeight w:val="284"/>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9FE9A4B" w14:textId="77777777" w:rsidR="00E92EC1" w:rsidRPr="00676CED" w:rsidRDefault="00E92EC1" w:rsidP="00A24CED">
            <w:pPr>
              <w:rPr>
                <w:rFonts w:asciiTheme="minorHAnsi" w:hAnsiTheme="minorHAnsi" w:cstheme="minorHAnsi"/>
                <w:color w:val="000000"/>
                <w:sz w:val="18"/>
                <w:szCs w:val="18"/>
              </w:rPr>
            </w:pPr>
            <w:r w:rsidRPr="00676CED">
              <w:rPr>
                <w:rFonts w:asciiTheme="minorHAnsi" w:hAnsiTheme="minorHAnsi" w:cstheme="minorHAnsi"/>
                <w:color w:val="000000"/>
                <w:sz w:val="18"/>
                <w:szCs w:val="18"/>
              </w:rPr>
              <w:t xml:space="preserve">Tlaxcala </w:t>
            </w:r>
          </w:p>
        </w:tc>
        <w:tc>
          <w:tcPr>
            <w:tcW w:w="1686" w:type="dxa"/>
            <w:tcBorders>
              <w:top w:val="nil"/>
              <w:left w:val="nil"/>
              <w:bottom w:val="single" w:sz="4" w:space="0" w:color="auto"/>
              <w:right w:val="single" w:sz="4" w:space="0" w:color="auto"/>
            </w:tcBorders>
            <w:shd w:val="clear" w:color="auto" w:fill="auto"/>
            <w:noWrap/>
            <w:vAlign w:val="bottom"/>
            <w:hideMark/>
          </w:tcPr>
          <w:p w14:paraId="47720D35"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0.82</w:t>
            </w:r>
          </w:p>
        </w:tc>
        <w:tc>
          <w:tcPr>
            <w:tcW w:w="2552" w:type="dxa"/>
            <w:tcBorders>
              <w:top w:val="nil"/>
              <w:left w:val="nil"/>
              <w:bottom w:val="single" w:sz="4" w:space="0" w:color="auto"/>
              <w:right w:val="single" w:sz="4" w:space="0" w:color="auto"/>
            </w:tcBorders>
            <w:shd w:val="clear" w:color="auto" w:fill="auto"/>
            <w:noWrap/>
            <w:vAlign w:val="bottom"/>
            <w:hideMark/>
          </w:tcPr>
          <w:p w14:paraId="7D717B8C" w14:textId="77777777" w:rsidR="00E92EC1" w:rsidRPr="00676CED" w:rsidRDefault="00E92EC1" w:rsidP="00A24CED">
            <w:pPr>
              <w:rPr>
                <w:rFonts w:asciiTheme="minorHAnsi" w:hAnsiTheme="minorHAnsi" w:cstheme="minorHAnsi"/>
                <w:color w:val="000000"/>
                <w:sz w:val="18"/>
                <w:szCs w:val="18"/>
              </w:rPr>
            </w:pPr>
            <w:r w:rsidRPr="00676CED">
              <w:rPr>
                <w:rFonts w:asciiTheme="minorHAnsi" w:hAnsiTheme="minorHAnsi" w:cstheme="minorHAnsi"/>
                <w:color w:val="000000"/>
                <w:sz w:val="18"/>
                <w:szCs w:val="18"/>
              </w:rPr>
              <w:t>San Luis Potosí</w:t>
            </w:r>
          </w:p>
        </w:tc>
        <w:tc>
          <w:tcPr>
            <w:tcW w:w="1701" w:type="dxa"/>
            <w:tcBorders>
              <w:top w:val="nil"/>
              <w:left w:val="nil"/>
              <w:bottom w:val="single" w:sz="4" w:space="0" w:color="auto"/>
              <w:right w:val="single" w:sz="4" w:space="0" w:color="auto"/>
            </w:tcBorders>
            <w:shd w:val="clear" w:color="auto" w:fill="auto"/>
            <w:noWrap/>
            <w:vAlign w:val="bottom"/>
            <w:hideMark/>
          </w:tcPr>
          <w:p w14:paraId="059DAD23"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-0.03</w:t>
            </w:r>
          </w:p>
        </w:tc>
      </w:tr>
      <w:tr w:rsidR="00E92EC1" w:rsidRPr="00676CED" w14:paraId="252F995D" w14:textId="77777777" w:rsidTr="00204583">
        <w:trPr>
          <w:trHeight w:val="284"/>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063D8F5" w14:textId="77777777" w:rsidR="00E92EC1" w:rsidRPr="00676CED" w:rsidRDefault="00E92EC1" w:rsidP="00A24CED">
            <w:pPr>
              <w:rPr>
                <w:rFonts w:asciiTheme="minorHAnsi" w:hAnsiTheme="minorHAnsi" w:cstheme="minorHAnsi"/>
                <w:color w:val="000000"/>
                <w:sz w:val="18"/>
                <w:szCs w:val="18"/>
              </w:rPr>
            </w:pPr>
            <w:r w:rsidRPr="00676CED">
              <w:rPr>
                <w:rFonts w:asciiTheme="minorHAnsi" w:hAnsiTheme="minorHAnsi" w:cstheme="minorHAnsi"/>
                <w:color w:val="000000"/>
                <w:sz w:val="18"/>
                <w:szCs w:val="18"/>
              </w:rPr>
              <w:t xml:space="preserve">Aguascalientes </w:t>
            </w:r>
          </w:p>
        </w:tc>
        <w:tc>
          <w:tcPr>
            <w:tcW w:w="1686" w:type="dxa"/>
            <w:tcBorders>
              <w:top w:val="nil"/>
              <w:left w:val="nil"/>
              <w:bottom w:val="single" w:sz="4" w:space="0" w:color="auto"/>
              <w:right w:val="single" w:sz="4" w:space="0" w:color="auto"/>
            </w:tcBorders>
            <w:shd w:val="clear" w:color="auto" w:fill="auto"/>
            <w:noWrap/>
            <w:vAlign w:val="bottom"/>
            <w:hideMark/>
          </w:tcPr>
          <w:p w14:paraId="1186E63B"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0.69</w:t>
            </w:r>
          </w:p>
        </w:tc>
        <w:tc>
          <w:tcPr>
            <w:tcW w:w="2552" w:type="dxa"/>
            <w:tcBorders>
              <w:top w:val="nil"/>
              <w:left w:val="nil"/>
              <w:bottom w:val="single" w:sz="4" w:space="0" w:color="auto"/>
              <w:right w:val="single" w:sz="4" w:space="0" w:color="auto"/>
            </w:tcBorders>
            <w:shd w:val="clear" w:color="auto" w:fill="auto"/>
            <w:noWrap/>
            <w:vAlign w:val="bottom"/>
            <w:hideMark/>
          </w:tcPr>
          <w:p w14:paraId="7F3B13E3" w14:textId="77777777" w:rsidR="00E92EC1" w:rsidRPr="00676CED" w:rsidRDefault="00E92EC1" w:rsidP="00A24CED">
            <w:pPr>
              <w:rPr>
                <w:rFonts w:asciiTheme="minorHAnsi" w:hAnsiTheme="minorHAnsi" w:cstheme="minorHAnsi"/>
                <w:color w:val="000000"/>
                <w:sz w:val="18"/>
                <w:szCs w:val="18"/>
              </w:rPr>
            </w:pPr>
            <w:r w:rsidRPr="00676CED">
              <w:rPr>
                <w:rFonts w:asciiTheme="minorHAnsi" w:hAnsiTheme="minorHAnsi" w:cstheme="minorHAnsi"/>
                <w:color w:val="000000"/>
                <w:sz w:val="18"/>
                <w:szCs w:val="18"/>
              </w:rPr>
              <w:t>Sonora</w:t>
            </w:r>
          </w:p>
        </w:tc>
        <w:tc>
          <w:tcPr>
            <w:tcW w:w="1701" w:type="dxa"/>
            <w:tcBorders>
              <w:top w:val="nil"/>
              <w:left w:val="nil"/>
              <w:bottom w:val="single" w:sz="4" w:space="0" w:color="auto"/>
              <w:right w:val="single" w:sz="4" w:space="0" w:color="auto"/>
            </w:tcBorders>
            <w:shd w:val="clear" w:color="auto" w:fill="auto"/>
            <w:noWrap/>
            <w:vAlign w:val="bottom"/>
            <w:hideMark/>
          </w:tcPr>
          <w:p w14:paraId="1876EB5A"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0.01</w:t>
            </w:r>
          </w:p>
        </w:tc>
      </w:tr>
      <w:tr w:rsidR="00E92EC1" w:rsidRPr="00676CED" w14:paraId="29C35C04" w14:textId="77777777" w:rsidTr="00204583">
        <w:trPr>
          <w:trHeight w:val="284"/>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E1B4B12" w14:textId="77777777" w:rsidR="00E92EC1" w:rsidRPr="00676CED" w:rsidRDefault="00E92EC1" w:rsidP="00A24CED">
            <w:pPr>
              <w:rPr>
                <w:rFonts w:asciiTheme="minorHAnsi" w:hAnsiTheme="minorHAnsi" w:cstheme="minorHAnsi"/>
                <w:color w:val="000000"/>
                <w:sz w:val="18"/>
                <w:szCs w:val="18"/>
              </w:rPr>
            </w:pPr>
            <w:r w:rsidRPr="00676CED">
              <w:rPr>
                <w:rFonts w:asciiTheme="minorHAnsi" w:hAnsiTheme="minorHAnsi" w:cstheme="minorHAnsi"/>
                <w:color w:val="000000"/>
                <w:sz w:val="18"/>
                <w:szCs w:val="18"/>
              </w:rPr>
              <w:t xml:space="preserve">Jalisco </w:t>
            </w:r>
          </w:p>
        </w:tc>
        <w:tc>
          <w:tcPr>
            <w:tcW w:w="1686" w:type="dxa"/>
            <w:tcBorders>
              <w:top w:val="nil"/>
              <w:left w:val="nil"/>
              <w:bottom w:val="single" w:sz="4" w:space="0" w:color="auto"/>
              <w:right w:val="single" w:sz="4" w:space="0" w:color="auto"/>
            </w:tcBorders>
            <w:shd w:val="clear" w:color="auto" w:fill="auto"/>
            <w:noWrap/>
            <w:vAlign w:val="bottom"/>
            <w:hideMark/>
          </w:tcPr>
          <w:p w14:paraId="681BB38C"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0.65</w:t>
            </w:r>
          </w:p>
        </w:tc>
        <w:tc>
          <w:tcPr>
            <w:tcW w:w="2552" w:type="dxa"/>
            <w:tcBorders>
              <w:top w:val="nil"/>
              <w:left w:val="nil"/>
              <w:bottom w:val="single" w:sz="4" w:space="0" w:color="auto"/>
              <w:right w:val="single" w:sz="4" w:space="0" w:color="auto"/>
            </w:tcBorders>
            <w:shd w:val="clear" w:color="auto" w:fill="auto"/>
            <w:noWrap/>
            <w:vAlign w:val="bottom"/>
            <w:hideMark/>
          </w:tcPr>
          <w:p w14:paraId="09C4030A" w14:textId="1605D0DE" w:rsidR="00E92EC1" w:rsidRPr="00676CED" w:rsidRDefault="00396A2F" w:rsidP="00A24CED">
            <w:pPr>
              <w:rPr>
                <w:rFonts w:asciiTheme="minorHAnsi" w:hAnsiTheme="minorHAnsi" w:cstheme="minorHAnsi"/>
                <w:color w:val="000000"/>
                <w:sz w:val="18"/>
                <w:szCs w:val="18"/>
              </w:rPr>
            </w:pPr>
            <w:r w:rsidRPr="00676CED">
              <w:rPr>
                <w:rFonts w:asciiTheme="minorHAnsi" w:hAnsiTheme="minorHAnsi" w:cstheme="minorHAnsi"/>
                <w:color w:val="000000"/>
                <w:sz w:val="18"/>
                <w:szCs w:val="18"/>
              </w:rPr>
              <w:t>Querétaro</w:t>
            </w:r>
          </w:p>
        </w:tc>
        <w:tc>
          <w:tcPr>
            <w:tcW w:w="1701" w:type="dxa"/>
            <w:tcBorders>
              <w:top w:val="nil"/>
              <w:left w:val="nil"/>
              <w:bottom w:val="single" w:sz="4" w:space="0" w:color="auto"/>
              <w:right w:val="single" w:sz="4" w:space="0" w:color="auto"/>
            </w:tcBorders>
            <w:shd w:val="clear" w:color="auto" w:fill="auto"/>
            <w:noWrap/>
            <w:vAlign w:val="bottom"/>
            <w:hideMark/>
          </w:tcPr>
          <w:p w14:paraId="3FB54FCE"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0.10</w:t>
            </w:r>
          </w:p>
        </w:tc>
      </w:tr>
      <w:tr w:rsidR="00E92EC1" w:rsidRPr="00676CED" w14:paraId="0B7310DF" w14:textId="77777777" w:rsidTr="00204583">
        <w:trPr>
          <w:trHeight w:val="284"/>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6ADD88C" w14:textId="77777777" w:rsidR="00E92EC1" w:rsidRPr="00676CED" w:rsidRDefault="00E92EC1" w:rsidP="00A24CED">
            <w:pPr>
              <w:rPr>
                <w:rFonts w:asciiTheme="minorHAnsi" w:hAnsiTheme="minorHAnsi" w:cstheme="minorHAnsi"/>
                <w:color w:val="000000"/>
                <w:sz w:val="18"/>
                <w:szCs w:val="18"/>
              </w:rPr>
            </w:pPr>
            <w:r w:rsidRPr="00676CED">
              <w:rPr>
                <w:rFonts w:asciiTheme="minorHAnsi" w:hAnsiTheme="minorHAnsi" w:cstheme="minorHAnsi"/>
                <w:color w:val="000000"/>
                <w:sz w:val="18"/>
                <w:szCs w:val="18"/>
              </w:rPr>
              <w:t xml:space="preserve">Oaxaca </w:t>
            </w:r>
          </w:p>
        </w:tc>
        <w:tc>
          <w:tcPr>
            <w:tcW w:w="1686" w:type="dxa"/>
            <w:tcBorders>
              <w:top w:val="nil"/>
              <w:left w:val="nil"/>
              <w:bottom w:val="single" w:sz="4" w:space="0" w:color="auto"/>
              <w:right w:val="single" w:sz="4" w:space="0" w:color="auto"/>
            </w:tcBorders>
            <w:shd w:val="clear" w:color="auto" w:fill="auto"/>
            <w:noWrap/>
            <w:vAlign w:val="bottom"/>
            <w:hideMark/>
          </w:tcPr>
          <w:p w14:paraId="16595D8F"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0.64</w:t>
            </w:r>
          </w:p>
        </w:tc>
        <w:tc>
          <w:tcPr>
            <w:tcW w:w="2552" w:type="dxa"/>
            <w:tcBorders>
              <w:top w:val="nil"/>
              <w:left w:val="nil"/>
              <w:bottom w:val="single" w:sz="4" w:space="0" w:color="auto"/>
              <w:right w:val="single" w:sz="4" w:space="0" w:color="auto"/>
            </w:tcBorders>
            <w:shd w:val="clear" w:color="auto" w:fill="auto"/>
            <w:noWrap/>
            <w:vAlign w:val="bottom"/>
            <w:hideMark/>
          </w:tcPr>
          <w:p w14:paraId="7D670399" w14:textId="77777777" w:rsidR="00E92EC1" w:rsidRPr="00676CED" w:rsidRDefault="00E92EC1" w:rsidP="00A24CED">
            <w:pPr>
              <w:rPr>
                <w:rFonts w:asciiTheme="minorHAnsi" w:hAnsiTheme="minorHAnsi" w:cstheme="minorHAnsi"/>
                <w:color w:val="000000"/>
                <w:sz w:val="18"/>
                <w:szCs w:val="18"/>
              </w:rPr>
            </w:pPr>
            <w:r w:rsidRPr="00676CED">
              <w:rPr>
                <w:rFonts w:asciiTheme="minorHAnsi" w:hAnsiTheme="minorHAnsi" w:cstheme="minorHAnsi"/>
                <w:color w:val="000000"/>
                <w:sz w:val="18"/>
                <w:szCs w:val="18"/>
              </w:rPr>
              <w:t>Baja California</w:t>
            </w:r>
          </w:p>
        </w:tc>
        <w:tc>
          <w:tcPr>
            <w:tcW w:w="1701" w:type="dxa"/>
            <w:tcBorders>
              <w:top w:val="nil"/>
              <w:left w:val="nil"/>
              <w:bottom w:val="single" w:sz="4" w:space="0" w:color="auto"/>
              <w:right w:val="single" w:sz="4" w:space="0" w:color="auto"/>
            </w:tcBorders>
            <w:shd w:val="clear" w:color="auto" w:fill="auto"/>
            <w:noWrap/>
            <w:vAlign w:val="bottom"/>
            <w:hideMark/>
          </w:tcPr>
          <w:p w14:paraId="7401FDD0"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0.13</w:t>
            </w:r>
          </w:p>
        </w:tc>
      </w:tr>
    </w:tbl>
    <w:p w14:paraId="24DFA0F6" w14:textId="77777777" w:rsidR="002C45F7" w:rsidRDefault="002C45F7" w:rsidP="00E92EC1">
      <w:pPr>
        <w:pStyle w:val="NormalWeb"/>
        <w:spacing w:before="0" w:beforeAutospacing="0" w:after="0" w:afterAutospacing="0"/>
        <w:ind w:left="426"/>
        <w:rPr>
          <w:rFonts w:asciiTheme="minorHAnsi" w:hAnsiTheme="minorHAnsi" w:cstheme="minorHAnsi"/>
          <w:sz w:val="14"/>
          <w:szCs w:val="14"/>
        </w:rPr>
      </w:pPr>
    </w:p>
    <w:p w14:paraId="3575EC52" w14:textId="2F63DB45" w:rsidR="00E92EC1" w:rsidRPr="00676CED" w:rsidRDefault="00E92EC1" w:rsidP="00E3120B">
      <w:pPr>
        <w:pStyle w:val="NormalWeb"/>
        <w:spacing w:before="0" w:beforeAutospacing="0" w:after="0" w:afterAutospacing="0"/>
        <w:ind w:left="426" w:hanging="426"/>
        <w:rPr>
          <w:rFonts w:asciiTheme="minorHAnsi" w:hAnsiTheme="minorHAnsi" w:cstheme="minorHAnsi"/>
          <w:sz w:val="14"/>
          <w:szCs w:val="14"/>
        </w:rPr>
      </w:pPr>
      <w:r w:rsidRPr="00676CED">
        <w:rPr>
          <w:rFonts w:asciiTheme="minorHAnsi" w:hAnsiTheme="minorHAnsi" w:cstheme="minorHAnsi"/>
          <w:sz w:val="14"/>
          <w:szCs w:val="14"/>
        </w:rPr>
        <w:t xml:space="preserve">* Las desagregaciones del INPC solo tienen valor informativo. </w:t>
      </w:r>
    </w:p>
    <w:p w14:paraId="07F7E2C7" w14:textId="1A5D8C4C" w:rsidR="00E92EC1" w:rsidRDefault="00E3120B" w:rsidP="00E3120B">
      <w:pPr>
        <w:pStyle w:val="NormalWeb"/>
        <w:spacing w:before="0" w:beforeAutospacing="0" w:after="0" w:afterAutospacing="0"/>
        <w:rPr>
          <w:rFonts w:asciiTheme="minorHAnsi" w:hAnsiTheme="minorHAnsi" w:cstheme="minorHAnsi"/>
          <w:sz w:val="14"/>
          <w:szCs w:val="14"/>
        </w:rPr>
      </w:pPr>
      <w:r>
        <w:rPr>
          <w:rFonts w:asciiTheme="minorHAnsi" w:hAnsiTheme="minorHAnsi" w:cstheme="minorHAnsi"/>
          <w:sz w:val="14"/>
          <w:szCs w:val="14"/>
        </w:rPr>
        <w:t xml:space="preserve">   </w:t>
      </w:r>
      <w:r w:rsidR="00E92EC1" w:rsidRPr="00676CED">
        <w:rPr>
          <w:rFonts w:asciiTheme="minorHAnsi" w:hAnsiTheme="minorHAnsi" w:cstheme="minorHAnsi"/>
          <w:sz w:val="14"/>
          <w:szCs w:val="14"/>
        </w:rPr>
        <w:t>Fuente: INEGI</w:t>
      </w:r>
    </w:p>
    <w:p w14:paraId="0746F821" w14:textId="64007AB7" w:rsidR="00FB6304" w:rsidRDefault="00FB6304" w:rsidP="00FB6304">
      <w:pPr>
        <w:pStyle w:val="NormalWeb"/>
        <w:spacing w:before="0" w:beforeAutospacing="0" w:after="0" w:afterAutospacing="0"/>
        <w:ind w:left="426"/>
        <w:rPr>
          <w:rFonts w:asciiTheme="minorHAnsi" w:hAnsiTheme="minorHAnsi" w:cstheme="minorHAnsi"/>
          <w:sz w:val="14"/>
          <w:szCs w:val="14"/>
        </w:rPr>
      </w:pPr>
    </w:p>
    <w:p w14:paraId="0170B000" w14:textId="77777777" w:rsidR="00FB6304" w:rsidRPr="00676CED" w:rsidRDefault="00FB6304" w:rsidP="00FB6304">
      <w:pPr>
        <w:pStyle w:val="NormalWeb"/>
        <w:spacing w:before="0" w:beforeAutospacing="0" w:after="0" w:afterAutospacing="0"/>
        <w:ind w:left="426"/>
        <w:rPr>
          <w:rFonts w:asciiTheme="minorHAnsi" w:hAnsiTheme="minorHAnsi" w:cstheme="minorHAnsi"/>
          <w:sz w:val="14"/>
          <w:szCs w:val="14"/>
        </w:rPr>
      </w:pPr>
    </w:p>
    <w:p w14:paraId="4BC3AFBA" w14:textId="77777777" w:rsidR="00E92EC1" w:rsidRPr="00B34B21" w:rsidRDefault="00E92EC1" w:rsidP="00FB6304">
      <w:pPr>
        <w:pStyle w:val="NormalWeb"/>
        <w:spacing w:before="0" w:beforeAutospacing="0" w:after="0" w:afterAutospacing="0"/>
        <w:jc w:val="both"/>
        <w:rPr>
          <w:rFonts w:asciiTheme="minorHAnsi" w:hAnsiTheme="minorHAnsi" w:cstheme="minorHAnsi"/>
          <w:b/>
          <w:sz w:val="20"/>
          <w:szCs w:val="18"/>
        </w:rPr>
      </w:pPr>
      <w:r w:rsidRPr="00B34B21">
        <w:rPr>
          <w:rFonts w:asciiTheme="minorHAnsi" w:hAnsiTheme="minorHAnsi" w:cstheme="minorHAnsi"/>
          <w:b/>
          <w:sz w:val="20"/>
          <w:szCs w:val="18"/>
        </w:rPr>
        <w:t>2.2.5.- Precio de la Mezcla Mexicana de Exportación de Petróleo.</w:t>
      </w:r>
    </w:p>
    <w:p w14:paraId="2D395EB1" w14:textId="77777777" w:rsidR="00E92EC1" w:rsidRPr="00FB6304" w:rsidRDefault="00E92EC1" w:rsidP="00E92EC1">
      <w:pPr>
        <w:pStyle w:val="NormalWeb"/>
        <w:spacing w:before="0" w:beforeAutospacing="0" w:after="0" w:afterAutospacing="0"/>
        <w:jc w:val="both"/>
        <w:rPr>
          <w:rFonts w:asciiTheme="minorHAnsi" w:hAnsiTheme="minorHAnsi" w:cstheme="minorHAnsi"/>
          <w:b/>
          <w:sz w:val="22"/>
          <w:szCs w:val="18"/>
        </w:rPr>
      </w:pPr>
    </w:p>
    <w:p w14:paraId="0CF28A44" w14:textId="77777777" w:rsidR="00E92EC1" w:rsidRPr="00E850D6" w:rsidRDefault="00E92EC1" w:rsidP="00E92EC1">
      <w:pPr>
        <w:pStyle w:val="NormalWeb"/>
        <w:spacing w:before="0" w:beforeAutospacing="0" w:after="0" w:afterAutospacing="0"/>
        <w:jc w:val="both"/>
        <w:rPr>
          <w:rFonts w:asciiTheme="minorHAnsi" w:hAnsiTheme="minorHAnsi" w:cstheme="minorHAnsi"/>
          <w:bCs/>
          <w:sz w:val="18"/>
          <w:szCs w:val="18"/>
        </w:rPr>
      </w:pPr>
      <w:r w:rsidRPr="00E850D6">
        <w:rPr>
          <w:rFonts w:asciiTheme="minorHAnsi" w:hAnsiTheme="minorHAnsi" w:cstheme="minorHAnsi"/>
          <w:bCs/>
          <w:sz w:val="18"/>
          <w:szCs w:val="18"/>
        </w:rPr>
        <w:t>El ejercicio 2022 fue un año turbulento y de mucha volatilidad, en gran medida provocada por la guerra de Ucrania y por la demanda debilitada de China, luego de su lucha contra el Covid-19. Al último día hábil, el precio del petróleo ganó para cerrar el 2022 con su última ganancia.</w:t>
      </w:r>
    </w:p>
    <w:p w14:paraId="4FAEFDA3" w14:textId="77777777" w:rsidR="00E92EC1" w:rsidRPr="00E850D6" w:rsidRDefault="00E92EC1" w:rsidP="00E92EC1">
      <w:pPr>
        <w:pStyle w:val="NormalWeb"/>
        <w:spacing w:before="0" w:beforeAutospacing="0" w:after="0" w:afterAutospacing="0"/>
        <w:jc w:val="both"/>
        <w:rPr>
          <w:rFonts w:asciiTheme="minorHAnsi" w:hAnsiTheme="minorHAnsi" w:cstheme="minorHAnsi"/>
          <w:b/>
          <w:sz w:val="18"/>
          <w:szCs w:val="18"/>
        </w:rPr>
      </w:pPr>
    </w:p>
    <w:p w14:paraId="07453321" w14:textId="77777777" w:rsidR="00E92EC1" w:rsidRPr="00E850D6" w:rsidRDefault="00E92EC1" w:rsidP="00E92EC1">
      <w:pPr>
        <w:pStyle w:val="NormalWeb"/>
        <w:spacing w:before="0" w:beforeAutospacing="0" w:after="0" w:afterAutospacing="0"/>
        <w:jc w:val="both"/>
        <w:rPr>
          <w:rFonts w:asciiTheme="minorHAnsi" w:hAnsiTheme="minorHAnsi" w:cstheme="minorHAnsi"/>
          <w:bCs/>
          <w:sz w:val="18"/>
          <w:szCs w:val="18"/>
        </w:rPr>
      </w:pPr>
      <w:r w:rsidRPr="00E850D6">
        <w:rPr>
          <w:rFonts w:asciiTheme="minorHAnsi" w:hAnsiTheme="minorHAnsi" w:cstheme="minorHAnsi"/>
          <w:bCs/>
          <w:sz w:val="18"/>
          <w:szCs w:val="18"/>
        </w:rPr>
        <w:t>El petróleo Brent subió 0.7% para cerrar en $84.01 dólares por barril, mientras que el WTI cayó dos centavos y cerró en $78.38 dólares por barril. Por su parte, la mezcla mexicana de petróleo perdió 0.96% y cerró en $67.32 dólares por barril.</w:t>
      </w:r>
    </w:p>
    <w:p w14:paraId="04C73576" w14:textId="77777777" w:rsidR="00E92EC1" w:rsidRPr="00FB6304" w:rsidRDefault="00E92EC1" w:rsidP="00E92EC1">
      <w:pPr>
        <w:pStyle w:val="NormalWeb"/>
        <w:spacing w:before="0" w:beforeAutospacing="0" w:after="0" w:afterAutospacing="0"/>
        <w:jc w:val="both"/>
        <w:rPr>
          <w:rFonts w:asciiTheme="minorHAnsi" w:hAnsiTheme="minorHAnsi" w:cstheme="minorHAnsi"/>
          <w:bCs/>
          <w:sz w:val="22"/>
          <w:szCs w:val="18"/>
        </w:rPr>
      </w:pPr>
    </w:p>
    <w:p w14:paraId="695A9362" w14:textId="00A189A5" w:rsidR="00E92EC1" w:rsidRDefault="00E92EC1" w:rsidP="00FB6304">
      <w:pPr>
        <w:pStyle w:val="NormalWeb"/>
        <w:spacing w:before="0" w:beforeAutospacing="0" w:after="0" w:afterAutospacing="0"/>
        <w:jc w:val="both"/>
        <w:rPr>
          <w:rFonts w:asciiTheme="minorHAnsi" w:hAnsiTheme="minorHAnsi" w:cstheme="minorHAnsi"/>
          <w:bCs/>
          <w:sz w:val="18"/>
          <w:szCs w:val="18"/>
        </w:rPr>
      </w:pPr>
      <w:r w:rsidRPr="00E850D6">
        <w:rPr>
          <w:rFonts w:asciiTheme="minorHAnsi" w:hAnsiTheme="minorHAnsi" w:cstheme="minorHAnsi"/>
          <w:bCs/>
          <w:sz w:val="18"/>
          <w:szCs w:val="18"/>
        </w:rPr>
        <w:t xml:space="preserve">Sobre este tema, la SHCP confirmó que se contrataron las coberturas petroleras para 2023, blindando los ingresos de Pemex por la exportación de crudo, y los del gobierno federal también, el precio contratado fue de </w:t>
      </w:r>
      <w:r w:rsidR="00AE2249">
        <w:rPr>
          <w:rFonts w:asciiTheme="minorHAnsi" w:hAnsiTheme="minorHAnsi" w:cstheme="minorHAnsi"/>
          <w:bCs/>
          <w:sz w:val="18"/>
          <w:szCs w:val="18"/>
        </w:rPr>
        <w:t>$</w:t>
      </w:r>
      <w:r w:rsidRPr="00E850D6">
        <w:rPr>
          <w:rFonts w:asciiTheme="minorHAnsi" w:hAnsiTheme="minorHAnsi" w:cstheme="minorHAnsi"/>
          <w:bCs/>
          <w:sz w:val="18"/>
          <w:szCs w:val="18"/>
        </w:rPr>
        <w:t>68.70 dólares por barril y protege el precio de entre 200 y 300 millones de barriles de petróleo de exportación.</w:t>
      </w:r>
    </w:p>
    <w:p w14:paraId="502A3CAF" w14:textId="0DC546F0" w:rsidR="00FB6304" w:rsidRDefault="00FB6304" w:rsidP="00FB6304">
      <w:pPr>
        <w:pStyle w:val="NormalWeb"/>
        <w:spacing w:before="0" w:beforeAutospacing="0" w:after="0" w:afterAutospacing="0"/>
        <w:jc w:val="both"/>
        <w:rPr>
          <w:rFonts w:asciiTheme="minorHAnsi" w:hAnsiTheme="minorHAnsi" w:cstheme="minorHAnsi"/>
          <w:bCs/>
          <w:sz w:val="18"/>
          <w:szCs w:val="18"/>
        </w:rPr>
      </w:pPr>
    </w:p>
    <w:p w14:paraId="643F2C4B" w14:textId="77777777" w:rsidR="00FB6304" w:rsidRPr="00E850D6" w:rsidRDefault="00FB6304" w:rsidP="00FB6304">
      <w:pPr>
        <w:pStyle w:val="NormalWeb"/>
        <w:spacing w:before="0" w:beforeAutospacing="0" w:after="0" w:afterAutospacing="0"/>
        <w:jc w:val="both"/>
        <w:rPr>
          <w:rFonts w:asciiTheme="minorHAnsi" w:hAnsiTheme="minorHAnsi" w:cstheme="minorHAnsi"/>
          <w:bCs/>
          <w:sz w:val="18"/>
          <w:szCs w:val="18"/>
        </w:rPr>
      </w:pPr>
    </w:p>
    <w:p w14:paraId="52D4F430" w14:textId="77777777" w:rsidR="00E92EC1" w:rsidRPr="00E850D6" w:rsidRDefault="00E92EC1" w:rsidP="00FB6304">
      <w:pPr>
        <w:pStyle w:val="NormalWeb"/>
        <w:spacing w:before="0" w:beforeAutospacing="0" w:after="0" w:afterAutospacing="0"/>
        <w:jc w:val="both"/>
        <w:rPr>
          <w:rFonts w:asciiTheme="minorHAnsi" w:hAnsiTheme="minorHAnsi" w:cstheme="minorHAnsi"/>
          <w:bCs/>
          <w:sz w:val="18"/>
          <w:szCs w:val="18"/>
        </w:rPr>
      </w:pPr>
      <w:r w:rsidRPr="00E850D6">
        <w:rPr>
          <w:rFonts w:asciiTheme="minorHAnsi" w:hAnsiTheme="minorHAnsi" w:cstheme="minorHAnsi"/>
          <w:bCs/>
          <w:sz w:val="18"/>
          <w:szCs w:val="18"/>
        </w:rPr>
        <w:t>En relación a la operación de Pemex, esta se ha beneficiado de los altos precios que registra la mezcla mexicana de exportación en este 2022, lo cual le reporta un fuerte incremento en sus ingresos, y dado que sigue arrastrando una considerable deuda externa, el gobierno federal a través de la SHCP la sigue apoyando, otorgándole importantes apoyos presupuestales para sanear sus finanzas internas.</w:t>
      </w:r>
    </w:p>
    <w:p w14:paraId="4EA8AA41" w14:textId="77777777" w:rsidR="00E92EC1" w:rsidRPr="00E850D6" w:rsidRDefault="00E92EC1" w:rsidP="00E92EC1">
      <w:pPr>
        <w:pStyle w:val="NormalWeb"/>
        <w:jc w:val="both"/>
        <w:rPr>
          <w:rFonts w:asciiTheme="minorHAnsi" w:hAnsiTheme="minorHAnsi" w:cstheme="minorHAnsi"/>
          <w:bCs/>
          <w:sz w:val="18"/>
          <w:szCs w:val="18"/>
        </w:rPr>
      </w:pPr>
      <w:r w:rsidRPr="00E850D6">
        <w:rPr>
          <w:rFonts w:asciiTheme="minorHAnsi" w:hAnsiTheme="minorHAnsi" w:cstheme="minorHAnsi"/>
          <w:bCs/>
          <w:sz w:val="18"/>
          <w:szCs w:val="18"/>
        </w:rPr>
        <w:t>Pero si bien la vacunación global empujó la recuperación de la economía mundial, y con ello también a los precios del barriles de petróleo mexicano de exportación, marcando precios máximos de cierre en la segunda parte del 2021, la invasión de Rusia en Ucrania en febrero del 2022, catapultó lo precios aún más, acercándose a los 120 dólares por barril el 08 de Marzo del 2022, mes el cual terminaría en 98 dólares por barril.</w:t>
      </w:r>
    </w:p>
    <w:p w14:paraId="37987121" w14:textId="7197A221" w:rsidR="00E92EC1" w:rsidRPr="00B34B21" w:rsidRDefault="00E92EC1" w:rsidP="00E92EC1">
      <w:pPr>
        <w:jc w:val="both"/>
        <w:rPr>
          <w:rFonts w:asciiTheme="minorHAnsi" w:hAnsiTheme="minorHAnsi" w:cstheme="minorHAnsi"/>
          <w:b/>
          <w:sz w:val="20"/>
          <w:szCs w:val="18"/>
        </w:rPr>
      </w:pPr>
      <w:r w:rsidRPr="00B34B21">
        <w:rPr>
          <w:rFonts w:asciiTheme="minorHAnsi" w:hAnsiTheme="minorHAnsi" w:cstheme="minorHAnsi"/>
          <w:b/>
          <w:sz w:val="20"/>
          <w:szCs w:val="18"/>
        </w:rPr>
        <w:t>Tipos de crudo en México</w:t>
      </w:r>
    </w:p>
    <w:p w14:paraId="2ED89B04" w14:textId="24026972" w:rsidR="00E92EC1" w:rsidRPr="00E850D6"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t>De acuerdo con indicadores de Pemex, de la producción petrolera en el país, el 54% es considerada como crudo pesado (Maya), el 33% como ligero (Istmo) y el 12% restante corresponde a crudo superligero (Olmeca).</w:t>
      </w:r>
    </w:p>
    <w:p w14:paraId="4470F5B9" w14:textId="28AA300F" w:rsidR="00E92EC1" w:rsidRPr="00E850D6"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t>Se considera que la mezcla Maya es la más competitiva de las mexicanas al ser la de mayor exportación, además de utilizarse como mezcla sustituta de las otras dos. Por tratarse de un crudo "pesado" tiene un menor rendimiento en la producción de gasolinas y diesel, sin embargo, gracias a esta característica, es la principal fuente de energía para la producción de energía para uso doméstico.</w:t>
      </w:r>
    </w:p>
    <w:p w14:paraId="69049AFD" w14:textId="6274749A" w:rsidR="00E92EC1" w:rsidRPr="00E850D6"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t>El Istmo, al ser un crudo ligero, puede dar mayor rendimiento en la producción de gasolinas y destilados intermedios (productos derivados del petróleo que se obtienen en el intervalo "medio" de ebullición, entre 180°C y 360°C).</w:t>
      </w:r>
    </w:p>
    <w:p w14:paraId="4A0008B3" w14:textId="50A2B868" w:rsidR="00E92EC1" w:rsidRPr="00E850D6"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t>La mezcla Olmeca está considerada como “extra ligera”, característica que la hace útil para la producción de lubricantes y petroquímicos.</w:t>
      </w:r>
    </w:p>
    <w:p w14:paraId="7613430A" w14:textId="6CFD6899" w:rsidR="00E92EC1" w:rsidRPr="00B34B21" w:rsidRDefault="00E92EC1" w:rsidP="00E92EC1">
      <w:pPr>
        <w:jc w:val="both"/>
        <w:rPr>
          <w:rFonts w:asciiTheme="minorHAnsi" w:hAnsiTheme="minorHAnsi" w:cstheme="minorHAnsi"/>
          <w:b/>
          <w:sz w:val="20"/>
          <w:szCs w:val="18"/>
        </w:rPr>
      </w:pPr>
      <w:r w:rsidRPr="00B34B21">
        <w:rPr>
          <w:rFonts w:asciiTheme="minorHAnsi" w:hAnsiTheme="minorHAnsi" w:cstheme="minorHAnsi"/>
          <w:b/>
          <w:sz w:val="20"/>
          <w:szCs w:val="18"/>
        </w:rPr>
        <w:t>2.2.6.- Remesas recibidas de los paisanos que trabajan en el extranjero.</w:t>
      </w:r>
    </w:p>
    <w:p w14:paraId="7EE7B83F" w14:textId="10717E0D" w:rsidR="00E92EC1" w:rsidRPr="00E850D6"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t>Las remesas contribuyen a la macroeconomía de las naciones a donde son enviadas, impactando en el consumo global. A nivel microeconómico, en la economía del hogar, ayudan a las familias que las reciben en sus gastos cotidianos.</w:t>
      </w:r>
    </w:p>
    <w:p w14:paraId="4634E422" w14:textId="7A7C5FBB" w:rsidR="00E92EC1" w:rsidRPr="00E850D6"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t>La principal fuente de ingresos al país fueron las remesas recibidas desde el extranjero, pero prevé una afectación negativa ante el aumento de la tasa de desempleo en Estados Unidos.</w:t>
      </w:r>
    </w:p>
    <w:p w14:paraId="634EACBD" w14:textId="66C89953" w:rsidR="00E92EC1" w:rsidRPr="00E850D6" w:rsidRDefault="00E92EC1" w:rsidP="00245CD9">
      <w:pPr>
        <w:jc w:val="both"/>
        <w:rPr>
          <w:rFonts w:asciiTheme="minorHAnsi" w:hAnsiTheme="minorHAnsi" w:cstheme="minorHAnsi"/>
          <w:bCs/>
          <w:sz w:val="18"/>
          <w:szCs w:val="18"/>
        </w:rPr>
      </w:pPr>
      <w:r w:rsidRPr="00E850D6">
        <w:rPr>
          <w:rFonts w:asciiTheme="minorHAnsi" w:hAnsiTheme="minorHAnsi" w:cstheme="minorHAnsi"/>
          <w:bCs/>
          <w:sz w:val="18"/>
          <w:szCs w:val="18"/>
        </w:rPr>
        <w:t>México ha podido mantener una importante estabilidad en materia económica, así como una recuperación en varios ámbitos luego de diversos acontecimientos mundiales que provocaron importantes alteraciones. Uno de los pilares que durante 2022 fue clave para la economía nacional fue la cantidad histórica de remesas que se recibieron desde el extranjero, un nuevo récord que sólo en 11 meses superó cualquier año previo.</w:t>
      </w:r>
    </w:p>
    <w:p w14:paraId="5C45AB58" w14:textId="77777777" w:rsidR="00E92EC1" w:rsidRPr="00E850D6"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t>No obstante, y a pesar de que son múltiples los indicadores que dan muestra de un fortalecimiento respecto a los dos años anteriores, el país lidió con la inflación como el principal reto. Debido al impacto que tiene directamente sobre los bolsillos de las familias mexicanas, el aumento en los precios de bienes y servicios fue el problema central que las autoridades debieron gestionar y que, para 2023, se mantendrá en esta misma condición.</w:t>
      </w:r>
    </w:p>
    <w:p w14:paraId="6E016DE1" w14:textId="6C0F80F9" w:rsidR="00E92EC1"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t>En relación al dinero enviado desde el extranjero, el Banco de México calcula que se han recibido más de 53 mil millones de dólares (mmdd) de enero a noviembre de 2022. Con ello, se ha superado el máximo histórico de 51.5 mmdd registrado durante 2021. Sin embargo, con diciembre aún por contabilizar la cifra se acercará a los 60 mmdd, algo nunca antes visto en la economía mexicana.</w:t>
      </w:r>
    </w:p>
    <w:p w14:paraId="29D3D1EF" w14:textId="77777777" w:rsidR="00FB6304" w:rsidRDefault="00FB6304" w:rsidP="00E92EC1">
      <w:pPr>
        <w:jc w:val="both"/>
        <w:rPr>
          <w:rFonts w:asciiTheme="minorHAnsi" w:hAnsiTheme="minorHAnsi" w:cstheme="minorHAnsi"/>
          <w:bCs/>
          <w:sz w:val="18"/>
          <w:szCs w:val="18"/>
        </w:rPr>
      </w:pPr>
    </w:p>
    <w:p w14:paraId="260B4BFE" w14:textId="4E8C1E4D" w:rsidR="00E92EC1" w:rsidRPr="00B34B21" w:rsidRDefault="00E92EC1" w:rsidP="00E92EC1">
      <w:pPr>
        <w:pStyle w:val="NormalWeb"/>
        <w:spacing w:before="0" w:beforeAutospacing="0" w:after="0" w:afterAutospacing="0"/>
        <w:jc w:val="both"/>
        <w:rPr>
          <w:rFonts w:asciiTheme="minorHAnsi" w:hAnsiTheme="minorHAnsi" w:cstheme="minorHAnsi"/>
          <w:b/>
          <w:sz w:val="20"/>
          <w:szCs w:val="18"/>
        </w:rPr>
      </w:pPr>
      <w:r w:rsidRPr="00B34B21">
        <w:rPr>
          <w:rFonts w:asciiTheme="minorHAnsi" w:hAnsiTheme="minorHAnsi" w:cstheme="minorHAnsi"/>
          <w:b/>
          <w:sz w:val="20"/>
          <w:szCs w:val="18"/>
        </w:rPr>
        <w:t>2.2.7.- Bolsa Mexicana de Valores y Bolsa Institucional de Valores.</w:t>
      </w:r>
    </w:p>
    <w:p w14:paraId="70735666" w14:textId="77777777" w:rsidR="00291DC2" w:rsidRPr="00E850D6" w:rsidRDefault="00291DC2" w:rsidP="00E92EC1">
      <w:pPr>
        <w:pStyle w:val="NormalWeb"/>
        <w:spacing w:before="0" w:beforeAutospacing="0" w:after="0" w:afterAutospacing="0"/>
        <w:jc w:val="both"/>
        <w:rPr>
          <w:rFonts w:asciiTheme="minorHAnsi" w:hAnsiTheme="minorHAnsi" w:cstheme="minorHAnsi"/>
          <w:b/>
          <w:sz w:val="18"/>
          <w:szCs w:val="18"/>
        </w:rPr>
      </w:pPr>
    </w:p>
    <w:p w14:paraId="3227D623" w14:textId="59BCD917" w:rsidR="00E92EC1" w:rsidRPr="00E850D6"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t xml:space="preserve">En un año marcado por las políticas restrictivas de los bancos centrales, por la inflación y la incertidumbre ante el conflicto ruso en Ucrania y el aumento de contagios de covid en China, la Bolsa Mexicana de Valores ha seguido la estela de las grandes Bolsas mundiales, que se han teñido de rojo, y concluye 2022 con una caída del 9%, su peor resultado desde 2018, año en que su pérdida fue del 15%, y el éxodo de empresas. </w:t>
      </w:r>
    </w:p>
    <w:p w14:paraId="10A46423" w14:textId="677A4BDA" w:rsidR="00E92EC1" w:rsidRPr="00E850D6"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t>El índice IPC de la Bolsa Mexicana de Valores (BMV) —integrado por las 36 firmas más líquidas del mercado doméstico cerró con 48.463,8 puntos, un 9% menos respecto a las 53.175,2 unidades reportadas el 30 de diciembre de 2021.</w:t>
      </w:r>
    </w:p>
    <w:p w14:paraId="0DA2504F" w14:textId="77777777" w:rsidR="00E92EC1" w:rsidRPr="00B34B21" w:rsidRDefault="00E92EC1" w:rsidP="00E92EC1">
      <w:pPr>
        <w:pStyle w:val="NormalWeb"/>
        <w:spacing w:before="0" w:beforeAutospacing="0" w:after="0" w:afterAutospacing="0"/>
        <w:jc w:val="both"/>
        <w:rPr>
          <w:rFonts w:asciiTheme="minorHAnsi" w:hAnsiTheme="minorHAnsi" w:cstheme="minorHAnsi"/>
          <w:b/>
          <w:sz w:val="20"/>
          <w:szCs w:val="18"/>
        </w:rPr>
      </w:pPr>
      <w:r w:rsidRPr="00B34B21">
        <w:rPr>
          <w:rFonts w:asciiTheme="minorHAnsi" w:hAnsiTheme="minorHAnsi" w:cstheme="minorHAnsi"/>
          <w:b/>
          <w:sz w:val="20"/>
          <w:szCs w:val="18"/>
        </w:rPr>
        <w:t xml:space="preserve">2.3.- Escenario Económico Estatal al cierre del cuarto trimestre del 2022. </w:t>
      </w:r>
    </w:p>
    <w:p w14:paraId="26EFA604" w14:textId="77777777" w:rsidR="00E92EC1" w:rsidRPr="00B34B21" w:rsidRDefault="00E92EC1" w:rsidP="00E92EC1">
      <w:pPr>
        <w:jc w:val="both"/>
        <w:rPr>
          <w:rFonts w:asciiTheme="minorHAnsi" w:hAnsiTheme="minorHAnsi" w:cstheme="minorHAnsi"/>
          <w:b/>
          <w:bCs/>
          <w:sz w:val="20"/>
          <w:szCs w:val="18"/>
        </w:rPr>
      </w:pPr>
      <w:r w:rsidRPr="00B34B21">
        <w:rPr>
          <w:rFonts w:asciiTheme="minorHAnsi" w:hAnsiTheme="minorHAnsi" w:cstheme="minorHAnsi"/>
          <w:b/>
          <w:bCs/>
          <w:sz w:val="20"/>
          <w:szCs w:val="18"/>
        </w:rPr>
        <w:t>2.3.1. Tamaulipas y la frontera norte, fortaleza del comercio exterior de México.</w:t>
      </w:r>
    </w:p>
    <w:p w14:paraId="44D02DEE" w14:textId="5FB2BFF0"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Tamaulipas es una entidad federativa ubicada en la frontera norte del país, con una extensión territorial de 80,249 kilómetros cuadrados, comparte con los Estados Unidos de América una frontera común de 370 kilómetros con el Estado de Texas, colinda también con los Estados de Nuevo León, Veracruz y San Luis Potosí, además cuenta con un litoral de 433 kilómetros con el Golfo de México, que incluye la operación de los Puertos de Tampico, Altamira y Matamoros.</w:t>
      </w:r>
    </w:p>
    <w:p w14:paraId="7C5E34BC" w14:textId="30A94206"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En el rubro de servicios de aeronavegación, Tamaulipas cuenta con los Aeropuertos internacionales de Tampico, Cd. Victoria, Matamoros, Reynosa y Nuevo Laredo.</w:t>
      </w:r>
    </w:p>
    <w:p w14:paraId="12AD4A96" w14:textId="7D6BEE7E"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En su importante relación comercial con los Estados Unidos, Tamaulipas comparte con el Estado de Texas un total de 18 cruces internacionales, de los cuales 9 son comerciales, 7 vehiculares y 2 ferroviarios.</w:t>
      </w:r>
    </w:p>
    <w:p w14:paraId="1D131C09" w14:textId="77777777"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De acuerdo al último Censo de Población y Vivienda 2020 publicado por el INEGI, Tamaulipas cuenta con una población de 3.52 millones de habitantes, de los cuales un 61.3% está clasificada como población económicamente activa (PEA), ello considerando a un universo de población de 12 años y más. De este universo, un 40.3% son mujeres, y el restante 59.7% son hombres. </w:t>
      </w:r>
    </w:p>
    <w:p w14:paraId="3BA3399B" w14:textId="77777777" w:rsidR="00E92EC1" w:rsidRPr="00B34B21" w:rsidRDefault="00E92EC1" w:rsidP="00E92EC1">
      <w:pPr>
        <w:jc w:val="both"/>
        <w:rPr>
          <w:rFonts w:asciiTheme="minorHAnsi" w:hAnsiTheme="minorHAnsi" w:cstheme="minorHAnsi"/>
          <w:b/>
          <w:bCs/>
          <w:sz w:val="20"/>
          <w:szCs w:val="18"/>
        </w:rPr>
      </w:pPr>
      <w:r w:rsidRPr="00B34B21">
        <w:rPr>
          <w:rFonts w:asciiTheme="minorHAnsi" w:hAnsiTheme="minorHAnsi" w:cstheme="minorHAnsi"/>
          <w:b/>
          <w:bCs/>
          <w:sz w:val="20"/>
          <w:szCs w:val="18"/>
        </w:rPr>
        <w:t xml:space="preserve">2.3.2.- Captación de Inversión Extranjera Directa. (IED) </w:t>
      </w:r>
    </w:p>
    <w:p w14:paraId="65E9F612" w14:textId="78CCB079"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Según el </w:t>
      </w:r>
      <w:r w:rsidR="00396A2F" w:rsidRPr="00E850D6">
        <w:rPr>
          <w:rFonts w:asciiTheme="minorHAnsi" w:hAnsiTheme="minorHAnsi" w:cstheme="minorHAnsi"/>
          <w:sz w:val="18"/>
          <w:szCs w:val="18"/>
        </w:rPr>
        <w:t>último</w:t>
      </w:r>
      <w:r w:rsidRPr="00E850D6">
        <w:rPr>
          <w:rFonts w:asciiTheme="minorHAnsi" w:hAnsiTheme="minorHAnsi" w:cstheme="minorHAnsi"/>
          <w:sz w:val="18"/>
          <w:szCs w:val="18"/>
        </w:rPr>
        <w:t xml:space="preserve"> Informe </w:t>
      </w:r>
      <w:r w:rsidR="005D7E4E" w:rsidRPr="00E850D6">
        <w:rPr>
          <w:rFonts w:asciiTheme="minorHAnsi" w:hAnsiTheme="minorHAnsi" w:cstheme="minorHAnsi"/>
          <w:sz w:val="18"/>
          <w:szCs w:val="18"/>
        </w:rPr>
        <w:t>Estadístico</w:t>
      </w:r>
      <w:r w:rsidRPr="00E850D6">
        <w:rPr>
          <w:rFonts w:asciiTheme="minorHAnsi" w:hAnsiTheme="minorHAnsi" w:cstheme="minorHAnsi"/>
          <w:sz w:val="18"/>
          <w:szCs w:val="18"/>
        </w:rPr>
        <w:t xml:space="preserve"> sobre el Comportamiento de la </w:t>
      </w:r>
      <w:r w:rsidR="005D7E4E" w:rsidRPr="00E850D6">
        <w:rPr>
          <w:rFonts w:asciiTheme="minorHAnsi" w:hAnsiTheme="minorHAnsi" w:cstheme="minorHAnsi"/>
          <w:sz w:val="18"/>
          <w:szCs w:val="18"/>
        </w:rPr>
        <w:t>Inversión</w:t>
      </w:r>
      <w:r w:rsidRPr="00E850D6">
        <w:rPr>
          <w:rFonts w:asciiTheme="minorHAnsi" w:hAnsiTheme="minorHAnsi" w:cstheme="minorHAnsi"/>
          <w:sz w:val="18"/>
          <w:szCs w:val="18"/>
        </w:rPr>
        <w:t xml:space="preserve"> Extranjera Directa en </w:t>
      </w:r>
      <w:r w:rsidR="005D7E4E" w:rsidRPr="00E850D6">
        <w:rPr>
          <w:rFonts w:asciiTheme="minorHAnsi" w:hAnsiTheme="minorHAnsi" w:cstheme="minorHAnsi"/>
          <w:sz w:val="18"/>
          <w:szCs w:val="18"/>
        </w:rPr>
        <w:t>México</w:t>
      </w:r>
      <w:r w:rsidRPr="00E850D6">
        <w:rPr>
          <w:rFonts w:asciiTheme="minorHAnsi" w:hAnsiTheme="minorHAnsi" w:cstheme="minorHAnsi"/>
          <w:sz w:val="18"/>
          <w:szCs w:val="18"/>
        </w:rPr>
        <w:t xml:space="preserve">, emitido por la </w:t>
      </w:r>
      <w:r w:rsidR="005D7E4E" w:rsidRPr="00E850D6">
        <w:rPr>
          <w:rFonts w:asciiTheme="minorHAnsi" w:hAnsiTheme="minorHAnsi" w:cstheme="minorHAnsi"/>
          <w:sz w:val="18"/>
          <w:szCs w:val="18"/>
        </w:rPr>
        <w:t>Comisión</w:t>
      </w:r>
      <w:r w:rsidRPr="00E850D6">
        <w:rPr>
          <w:rFonts w:asciiTheme="minorHAnsi" w:hAnsiTheme="minorHAnsi" w:cstheme="minorHAnsi"/>
          <w:sz w:val="18"/>
          <w:szCs w:val="18"/>
        </w:rPr>
        <w:t xml:space="preserve"> Nacional de Inversiones Extranjeras, entre los mes de enero y septiembre de 2022, </w:t>
      </w:r>
      <w:r w:rsidR="005D7E4E" w:rsidRPr="00E850D6">
        <w:rPr>
          <w:rFonts w:asciiTheme="minorHAnsi" w:hAnsiTheme="minorHAnsi" w:cstheme="minorHAnsi"/>
          <w:sz w:val="18"/>
          <w:szCs w:val="18"/>
        </w:rPr>
        <w:t>México</w:t>
      </w:r>
      <w:r w:rsidRPr="00E850D6">
        <w:rPr>
          <w:rFonts w:asciiTheme="minorHAnsi" w:hAnsiTheme="minorHAnsi" w:cstheme="minorHAnsi"/>
          <w:sz w:val="18"/>
          <w:szCs w:val="18"/>
        </w:rPr>
        <w:t xml:space="preserve"> registró 32,147.4 millones de </w:t>
      </w:r>
      <w:r w:rsidR="005D7E4E" w:rsidRPr="00E850D6">
        <w:rPr>
          <w:rFonts w:asciiTheme="minorHAnsi" w:hAnsiTheme="minorHAnsi" w:cstheme="minorHAnsi"/>
          <w:sz w:val="18"/>
          <w:szCs w:val="18"/>
        </w:rPr>
        <w:t>dólares</w:t>
      </w:r>
      <w:r w:rsidRPr="00E850D6">
        <w:rPr>
          <w:rFonts w:asciiTheme="minorHAnsi" w:hAnsiTheme="minorHAnsi" w:cstheme="minorHAnsi"/>
          <w:sz w:val="18"/>
          <w:szCs w:val="18"/>
        </w:rPr>
        <w:t xml:space="preserve"> (mdd) por concepto de Inversión Extranjera Directa, cifra 29.5% mayor que la cifra preliminar del mismo periodo de 2021 (24,831.7 mdd).</w:t>
      </w:r>
    </w:p>
    <w:p w14:paraId="08D93167" w14:textId="03D2517C"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Informando que de lo anterior el Estado de Tamaulipas captó un total de 834.0 millones de dólares, con una </w:t>
      </w:r>
      <w:r w:rsidR="005D7E4E" w:rsidRPr="00E850D6">
        <w:rPr>
          <w:rFonts w:asciiTheme="minorHAnsi" w:hAnsiTheme="minorHAnsi" w:cstheme="minorHAnsi"/>
          <w:sz w:val="18"/>
          <w:szCs w:val="18"/>
        </w:rPr>
        <w:t>participación</w:t>
      </w:r>
      <w:r w:rsidRPr="00E850D6">
        <w:rPr>
          <w:rFonts w:asciiTheme="minorHAnsi" w:hAnsiTheme="minorHAnsi" w:cstheme="minorHAnsi"/>
          <w:sz w:val="18"/>
          <w:szCs w:val="18"/>
        </w:rPr>
        <w:t xml:space="preserve"> del 2.6 % a nivel nacional, </w:t>
      </w:r>
      <w:r w:rsidR="005D7E4E" w:rsidRPr="00E850D6">
        <w:rPr>
          <w:rFonts w:asciiTheme="minorHAnsi" w:hAnsiTheme="minorHAnsi" w:cstheme="minorHAnsi"/>
          <w:sz w:val="18"/>
          <w:szCs w:val="18"/>
        </w:rPr>
        <w:t>posicionándose</w:t>
      </w:r>
      <w:r w:rsidRPr="00E850D6">
        <w:rPr>
          <w:rFonts w:asciiTheme="minorHAnsi" w:hAnsiTheme="minorHAnsi" w:cstheme="minorHAnsi"/>
          <w:sz w:val="18"/>
          <w:szCs w:val="18"/>
        </w:rPr>
        <w:t xml:space="preserve"> con </w:t>
      </w:r>
      <w:r w:rsidR="005D7E4E" w:rsidRPr="00E850D6">
        <w:rPr>
          <w:rFonts w:asciiTheme="minorHAnsi" w:hAnsiTheme="minorHAnsi" w:cstheme="minorHAnsi"/>
          <w:sz w:val="18"/>
          <w:szCs w:val="18"/>
        </w:rPr>
        <w:t>ello</w:t>
      </w:r>
      <w:r w:rsidRPr="00E850D6">
        <w:rPr>
          <w:rFonts w:asciiTheme="minorHAnsi" w:hAnsiTheme="minorHAnsi" w:cstheme="minorHAnsi"/>
          <w:sz w:val="18"/>
          <w:szCs w:val="18"/>
        </w:rPr>
        <w:t xml:space="preserve"> en el noveno lugar de participación según su acumulado </w:t>
      </w:r>
      <w:r w:rsidR="005D7E4E" w:rsidRPr="00E850D6">
        <w:rPr>
          <w:rFonts w:asciiTheme="minorHAnsi" w:hAnsiTheme="minorHAnsi" w:cstheme="minorHAnsi"/>
          <w:sz w:val="18"/>
          <w:szCs w:val="18"/>
        </w:rPr>
        <w:t>histórico</w:t>
      </w:r>
      <w:r w:rsidRPr="00E850D6">
        <w:rPr>
          <w:rFonts w:asciiTheme="minorHAnsi" w:hAnsiTheme="minorHAnsi" w:cstheme="minorHAnsi"/>
          <w:sz w:val="18"/>
          <w:szCs w:val="18"/>
        </w:rPr>
        <w:t xml:space="preserve"> de Inversión Extranjera Directa por el periodo acumulado de 1999 a 2022, con un valor de inversión de 24,815.9 millones </w:t>
      </w:r>
      <w:r w:rsidR="005D7E4E" w:rsidRPr="00E850D6">
        <w:rPr>
          <w:rFonts w:asciiTheme="minorHAnsi" w:hAnsiTheme="minorHAnsi" w:cstheme="minorHAnsi"/>
          <w:sz w:val="18"/>
          <w:szCs w:val="18"/>
        </w:rPr>
        <w:t>dólares</w:t>
      </w:r>
      <w:r w:rsidRPr="00E850D6">
        <w:rPr>
          <w:rFonts w:asciiTheme="minorHAnsi" w:hAnsiTheme="minorHAnsi" w:cstheme="minorHAnsi"/>
          <w:sz w:val="18"/>
          <w:szCs w:val="18"/>
        </w:rPr>
        <w:t xml:space="preserve"> (mdd) alcanzando un porcentaje de participación del 3.7%.</w:t>
      </w:r>
    </w:p>
    <w:p w14:paraId="7E9D798A" w14:textId="65109146" w:rsidR="00E92EC1" w:rsidRDefault="00E92EC1" w:rsidP="00FB6304">
      <w:pPr>
        <w:spacing w:after="0"/>
        <w:jc w:val="both"/>
        <w:rPr>
          <w:rFonts w:asciiTheme="minorHAnsi" w:hAnsiTheme="minorHAnsi" w:cstheme="minorHAnsi"/>
          <w:sz w:val="18"/>
          <w:szCs w:val="18"/>
        </w:rPr>
      </w:pPr>
      <w:r w:rsidRPr="00E850D6">
        <w:rPr>
          <w:rFonts w:asciiTheme="minorHAnsi" w:hAnsiTheme="minorHAnsi" w:cstheme="minorHAnsi"/>
          <w:sz w:val="18"/>
          <w:szCs w:val="18"/>
        </w:rPr>
        <w:t>La información oficial anterior puede ser consultada en la siguiente liga.</w:t>
      </w:r>
    </w:p>
    <w:p w14:paraId="47A2077E" w14:textId="77777777" w:rsidR="00FB6304" w:rsidRPr="00FB6304" w:rsidRDefault="00FB6304" w:rsidP="00FB6304">
      <w:pPr>
        <w:spacing w:after="0"/>
        <w:jc w:val="both"/>
        <w:rPr>
          <w:rFonts w:asciiTheme="minorHAnsi" w:hAnsiTheme="minorHAnsi" w:cstheme="minorHAnsi"/>
          <w:szCs w:val="18"/>
        </w:rPr>
      </w:pPr>
    </w:p>
    <w:p w14:paraId="660C6F7A" w14:textId="3111948F" w:rsidR="00E92EC1" w:rsidRPr="00E850D6" w:rsidRDefault="00291DC2" w:rsidP="00FB6304">
      <w:pPr>
        <w:spacing w:after="0"/>
        <w:jc w:val="both"/>
        <w:rPr>
          <w:rFonts w:asciiTheme="minorHAnsi" w:hAnsiTheme="minorHAnsi" w:cstheme="minorHAnsi"/>
          <w:b/>
          <w:sz w:val="18"/>
          <w:szCs w:val="18"/>
        </w:rPr>
      </w:pPr>
      <w:r w:rsidRPr="00E850D6">
        <w:rPr>
          <w:rFonts w:asciiTheme="minorHAnsi" w:hAnsiTheme="minorHAnsi" w:cstheme="minorHAnsi"/>
          <w:b/>
          <w:sz w:val="18"/>
          <w:szCs w:val="18"/>
        </w:rPr>
        <w:t>COMISIÓN</w:t>
      </w:r>
      <w:r w:rsidR="00E92EC1" w:rsidRPr="00E850D6">
        <w:rPr>
          <w:rFonts w:asciiTheme="minorHAnsi" w:hAnsiTheme="minorHAnsi" w:cstheme="minorHAnsi"/>
          <w:b/>
          <w:sz w:val="18"/>
          <w:szCs w:val="18"/>
        </w:rPr>
        <w:t xml:space="preserve"> NACIONAL DE INVERSIONES EXTRANJERAS</w:t>
      </w:r>
      <w:r w:rsidR="00B34B21">
        <w:rPr>
          <w:rFonts w:asciiTheme="minorHAnsi" w:hAnsiTheme="minorHAnsi" w:cstheme="minorHAnsi"/>
          <w:b/>
          <w:sz w:val="18"/>
          <w:szCs w:val="18"/>
        </w:rPr>
        <w:t xml:space="preserve">  </w:t>
      </w:r>
      <w:r w:rsidR="00E92EC1" w:rsidRPr="00E850D6">
        <w:rPr>
          <w:rFonts w:asciiTheme="minorHAnsi" w:hAnsiTheme="minorHAnsi" w:cstheme="minorHAnsi"/>
          <w:b/>
          <w:sz w:val="18"/>
          <w:szCs w:val="18"/>
        </w:rPr>
        <w:t xml:space="preserve"> </w:t>
      </w:r>
      <w:r w:rsidR="00E92EC1" w:rsidRPr="00B34B21">
        <w:rPr>
          <w:rFonts w:asciiTheme="minorHAnsi" w:hAnsiTheme="minorHAnsi" w:cstheme="minorHAnsi"/>
          <w:b/>
          <w:color w:val="AB0033"/>
          <w:sz w:val="18"/>
          <w:szCs w:val="18"/>
        </w:rPr>
        <w:t>(</w:t>
      </w:r>
      <w:hyperlink r:id="rId11" w:history="1">
        <w:r w:rsidR="00E92EC1" w:rsidRPr="00B34B21">
          <w:rPr>
            <w:rStyle w:val="Hipervnculo"/>
            <w:rFonts w:asciiTheme="minorHAnsi" w:hAnsiTheme="minorHAnsi" w:cstheme="minorHAnsi"/>
            <w:b/>
            <w:color w:val="AB0033"/>
            <w:sz w:val="18"/>
            <w:szCs w:val="18"/>
          </w:rPr>
          <w:t>www.gob.mx</w:t>
        </w:r>
      </w:hyperlink>
      <w:r w:rsidR="00E92EC1" w:rsidRPr="00E850D6">
        <w:rPr>
          <w:rFonts w:asciiTheme="minorHAnsi" w:hAnsiTheme="minorHAnsi" w:cstheme="minorHAnsi"/>
          <w:b/>
          <w:sz w:val="18"/>
          <w:szCs w:val="18"/>
        </w:rPr>
        <w:t>)</w:t>
      </w:r>
    </w:p>
    <w:p w14:paraId="3B97B4E6" w14:textId="77777777" w:rsidR="00F46E2A" w:rsidRDefault="00F46E2A" w:rsidP="00FB6304">
      <w:pPr>
        <w:spacing w:after="0"/>
        <w:jc w:val="both"/>
        <w:rPr>
          <w:rFonts w:asciiTheme="minorHAnsi" w:hAnsiTheme="minorHAnsi" w:cstheme="minorHAnsi"/>
          <w:b/>
          <w:bCs/>
          <w:sz w:val="18"/>
          <w:szCs w:val="18"/>
        </w:rPr>
      </w:pPr>
    </w:p>
    <w:p w14:paraId="061D898B" w14:textId="0F3D3E9D" w:rsidR="00E92EC1" w:rsidRPr="00B34B21" w:rsidRDefault="00E92EC1" w:rsidP="00FB6304">
      <w:pPr>
        <w:spacing w:after="0"/>
        <w:jc w:val="both"/>
        <w:rPr>
          <w:rFonts w:asciiTheme="minorHAnsi" w:hAnsiTheme="minorHAnsi" w:cstheme="minorHAnsi"/>
          <w:b/>
          <w:bCs/>
          <w:sz w:val="20"/>
          <w:szCs w:val="18"/>
        </w:rPr>
      </w:pPr>
      <w:r w:rsidRPr="00B34B21">
        <w:rPr>
          <w:rFonts w:asciiTheme="minorHAnsi" w:hAnsiTheme="minorHAnsi" w:cstheme="minorHAnsi"/>
          <w:b/>
          <w:bCs/>
          <w:sz w:val="20"/>
          <w:szCs w:val="18"/>
        </w:rPr>
        <w:t>2.3.3.- Producto Interno Bruto Estatal. (PIB Estatal)</w:t>
      </w:r>
    </w:p>
    <w:p w14:paraId="02DEB2AB" w14:textId="77777777" w:rsidR="00FB6304" w:rsidRPr="00FB6304" w:rsidRDefault="00FB6304" w:rsidP="00FB6304">
      <w:pPr>
        <w:spacing w:after="0"/>
        <w:jc w:val="both"/>
        <w:rPr>
          <w:rFonts w:asciiTheme="minorHAnsi" w:hAnsiTheme="minorHAnsi" w:cstheme="minorHAnsi"/>
          <w:b/>
          <w:szCs w:val="18"/>
        </w:rPr>
      </w:pPr>
    </w:p>
    <w:p w14:paraId="43DC5153" w14:textId="3109F254" w:rsidR="00E92EC1" w:rsidRDefault="00E92EC1" w:rsidP="00FB6304">
      <w:pPr>
        <w:spacing w:after="0"/>
        <w:jc w:val="both"/>
        <w:rPr>
          <w:rFonts w:asciiTheme="minorHAnsi" w:hAnsiTheme="minorHAnsi" w:cstheme="minorHAnsi"/>
          <w:sz w:val="18"/>
          <w:szCs w:val="18"/>
        </w:rPr>
      </w:pPr>
      <w:r w:rsidRPr="00E850D6">
        <w:rPr>
          <w:rFonts w:asciiTheme="minorHAnsi" w:hAnsiTheme="minorHAnsi" w:cstheme="minorHAnsi"/>
          <w:sz w:val="18"/>
          <w:szCs w:val="18"/>
        </w:rPr>
        <w:t xml:space="preserve">Durante el segundo trimestre de 2022, la actividad </w:t>
      </w:r>
      <w:r w:rsidR="005D7E4E" w:rsidRPr="00E850D6">
        <w:rPr>
          <w:rFonts w:asciiTheme="minorHAnsi" w:hAnsiTheme="minorHAnsi" w:cstheme="minorHAnsi"/>
          <w:sz w:val="18"/>
          <w:szCs w:val="18"/>
        </w:rPr>
        <w:t>económica</w:t>
      </w:r>
      <w:r w:rsidRPr="00E850D6">
        <w:rPr>
          <w:rFonts w:asciiTheme="minorHAnsi" w:hAnsiTheme="minorHAnsi" w:cstheme="minorHAnsi"/>
          <w:sz w:val="18"/>
          <w:szCs w:val="18"/>
        </w:rPr>
        <w:t xml:space="preserve"> de Tamaulipas mostró un crecimiento anual de 3 %, que resultó del avance de las Actividades Primarias, Secundarias y Terciarias de 44.7, 3 y 1.8 %, respectivamente.</w:t>
      </w:r>
    </w:p>
    <w:p w14:paraId="65A24ED0" w14:textId="77777777" w:rsidR="00FB6304" w:rsidRPr="00E850D6" w:rsidRDefault="00FB6304" w:rsidP="00E92EC1">
      <w:pPr>
        <w:jc w:val="both"/>
        <w:rPr>
          <w:rFonts w:asciiTheme="minorHAnsi" w:hAnsiTheme="minorHAnsi" w:cstheme="minorHAnsi"/>
          <w:sz w:val="18"/>
          <w:szCs w:val="18"/>
        </w:rPr>
      </w:pPr>
    </w:p>
    <w:p w14:paraId="1509488A" w14:textId="590F88E7"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Durante el periodo enero a junio de 2022, el acumulado de la actividad </w:t>
      </w:r>
      <w:r w:rsidR="00291DC2" w:rsidRPr="00E850D6">
        <w:rPr>
          <w:rFonts w:asciiTheme="minorHAnsi" w:hAnsiTheme="minorHAnsi" w:cstheme="minorHAnsi"/>
          <w:sz w:val="18"/>
          <w:szCs w:val="18"/>
        </w:rPr>
        <w:t>económica</w:t>
      </w:r>
      <w:r w:rsidRPr="00E850D6">
        <w:rPr>
          <w:rFonts w:asciiTheme="minorHAnsi" w:hAnsiTheme="minorHAnsi" w:cstheme="minorHAnsi"/>
          <w:sz w:val="18"/>
          <w:szCs w:val="18"/>
        </w:rPr>
        <w:t xml:space="preserve"> estatal </w:t>
      </w:r>
      <w:r w:rsidR="00291DC2" w:rsidRPr="00E850D6">
        <w:rPr>
          <w:rFonts w:asciiTheme="minorHAnsi" w:hAnsiTheme="minorHAnsi" w:cstheme="minorHAnsi"/>
          <w:sz w:val="18"/>
          <w:szCs w:val="18"/>
        </w:rPr>
        <w:t>creció</w:t>
      </w:r>
      <w:r w:rsidRPr="00E850D6">
        <w:rPr>
          <w:rFonts w:asciiTheme="minorHAnsi" w:hAnsiTheme="minorHAnsi" w:cstheme="minorHAnsi"/>
          <w:sz w:val="18"/>
          <w:szCs w:val="18"/>
        </w:rPr>
        <w:t>́ 2.7 %, por el aumento en las Actividades Primarias, Secundarias y Terciarias de 28.8, 2.8 y 1.3 %, respectivamente.</w:t>
      </w:r>
    </w:p>
    <w:p w14:paraId="0440D323" w14:textId="0E372F4C"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De lo cual las Actividades Terciarias contribuyeron 1.1 %, seguidas de las Secundarias con 1 %, a la </w:t>
      </w:r>
      <w:r w:rsidR="00291DC2" w:rsidRPr="00E850D6">
        <w:rPr>
          <w:rFonts w:asciiTheme="minorHAnsi" w:hAnsiTheme="minorHAnsi" w:cstheme="minorHAnsi"/>
          <w:sz w:val="18"/>
          <w:szCs w:val="18"/>
        </w:rPr>
        <w:t>variación</w:t>
      </w:r>
      <w:r w:rsidRPr="00E850D6">
        <w:rPr>
          <w:rFonts w:asciiTheme="minorHAnsi" w:hAnsiTheme="minorHAnsi" w:cstheme="minorHAnsi"/>
          <w:sz w:val="18"/>
          <w:szCs w:val="18"/>
        </w:rPr>
        <w:t xml:space="preserve"> total del estado. Por su parte, en los primeros seis meses del </w:t>
      </w:r>
      <w:r w:rsidR="005D7E4E" w:rsidRPr="00E850D6">
        <w:rPr>
          <w:rFonts w:asciiTheme="minorHAnsi" w:hAnsiTheme="minorHAnsi" w:cstheme="minorHAnsi"/>
          <w:sz w:val="18"/>
          <w:szCs w:val="18"/>
        </w:rPr>
        <w:t>año</w:t>
      </w:r>
      <w:r w:rsidRPr="00E850D6">
        <w:rPr>
          <w:rFonts w:asciiTheme="minorHAnsi" w:hAnsiTheme="minorHAnsi" w:cstheme="minorHAnsi"/>
          <w:sz w:val="18"/>
          <w:szCs w:val="18"/>
        </w:rPr>
        <w:t xml:space="preserve">, las Actividades Secundarias fueron las de mayor </w:t>
      </w:r>
      <w:r w:rsidR="00291DC2" w:rsidRPr="00E850D6">
        <w:rPr>
          <w:rFonts w:asciiTheme="minorHAnsi" w:hAnsiTheme="minorHAnsi" w:cstheme="minorHAnsi"/>
          <w:sz w:val="18"/>
          <w:szCs w:val="18"/>
        </w:rPr>
        <w:t>aportación</w:t>
      </w:r>
      <w:r w:rsidRPr="00E850D6">
        <w:rPr>
          <w:rFonts w:asciiTheme="minorHAnsi" w:hAnsiTheme="minorHAnsi" w:cstheme="minorHAnsi"/>
          <w:sz w:val="18"/>
          <w:szCs w:val="18"/>
        </w:rPr>
        <w:t>.</w:t>
      </w:r>
    </w:p>
    <w:p w14:paraId="39AD846C" w14:textId="77777777" w:rsidR="00E92EC1" w:rsidRPr="00B34B21" w:rsidRDefault="00E92EC1" w:rsidP="00E92EC1">
      <w:pPr>
        <w:jc w:val="both"/>
        <w:rPr>
          <w:rFonts w:asciiTheme="minorHAnsi" w:hAnsiTheme="minorHAnsi" w:cstheme="minorHAnsi"/>
          <w:b/>
          <w:bCs/>
          <w:sz w:val="20"/>
          <w:szCs w:val="18"/>
        </w:rPr>
      </w:pPr>
      <w:r w:rsidRPr="00B34B21">
        <w:rPr>
          <w:rFonts w:asciiTheme="minorHAnsi" w:hAnsiTheme="minorHAnsi" w:cstheme="minorHAnsi"/>
          <w:b/>
          <w:bCs/>
          <w:sz w:val="20"/>
          <w:szCs w:val="18"/>
        </w:rPr>
        <w:t>Actividades Primarias.-</w:t>
      </w:r>
    </w:p>
    <w:p w14:paraId="50BDFA60" w14:textId="081678A7"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En el segundo trimestre de 2022, las Actividades Primarias (agricultura, </w:t>
      </w:r>
      <w:r w:rsidR="00291DC2" w:rsidRPr="00E850D6">
        <w:rPr>
          <w:rFonts w:asciiTheme="minorHAnsi" w:hAnsiTheme="minorHAnsi" w:cstheme="minorHAnsi"/>
          <w:sz w:val="18"/>
          <w:szCs w:val="18"/>
        </w:rPr>
        <w:t>cría</w:t>
      </w:r>
      <w:r w:rsidRPr="00E850D6">
        <w:rPr>
          <w:rFonts w:asciiTheme="minorHAnsi" w:hAnsiTheme="minorHAnsi" w:cstheme="minorHAnsi"/>
          <w:sz w:val="18"/>
          <w:szCs w:val="18"/>
        </w:rPr>
        <w:t xml:space="preserve"> y </w:t>
      </w:r>
      <w:r w:rsidR="00291DC2" w:rsidRPr="00E850D6">
        <w:rPr>
          <w:rFonts w:asciiTheme="minorHAnsi" w:hAnsiTheme="minorHAnsi" w:cstheme="minorHAnsi"/>
          <w:sz w:val="18"/>
          <w:szCs w:val="18"/>
        </w:rPr>
        <w:t>explotación</w:t>
      </w:r>
      <w:r w:rsidRPr="00E850D6">
        <w:rPr>
          <w:rFonts w:asciiTheme="minorHAnsi" w:hAnsiTheme="minorHAnsi" w:cstheme="minorHAnsi"/>
          <w:sz w:val="18"/>
          <w:szCs w:val="18"/>
        </w:rPr>
        <w:t xml:space="preserve"> de animales, aprovechamiento forestal, pesca y caza) reportaron un aumento anual de 44.7 %, principalmente por el comportamiento de la agricultura. Con ello, Tamaulipas se </w:t>
      </w:r>
      <w:r w:rsidR="005D7E4E" w:rsidRPr="00E850D6">
        <w:rPr>
          <w:rFonts w:asciiTheme="minorHAnsi" w:hAnsiTheme="minorHAnsi" w:cstheme="minorHAnsi"/>
          <w:sz w:val="18"/>
          <w:szCs w:val="18"/>
        </w:rPr>
        <w:t>situó</w:t>
      </w:r>
      <w:r w:rsidRPr="00E850D6">
        <w:rPr>
          <w:rFonts w:asciiTheme="minorHAnsi" w:hAnsiTheme="minorHAnsi" w:cstheme="minorHAnsi"/>
          <w:sz w:val="18"/>
          <w:szCs w:val="18"/>
        </w:rPr>
        <w:t>́ en el primer lugar a nivel nacional.</w:t>
      </w:r>
    </w:p>
    <w:p w14:paraId="2D1D63BB" w14:textId="77777777" w:rsidR="00E92EC1" w:rsidRPr="00B34B21" w:rsidRDefault="00E92EC1" w:rsidP="00E92EC1">
      <w:pPr>
        <w:jc w:val="both"/>
        <w:rPr>
          <w:rFonts w:asciiTheme="minorHAnsi" w:hAnsiTheme="minorHAnsi" w:cstheme="minorHAnsi"/>
          <w:b/>
          <w:bCs/>
          <w:sz w:val="20"/>
          <w:szCs w:val="18"/>
        </w:rPr>
      </w:pPr>
      <w:r w:rsidRPr="00B34B21">
        <w:rPr>
          <w:rFonts w:asciiTheme="minorHAnsi" w:hAnsiTheme="minorHAnsi" w:cstheme="minorHAnsi"/>
          <w:b/>
          <w:bCs/>
          <w:sz w:val="20"/>
          <w:szCs w:val="18"/>
        </w:rPr>
        <w:t>Actividades Secundarias.-</w:t>
      </w:r>
    </w:p>
    <w:p w14:paraId="5B87BDAC" w14:textId="6B037B40"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Las Actividades Secundarias corresponden a los sectores dedicados a la industria de la </w:t>
      </w:r>
      <w:r w:rsidR="005D7E4E" w:rsidRPr="00E850D6">
        <w:rPr>
          <w:rFonts w:asciiTheme="minorHAnsi" w:hAnsiTheme="minorHAnsi" w:cstheme="minorHAnsi"/>
          <w:sz w:val="18"/>
          <w:szCs w:val="18"/>
        </w:rPr>
        <w:t>minería</w:t>
      </w:r>
      <w:r w:rsidRPr="00E850D6">
        <w:rPr>
          <w:rFonts w:asciiTheme="minorHAnsi" w:hAnsiTheme="minorHAnsi" w:cstheme="minorHAnsi"/>
          <w:sz w:val="18"/>
          <w:szCs w:val="18"/>
        </w:rPr>
        <w:t xml:space="preserve">, manufacturas, </w:t>
      </w:r>
      <w:r w:rsidR="00291DC2" w:rsidRPr="00E850D6">
        <w:rPr>
          <w:rFonts w:asciiTheme="minorHAnsi" w:hAnsiTheme="minorHAnsi" w:cstheme="minorHAnsi"/>
          <w:sz w:val="18"/>
          <w:szCs w:val="18"/>
        </w:rPr>
        <w:t>construcción</w:t>
      </w:r>
      <w:r w:rsidRPr="00E850D6">
        <w:rPr>
          <w:rFonts w:asciiTheme="minorHAnsi" w:hAnsiTheme="minorHAnsi" w:cstheme="minorHAnsi"/>
          <w:sz w:val="18"/>
          <w:szCs w:val="18"/>
        </w:rPr>
        <w:t xml:space="preserve"> y electricidad. El alza anual de 3 % de las Actividades Secundarias ubicó a Tamaulipas en el lugar 15 entre las 32 entidades federativas del país.</w:t>
      </w:r>
    </w:p>
    <w:p w14:paraId="4AA1CAF6" w14:textId="77777777" w:rsidR="00E92EC1" w:rsidRPr="00B34B21" w:rsidRDefault="00E92EC1" w:rsidP="00E92EC1">
      <w:pPr>
        <w:jc w:val="both"/>
        <w:rPr>
          <w:rFonts w:asciiTheme="minorHAnsi" w:hAnsiTheme="minorHAnsi" w:cstheme="minorHAnsi"/>
          <w:b/>
          <w:bCs/>
          <w:sz w:val="20"/>
          <w:szCs w:val="18"/>
        </w:rPr>
      </w:pPr>
      <w:r w:rsidRPr="00B34B21">
        <w:rPr>
          <w:rFonts w:asciiTheme="minorHAnsi" w:hAnsiTheme="minorHAnsi" w:cstheme="minorHAnsi"/>
          <w:b/>
          <w:bCs/>
          <w:sz w:val="20"/>
          <w:szCs w:val="18"/>
        </w:rPr>
        <w:t>Actividades Terciarias.-</w:t>
      </w:r>
    </w:p>
    <w:p w14:paraId="20EA8733" w14:textId="0F2D60E1"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Las Actividades Terciarias incluyen los sectores dedicados a la </w:t>
      </w:r>
      <w:r w:rsidR="00291DC2" w:rsidRPr="00E850D6">
        <w:rPr>
          <w:rFonts w:asciiTheme="minorHAnsi" w:hAnsiTheme="minorHAnsi" w:cstheme="minorHAnsi"/>
          <w:sz w:val="18"/>
          <w:szCs w:val="18"/>
        </w:rPr>
        <w:t>distribución</w:t>
      </w:r>
      <w:r w:rsidRPr="00E850D6">
        <w:rPr>
          <w:rFonts w:asciiTheme="minorHAnsi" w:hAnsiTheme="minorHAnsi" w:cstheme="minorHAnsi"/>
          <w:sz w:val="18"/>
          <w:szCs w:val="18"/>
        </w:rPr>
        <w:t xml:space="preserve"> de bienes y aquellas actividades relativas a operaciones con </w:t>
      </w:r>
      <w:r w:rsidR="00291DC2" w:rsidRPr="00E850D6">
        <w:rPr>
          <w:rFonts w:asciiTheme="minorHAnsi" w:hAnsiTheme="minorHAnsi" w:cstheme="minorHAnsi"/>
          <w:sz w:val="18"/>
          <w:szCs w:val="18"/>
        </w:rPr>
        <w:t>información</w:t>
      </w:r>
      <w:r w:rsidRPr="00E850D6">
        <w:rPr>
          <w:rFonts w:asciiTheme="minorHAnsi" w:hAnsiTheme="minorHAnsi" w:cstheme="minorHAnsi"/>
          <w:sz w:val="18"/>
          <w:szCs w:val="18"/>
        </w:rPr>
        <w:t xml:space="preserve"> o con activos, </w:t>
      </w:r>
      <w:r w:rsidR="00291DC2" w:rsidRPr="00E850D6">
        <w:rPr>
          <w:rFonts w:asciiTheme="minorHAnsi" w:hAnsiTheme="minorHAnsi" w:cstheme="minorHAnsi"/>
          <w:sz w:val="18"/>
          <w:szCs w:val="18"/>
        </w:rPr>
        <w:t>así</w:t>
      </w:r>
      <w:r w:rsidRPr="00E850D6">
        <w:rPr>
          <w:rFonts w:asciiTheme="minorHAnsi" w:hAnsiTheme="minorHAnsi" w:cstheme="minorHAnsi"/>
          <w:sz w:val="18"/>
          <w:szCs w:val="18"/>
        </w:rPr>
        <w:t xml:space="preserve">́ como a servicios cuyo insumo principal es el conocimiento y la experiencia de personal. Incluyen </w:t>
      </w:r>
      <w:r w:rsidR="00291DC2" w:rsidRPr="00E850D6">
        <w:rPr>
          <w:rFonts w:asciiTheme="minorHAnsi" w:hAnsiTheme="minorHAnsi" w:cstheme="minorHAnsi"/>
          <w:sz w:val="18"/>
          <w:szCs w:val="18"/>
        </w:rPr>
        <w:t>también</w:t>
      </w:r>
      <w:r w:rsidRPr="00E850D6">
        <w:rPr>
          <w:rFonts w:asciiTheme="minorHAnsi" w:hAnsiTheme="minorHAnsi" w:cstheme="minorHAnsi"/>
          <w:sz w:val="18"/>
          <w:szCs w:val="18"/>
        </w:rPr>
        <w:t xml:space="preserve"> los relacionados con la </w:t>
      </w:r>
      <w:r w:rsidR="00291DC2" w:rsidRPr="00E850D6">
        <w:rPr>
          <w:rFonts w:asciiTheme="minorHAnsi" w:hAnsiTheme="minorHAnsi" w:cstheme="minorHAnsi"/>
          <w:sz w:val="18"/>
          <w:szCs w:val="18"/>
        </w:rPr>
        <w:t>recreación</w:t>
      </w:r>
      <w:r w:rsidRPr="00E850D6">
        <w:rPr>
          <w:rFonts w:asciiTheme="minorHAnsi" w:hAnsiTheme="minorHAnsi" w:cstheme="minorHAnsi"/>
          <w:sz w:val="18"/>
          <w:szCs w:val="18"/>
        </w:rPr>
        <w:t xml:space="preserve"> y el gobierno, entre otros. En el segundo trimestre de 2022, Tamaulipas registró en estas actividades una </w:t>
      </w:r>
      <w:r w:rsidR="00291DC2" w:rsidRPr="00E850D6">
        <w:rPr>
          <w:rFonts w:asciiTheme="minorHAnsi" w:hAnsiTheme="minorHAnsi" w:cstheme="minorHAnsi"/>
          <w:sz w:val="18"/>
          <w:szCs w:val="18"/>
        </w:rPr>
        <w:t>variación</w:t>
      </w:r>
      <w:r w:rsidRPr="00E850D6">
        <w:rPr>
          <w:rFonts w:asciiTheme="minorHAnsi" w:hAnsiTheme="minorHAnsi" w:cstheme="minorHAnsi"/>
          <w:sz w:val="18"/>
          <w:szCs w:val="18"/>
        </w:rPr>
        <w:t xml:space="preserve"> anual de 1.8 %, lo que ubicó a este estado en el lugar 22 a nivel nacional.</w:t>
      </w:r>
    </w:p>
    <w:p w14:paraId="2F63B71C" w14:textId="55AF2149"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Finalmente, en el segundo trimestre de 2022, el resultado de 3 % en el total de la actividad </w:t>
      </w:r>
      <w:r w:rsidR="00291DC2" w:rsidRPr="00E850D6">
        <w:rPr>
          <w:rFonts w:asciiTheme="minorHAnsi" w:hAnsiTheme="minorHAnsi" w:cstheme="minorHAnsi"/>
          <w:sz w:val="18"/>
          <w:szCs w:val="18"/>
        </w:rPr>
        <w:t>económica</w:t>
      </w:r>
      <w:r w:rsidRPr="00E850D6">
        <w:rPr>
          <w:rFonts w:asciiTheme="minorHAnsi" w:hAnsiTheme="minorHAnsi" w:cstheme="minorHAnsi"/>
          <w:sz w:val="18"/>
          <w:szCs w:val="18"/>
        </w:rPr>
        <w:t xml:space="preserve"> ubicó a Tamaulipas en el lugar 13 a nivel nacional. </w:t>
      </w:r>
      <w:r w:rsidR="00291DC2" w:rsidRPr="00E850D6">
        <w:rPr>
          <w:rFonts w:asciiTheme="minorHAnsi" w:hAnsiTheme="minorHAnsi" w:cstheme="minorHAnsi"/>
          <w:sz w:val="18"/>
          <w:szCs w:val="18"/>
        </w:rPr>
        <w:t>Además</w:t>
      </w:r>
      <w:r w:rsidRPr="00E850D6">
        <w:rPr>
          <w:rFonts w:asciiTheme="minorHAnsi" w:hAnsiTheme="minorHAnsi" w:cstheme="minorHAnsi"/>
          <w:sz w:val="18"/>
          <w:szCs w:val="18"/>
        </w:rPr>
        <w:t xml:space="preserve">, su </w:t>
      </w:r>
      <w:r w:rsidR="00291DC2" w:rsidRPr="00E850D6">
        <w:rPr>
          <w:rFonts w:asciiTheme="minorHAnsi" w:hAnsiTheme="minorHAnsi" w:cstheme="minorHAnsi"/>
          <w:sz w:val="18"/>
          <w:szCs w:val="18"/>
        </w:rPr>
        <w:t>aportación</w:t>
      </w:r>
      <w:r w:rsidRPr="00E850D6">
        <w:rPr>
          <w:rFonts w:asciiTheme="minorHAnsi" w:hAnsiTheme="minorHAnsi" w:cstheme="minorHAnsi"/>
          <w:sz w:val="18"/>
          <w:szCs w:val="18"/>
        </w:rPr>
        <w:t xml:space="preserve"> a la </w:t>
      </w:r>
      <w:r w:rsidR="00291DC2" w:rsidRPr="00E850D6">
        <w:rPr>
          <w:rFonts w:asciiTheme="minorHAnsi" w:hAnsiTheme="minorHAnsi" w:cstheme="minorHAnsi"/>
          <w:sz w:val="18"/>
          <w:szCs w:val="18"/>
        </w:rPr>
        <w:t>variación</w:t>
      </w:r>
      <w:r w:rsidRPr="00E850D6">
        <w:rPr>
          <w:rFonts w:asciiTheme="minorHAnsi" w:hAnsiTheme="minorHAnsi" w:cstheme="minorHAnsi"/>
          <w:sz w:val="18"/>
          <w:szCs w:val="18"/>
        </w:rPr>
        <w:t xml:space="preserve"> nacional fue de 0.08 por ciento.</w:t>
      </w:r>
    </w:p>
    <w:p w14:paraId="1F748B6F" w14:textId="77777777"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La información oficial anterior puede ser consultada en la siguiente liga.</w:t>
      </w:r>
    </w:p>
    <w:p w14:paraId="44772CC7" w14:textId="77777777" w:rsidR="00E92EC1" w:rsidRPr="00F46E2A" w:rsidRDefault="00E92EC1" w:rsidP="00E92EC1">
      <w:pPr>
        <w:jc w:val="both"/>
        <w:rPr>
          <w:rFonts w:asciiTheme="minorHAnsi" w:hAnsiTheme="minorHAnsi" w:cstheme="minorHAnsi"/>
          <w:color w:val="AB0033"/>
          <w:sz w:val="18"/>
          <w:szCs w:val="18"/>
        </w:rPr>
      </w:pPr>
      <w:r w:rsidRPr="00F46E2A">
        <w:rPr>
          <w:rFonts w:asciiTheme="minorHAnsi" w:hAnsiTheme="minorHAnsi" w:cstheme="minorHAnsi"/>
          <w:color w:val="AB0033"/>
          <w:sz w:val="18"/>
          <w:szCs w:val="18"/>
        </w:rPr>
        <w:t>https://www.inegi.org.mx/contenidos/saladeprensa/boletines/2022/itaee/itaee2022_10_Tamps.pdf</w:t>
      </w:r>
    </w:p>
    <w:p w14:paraId="61BA5FEB" w14:textId="4F27409C" w:rsidR="00E92EC1" w:rsidRPr="00B34B21" w:rsidRDefault="00E92EC1" w:rsidP="00E92EC1">
      <w:pPr>
        <w:jc w:val="both"/>
        <w:rPr>
          <w:rFonts w:asciiTheme="minorHAnsi" w:hAnsiTheme="minorHAnsi" w:cstheme="minorHAnsi"/>
          <w:b/>
          <w:sz w:val="20"/>
          <w:szCs w:val="18"/>
        </w:rPr>
      </w:pPr>
      <w:r w:rsidRPr="00B34B21">
        <w:rPr>
          <w:rFonts w:asciiTheme="minorHAnsi" w:hAnsiTheme="minorHAnsi" w:cstheme="minorHAnsi"/>
          <w:b/>
          <w:bCs/>
          <w:sz w:val="20"/>
          <w:szCs w:val="18"/>
        </w:rPr>
        <w:t>2.3.4.- Nivel de Exportaciones</w:t>
      </w:r>
      <w:r w:rsidRPr="00B34B21">
        <w:rPr>
          <w:rFonts w:asciiTheme="minorHAnsi" w:hAnsiTheme="minorHAnsi" w:cstheme="minorHAnsi"/>
          <w:b/>
          <w:sz w:val="20"/>
          <w:szCs w:val="18"/>
        </w:rPr>
        <w:t>.</w:t>
      </w:r>
    </w:p>
    <w:p w14:paraId="523DF0A7" w14:textId="2D5ABB85" w:rsidR="00E92EC1"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En el tercer trimestre de 2022, el estado de Tamaulipas se encuentra el quinto lugar de los estados con mayor </w:t>
      </w:r>
      <w:r w:rsidR="005D7E4E" w:rsidRPr="00E850D6">
        <w:rPr>
          <w:rFonts w:asciiTheme="minorHAnsi" w:hAnsiTheme="minorHAnsi" w:cstheme="minorHAnsi"/>
          <w:sz w:val="18"/>
          <w:szCs w:val="18"/>
        </w:rPr>
        <w:t>contribución</w:t>
      </w:r>
      <w:r w:rsidRPr="00E850D6">
        <w:rPr>
          <w:rFonts w:asciiTheme="minorHAnsi" w:hAnsiTheme="minorHAnsi" w:cstheme="minorHAnsi"/>
          <w:sz w:val="18"/>
          <w:szCs w:val="18"/>
        </w:rPr>
        <w:t xml:space="preserve"> al valor total de las exportaciones, con una </w:t>
      </w:r>
      <w:r w:rsidR="005D7E4E" w:rsidRPr="00E850D6">
        <w:rPr>
          <w:rFonts w:asciiTheme="minorHAnsi" w:hAnsiTheme="minorHAnsi" w:cstheme="minorHAnsi"/>
          <w:sz w:val="18"/>
          <w:szCs w:val="18"/>
        </w:rPr>
        <w:t>representación</w:t>
      </w:r>
      <w:r w:rsidRPr="00E850D6">
        <w:rPr>
          <w:rFonts w:asciiTheme="minorHAnsi" w:hAnsiTheme="minorHAnsi" w:cstheme="minorHAnsi"/>
          <w:sz w:val="18"/>
          <w:szCs w:val="18"/>
        </w:rPr>
        <w:t xml:space="preserve"> del 6.4 % del total del </w:t>
      </w:r>
      <w:r w:rsidR="005D7E4E" w:rsidRPr="00E850D6">
        <w:rPr>
          <w:rFonts w:asciiTheme="minorHAnsi" w:hAnsiTheme="minorHAnsi" w:cstheme="minorHAnsi"/>
          <w:sz w:val="18"/>
          <w:szCs w:val="18"/>
        </w:rPr>
        <w:t>país</w:t>
      </w:r>
      <w:r w:rsidRPr="00E850D6">
        <w:rPr>
          <w:rFonts w:asciiTheme="minorHAnsi" w:hAnsiTheme="minorHAnsi" w:cstheme="minorHAnsi"/>
          <w:sz w:val="18"/>
          <w:szCs w:val="18"/>
        </w:rPr>
        <w:t>, según datos publicados por INEGI  y que se puede apreciar en la siguiente tabla:</w:t>
      </w:r>
    </w:p>
    <w:p w14:paraId="0CD8A434" w14:textId="068AEF77" w:rsidR="00FB6304" w:rsidRDefault="00FB6304" w:rsidP="00E92EC1">
      <w:pPr>
        <w:jc w:val="both"/>
        <w:rPr>
          <w:rFonts w:asciiTheme="minorHAnsi" w:hAnsiTheme="minorHAnsi" w:cstheme="minorHAnsi"/>
          <w:sz w:val="18"/>
          <w:szCs w:val="18"/>
        </w:rPr>
      </w:pPr>
    </w:p>
    <w:p w14:paraId="1B114E99" w14:textId="0CD86584" w:rsidR="00FB6304" w:rsidRDefault="00FB6304" w:rsidP="00E92EC1">
      <w:pPr>
        <w:jc w:val="both"/>
        <w:rPr>
          <w:rFonts w:asciiTheme="minorHAnsi" w:hAnsiTheme="minorHAnsi" w:cstheme="minorHAnsi"/>
          <w:sz w:val="18"/>
          <w:szCs w:val="18"/>
        </w:rPr>
      </w:pPr>
    </w:p>
    <w:p w14:paraId="64BB26F5" w14:textId="2D631278" w:rsidR="00FB6304" w:rsidRDefault="00FB6304" w:rsidP="00E92EC1">
      <w:pPr>
        <w:jc w:val="both"/>
        <w:rPr>
          <w:rFonts w:asciiTheme="minorHAnsi" w:hAnsiTheme="minorHAnsi" w:cstheme="minorHAnsi"/>
          <w:sz w:val="18"/>
          <w:szCs w:val="18"/>
        </w:rPr>
      </w:pPr>
    </w:p>
    <w:p w14:paraId="4CC863B4" w14:textId="649E26A0" w:rsidR="00FB6304" w:rsidRDefault="00FB6304" w:rsidP="00E92EC1">
      <w:pPr>
        <w:jc w:val="both"/>
        <w:rPr>
          <w:rFonts w:asciiTheme="minorHAnsi" w:hAnsiTheme="minorHAnsi" w:cstheme="minorHAnsi"/>
          <w:sz w:val="18"/>
          <w:szCs w:val="18"/>
        </w:rPr>
      </w:pPr>
    </w:p>
    <w:p w14:paraId="223CBB38" w14:textId="4CEF67FE" w:rsidR="00FB6304" w:rsidRDefault="00FB6304" w:rsidP="00E92EC1">
      <w:pPr>
        <w:jc w:val="both"/>
        <w:rPr>
          <w:rFonts w:asciiTheme="minorHAnsi" w:hAnsiTheme="minorHAnsi" w:cstheme="minorHAnsi"/>
          <w:sz w:val="18"/>
          <w:szCs w:val="18"/>
        </w:rPr>
      </w:pPr>
    </w:p>
    <w:p w14:paraId="17754DFF" w14:textId="2C7DCF5A" w:rsidR="00FB6304" w:rsidRDefault="00FB6304" w:rsidP="00E92EC1">
      <w:pPr>
        <w:jc w:val="both"/>
        <w:rPr>
          <w:rFonts w:asciiTheme="minorHAnsi" w:hAnsiTheme="minorHAnsi" w:cstheme="minorHAnsi"/>
          <w:sz w:val="18"/>
          <w:szCs w:val="18"/>
        </w:rPr>
      </w:pPr>
    </w:p>
    <w:p w14:paraId="71887347" w14:textId="77777777" w:rsidR="00FB6304" w:rsidRPr="00E850D6" w:rsidRDefault="00FB6304" w:rsidP="00E92EC1">
      <w:pPr>
        <w:jc w:val="both"/>
        <w:rPr>
          <w:rFonts w:asciiTheme="minorHAnsi" w:hAnsiTheme="minorHAnsi" w:cstheme="minorHAnsi"/>
          <w:sz w:val="18"/>
          <w:szCs w:val="18"/>
        </w:rPr>
      </w:pPr>
    </w:p>
    <w:p w14:paraId="5AD683D8" w14:textId="153D369C" w:rsidR="00E92EC1" w:rsidRPr="00676CED" w:rsidRDefault="00E92EC1" w:rsidP="00E92EC1">
      <w:pPr>
        <w:jc w:val="center"/>
        <w:rPr>
          <w:rFonts w:asciiTheme="minorHAnsi" w:hAnsiTheme="minorHAnsi" w:cstheme="minorHAnsi"/>
          <w:b/>
          <w:bCs/>
          <w:sz w:val="18"/>
          <w:szCs w:val="18"/>
        </w:rPr>
      </w:pPr>
      <w:r w:rsidRPr="00676CED">
        <w:rPr>
          <w:rFonts w:asciiTheme="minorHAnsi" w:hAnsiTheme="minorHAnsi" w:cstheme="minorHAnsi"/>
          <w:b/>
          <w:bCs/>
          <w:sz w:val="18"/>
          <w:szCs w:val="18"/>
        </w:rPr>
        <w:t xml:space="preserve">VALOR DE LAS EXPORTACIONES POR ENTIDADES FEDERATIVAS CON MAYOR </w:t>
      </w:r>
      <w:r w:rsidR="006F7FB0" w:rsidRPr="00676CED">
        <w:rPr>
          <w:rFonts w:asciiTheme="minorHAnsi" w:hAnsiTheme="minorHAnsi" w:cstheme="minorHAnsi"/>
          <w:b/>
          <w:bCs/>
          <w:sz w:val="18"/>
          <w:szCs w:val="18"/>
        </w:rPr>
        <w:t>PARTICIPACIÓN</w:t>
      </w:r>
    </w:p>
    <w:p w14:paraId="728CD60C" w14:textId="1E309B4B" w:rsidR="00E92EC1" w:rsidRDefault="00E92EC1" w:rsidP="00E92EC1">
      <w:pPr>
        <w:jc w:val="center"/>
        <w:rPr>
          <w:rFonts w:asciiTheme="minorHAnsi" w:hAnsiTheme="minorHAnsi" w:cstheme="minorHAnsi"/>
          <w:b/>
          <w:bCs/>
          <w:sz w:val="18"/>
          <w:szCs w:val="18"/>
        </w:rPr>
      </w:pPr>
      <w:r w:rsidRPr="00676CED">
        <w:rPr>
          <w:rFonts w:asciiTheme="minorHAnsi" w:hAnsiTheme="minorHAnsi" w:cstheme="minorHAnsi"/>
          <w:b/>
          <w:bCs/>
          <w:sz w:val="18"/>
          <w:szCs w:val="18"/>
        </w:rPr>
        <w:t>TERCER TRIMESTRE DE 2022</w:t>
      </w:r>
    </w:p>
    <w:tbl>
      <w:tblPr>
        <w:tblW w:w="9035" w:type="dxa"/>
        <w:tblInd w:w="-10" w:type="dxa"/>
        <w:tblCellMar>
          <w:left w:w="70" w:type="dxa"/>
          <w:right w:w="70" w:type="dxa"/>
        </w:tblCellMar>
        <w:tblLook w:val="04A0" w:firstRow="1" w:lastRow="0" w:firstColumn="1" w:lastColumn="0" w:noHBand="0" w:noVBand="1"/>
      </w:tblPr>
      <w:tblGrid>
        <w:gridCol w:w="2410"/>
        <w:gridCol w:w="1559"/>
        <w:gridCol w:w="1560"/>
        <w:gridCol w:w="1660"/>
        <w:gridCol w:w="1846"/>
      </w:tblGrid>
      <w:tr w:rsidR="006F7FB0" w:rsidRPr="002C45F7" w14:paraId="4A992381" w14:textId="77777777" w:rsidTr="002C45F7">
        <w:trPr>
          <w:trHeight w:val="680"/>
        </w:trPr>
        <w:tc>
          <w:tcPr>
            <w:tcW w:w="2410" w:type="dxa"/>
            <w:tcBorders>
              <w:top w:val="single" w:sz="8" w:space="0" w:color="auto"/>
              <w:left w:val="single" w:sz="8" w:space="0" w:color="auto"/>
              <w:bottom w:val="single" w:sz="8" w:space="0" w:color="auto"/>
              <w:right w:val="single" w:sz="8" w:space="0" w:color="auto"/>
            </w:tcBorders>
            <w:shd w:val="clear" w:color="000000" w:fill="AB0033"/>
            <w:vAlign w:val="center"/>
            <w:hideMark/>
          </w:tcPr>
          <w:p w14:paraId="1ABA9B85" w14:textId="77777777" w:rsidR="006F7FB0" w:rsidRPr="002C45F7" w:rsidRDefault="006F7FB0" w:rsidP="006F7FB0">
            <w:pPr>
              <w:spacing w:after="0" w:line="240" w:lineRule="auto"/>
              <w:jc w:val="center"/>
              <w:rPr>
                <w:rFonts w:eastAsia="Times New Roman" w:cs="Calibri"/>
                <w:b/>
                <w:bCs/>
                <w:color w:val="FFFFFF"/>
                <w:sz w:val="16"/>
                <w:szCs w:val="18"/>
                <w:lang w:eastAsia="es-MX"/>
              </w:rPr>
            </w:pPr>
            <w:r w:rsidRPr="002C45F7">
              <w:rPr>
                <w:rFonts w:eastAsia="Times New Roman" w:cs="Calibri"/>
                <w:b/>
                <w:bCs/>
                <w:color w:val="FFFFFF"/>
                <w:sz w:val="16"/>
                <w:szCs w:val="18"/>
                <w:lang w:eastAsia="es-MX"/>
              </w:rPr>
              <w:t>Entidad</w:t>
            </w:r>
          </w:p>
        </w:tc>
        <w:tc>
          <w:tcPr>
            <w:tcW w:w="1559" w:type="dxa"/>
            <w:tcBorders>
              <w:top w:val="single" w:sz="8" w:space="0" w:color="auto"/>
              <w:left w:val="nil"/>
              <w:bottom w:val="single" w:sz="8" w:space="0" w:color="auto"/>
              <w:right w:val="single" w:sz="8" w:space="0" w:color="auto"/>
            </w:tcBorders>
            <w:shd w:val="clear" w:color="000000" w:fill="AB0033"/>
            <w:vAlign w:val="center"/>
            <w:hideMark/>
          </w:tcPr>
          <w:p w14:paraId="03ECECC0" w14:textId="53DFAEC5" w:rsidR="006F7FB0" w:rsidRPr="002C45F7" w:rsidRDefault="006F7FB0" w:rsidP="006F7FB0">
            <w:pPr>
              <w:spacing w:after="0" w:line="240" w:lineRule="auto"/>
              <w:jc w:val="center"/>
              <w:rPr>
                <w:rFonts w:eastAsia="Times New Roman" w:cs="Calibri"/>
                <w:b/>
                <w:bCs/>
                <w:color w:val="FFFFFF"/>
                <w:sz w:val="16"/>
                <w:szCs w:val="18"/>
                <w:lang w:eastAsia="es-MX"/>
              </w:rPr>
            </w:pPr>
            <w:r w:rsidRPr="002C45F7">
              <w:rPr>
                <w:rFonts w:eastAsia="Times New Roman" w:cs="Calibri"/>
                <w:b/>
                <w:bCs/>
                <w:color w:val="FFFFFF"/>
                <w:sz w:val="16"/>
                <w:szCs w:val="18"/>
                <w:lang w:eastAsia="es-MX"/>
              </w:rPr>
              <w:t>Millones de dólares</w:t>
            </w:r>
          </w:p>
        </w:tc>
        <w:tc>
          <w:tcPr>
            <w:tcW w:w="1560" w:type="dxa"/>
            <w:tcBorders>
              <w:top w:val="single" w:sz="8" w:space="0" w:color="auto"/>
              <w:left w:val="nil"/>
              <w:bottom w:val="single" w:sz="8" w:space="0" w:color="auto"/>
              <w:right w:val="single" w:sz="8" w:space="0" w:color="auto"/>
            </w:tcBorders>
            <w:shd w:val="clear" w:color="000000" w:fill="AB0033"/>
            <w:vAlign w:val="center"/>
            <w:hideMark/>
          </w:tcPr>
          <w:p w14:paraId="33433467" w14:textId="77777777" w:rsidR="006F7FB0" w:rsidRPr="002C45F7" w:rsidRDefault="006F7FB0" w:rsidP="006F7FB0">
            <w:pPr>
              <w:spacing w:after="0" w:line="240" w:lineRule="auto"/>
              <w:jc w:val="center"/>
              <w:rPr>
                <w:rFonts w:eastAsia="Times New Roman" w:cs="Calibri"/>
                <w:b/>
                <w:bCs/>
                <w:color w:val="FFFFFF"/>
                <w:sz w:val="16"/>
                <w:szCs w:val="18"/>
                <w:lang w:eastAsia="es-MX"/>
              </w:rPr>
            </w:pPr>
            <w:r w:rsidRPr="002C45F7">
              <w:rPr>
                <w:rFonts w:eastAsia="Times New Roman" w:cs="Calibri"/>
                <w:b/>
                <w:bCs/>
                <w:color w:val="FFFFFF"/>
                <w:sz w:val="16"/>
                <w:szCs w:val="18"/>
                <w:lang w:eastAsia="es-MX"/>
              </w:rPr>
              <w:t>Variación porcentual anual</w:t>
            </w:r>
          </w:p>
        </w:tc>
        <w:tc>
          <w:tcPr>
            <w:tcW w:w="1660" w:type="dxa"/>
            <w:tcBorders>
              <w:top w:val="single" w:sz="8" w:space="0" w:color="auto"/>
              <w:left w:val="nil"/>
              <w:bottom w:val="single" w:sz="8" w:space="0" w:color="auto"/>
              <w:right w:val="single" w:sz="8" w:space="0" w:color="auto"/>
            </w:tcBorders>
            <w:shd w:val="clear" w:color="000000" w:fill="AB0033"/>
            <w:vAlign w:val="center"/>
            <w:hideMark/>
          </w:tcPr>
          <w:p w14:paraId="343E252A" w14:textId="77777777" w:rsidR="006F7FB0" w:rsidRPr="002C45F7" w:rsidRDefault="006F7FB0" w:rsidP="006F7FB0">
            <w:pPr>
              <w:spacing w:after="0" w:line="240" w:lineRule="auto"/>
              <w:jc w:val="center"/>
              <w:rPr>
                <w:rFonts w:eastAsia="Times New Roman" w:cs="Calibri"/>
                <w:b/>
                <w:bCs/>
                <w:color w:val="FFFFFF"/>
                <w:sz w:val="16"/>
                <w:szCs w:val="18"/>
                <w:lang w:eastAsia="es-MX"/>
              </w:rPr>
            </w:pPr>
            <w:r w:rsidRPr="002C45F7">
              <w:rPr>
                <w:rFonts w:eastAsia="Times New Roman" w:cs="Calibri"/>
                <w:b/>
                <w:bCs/>
                <w:color w:val="FFFFFF"/>
                <w:sz w:val="16"/>
                <w:szCs w:val="18"/>
                <w:lang w:eastAsia="es-MX"/>
              </w:rPr>
              <w:t>Participación porcentual</w:t>
            </w:r>
          </w:p>
        </w:tc>
        <w:tc>
          <w:tcPr>
            <w:tcW w:w="1846" w:type="dxa"/>
            <w:tcBorders>
              <w:top w:val="single" w:sz="8" w:space="0" w:color="auto"/>
              <w:left w:val="nil"/>
              <w:bottom w:val="single" w:sz="8" w:space="0" w:color="auto"/>
              <w:right w:val="single" w:sz="8" w:space="0" w:color="auto"/>
            </w:tcBorders>
            <w:shd w:val="clear" w:color="000000" w:fill="AB0033"/>
            <w:vAlign w:val="center"/>
            <w:hideMark/>
          </w:tcPr>
          <w:p w14:paraId="4F249C9D" w14:textId="77777777" w:rsidR="006F7FB0" w:rsidRPr="002C45F7" w:rsidRDefault="006F7FB0" w:rsidP="006F7FB0">
            <w:pPr>
              <w:spacing w:after="0" w:line="240" w:lineRule="auto"/>
              <w:jc w:val="center"/>
              <w:rPr>
                <w:rFonts w:eastAsia="Times New Roman" w:cs="Calibri"/>
                <w:b/>
                <w:bCs/>
                <w:color w:val="FFFFFF"/>
                <w:sz w:val="16"/>
                <w:szCs w:val="18"/>
                <w:lang w:eastAsia="es-MX"/>
              </w:rPr>
            </w:pPr>
            <w:r w:rsidRPr="002C45F7">
              <w:rPr>
                <w:rFonts w:eastAsia="Times New Roman" w:cs="Calibri"/>
                <w:b/>
                <w:bCs/>
                <w:color w:val="FFFFFF"/>
                <w:sz w:val="16"/>
                <w:szCs w:val="18"/>
                <w:lang w:eastAsia="es-MX"/>
              </w:rPr>
              <w:t>Lugar conforme al total de las exportaciones</w:t>
            </w:r>
          </w:p>
        </w:tc>
      </w:tr>
      <w:tr w:rsidR="006F7FB0" w:rsidRPr="006F7FB0" w14:paraId="23A8B303" w14:textId="77777777" w:rsidTr="002C45F7">
        <w:trPr>
          <w:trHeight w:val="369"/>
        </w:trPr>
        <w:tc>
          <w:tcPr>
            <w:tcW w:w="2410" w:type="dxa"/>
            <w:tcBorders>
              <w:top w:val="nil"/>
              <w:left w:val="single" w:sz="8" w:space="0" w:color="auto"/>
              <w:bottom w:val="single" w:sz="8" w:space="0" w:color="auto"/>
              <w:right w:val="single" w:sz="8" w:space="0" w:color="auto"/>
            </w:tcBorders>
            <w:shd w:val="clear" w:color="auto" w:fill="auto"/>
            <w:vAlign w:val="center"/>
            <w:hideMark/>
          </w:tcPr>
          <w:p w14:paraId="6FF3D7FD" w14:textId="77777777" w:rsidR="006F7FB0" w:rsidRPr="006F7FB0" w:rsidRDefault="006F7FB0" w:rsidP="006F7FB0">
            <w:pPr>
              <w:spacing w:after="0" w:line="240" w:lineRule="auto"/>
              <w:rPr>
                <w:rFonts w:eastAsia="Times New Roman" w:cs="Calibri"/>
                <w:b/>
                <w:bCs/>
                <w:color w:val="000000"/>
                <w:sz w:val="16"/>
                <w:szCs w:val="16"/>
                <w:lang w:eastAsia="es-MX"/>
              </w:rPr>
            </w:pPr>
            <w:r w:rsidRPr="006F7FB0">
              <w:rPr>
                <w:rFonts w:eastAsia="Times New Roman" w:cs="Calibri"/>
                <w:b/>
                <w:bCs/>
                <w:color w:val="000000"/>
                <w:sz w:val="16"/>
                <w:szCs w:val="16"/>
                <w:lang w:eastAsia="es-MX"/>
              </w:rPr>
              <w:t>Total1/</w:t>
            </w:r>
          </w:p>
        </w:tc>
        <w:tc>
          <w:tcPr>
            <w:tcW w:w="1559" w:type="dxa"/>
            <w:tcBorders>
              <w:top w:val="nil"/>
              <w:left w:val="nil"/>
              <w:bottom w:val="single" w:sz="8" w:space="0" w:color="auto"/>
              <w:right w:val="single" w:sz="8" w:space="0" w:color="auto"/>
            </w:tcBorders>
            <w:shd w:val="clear" w:color="auto" w:fill="auto"/>
            <w:vAlign w:val="center"/>
            <w:hideMark/>
          </w:tcPr>
          <w:p w14:paraId="78B1F3BA" w14:textId="77777777" w:rsidR="006F7FB0" w:rsidRPr="006F7FB0" w:rsidRDefault="006F7FB0" w:rsidP="006F7FB0">
            <w:pPr>
              <w:spacing w:after="0" w:line="240" w:lineRule="auto"/>
              <w:jc w:val="center"/>
              <w:rPr>
                <w:rFonts w:eastAsia="Times New Roman" w:cs="Calibri"/>
                <w:b/>
                <w:bCs/>
                <w:color w:val="000000"/>
                <w:sz w:val="16"/>
                <w:szCs w:val="16"/>
                <w:lang w:eastAsia="es-MX"/>
              </w:rPr>
            </w:pPr>
            <w:r w:rsidRPr="006F7FB0">
              <w:rPr>
                <w:rFonts w:eastAsia="Times New Roman" w:cs="Calibri"/>
                <w:b/>
                <w:bCs/>
                <w:color w:val="000000"/>
                <w:sz w:val="16"/>
                <w:szCs w:val="16"/>
                <w:lang w:eastAsia="es-MX"/>
              </w:rPr>
              <w:t>134 876.4</w:t>
            </w:r>
          </w:p>
        </w:tc>
        <w:tc>
          <w:tcPr>
            <w:tcW w:w="1560" w:type="dxa"/>
            <w:tcBorders>
              <w:top w:val="nil"/>
              <w:left w:val="nil"/>
              <w:bottom w:val="single" w:sz="8" w:space="0" w:color="auto"/>
              <w:right w:val="single" w:sz="8" w:space="0" w:color="auto"/>
            </w:tcBorders>
            <w:shd w:val="clear" w:color="auto" w:fill="auto"/>
            <w:vAlign w:val="center"/>
            <w:hideMark/>
          </w:tcPr>
          <w:p w14:paraId="5DE01949" w14:textId="77777777" w:rsidR="006F7FB0" w:rsidRPr="006F7FB0" w:rsidRDefault="006F7FB0" w:rsidP="006F7FB0">
            <w:pPr>
              <w:spacing w:after="0" w:line="240" w:lineRule="auto"/>
              <w:jc w:val="center"/>
              <w:rPr>
                <w:rFonts w:eastAsia="Times New Roman" w:cs="Calibri"/>
                <w:b/>
                <w:bCs/>
                <w:color w:val="000000"/>
                <w:sz w:val="16"/>
                <w:szCs w:val="16"/>
                <w:lang w:eastAsia="es-MX"/>
              </w:rPr>
            </w:pPr>
            <w:r w:rsidRPr="006F7FB0">
              <w:rPr>
                <w:rFonts w:eastAsia="Times New Roman" w:cs="Calibri"/>
                <w:b/>
                <w:bCs/>
                <w:color w:val="000000"/>
                <w:sz w:val="16"/>
                <w:szCs w:val="16"/>
                <w:lang w:eastAsia="es-MX"/>
              </w:rPr>
              <w:t>22.9</w:t>
            </w:r>
          </w:p>
        </w:tc>
        <w:tc>
          <w:tcPr>
            <w:tcW w:w="1660" w:type="dxa"/>
            <w:tcBorders>
              <w:top w:val="nil"/>
              <w:left w:val="nil"/>
              <w:bottom w:val="single" w:sz="8" w:space="0" w:color="auto"/>
              <w:right w:val="single" w:sz="8" w:space="0" w:color="auto"/>
            </w:tcBorders>
            <w:shd w:val="clear" w:color="auto" w:fill="auto"/>
            <w:vAlign w:val="center"/>
            <w:hideMark/>
          </w:tcPr>
          <w:p w14:paraId="7936E2F4"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100</w:t>
            </w:r>
          </w:p>
        </w:tc>
        <w:tc>
          <w:tcPr>
            <w:tcW w:w="1846" w:type="dxa"/>
            <w:tcBorders>
              <w:top w:val="nil"/>
              <w:left w:val="nil"/>
              <w:bottom w:val="single" w:sz="8" w:space="0" w:color="auto"/>
              <w:right w:val="single" w:sz="8" w:space="0" w:color="auto"/>
            </w:tcBorders>
            <w:shd w:val="clear" w:color="auto" w:fill="auto"/>
            <w:vAlign w:val="center"/>
            <w:hideMark/>
          </w:tcPr>
          <w:p w14:paraId="49AD97E3" w14:textId="77777777" w:rsidR="006F7FB0" w:rsidRPr="006F7FB0" w:rsidRDefault="006F7FB0" w:rsidP="006F7FB0">
            <w:pPr>
              <w:spacing w:after="0" w:line="240" w:lineRule="auto"/>
              <w:rPr>
                <w:rFonts w:eastAsia="Times New Roman" w:cs="Calibri"/>
                <w:color w:val="000000"/>
                <w:sz w:val="20"/>
                <w:szCs w:val="20"/>
                <w:lang w:eastAsia="es-MX"/>
              </w:rPr>
            </w:pPr>
            <w:r w:rsidRPr="006F7FB0">
              <w:rPr>
                <w:rFonts w:eastAsia="Times New Roman" w:cs="Calibri"/>
                <w:color w:val="000000"/>
                <w:sz w:val="20"/>
                <w:szCs w:val="20"/>
                <w:lang w:eastAsia="es-MX"/>
              </w:rPr>
              <w:t> </w:t>
            </w:r>
          </w:p>
        </w:tc>
      </w:tr>
      <w:tr w:rsidR="006F7FB0" w:rsidRPr="006F7FB0" w14:paraId="489373E3" w14:textId="77777777" w:rsidTr="002C45F7">
        <w:trPr>
          <w:trHeight w:val="369"/>
        </w:trPr>
        <w:tc>
          <w:tcPr>
            <w:tcW w:w="2410" w:type="dxa"/>
            <w:tcBorders>
              <w:top w:val="nil"/>
              <w:left w:val="single" w:sz="8" w:space="0" w:color="auto"/>
              <w:bottom w:val="single" w:sz="8" w:space="0" w:color="auto"/>
              <w:right w:val="single" w:sz="8" w:space="0" w:color="auto"/>
            </w:tcBorders>
            <w:shd w:val="clear" w:color="auto" w:fill="auto"/>
            <w:vAlign w:val="center"/>
            <w:hideMark/>
          </w:tcPr>
          <w:p w14:paraId="19E841E0" w14:textId="77777777" w:rsidR="006F7FB0" w:rsidRPr="006F7FB0" w:rsidRDefault="006F7FB0" w:rsidP="006F7FB0">
            <w:pPr>
              <w:spacing w:after="0" w:line="240" w:lineRule="auto"/>
              <w:rPr>
                <w:rFonts w:eastAsia="Times New Roman" w:cs="Calibri"/>
                <w:color w:val="000000"/>
                <w:sz w:val="16"/>
                <w:szCs w:val="16"/>
                <w:lang w:eastAsia="es-MX"/>
              </w:rPr>
            </w:pPr>
            <w:r w:rsidRPr="006F7FB0">
              <w:rPr>
                <w:rFonts w:eastAsia="Times New Roman" w:cs="Calibri"/>
                <w:color w:val="000000"/>
                <w:sz w:val="16"/>
                <w:szCs w:val="16"/>
                <w:lang w:eastAsia="es-MX"/>
              </w:rPr>
              <w:t>Chihuahua</w:t>
            </w:r>
          </w:p>
        </w:tc>
        <w:tc>
          <w:tcPr>
            <w:tcW w:w="1559" w:type="dxa"/>
            <w:tcBorders>
              <w:top w:val="nil"/>
              <w:left w:val="nil"/>
              <w:bottom w:val="single" w:sz="8" w:space="0" w:color="auto"/>
              <w:right w:val="single" w:sz="8" w:space="0" w:color="auto"/>
            </w:tcBorders>
            <w:shd w:val="clear" w:color="auto" w:fill="auto"/>
            <w:vAlign w:val="center"/>
            <w:hideMark/>
          </w:tcPr>
          <w:p w14:paraId="7E33E24C"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20 151.0</w:t>
            </w:r>
          </w:p>
        </w:tc>
        <w:tc>
          <w:tcPr>
            <w:tcW w:w="1560" w:type="dxa"/>
            <w:tcBorders>
              <w:top w:val="nil"/>
              <w:left w:val="nil"/>
              <w:bottom w:val="single" w:sz="8" w:space="0" w:color="auto"/>
              <w:right w:val="single" w:sz="8" w:space="0" w:color="auto"/>
            </w:tcBorders>
            <w:shd w:val="clear" w:color="auto" w:fill="auto"/>
            <w:vAlign w:val="center"/>
            <w:hideMark/>
          </w:tcPr>
          <w:p w14:paraId="277D7918"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40.4</w:t>
            </w:r>
          </w:p>
        </w:tc>
        <w:tc>
          <w:tcPr>
            <w:tcW w:w="1660" w:type="dxa"/>
            <w:tcBorders>
              <w:top w:val="nil"/>
              <w:left w:val="nil"/>
              <w:bottom w:val="single" w:sz="8" w:space="0" w:color="auto"/>
              <w:right w:val="single" w:sz="8" w:space="0" w:color="auto"/>
            </w:tcBorders>
            <w:shd w:val="clear" w:color="auto" w:fill="auto"/>
            <w:vAlign w:val="center"/>
            <w:hideMark/>
          </w:tcPr>
          <w:p w14:paraId="139B4E63"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14.9</w:t>
            </w:r>
          </w:p>
        </w:tc>
        <w:tc>
          <w:tcPr>
            <w:tcW w:w="1846" w:type="dxa"/>
            <w:tcBorders>
              <w:top w:val="nil"/>
              <w:left w:val="nil"/>
              <w:bottom w:val="single" w:sz="8" w:space="0" w:color="auto"/>
              <w:right w:val="single" w:sz="8" w:space="0" w:color="auto"/>
            </w:tcBorders>
            <w:shd w:val="clear" w:color="auto" w:fill="auto"/>
            <w:vAlign w:val="center"/>
            <w:hideMark/>
          </w:tcPr>
          <w:p w14:paraId="481AD613"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w:t>
            </w:r>
          </w:p>
        </w:tc>
      </w:tr>
      <w:tr w:rsidR="006F7FB0" w:rsidRPr="006F7FB0" w14:paraId="39F0F14A" w14:textId="77777777" w:rsidTr="002C45F7">
        <w:trPr>
          <w:trHeight w:val="369"/>
        </w:trPr>
        <w:tc>
          <w:tcPr>
            <w:tcW w:w="2410" w:type="dxa"/>
            <w:tcBorders>
              <w:top w:val="nil"/>
              <w:left w:val="single" w:sz="8" w:space="0" w:color="auto"/>
              <w:bottom w:val="single" w:sz="8" w:space="0" w:color="auto"/>
              <w:right w:val="single" w:sz="8" w:space="0" w:color="auto"/>
            </w:tcBorders>
            <w:shd w:val="clear" w:color="auto" w:fill="auto"/>
            <w:vAlign w:val="center"/>
            <w:hideMark/>
          </w:tcPr>
          <w:p w14:paraId="5BD1B543" w14:textId="77777777" w:rsidR="006F7FB0" w:rsidRPr="006F7FB0" w:rsidRDefault="006F7FB0" w:rsidP="006F7FB0">
            <w:pPr>
              <w:spacing w:after="0" w:line="240" w:lineRule="auto"/>
              <w:rPr>
                <w:rFonts w:eastAsia="Times New Roman" w:cs="Calibri"/>
                <w:color w:val="000000"/>
                <w:sz w:val="16"/>
                <w:szCs w:val="16"/>
                <w:lang w:eastAsia="es-MX"/>
              </w:rPr>
            </w:pPr>
            <w:r w:rsidRPr="006F7FB0">
              <w:rPr>
                <w:rFonts w:eastAsia="Times New Roman" w:cs="Calibri"/>
                <w:color w:val="000000"/>
                <w:sz w:val="16"/>
                <w:szCs w:val="16"/>
                <w:lang w:eastAsia="es-MX"/>
              </w:rPr>
              <w:t>Coahuila de Zaragoza</w:t>
            </w:r>
          </w:p>
        </w:tc>
        <w:tc>
          <w:tcPr>
            <w:tcW w:w="1559" w:type="dxa"/>
            <w:tcBorders>
              <w:top w:val="nil"/>
              <w:left w:val="nil"/>
              <w:bottom w:val="single" w:sz="8" w:space="0" w:color="auto"/>
              <w:right w:val="single" w:sz="8" w:space="0" w:color="auto"/>
            </w:tcBorders>
            <w:shd w:val="clear" w:color="auto" w:fill="auto"/>
            <w:vAlign w:val="center"/>
            <w:hideMark/>
          </w:tcPr>
          <w:p w14:paraId="1723B777"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15 613.6</w:t>
            </w:r>
          </w:p>
        </w:tc>
        <w:tc>
          <w:tcPr>
            <w:tcW w:w="1560" w:type="dxa"/>
            <w:tcBorders>
              <w:top w:val="nil"/>
              <w:left w:val="nil"/>
              <w:bottom w:val="single" w:sz="8" w:space="0" w:color="auto"/>
              <w:right w:val="single" w:sz="8" w:space="0" w:color="auto"/>
            </w:tcBorders>
            <w:shd w:val="clear" w:color="auto" w:fill="auto"/>
            <w:vAlign w:val="center"/>
            <w:hideMark/>
          </w:tcPr>
          <w:p w14:paraId="504207D4"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20.2</w:t>
            </w:r>
          </w:p>
        </w:tc>
        <w:tc>
          <w:tcPr>
            <w:tcW w:w="1660" w:type="dxa"/>
            <w:tcBorders>
              <w:top w:val="nil"/>
              <w:left w:val="nil"/>
              <w:bottom w:val="single" w:sz="8" w:space="0" w:color="auto"/>
              <w:right w:val="single" w:sz="8" w:space="0" w:color="auto"/>
            </w:tcBorders>
            <w:shd w:val="clear" w:color="auto" w:fill="auto"/>
            <w:vAlign w:val="center"/>
            <w:hideMark/>
          </w:tcPr>
          <w:p w14:paraId="10332151"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11.6</w:t>
            </w:r>
          </w:p>
        </w:tc>
        <w:tc>
          <w:tcPr>
            <w:tcW w:w="1846" w:type="dxa"/>
            <w:tcBorders>
              <w:top w:val="nil"/>
              <w:left w:val="nil"/>
              <w:bottom w:val="single" w:sz="8" w:space="0" w:color="auto"/>
              <w:right w:val="single" w:sz="8" w:space="0" w:color="auto"/>
            </w:tcBorders>
            <w:shd w:val="clear" w:color="auto" w:fill="auto"/>
            <w:vAlign w:val="center"/>
            <w:hideMark/>
          </w:tcPr>
          <w:p w14:paraId="1491D6FA"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2</w:t>
            </w:r>
          </w:p>
        </w:tc>
      </w:tr>
      <w:tr w:rsidR="006F7FB0" w:rsidRPr="006F7FB0" w14:paraId="0599DA69" w14:textId="77777777" w:rsidTr="002C45F7">
        <w:trPr>
          <w:trHeight w:val="369"/>
        </w:trPr>
        <w:tc>
          <w:tcPr>
            <w:tcW w:w="2410" w:type="dxa"/>
            <w:tcBorders>
              <w:top w:val="nil"/>
              <w:left w:val="single" w:sz="8" w:space="0" w:color="auto"/>
              <w:bottom w:val="single" w:sz="8" w:space="0" w:color="auto"/>
              <w:right w:val="single" w:sz="8" w:space="0" w:color="auto"/>
            </w:tcBorders>
            <w:shd w:val="clear" w:color="auto" w:fill="auto"/>
            <w:vAlign w:val="center"/>
            <w:hideMark/>
          </w:tcPr>
          <w:p w14:paraId="6B656DC3" w14:textId="77777777" w:rsidR="006F7FB0" w:rsidRPr="006F7FB0" w:rsidRDefault="006F7FB0" w:rsidP="006F7FB0">
            <w:pPr>
              <w:spacing w:after="0" w:line="240" w:lineRule="auto"/>
              <w:rPr>
                <w:rFonts w:eastAsia="Times New Roman" w:cs="Calibri"/>
                <w:color w:val="000000"/>
                <w:sz w:val="16"/>
                <w:szCs w:val="16"/>
                <w:lang w:eastAsia="es-MX"/>
              </w:rPr>
            </w:pPr>
            <w:r w:rsidRPr="006F7FB0">
              <w:rPr>
                <w:rFonts w:eastAsia="Times New Roman" w:cs="Calibri"/>
                <w:color w:val="000000"/>
                <w:sz w:val="16"/>
                <w:szCs w:val="16"/>
                <w:lang w:eastAsia="es-MX"/>
              </w:rPr>
              <w:t>Nuevo León</w:t>
            </w:r>
          </w:p>
        </w:tc>
        <w:tc>
          <w:tcPr>
            <w:tcW w:w="1559" w:type="dxa"/>
            <w:tcBorders>
              <w:top w:val="nil"/>
              <w:left w:val="nil"/>
              <w:bottom w:val="single" w:sz="8" w:space="0" w:color="auto"/>
              <w:right w:val="single" w:sz="8" w:space="0" w:color="auto"/>
            </w:tcBorders>
            <w:shd w:val="clear" w:color="auto" w:fill="auto"/>
            <w:vAlign w:val="center"/>
            <w:hideMark/>
          </w:tcPr>
          <w:p w14:paraId="2D30AF6D"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13 775.0</w:t>
            </w:r>
          </w:p>
        </w:tc>
        <w:tc>
          <w:tcPr>
            <w:tcW w:w="1560" w:type="dxa"/>
            <w:tcBorders>
              <w:top w:val="nil"/>
              <w:left w:val="nil"/>
              <w:bottom w:val="single" w:sz="8" w:space="0" w:color="auto"/>
              <w:right w:val="single" w:sz="8" w:space="0" w:color="auto"/>
            </w:tcBorders>
            <w:shd w:val="clear" w:color="auto" w:fill="auto"/>
            <w:vAlign w:val="center"/>
            <w:hideMark/>
          </w:tcPr>
          <w:p w14:paraId="3FC6BD7E"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30.2</w:t>
            </w:r>
          </w:p>
        </w:tc>
        <w:tc>
          <w:tcPr>
            <w:tcW w:w="1660" w:type="dxa"/>
            <w:tcBorders>
              <w:top w:val="nil"/>
              <w:left w:val="nil"/>
              <w:bottom w:val="single" w:sz="8" w:space="0" w:color="auto"/>
              <w:right w:val="single" w:sz="8" w:space="0" w:color="auto"/>
            </w:tcBorders>
            <w:shd w:val="clear" w:color="auto" w:fill="auto"/>
            <w:vAlign w:val="center"/>
            <w:hideMark/>
          </w:tcPr>
          <w:p w14:paraId="46605CE5"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10.2</w:t>
            </w:r>
          </w:p>
        </w:tc>
        <w:tc>
          <w:tcPr>
            <w:tcW w:w="1846" w:type="dxa"/>
            <w:tcBorders>
              <w:top w:val="nil"/>
              <w:left w:val="nil"/>
              <w:bottom w:val="single" w:sz="8" w:space="0" w:color="auto"/>
              <w:right w:val="single" w:sz="8" w:space="0" w:color="auto"/>
            </w:tcBorders>
            <w:shd w:val="clear" w:color="auto" w:fill="auto"/>
            <w:vAlign w:val="center"/>
            <w:hideMark/>
          </w:tcPr>
          <w:p w14:paraId="79D89A06"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3</w:t>
            </w:r>
          </w:p>
        </w:tc>
      </w:tr>
      <w:tr w:rsidR="006F7FB0" w:rsidRPr="006F7FB0" w14:paraId="4D283434" w14:textId="77777777" w:rsidTr="002C45F7">
        <w:trPr>
          <w:trHeight w:val="369"/>
        </w:trPr>
        <w:tc>
          <w:tcPr>
            <w:tcW w:w="2410" w:type="dxa"/>
            <w:tcBorders>
              <w:top w:val="nil"/>
              <w:left w:val="single" w:sz="8" w:space="0" w:color="auto"/>
              <w:bottom w:val="single" w:sz="8" w:space="0" w:color="auto"/>
              <w:right w:val="single" w:sz="8" w:space="0" w:color="auto"/>
            </w:tcBorders>
            <w:shd w:val="clear" w:color="auto" w:fill="auto"/>
            <w:vAlign w:val="center"/>
            <w:hideMark/>
          </w:tcPr>
          <w:p w14:paraId="7A5C95EE" w14:textId="77777777" w:rsidR="006F7FB0" w:rsidRPr="006F7FB0" w:rsidRDefault="006F7FB0" w:rsidP="006F7FB0">
            <w:pPr>
              <w:spacing w:after="0" w:line="240" w:lineRule="auto"/>
              <w:rPr>
                <w:rFonts w:eastAsia="Times New Roman" w:cs="Calibri"/>
                <w:color w:val="000000"/>
                <w:sz w:val="16"/>
                <w:szCs w:val="16"/>
                <w:lang w:eastAsia="es-MX"/>
              </w:rPr>
            </w:pPr>
            <w:r w:rsidRPr="006F7FB0">
              <w:rPr>
                <w:rFonts w:eastAsia="Times New Roman" w:cs="Calibri"/>
                <w:color w:val="000000"/>
                <w:sz w:val="16"/>
                <w:szCs w:val="16"/>
                <w:lang w:eastAsia="es-MX"/>
              </w:rPr>
              <w:t>Baja California</w:t>
            </w:r>
          </w:p>
        </w:tc>
        <w:tc>
          <w:tcPr>
            <w:tcW w:w="1559" w:type="dxa"/>
            <w:tcBorders>
              <w:top w:val="nil"/>
              <w:left w:val="nil"/>
              <w:bottom w:val="single" w:sz="8" w:space="0" w:color="auto"/>
              <w:right w:val="single" w:sz="8" w:space="0" w:color="auto"/>
            </w:tcBorders>
            <w:shd w:val="clear" w:color="auto" w:fill="auto"/>
            <w:vAlign w:val="center"/>
            <w:hideMark/>
          </w:tcPr>
          <w:p w14:paraId="4CF0B69C"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13 624.3</w:t>
            </w:r>
          </w:p>
        </w:tc>
        <w:tc>
          <w:tcPr>
            <w:tcW w:w="1560" w:type="dxa"/>
            <w:tcBorders>
              <w:top w:val="nil"/>
              <w:left w:val="nil"/>
              <w:bottom w:val="single" w:sz="8" w:space="0" w:color="auto"/>
              <w:right w:val="single" w:sz="8" w:space="0" w:color="auto"/>
            </w:tcBorders>
            <w:shd w:val="clear" w:color="auto" w:fill="auto"/>
            <w:vAlign w:val="center"/>
            <w:hideMark/>
          </w:tcPr>
          <w:p w14:paraId="499A4EEB"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5</w:t>
            </w:r>
          </w:p>
        </w:tc>
        <w:tc>
          <w:tcPr>
            <w:tcW w:w="1660" w:type="dxa"/>
            <w:tcBorders>
              <w:top w:val="nil"/>
              <w:left w:val="nil"/>
              <w:bottom w:val="single" w:sz="8" w:space="0" w:color="auto"/>
              <w:right w:val="single" w:sz="8" w:space="0" w:color="auto"/>
            </w:tcBorders>
            <w:shd w:val="clear" w:color="auto" w:fill="auto"/>
            <w:vAlign w:val="center"/>
            <w:hideMark/>
          </w:tcPr>
          <w:p w14:paraId="3FD27BD1"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10.1</w:t>
            </w:r>
          </w:p>
        </w:tc>
        <w:tc>
          <w:tcPr>
            <w:tcW w:w="1846" w:type="dxa"/>
            <w:tcBorders>
              <w:top w:val="nil"/>
              <w:left w:val="nil"/>
              <w:bottom w:val="single" w:sz="8" w:space="0" w:color="auto"/>
              <w:right w:val="single" w:sz="8" w:space="0" w:color="auto"/>
            </w:tcBorders>
            <w:shd w:val="clear" w:color="auto" w:fill="auto"/>
            <w:vAlign w:val="center"/>
            <w:hideMark/>
          </w:tcPr>
          <w:p w14:paraId="08E4D0BA"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4</w:t>
            </w:r>
          </w:p>
        </w:tc>
      </w:tr>
      <w:tr w:rsidR="006F7FB0" w:rsidRPr="006F7FB0" w14:paraId="300417CA" w14:textId="77777777" w:rsidTr="002C45F7">
        <w:trPr>
          <w:trHeight w:val="369"/>
        </w:trPr>
        <w:tc>
          <w:tcPr>
            <w:tcW w:w="2410" w:type="dxa"/>
            <w:tcBorders>
              <w:top w:val="nil"/>
              <w:left w:val="single" w:sz="8" w:space="0" w:color="auto"/>
              <w:bottom w:val="single" w:sz="8" w:space="0" w:color="auto"/>
              <w:right w:val="single" w:sz="8" w:space="0" w:color="auto"/>
            </w:tcBorders>
            <w:shd w:val="clear" w:color="000000" w:fill="DDC9A3"/>
            <w:vAlign w:val="center"/>
            <w:hideMark/>
          </w:tcPr>
          <w:p w14:paraId="1A67976B" w14:textId="77777777" w:rsidR="006F7FB0" w:rsidRPr="006F7FB0" w:rsidRDefault="006F7FB0" w:rsidP="006F7FB0">
            <w:pPr>
              <w:spacing w:after="0" w:line="240" w:lineRule="auto"/>
              <w:jc w:val="both"/>
              <w:rPr>
                <w:rFonts w:eastAsia="Times New Roman" w:cs="Calibri"/>
                <w:color w:val="000000"/>
                <w:sz w:val="16"/>
                <w:szCs w:val="16"/>
                <w:lang w:eastAsia="es-MX"/>
              </w:rPr>
            </w:pPr>
            <w:r w:rsidRPr="006F7FB0">
              <w:rPr>
                <w:rFonts w:eastAsia="Times New Roman" w:cs="Calibri"/>
                <w:color w:val="000000"/>
                <w:sz w:val="16"/>
                <w:szCs w:val="16"/>
                <w:lang w:eastAsia="es-MX"/>
              </w:rPr>
              <w:t>Tamaulipas</w:t>
            </w:r>
          </w:p>
        </w:tc>
        <w:tc>
          <w:tcPr>
            <w:tcW w:w="1559" w:type="dxa"/>
            <w:tcBorders>
              <w:top w:val="nil"/>
              <w:left w:val="nil"/>
              <w:bottom w:val="single" w:sz="8" w:space="0" w:color="auto"/>
              <w:right w:val="single" w:sz="8" w:space="0" w:color="auto"/>
            </w:tcBorders>
            <w:shd w:val="clear" w:color="000000" w:fill="DDC9A3"/>
            <w:vAlign w:val="center"/>
            <w:hideMark/>
          </w:tcPr>
          <w:p w14:paraId="1328A643"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8 574.0</w:t>
            </w:r>
          </w:p>
        </w:tc>
        <w:tc>
          <w:tcPr>
            <w:tcW w:w="1560" w:type="dxa"/>
            <w:tcBorders>
              <w:top w:val="nil"/>
              <w:left w:val="nil"/>
              <w:bottom w:val="single" w:sz="8" w:space="0" w:color="auto"/>
              <w:right w:val="single" w:sz="8" w:space="0" w:color="auto"/>
            </w:tcBorders>
            <w:shd w:val="clear" w:color="000000" w:fill="DDC9A3"/>
            <w:vAlign w:val="center"/>
            <w:hideMark/>
          </w:tcPr>
          <w:p w14:paraId="197F0945"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1.2</w:t>
            </w:r>
          </w:p>
        </w:tc>
        <w:tc>
          <w:tcPr>
            <w:tcW w:w="1660" w:type="dxa"/>
            <w:tcBorders>
              <w:top w:val="nil"/>
              <w:left w:val="nil"/>
              <w:bottom w:val="single" w:sz="8" w:space="0" w:color="auto"/>
              <w:right w:val="single" w:sz="8" w:space="0" w:color="auto"/>
            </w:tcBorders>
            <w:shd w:val="clear" w:color="000000" w:fill="DDC9A3"/>
            <w:vAlign w:val="center"/>
            <w:hideMark/>
          </w:tcPr>
          <w:p w14:paraId="399366FF"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6.4</w:t>
            </w:r>
          </w:p>
        </w:tc>
        <w:tc>
          <w:tcPr>
            <w:tcW w:w="1846" w:type="dxa"/>
            <w:tcBorders>
              <w:top w:val="nil"/>
              <w:left w:val="nil"/>
              <w:bottom w:val="single" w:sz="8" w:space="0" w:color="auto"/>
              <w:right w:val="single" w:sz="8" w:space="0" w:color="auto"/>
            </w:tcBorders>
            <w:shd w:val="clear" w:color="000000" w:fill="DDC9A3"/>
            <w:vAlign w:val="center"/>
            <w:hideMark/>
          </w:tcPr>
          <w:p w14:paraId="66E310B0"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5</w:t>
            </w:r>
          </w:p>
        </w:tc>
      </w:tr>
      <w:tr w:rsidR="006F7FB0" w:rsidRPr="006F7FB0" w14:paraId="34B50990" w14:textId="77777777" w:rsidTr="002C45F7">
        <w:trPr>
          <w:trHeight w:val="369"/>
        </w:trPr>
        <w:tc>
          <w:tcPr>
            <w:tcW w:w="2410" w:type="dxa"/>
            <w:tcBorders>
              <w:top w:val="nil"/>
              <w:left w:val="single" w:sz="8" w:space="0" w:color="auto"/>
              <w:bottom w:val="single" w:sz="8" w:space="0" w:color="auto"/>
              <w:right w:val="single" w:sz="8" w:space="0" w:color="auto"/>
            </w:tcBorders>
            <w:shd w:val="clear" w:color="auto" w:fill="auto"/>
            <w:vAlign w:val="center"/>
            <w:hideMark/>
          </w:tcPr>
          <w:p w14:paraId="281170C8" w14:textId="77777777" w:rsidR="006F7FB0" w:rsidRPr="006F7FB0" w:rsidRDefault="006F7FB0" w:rsidP="006F7FB0">
            <w:pPr>
              <w:spacing w:after="0" w:line="240" w:lineRule="auto"/>
              <w:rPr>
                <w:rFonts w:eastAsia="Times New Roman" w:cs="Calibri"/>
                <w:color w:val="000000"/>
                <w:sz w:val="16"/>
                <w:szCs w:val="16"/>
                <w:lang w:eastAsia="es-MX"/>
              </w:rPr>
            </w:pPr>
            <w:r w:rsidRPr="006F7FB0">
              <w:rPr>
                <w:rFonts w:eastAsia="Times New Roman" w:cs="Calibri"/>
                <w:color w:val="000000"/>
                <w:sz w:val="16"/>
                <w:szCs w:val="16"/>
                <w:lang w:eastAsia="es-MX"/>
              </w:rPr>
              <w:t>Resto de las entidades</w:t>
            </w:r>
          </w:p>
        </w:tc>
        <w:tc>
          <w:tcPr>
            <w:tcW w:w="1559" w:type="dxa"/>
            <w:tcBorders>
              <w:top w:val="nil"/>
              <w:left w:val="nil"/>
              <w:bottom w:val="single" w:sz="8" w:space="0" w:color="auto"/>
              <w:right w:val="single" w:sz="8" w:space="0" w:color="auto"/>
            </w:tcBorders>
            <w:shd w:val="clear" w:color="auto" w:fill="auto"/>
            <w:vAlign w:val="center"/>
            <w:hideMark/>
          </w:tcPr>
          <w:p w14:paraId="40207EAD"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63,168.50</w:t>
            </w:r>
          </w:p>
        </w:tc>
        <w:tc>
          <w:tcPr>
            <w:tcW w:w="1560" w:type="dxa"/>
            <w:tcBorders>
              <w:top w:val="nil"/>
              <w:left w:val="nil"/>
              <w:bottom w:val="single" w:sz="8" w:space="0" w:color="auto"/>
              <w:right w:val="single" w:sz="8" w:space="0" w:color="auto"/>
            </w:tcBorders>
            <w:shd w:val="clear" w:color="auto" w:fill="auto"/>
            <w:vAlign w:val="center"/>
            <w:hideMark/>
          </w:tcPr>
          <w:p w14:paraId="39A87A68"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vAlign w:val="center"/>
            <w:hideMark/>
          </w:tcPr>
          <w:p w14:paraId="0F6CAD2B"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46.8</w:t>
            </w:r>
          </w:p>
        </w:tc>
        <w:tc>
          <w:tcPr>
            <w:tcW w:w="1846" w:type="dxa"/>
            <w:tcBorders>
              <w:top w:val="nil"/>
              <w:left w:val="nil"/>
              <w:bottom w:val="single" w:sz="8" w:space="0" w:color="auto"/>
              <w:right w:val="single" w:sz="8" w:space="0" w:color="auto"/>
            </w:tcBorders>
            <w:shd w:val="clear" w:color="auto" w:fill="auto"/>
            <w:vAlign w:val="center"/>
            <w:hideMark/>
          </w:tcPr>
          <w:p w14:paraId="573C05BD"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 </w:t>
            </w:r>
          </w:p>
        </w:tc>
      </w:tr>
    </w:tbl>
    <w:p w14:paraId="3ACFB0D6" w14:textId="3A6C51C3" w:rsidR="00E92EC1" w:rsidRPr="00676CED" w:rsidRDefault="00E92EC1" w:rsidP="006F7FB0">
      <w:pPr>
        <w:pStyle w:val="NormalWeb"/>
        <w:spacing w:before="0" w:beforeAutospacing="0" w:after="0" w:afterAutospacing="0"/>
        <w:ind w:left="284"/>
        <w:rPr>
          <w:rFonts w:asciiTheme="minorHAnsi" w:hAnsiTheme="minorHAnsi" w:cstheme="minorHAnsi"/>
          <w:sz w:val="14"/>
          <w:szCs w:val="14"/>
        </w:rPr>
      </w:pPr>
      <w:r w:rsidRPr="00676CED">
        <w:rPr>
          <w:rFonts w:asciiTheme="minorHAnsi" w:hAnsiTheme="minorHAnsi" w:cstheme="minorHAnsi"/>
          <w:sz w:val="14"/>
          <w:szCs w:val="14"/>
        </w:rPr>
        <w:t>Cifras preliminares</w:t>
      </w:r>
      <w:r w:rsidRPr="00676CED">
        <w:rPr>
          <w:rFonts w:asciiTheme="minorHAnsi" w:hAnsiTheme="minorHAnsi" w:cstheme="minorHAnsi"/>
          <w:sz w:val="14"/>
          <w:szCs w:val="14"/>
        </w:rPr>
        <w:br/>
        <w:t xml:space="preserve">El total presenta una diferencia respecto al reportado por la Balanza Comercial de Mercancías de </w:t>
      </w:r>
      <w:r w:rsidR="006F7FB0" w:rsidRPr="00676CED">
        <w:rPr>
          <w:rFonts w:asciiTheme="minorHAnsi" w:hAnsiTheme="minorHAnsi" w:cstheme="minorHAnsi"/>
          <w:sz w:val="14"/>
          <w:szCs w:val="14"/>
        </w:rPr>
        <w:t>México</w:t>
      </w:r>
      <w:r w:rsidR="006F7FB0">
        <w:rPr>
          <w:rFonts w:asciiTheme="minorHAnsi" w:hAnsiTheme="minorHAnsi" w:cstheme="minorHAnsi"/>
          <w:sz w:val="14"/>
          <w:szCs w:val="14"/>
        </w:rPr>
        <w:t xml:space="preserve">  </w:t>
      </w:r>
      <w:r w:rsidRPr="00676CED">
        <w:rPr>
          <w:rFonts w:asciiTheme="minorHAnsi" w:hAnsiTheme="minorHAnsi" w:cstheme="minorHAnsi"/>
          <w:sz w:val="14"/>
          <w:szCs w:val="14"/>
        </w:rPr>
        <w:t xml:space="preserve">debido a que no se consideran los sectores Servicios y Comercio, </w:t>
      </w:r>
      <w:r w:rsidR="006F7FB0" w:rsidRPr="00676CED">
        <w:rPr>
          <w:rFonts w:asciiTheme="minorHAnsi" w:hAnsiTheme="minorHAnsi" w:cstheme="minorHAnsi"/>
          <w:sz w:val="14"/>
          <w:szCs w:val="14"/>
        </w:rPr>
        <w:t>así</w:t>
      </w:r>
      <w:r w:rsidRPr="00676CED">
        <w:rPr>
          <w:rFonts w:asciiTheme="minorHAnsi" w:hAnsiTheme="minorHAnsi" w:cstheme="minorHAnsi"/>
          <w:sz w:val="14"/>
          <w:szCs w:val="14"/>
        </w:rPr>
        <w:t>́ como los establecimientos no</w:t>
      </w:r>
      <w:r w:rsidR="006F7FB0">
        <w:rPr>
          <w:rFonts w:asciiTheme="minorHAnsi" w:hAnsiTheme="minorHAnsi" w:cstheme="minorHAnsi"/>
          <w:sz w:val="14"/>
          <w:szCs w:val="14"/>
        </w:rPr>
        <w:t xml:space="preserve"> </w:t>
      </w:r>
      <w:r w:rsidRPr="00676CED">
        <w:rPr>
          <w:rFonts w:asciiTheme="minorHAnsi" w:hAnsiTheme="minorHAnsi" w:cstheme="minorHAnsi"/>
          <w:sz w:val="14"/>
          <w:szCs w:val="14"/>
        </w:rPr>
        <w:t xml:space="preserve">vinculados al RENEM (ver nota </w:t>
      </w:r>
      <w:r w:rsidR="006F7FB0" w:rsidRPr="00676CED">
        <w:rPr>
          <w:rFonts w:asciiTheme="minorHAnsi" w:hAnsiTheme="minorHAnsi" w:cstheme="minorHAnsi"/>
          <w:sz w:val="14"/>
          <w:szCs w:val="14"/>
        </w:rPr>
        <w:t>metodológica</w:t>
      </w:r>
      <w:r w:rsidRPr="00676CED">
        <w:rPr>
          <w:rFonts w:asciiTheme="minorHAnsi" w:hAnsiTheme="minorHAnsi" w:cstheme="minorHAnsi"/>
          <w:sz w:val="14"/>
          <w:szCs w:val="14"/>
        </w:rPr>
        <w:t xml:space="preserve"> al final de este documento).</w:t>
      </w:r>
    </w:p>
    <w:p w14:paraId="4CBFCE05" w14:textId="77777777" w:rsidR="00E92EC1" w:rsidRPr="00676CED" w:rsidRDefault="00E92EC1" w:rsidP="006F7FB0">
      <w:pPr>
        <w:pStyle w:val="NormalWeb"/>
        <w:spacing w:before="0" w:beforeAutospacing="0" w:after="0" w:afterAutospacing="0"/>
        <w:ind w:left="709" w:hanging="425"/>
        <w:rPr>
          <w:rFonts w:asciiTheme="minorHAnsi" w:hAnsiTheme="minorHAnsi" w:cstheme="minorHAnsi"/>
          <w:sz w:val="14"/>
          <w:szCs w:val="14"/>
        </w:rPr>
      </w:pPr>
      <w:r w:rsidRPr="00676CED">
        <w:rPr>
          <w:rFonts w:asciiTheme="minorHAnsi" w:hAnsiTheme="minorHAnsi" w:cstheme="minorHAnsi"/>
          <w:sz w:val="14"/>
          <w:szCs w:val="14"/>
        </w:rPr>
        <w:t>Fuente: INEGI</w:t>
      </w:r>
    </w:p>
    <w:p w14:paraId="754F6C35" w14:textId="77777777" w:rsidR="00E92EC1" w:rsidRPr="00676CED" w:rsidRDefault="00E92EC1" w:rsidP="00E92EC1">
      <w:pPr>
        <w:jc w:val="center"/>
        <w:rPr>
          <w:rFonts w:asciiTheme="minorHAnsi" w:hAnsiTheme="minorHAnsi" w:cstheme="minorHAnsi"/>
          <w:b/>
          <w:bCs/>
          <w:sz w:val="18"/>
          <w:szCs w:val="18"/>
        </w:rPr>
      </w:pPr>
    </w:p>
    <w:p w14:paraId="38E4816D" w14:textId="62626D19"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Cabe destacar que el estado de Tamaulipas en la comparativa anual sobresalió en las siguientes exportaciones:</w:t>
      </w:r>
    </w:p>
    <w:p w14:paraId="309C49FA" w14:textId="217161F1" w:rsidR="00E92EC1" w:rsidRPr="00B34B21" w:rsidRDefault="00E92EC1" w:rsidP="00E92EC1">
      <w:pPr>
        <w:jc w:val="both"/>
        <w:rPr>
          <w:rFonts w:asciiTheme="minorHAnsi" w:hAnsiTheme="minorHAnsi" w:cstheme="minorHAnsi"/>
          <w:b/>
          <w:sz w:val="20"/>
          <w:szCs w:val="18"/>
        </w:rPr>
      </w:pPr>
      <w:r w:rsidRPr="00B34B21">
        <w:rPr>
          <w:rFonts w:asciiTheme="minorHAnsi" w:hAnsiTheme="minorHAnsi" w:cstheme="minorHAnsi"/>
          <w:b/>
          <w:sz w:val="20"/>
          <w:szCs w:val="18"/>
        </w:rPr>
        <w:t>Equipo electrónico, con un 7.9%</w:t>
      </w:r>
      <w:r w:rsidR="007E1E4D" w:rsidRPr="00B34B21">
        <w:rPr>
          <w:rFonts w:asciiTheme="minorHAnsi" w:hAnsiTheme="minorHAnsi" w:cstheme="minorHAnsi"/>
          <w:b/>
          <w:sz w:val="20"/>
          <w:szCs w:val="18"/>
        </w:rPr>
        <w:t xml:space="preserve">, </w:t>
      </w:r>
      <w:r w:rsidRPr="00B34B21">
        <w:rPr>
          <w:rFonts w:asciiTheme="minorHAnsi" w:hAnsiTheme="minorHAnsi" w:cstheme="minorHAnsi"/>
          <w:b/>
          <w:sz w:val="20"/>
          <w:szCs w:val="18"/>
        </w:rPr>
        <w:t>Equipo eléctrico, 11.3%</w:t>
      </w:r>
      <w:r w:rsidR="007E1E4D" w:rsidRPr="00B34B21">
        <w:rPr>
          <w:rFonts w:asciiTheme="minorHAnsi" w:hAnsiTheme="minorHAnsi" w:cstheme="minorHAnsi"/>
          <w:b/>
          <w:sz w:val="20"/>
          <w:szCs w:val="18"/>
        </w:rPr>
        <w:t xml:space="preserve">, </w:t>
      </w:r>
      <w:r w:rsidRPr="00B34B21">
        <w:rPr>
          <w:rFonts w:asciiTheme="minorHAnsi" w:hAnsiTheme="minorHAnsi" w:cstheme="minorHAnsi"/>
          <w:b/>
          <w:sz w:val="20"/>
          <w:szCs w:val="18"/>
        </w:rPr>
        <w:t>Subsector de extracción de petróleo, 0.6%</w:t>
      </w:r>
    </w:p>
    <w:p w14:paraId="76CEB8A9" w14:textId="77777777"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Por su parte, como ya es una tradición en el sector primario, específicamente en el agroindustrial, la producción de sorgo, soya y sábila siguen distinguiendo a Tamaulipas entre los primeros lugares de producción a nivel nacional. De igual forma, el comercio y los servicios son ampliamente dinámicos, siendo de los principales Estados exportadores del país, y líder en cuanto al movimiento de importaciones y exportaciones a los Estados Unidos de Norteamérica.</w:t>
      </w:r>
    </w:p>
    <w:p w14:paraId="539CFFF4" w14:textId="77777777" w:rsidR="00E92EC1" w:rsidRPr="00B34B21" w:rsidRDefault="00E92EC1" w:rsidP="00E92EC1">
      <w:pPr>
        <w:jc w:val="both"/>
        <w:rPr>
          <w:rFonts w:asciiTheme="minorHAnsi" w:hAnsiTheme="minorHAnsi" w:cstheme="minorHAnsi"/>
          <w:b/>
          <w:sz w:val="20"/>
          <w:szCs w:val="18"/>
        </w:rPr>
      </w:pPr>
      <w:r w:rsidRPr="00B34B21">
        <w:rPr>
          <w:rFonts w:asciiTheme="minorHAnsi" w:hAnsiTheme="minorHAnsi" w:cstheme="minorHAnsi"/>
          <w:b/>
          <w:sz w:val="20"/>
          <w:szCs w:val="18"/>
        </w:rPr>
        <w:t>2.3.5.- Deuda Pública Estatal.</w:t>
      </w:r>
    </w:p>
    <w:p w14:paraId="49141160" w14:textId="0D4B8C8D" w:rsidR="00E92EC1"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En este rubro, al cierre del </w:t>
      </w:r>
      <w:r w:rsidR="00EE64E5">
        <w:rPr>
          <w:rFonts w:asciiTheme="minorHAnsi" w:hAnsiTheme="minorHAnsi" w:cstheme="minorHAnsi"/>
          <w:sz w:val="18"/>
          <w:szCs w:val="18"/>
        </w:rPr>
        <w:t>cuarto</w:t>
      </w:r>
      <w:r w:rsidRPr="00E850D6">
        <w:rPr>
          <w:rFonts w:asciiTheme="minorHAnsi" w:hAnsiTheme="minorHAnsi" w:cstheme="minorHAnsi"/>
          <w:sz w:val="18"/>
          <w:szCs w:val="18"/>
        </w:rPr>
        <w:t xml:space="preserve"> trimestre del 2022, Tamaulipas es ubicado en semáforo verde en el Sistema de Alertas publicado por la Secretaría de Hacienda y Crédito Público (SHCP), Indicador que establece una calificación considerada como sostenible para el nivel de endeudamiento del Gobierno del Estado, ello en relación a sus ingresos de libre disposición (ILD).</w:t>
      </w:r>
    </w:p>
    <w:p w14:paraId="265BA576" w14:textId="77777777" w:rsidR="00FB6304" w:rsidRPr="00E850D6" w:rsidRDefault="00FB6304" w:rsidP="00E92EC1">
      <w:pPr>
        <w:jc w:val="both"/>
        <w:rPr>
          <w:rFonts w:asciiTheme="minorHAnsi" w:hAnsiTheme="minorHAnsi" w:cstheme="minorHAnsi"/>
          <w:sz w:val="18"/>
          <w:szCs w:val="18"/>
        </w:rPr>
      </w:pPr>
    </w:p>
    <w:p w14:paraId="08A8804E" w14:textId="77777777" w:rsidR="00B04353" w:rsidRPr="00E850D6" w:rsidRDefault="00B04353" w:rsidP="00B46FFA">
      <w:pPr>
        <w:pStyle w:val="Prrafodelista"/>
        <w:widowControl w:val="0"/>
        <w:numPr>
          <w:ilvl w:val="0"/>
          <w:numId w:val="25"/>
        </w:numPr>
        <w:spacing w:after="0" w:line="240" w:lineRule="auto"/>
        <w:ind w:right="3566"/>
        <w:jc w:val="both"/>
        <w:outlineLvl w:val="0"/>
        <w:rPr>
          <w:rFonts w:asciiTheme="minorHAnsi" w:eastAsia="Arial" w:hAnsiTheme="minorHAnsi" w:cstheme="minorHAnsi"/>
          <w:b/>
          <w:bCs/>
          <w:sz w:val="20"/>
          <w:szCs w:val="18"/>
        </w:rPr>
      </w:pPr>
      <w:r w:rsidRPr="00E850D6">
        <w:rPr>
          <w:rFonts w:asciiTheme="minorHAnsi" w:eastAsia="Arial" w:hAnsiTheme="minorHAnsi" w:cstheme="minorHAnsi"/>
          <w:b/>
          <w:bCs/>
          <w:sz w:val="20"/>
          <w:szCs w:val="18"/>
        </w:rPr>
        <w:t>Autorización e Historia</w:t>
      </w:r>
    </w:p>
    <w:p w14:paraId="434EED54" w14:textId="77777777" w:rsidR="00B04353" w:rsidRPr="00E850D6" w:rsidRDefault="00B04353" w:rsidP="004056BA">
      <w:pPr>
        <w:pStyle w:val="Prrafodelista"/>
        <w:spacing w:after="0" w:line="240" w:lineRule="auto"/>
        <w:ind w:left="360"/>
        <w:jc w:val="both"/>
        <w:rPr>
          <w:rFonts w:asciiTheme="minorHAnsi" w:eastAsia="Times New Roman" w:hAnsiTheme="minorHAnsi" w:cstheme="minorHAnsi"/>
          <w:sz w:val="20"/>
          <w:szCs w:val="18"/>
          <w:lang w:val="es-ES" w:eastAsia="es-ES"/>
        </w:rPr>
      </w:pPr>
    </w:p>
    <w:p w14:paraId="45F383CF" w14:textId="77777777" w:rsidR="00B04353" w:rsidRPr="00E850D6" w:rsidRDefault="00B04353" w:rsidP="004056BA">
      <w:pPr>
        <w:pStyle w:val="Prrafodelista"/>
        <w:numPr>
          <w:ilvl w:val="1"/>
          <w:numId w:val="6"/>
        </w:numPr>
        <w:spacing w:after="0" w:line="240" w:lineRule="auto"/>
        <w:jc w:val="both"/>
        <w:rPr>
          <w:rFonts w:asciiTheme="minorHAnsi" w:hAnsiTheme="minorHAnsi" w:cstheme="minorHAnsi"/>
          <w:sz w:val="18"/>
          <w:szCs w:val="18"/>
        </w:rPr>
      </w:pPr>
      <w:r w:rsidRPr="00E850D6">
        <w:rPr>
          <w:rFonts w:asciiTheme="minorHAnsi" w:hAnsiTheme="minorHAnsi" w:cstheme="minorHAnsi"/>
          <w:sz w:val="18"/>
          <w:szCs w:val="18"/>
        </w:rPr>
        <w:t xml:space="preserve">Fecha de creación del Ente. </w:t>
      </w:r>
    </w:p>
    <w:p w14:paraId="2A14834D" w14:textId="77777777" w:rsidR="00B04353" w:rsidRPr="00E850D6" w:rsidRDefault="00B04353" w:rsidP="004056BA">
      <w:pPr>
        <w:spacing w:after="0" w:line="240" w:lineRule="auto"/>
        <w:ind w:left="709"/>
        <w:jc w:val="both"/>
        <w:rPr>
          <w:rFonts w:asciiTheme="minorHAnsi" w:hAnsiTheme="minorHAnsi" w:cstheme="minorHAnsi"/>
          <w:sz w:val="18"/>
          <w:szCs w:val="18"/>
        </w:rPr>
      </w:pPr>
      <w:r w:rsidRPr="00E850D6">
        <w:rPr>
          <w:rFonts w:asciiTheme="minorHAnsi" w:hAnsiTheme="minorHAnsi" w:cstheme="minorHAnsi"/>
          <w:sz w:val="18"/>
          <w:szCs w:val="18"/>
        </w:rPr>
        <w:t>El principal antecedente histórico relativo a la creación del Gobierno del Estado de Tamaulipas, lo constituye la vigencia de la entonces Ley del 8 de Enero de 1824, así como el Acta Constitutiva de la Federación Mexicana del 31 de Enero del mismo año, mediante la cual quedó instalado el Primer Congreso Constituyente de Tamaulipas, ello el 7 de Julio de 1824 en la Antigua Villa de Padilla, lo cual ocurrió tres años después de haber sido jurada en Aguayo la Independencia de México.</w:t>
      </w:r>
    </w:p>
    <w:p w14:paraId="6FFDF869" w14:textId="431AA44D" w:rsidR="00B04353" w:rsidRDefault="00B04353" w:rsidP="00B04353">
      <w:pPr>
        <w:spacing w:after="0" w:line="240" w:lineRule="auto"/>
        <w:ind w:left="709"/>
        <w:jc w:val="both"/>
        <w:rPr>
          <w:rFonts w:asciiTheme="minorHAnsi" w:hAnsiTheme="minorHAnsi" w:cstheme="minorHAnsi"/>
          <w:sz w:val="18"/>
          <w:szCs w:val="18"/>
        </w:rPr>
      </w:pPr>
    </w:p>
    <w:p w14:paraId="701E0260" w14:textId="1671921F" w:rsidR="00FB6304" w:rsidRDefault="00FB6304" w:rsidP="00B04353">
      <w:pPr>
        <w:spacing w:after="0" w:line="240" w:lineRule="auto"/>
        <w:ind w:left="709"/>
        <w:jc w:val="both"/>
        <w:rPr>
          <w:rFonts w:asciiTheme="minorHAnsi" w:hAnsiTheme="minorHAnsi" w:cstheme="minorHAnsi"/>
          <w:sz w:val="18"/>
          <w:szCs w:val="18"/>
        </w:rPr>
      </w:pPr>
    </w:p>
    <w:p w14:paraId="1DFF7745" w14:textId="77777777" w:rsidR="00FB6304" w:rsidRPr="00E850D6" w:rsidRDefault="00FB6304" w:rsidP="00B04353">
      <w:pPr>
        <w:spacing w:after="0" w:line="240" w:lineRule="auto"/>
        <w:ind w:left="709"/>
        <w:jc w:val="both"/>
        <w:rPr>
          <w:rFonts w:asciiTheme="minorHAnsi" w:hAnsiTheme="minorHAnsi" w:cstheme="minorHAnsi"/>
          <w:sz w:val="18"/>
          <w:szCs w:val="18"/>
        </w:rPr>
      </w:pPr>
    </w:p>
    <w:p w14:paraId="7D2FD35F" w14:textId="77777777" w:rsidR="00B04353" w:rsidRPr="00E850D6" w:rsidRDefault="00B04353" w:rsidP="00B04353">
      <w:pPr>
        <w:pStyle w:val="Prrafodelista"/>
        <w:numPr>
          <w:ilvl w:val="1"/>
          <w:numId w:val="6"/>
        </w:numPr>
        <w:spacing w:after="0" w:line="240" w:lineRule="auto"/>
        <w:jc w:val="both"/>
        <w:rPr>
          <w:rFonts w:asciiTheme="minorHAnsi" w:hAnsiTheme="minorHAnsi" w:cstheme="minorHAnsi"/>
          <w:sz w:val="18"/>
          <w:szCs w:val="18"/>
        </w:rPr>
      </w:pPr>
      <w:r w:rsidRPr="00E850D6">
        <w:rPr>
          <w:rFonts w:asciiTheme="minorHAnsi" w:hAnsiTheme="minorHAnsi" w:cstheme="minorHAnsi"/>
          <w:sz w:val="18"/>
          <w:szCs w:val="18"/>
        </w:rPr>
        <w:t>Principales cambios en su estructura.</w:t>
      </w:r>
    </w:p>
    <w:p w14:paraId="2ECCCDD6" w14:textId="0DA4B2E2" w:rsidR="00B04353" w:rsidRPr="00E850D6" w:rsidRDefault="00B04353" w:rsidP="00B04353">
      <w:pPr>
        <w:spacing w:after="0" w:line="240" w:lineRule="auto"/>
        <w:ind w:left="720"/>
        <w:contextualSpacing/>
        <w:jc w:val="both"/>
        <w:rPr>
          <w:rFonts w:asciiTheme="minorHAnsi" w:hAnsiTheme="minorHAnsi" w:cstheme="minorHAnsi"/>
          <w:sz w:val="18"/>
          <w:szCs w:val="18"/>
        </w:rPr>
      </w:pPr>
      <w:r w:rsidRPr="00E850D6">
        <w:rPr>
          <w:rFonts w:asciiTheme="minorHAnsi" w:hAnsiTheme="minorHAnsi" w:cstheme="minorHAnsi"/>
          <w:sz w:val="18"/>
          <w:szCs w:val="18"/>
        </w:rPr>
        <w:t>Con la Evolución Política y Económica del País, los Tres Poderes que Constituyen el Gobierno del Estado se han adaptado al Entorno Social, Económico y Político que ha transformado a México desde su Independencia, de tal forma que han reformado permanentemente sus Leyes Orgánicas en el caso del Poder Legislativo y del Poder Judicial. Igual ha ocurrido en el Poder Ejecutivo, ya que similar proceso aplica para la Ley Orgánica de la Administración Pública del Estado de Tamaulipas, cuya</w:t>
      </w:r>
      <w:r w:rsidR="008517E0" w:rsidRPr="00E850D6">
        <w:rPr>
          <w:rFonts w:asciiTheme="minorHAnsi" w:hAnsiTheme="minorHAnsi" w:cstheme="minorHAnsi"/>
          <w:sz w:val="18"/>
          <w:szCs w:val="18"/>
        </w:rPr>
        <w:t>s</w:t>
      </w:r>
      <w:r w:rsidRPr="00E850D6">
        <w:rPr>
          <w:rFonts w:asciiTheme="minorHAnsi" w:hAnsiTheme="minorHAnsi" w:cstheme="minorHAnsi"/>
          <w:sz w:val="18"/>
          <w:szCs w:val="18"/>
        </w:rPr>
        <w:t xml:space="preserve"> última</w:t>
      </w:r>
      <w:r w:rsidR="008517E0" w:rsidRPr="00E850D6">
        <w:rPr>
          <w:rFonts w:asciiTheme="minorHAnsi" w:hAnsiTheme="minorHAnsi" w:cstheme="minorHAnsi"/>
          <w:sz w:val="18"/>
          <w:szCs w:val="18"/>
        </w:rPr>
        <w:t>s</w:t>
      </w:r>
      <w:r w:rsidRPr="00E850D6">
        <w:rPr>
          <w:rFonts w:asciiTheme="minorHAnsi" w:hAnsiTheme="minorHAnsi" w:cstheme="minorHAnsi"/>
          <w:sz w:val="18"/>
          <w:szCs w:val="18"/>
        </w:rPr>
        <w:t xml:space="preserve"> Reforma</w:t>
      </w:r>
      <w:r w:rsidR="00255C12">
        <w:rPr>
          <w:rFonts w:asciiTheme="minorHAnsi" w:hAnsiTheme="minorHAnsi" w:cstheme="minorHAnsi"/>
          <w:sz w:val="18"/>
          <w:szCs w:val="18"/>
        </w:rPr>
        <w:t>s se publicaron</w:t>
      </w:r>
      <w:r w:rsidR="008517E0" w:rsidRPr="00E850D6">
        <w:rPr>
          <w:rFonts w:asciiTheme="minorHAnsi" w:hAnsiTheme="minorHAnsi" w:cstheme="minorHAnsi"/>
          <w:sz w:val="18"/>
          <w:szCs w:val="18"/>
        </w:rPr>
        <w:t xml:space="preserve"> </w:t>
      </w:r>
      <w:r w:rsidRPr="00E850D6">
        <w:rPr>
          <w:rFonts w:asciiTheme="minorHAnsi" w:hAnsiTheme="minorHAnsi" w:cstheme="minorHAnsi"/>
          <w:sz w:val="18"/>
          <w:szCs w:val="18"/>
        </w:rPr>
        <w:t xml:space="preserve">en el Periódico Oficial del Estado el </w:t>
      </w:r>
      <w:r w:rsidR="008517E0" w:rsidRPr="00E850D6">
        <w:rPr>
          <w:rFonts w:asciiTheme="minorHAnsi" w:hAnsiTheme="minorHAnsi" w:cstheme="minorHAnsi"/>
          <w:sz w:val="18"/>
          <w:szCs w:val="18"/>
        </w:rPr>
        <w:t>19 de Octubre de 2021 y el 22 de diciembre de 2022.</w:t>
      </w:r>
    </w:p>
    <w:p w14:paraId="487FD681" w14:textId="49007824" w:rsidR="00AB5FAC" w:rsidRPr="00E850D6" w:rsidRDefault="00AB5FAC" w:rsidP="00452EEE">
      <w:pPr>
        <w:spacing w:after="0" w:line="240" w:lineRule="exact"/>
        <w:jc w:val="both"/>
        <w:rPr>
          <w:rFonts w:asciiTheme="minorHAnsi" w:eastAsia="Times New Roman" w:hAnsiTheme="minorHAnsi" w:cstheme="minorHAnsi"/>
          <w:b/>
          <w:sz w:val="20"/>
          <w:szCs w:val="18"/>
          <w:lang w:eastAsia="es-ES"/>
        </w:rPr>
      </w:pPr>
    </w:p>
    <w:p w14:paraId="58169FDC" w14:textId="320F9DD3" w:rsidR="00AA7087" w:rsidRPr="00E850D6" w:rsidRDefault="00AA7087" w:rsidP="00B46FFA">
      <w:pPr>
        <w:pStyle w:val="Prrafodelista"/>
        <w:numPr>
          <w:ilvl w:val="0"/>
          <w:numId w:val="25"/>
        </w:numPr>
        <w:spacing w:after="0" w:line="240" w:lineRule="exact"/>
        <w:jc w:val="both"/>
        <w:rPr>
          <w:rFonts w:asciiTheme="minorHAnsi" w:eastAsia="Times New Roman" w:hAnsiTheme="minorHAnsi" w:cstheme="minorHAnsi"/>
          <w:b/>
          <w:sz w:val="20"/>
          <w:szCs w:val="18"/>
          <w:lang w:eastAsia="es-ES"/>
        </w:rPr>
      </w:pPr>
      <w:r w:rsidRPr="00E850D6">
        <w:rPr>
          <w:rFonts w:asciiTheme="minorHAnsi" w:eastAsia="Times New Roman" w:hAnsiTheme="minorHAnsi" w:cstheme="minorHAnsi"/>
          <w:b/>
          <w:sz w:val="20"/>
          <w:szCs w:val="18"/>
          <w:lang w:eastAsia="es-ES"/>
        </w:rPr>
        <w:t>Organización y Objeto Social</w:t>
      </w:r>
    </w:p>
    <w:p w14:paraId="76FF9EA6" w14:textId="77777777" w:rsidR="00AA7087" w:rsidRPr="00E850D6" w:rsidRDefault="00AA7087" w:rsidP="0086177A">
      <w:pPr>
        <w:pStyle w:val="Prrafodelista"/>
        <w:spacing w:after="0" w:line="240" w:lineRule="exact"/>
        <w:ind w:left="360"/>
        <w:jc w:val="both"/>
        <w:rPr>
          <w:rFonts w:asciiTheme="minorHAnsi" w:eastAsia="Times New Roman" w:hAnsiTheme="minorHAnsi" w:cstheme="minorHAnsi"/>
          <w:b/>
          <w:sz w:val="18"/>
          <w:szCs w:val="18"/>
          <w:lang w:eastAsia="es-ES"/>
        </w:rPr>
      </w:pPr>
    </w:p>
    <w:p w14:paraId="47763D71" w14:textId="77777777" w:rsidR="00AA7087" w:rsidRPr="00E850D6" w:rsidRDefault="00AA7087" w:rsidP="0086177A">
      <w:pPr>
        <w:pStyle w:val="Prrafodelista"/>
        <w:numPr>
          <w:ilvl w:val="0"/>
          <w:numId w:val="8"/>
        </w:numPr>
        <w:spacing w:after="0" w:line="240" w:lineRule="exact"/>
        <w:jc w:val="both"/>
        <w:rPr>
          <w:rFonts w:asciiTheme="minorHAnsi" w:eastAsia="Times New Roman" w:hAnsiTheme="minorHAnsi" w:cstheme="minorHAnsi"/>
          <w:sz w:val="18"/>
          <w:szCs w:val="18"/>
          <w:lang w:eastAsia="es-ES"/>
        </w:rPr>
      </w:pPr>
      <w:r w:rsidRPr="00E850D6">
        <w:rPr>
          <w:rFonts w:asciiTheme="minorHAnsi" w:eastAsia="Times New Roman" w:hAnsiTheme="minorHAnsi" w:cstheme="minorHAnsi"/>
          <w:sz w:val="18"/>
          <w:szCs w:val="18"/>
          <w:lang w:eastAsia="es-ES"/>
        </w:rPr>
        <w:t>Objeto social</w:t>
      </w:r>
    </w:p>
    <w:p w14:paraId="497B95EA" w14:textId="6ECB5CBF" w:rsidR="00AA7087" w:rsidRPr="00E850D6" w:rsidRDefault="00AA7087" w:rsidP="0086177A">
      <w:pPr>
        <w:spacing w:after="0" w:line="240" w:lineRule="exact"/>
        <w:ind w:left="720"/>
        <w:jc w:val="both"/>
        <w:rPr>
          <w:rFonts w:asciiTheme="minorHAnsi" w:eastAsia="Times New Roman" w:hAnsiTheme="minorHAnsi" w:cstheme="minorHAnsi"/>
          <w:sz w:val="18"/>
          <w:szCs w:val="18"/>
          <w:lang w:val="es-ES" w:eastAsia="es-ES"/>
        </w:rPr>
      </w:pPr>
      <w:r w:rsidRPr="00E850D6">
        <w:rPr>
          <w:rFonts w:asciiTheme="minorHAnsi" w:eastAsia="Times New Roman" w:hAnsiTheme="minorHAnsi" w:cstheme="minorHAnsi"/>
          <w:sz w:val="18"/>
          <w:szCs w:val="18"/>
          <w:lang w:val="es-ES" w:eastAsia="es-ES"/>
        </w:rPr>
        <w:t xml:space="preserve">De acuerdo </w:t>
      </w:r>
      <w:r w:rsidR="00255C12">
        <w:rPr>
          <w:rFonts w:asciiTheme="minorHAnsi" w:eastAsia="Times New Roman" w:hAnsiTheme="minorHAnsi" w:cstheme="minorHAnsi"/>
          <w:sz w:val="18"/>
          <w:szCs w:val="18"/>
          <w:lang w:val="es-ES" w:eastAsia="es-ES"/>
        </w:rPr>
        <w:t xml:space="preserve">con el </w:t>
      </w:r>
      <w:r w:rsidRPr="00E850D6">
        <w:rPr>
          <w:rFonts w:asciiTheme="minorHAnsi" w:eastAsia="Times New Roman" w:hAnsiTheme="minorHAnsi" w:cstheme="minorHAnsi"/>
          <w:sz w:val="18"/>
          <w:szCs w:val="18"/>
          <w:lang w:val="es-ES" w:eastAsia="es-ES"/>
        </w:rPr>
        <w:t xml:space="preserve"> Artículo 1 de la Constitución Política del Estado, el Estado de Tamaulipas es Libre, Soberano e Independiente en cuanto a su Gobierno y Administración Interiores; pero está ligado a los Poderes de la Unión como parte integrante de los Estados Unidos Mexicanos, en todo aquello que fija expresamente la Constitución Política de los Estados Unidos Mexicanos y las Leyes que de ella emanan.</w:t>
      </w:r>
    </w:p>
    <w:p w14:paraId="25331763" w14:textId="77777777" w:rsidR="00AA7087" w:rsidRPr="00E850D6" w:rsidRDefault="00AA7087" w:rsidP="00AA7087">
      <w:pPr>
        <w:spacing w:after="0" w:line="240" w:lineRule="exact"/>
        <w:ind w:left="720"/>
        <w:jc w:val="both"/>
        <w:rPr>
          <w:rFonts w:asciiTheme="minorHAnsi" w:eastAsia="Times New Roman" w:hAnsiTheme="minorHAnsi" w:cstheme="minorHAnsi"/>
          <w:sz w:val="18"/>
          <w:szCs w:val="18"/>
          <w:lang w:val="es-ES" w:eastAsia="es-ES"/>
        </w:rPr>
      </w:pPr>
    </w:p>
    <w:p w14:paraId="34150197" w14:textId="276F01F8" w:rsidR="00AA7087" w:rsidRPr="00E850D6" w:rsidRDefault="00AA7087" w:rsidP="00FD47EF">
      <w:pPr>
        <w:pStyle w:val="Prrafodelista"/>
        <w:numPr>
          <w:ilvl w:val="0"/>
          <w:numId w:val="8"/>
        </w:numPr>
        <w:spacing w:after="0" w:line="240" w:lineRule="exact"/>
        <w:jc w:val="both"/>
        <w:rPr>
          <w:rFonts w:asciiTheme="minorHAnsi" w:eastAsia="Times New Roman" w:hAnsiTheme="minorHAnsi" w:cstheme="minorHAnsi"/>
          <w:sz w:val="18"/>
          <w:szCs w:val="18"/>
          <w:lang w:val="es-ES" w:eastAsia="es-ES"/>
        </w:rPr>
      </w:pPr>
      <w:r w:rsidRPr="00E850D6">
        <w:rPr>
          <w:rFonts w:asciiTheme="minorHAnsi" w:eastAsia="Times New Roman" w:hAnsiTheme="minorHAnsi" w:cstheme="minorHAnsi"/>
          <w:sz w:val="18"/>
          <w:szCs w:val="18"/>
          <w:lang w:val="es-ES" w:eastAsia="es-ES"/>
        </w:rPr>
        <w:t>Principal actividad</w:t>
      </w:r>
      <w:r w:rsidR="00291DC2" w:rsidRPr="00E850D6">
        <w:rPr>
          <w:rFonts w:asciiTheme="minorHAnsi" w:eastAsia="Times New Roman" w:hAnsiTheme="minorHAnsi" w:cstheme="minorHAnsi"/>
          <w:sz w:val="18"/>
          <w:szCs w:val="18"/>
          <w:lang w:val="es-ES" w:eastAsia="es-ES"/>
        </w:rPr>
        <w:t>.</w:t>
      </w:r>
    </w:p>
    <w:p w14:paraId="24EAC26B" w14:textId="77777777" w:rsidR="00AA7087" w:rsidRPr="00E850D6" w:rsidRDefault="00AA7087" w:rsidP="00AA7087">
      <w:pPr>
        <w:pStyle w:val="Prrafodelista"/>
        <w:spacing w:after="0" w:line="240" w:lineRule="exact"/>
        <w:jc w:val="both"/>
        <w:rPr>
          <w:rFonts w:asciiTheme="minorHAnsi" w:eastAsia="Times New Roman" w:hAnsiTheme="minorHAnsi" w:cstheme="minorHAnsi"/>
          <w:sz w:val="18"/>
          <w:szCs w:val="18"/>
          <w:lang w:val="es-ES" w:eastAsia="es-ES"/>
        </w:rPr>
      </w:pPr>
    </w:p>
    <w:p w14:paraId="5D313E10" w14:textId="77777777" w:rsidR="00AA7087" w:rsidRPr="00E850D6" w:rsidRDefault="00AA7087" w:rsidP="00AA7087">
      <w:pPr>
        <w:pStyle w:val="Prrafodelista"/>
        <w:spacing w:after="0" w:line="240" w:lineRule="exact"/>
        <w:jc w:val="both"/>
        <w:rPr>
          <w:rFonts w:asciiTheme="minorHAnsi" w:eastAsia="Times New Roman" w:hAnsiTheme="minorHAnsi" w:cstheme="minorHAnsi"/>
          <w:sz w:val="18"/>
          <w:szCs w:val="18"/>
          <w:lang w:val="es-ES" w:eastAsia="es-ES"/>
        </w:rPr>
      </w:pPr>
      <w:r w:rsidRPr="00E850D6">
        <w:rPr>
          <w:rFonts w:asciiTheme="minorHAnsi" w:eastAsia="Times New Roman" w:hAnsiTheme="minorHAnsi" w:cstheme="minorHAnsi"/>
          <w:sz w:val="18"/>
          <w:szCs w:val="18"/>
          <w:lang w:val="es-ES" w:eastAsia="es-ES"/>
        </w:rPr>
        <w:t>El Gobierno del Estado de Tamaulipas está registrado para efectos fiscales como una Persona Moral con Fines no Lucrativos, cuya principal actividad es ser retenedor de acuerdo al Título III, Capítulo I de la Ley del Impuesto sobre la Renta.</w:t>
      </w:r>
    </w:p>
    <w:p w14:paraId="4526D8AF" w14:textId="77777777" w:rsidR="00AA7087" w:rsidRPr="00E850D6" w:rsidRDefault="00AA7087" w:rsidP="00AA7087">
      <w:pPr>
        <w:pStyle w:val="Prrafodelista"/>
        <w:spacing w:after="0" w:line="240" w:lineRule="exact"/>
        <w:jc w:val="both"/>
        <w:rPr>
          <w:rFonts w:asciiTheme="minorHAnsi" w:eastAsia="Times New Roman" w:hAnsiTheme="minorHAnsi" w:cstheme="minorHAnsi"/>
          <w:sz w:val="18"/>
          <w:szCs w:val="18"/>
          <w:lang w:val="es-ES" w:eastAsia="es-ES"/>
        </w:rPr>
      </w:pPr>
    </w:p>
    <w:p w14:paraId="65A81839" w14:textId="528EA48E" w:rsidR="00AA7087" w:rsidRPr="00E850D6" w:rsidRDefault="00AA7087" w:rsidP="001E4416">
      <w:pPr>
        <w:pStyle w:val="Prrafodelista"/>
        <w:numPr>
          <w:ilvl w:val="0"/>
          <w:numId w:val="8"/>
        </w:numPr>
        <w:spacing w:after="0" w:line="240" w:lineRule="exact"/>
        <w:jc w:val="both"/>
        <w:rPr>
          <w:rFonts w:asciiTheme="minorHAnsi" w:eastAsia="Times New Roman" w:hAnsiTheme="minorHAnsi" w:cstheme="minorHAnsi"/>
          <w:b/>
          <w:sz w:val="18"/>
          <w:szCs w:val="18"/>
          <w:lang w:val="es-ES" w:eastAsia="es-ES"/>
        </w:rPr>
      </w:pPr>
      <w:r w:rsidRPr="00E850D6">
        <w:rPr>
          <w:rFonts w:asciiTheme="minorHAnsi" w:eastAsia="Times New Roman" w:hAnsiTheme="minorHAnsi" w:cstheme="minorHAnsi"/>
          <w:sz w:val="18"/>
          <w:szCs w:val="18"/>
          <w:lang w:val="es-ES" w:eastAsia="es-ES"/>
        </w:rPr>
        <w:t xml:space="preserve">Ejercicio </w:t>
      </w:r>
      <w:r w:rsidR="00813145" w:rsidRPr="00E850D6">
        <w:rPr>
          <w:rFonts w:asciiTheme="minorHAnsi" w:eastAsia="Times New Roman" w:hAnsiTheme="minorHAnsi" w:cstheme="minorHAnsi"/>
          <w:sz w:val="18"/>
          <w:szCs w:val="18"/>
          <w:lang w:val="es-ES" w:eastAsia="es-ES"/>
        </w:rPr>
        <w:t>F</w:t>
      </w:r>
      <w:r w:rsidRPr="00E850D6">
        <w:rPr>
          <w:rFonts w:asciiTheme="minorHAnsi" w:eastAsia="Times New Roman" w:hAnsiTheme="minorHAnsi" w:cstheme="minorHAnsi"/>
          <w:sz w:val="18"/>
          <w:szCs w:val="18"/>
          <w:lang w:val="es-ES" w:eastAsia="es-ES"/>
        </w:rPr>
        <w:t>iscal que se informa</w:t>
      </w:r>
      <w:r w:rsidRPr="00E850D6">
        <w:rPr>
          <w:rFonts w:asciiTheme="minorHAnsi" w:eastAsia="Times New Roman" w:hAnsiTheme="minorHAnsi" w:cstheme="minorHAnsi"/>
          <w:b/>
          <w:sz w:val="18"/>
          <w:szCs w:val="18"/>
          <w:lang w:val="es-ES" w:eastAsia="es-ES"/>
        </w:rPr>
        <w:t>:</w:t>
      </w:r>
      <w:r w:rsidR="00813145" w:rsidRPr="00E850D6">
        <w:rPr>
          <w:rFonts w:asciiTheme="minorHAnsi" w:eastAsia="Times New Roman" w:hAnsiTheme="minorHAnsi" w:cstheme="minorHAnsi"/>
          <w:sz w:val="18"/>
          <w:szCs w:val="18"/>
          <w:lang w:val="es-ES" w:eastAsia="es-ES"/>
        </w:rPr>
        <w:t xml:space="preserve"> Del 1° de enero al </w:t>
      </w:r>
      <w:r w:rsidR="005B07BA" w:rsidRPr="00E850D6">
        <w:rPr>
          <w:rFonts w:asciiTheme="minorHAnsi" w:eastAsia="Times New Roman" w:hAnsiTheme="minorHAnsi" w:cstheme="minorHAnsi"/>
          <w:sz w:val="18"/>
          <w:szCs w:val="18"/>
          <w:lang w:val="es-ES" w:eastAsia="es-ES"/>
        </w:rPr>
        <w:t>31 de Diciembre 2022</w:t>
      </w:r>
      <w:r w:rsidR="00BB51AD" w:rsidRPr="00E850D6">
        <w:rPr>
          <w:rFonts w:asciiTheme="minorHAnsi" w:eastAsia="Times New Roman" w:hAnsiTheme="minorHAnsi" w:cstheme="minorHAnsi"/>
          <w:sz w:val="18"/>
          <w:szCs w:val="18"/>
          <w:lang w:val="es-ES" w:eastAsia="es-ES"/>
        </w:rPr>
        <w:t>.</w:t>
      </w:r>
      <w:r w:rsidR="005B07BA" w:rsidRPr="00E850D6">
        <w:rPr>
          <w:rFonts w:asciiTheme="minorHAnsi" w:eastAsia="Times New Roman" w:hAnsiTheme="minorHAnsi" w:cstheme="minorHAnsi"/>
          <w:sz w:val="18"/>
          <w:szCs w:val="18"/>
          <w:lang w:val="es-ES" w:eastAsia="es-ES"/>
        </w:rPr>
        <w:t xml:space="preserve"> </w:t>
      </w:r>
    </w:p>
    <w:p w14:paraId="2558DE11" w14:textId="77777777" w:rsidR="00C049F3" w:rsidRPr="00E850D6" w:rsidRDefault="00C049F3" w:rsidP="00C049F3">
      <w:pPr>
        <w:spacing w:after="0" w:line="240" w:lineRule="exact"/>
        <w:jc w:val="both"/>
        <w:rPr>
          <w:rFonts w:asciiTheme="minorHAnsi" w:eastAsia="Times New Roman" w:hAnsiTheme="minorHAnsi" w:cstheme="minorHAnsi"/>
          <w:b/>
          <w:sz w:val="18"/>
          <w:szCs w:val="18"/>
          <w:lang w:val="es-ES" w:eastAsia="es-ES"/>
        </w:rPr>
      </w:pPr>
    </w:p>
    <w:p w14:paraId="7CB62370" w14:textId="77777777" w:rsidR="00AA7087" w:rsidRPr="00E850D6" w:rsidRDefault="00AA7087" w:rsidP="00FD47EF">
      <w:pPr>
        <w:pStyle w:val="Prrafodelista"/>
        <w:numPr>
          <w:ilvl w:val="0"/>
          <w:numId w:val="8"/>
        </w:numPr>
        <w:spacing w:after="0" w:line="240" w:lineRule="exact"/>
        <w:jc w:val="both"/>
        <w:rPr>
          <w:rFonts w:asciiTheme="minorHAnsi" w:eastAsia="Times New Roman" w:hAnsiTheme="minorHAnsi" w:cstheme="minorHAnsi"/>
          <w:sz w:val="18"/>
          <w:szCs w:val="18"/>
          <w:lang w:val="es-ES" w:eastAsia="es-ES"/>
        </w:rPr>
      </w:pPr>
      <w:r w:rsidRPr="00E850D6">
        <w:rPr>
          <w:rFonts w:asciiTheme="minorHAnsi" w:eastAsia="Times New Roman" w:hAnsiTheme="minorHAnsi" w:cstheme="minorHAnsi"/>
          <w:sz w:val="18"/>
          <w:szCs w:val="18"/>
          <w:lang w:val="es-ES" w:eastAsia="es-ES"/>
        </w:rPr>
        <w:t>Régimen Jurídico</w:t>
      </w:r>
    </w:p>
    <w:p w14:paraId="727A6CA1" w14:textId="77777777" w:rsidR="00AA7087" w:rsidRPr="00E850D6" w:rsidRDefault="00AA7087" w:rsidP="00AA7087">
      <w:pPr>
        <w:pStyle w:val="Prrafodelista"/>
        <w:rPr>
          <w:rFonts w:asciiTheme="minorHAnsi" w:eastAsia="Times New Roman" w:hAnsiTheme="minorHAnsi" w:cstheme="minorHAnsi"/>
          <w:sz w:val="18"/>
          <w:szCs w:val="18"/>
          <w:lang w:val="es-ES" w:eastAsia="es-ES"/>
        </w:rPr>
      </w:pPr>
    </w:p>
    <w:p w14:paraId="5DA660E3" w14:textId="77777777" w:rsidR="00AA7087" w:rsidRPr="00E850D6" w:rsidRDefault="00AA7087" w:rsidP="00AA7087">
      <w:pPr>
        <w:pStyle w:val="Prrafodelista"/>
        <w:spacing w:after="0" w:line="240" w:lineRule="exact"/>
        <w:jc w:val="both"/>
        <w:rPr>
          <w:rFonts w:asciiTheme="minorHAnsi" w:eastAsia="Times New Roman" w:hAnsiTheme="minorHAnsi" w:cstheme="minorHAnsi"/>
          <w:sz w:val="18"/>
          <w:szCs w:val="18"/>
          <w:lang w:val="es-ES" w:eastAsia="es-ES"/>
        </w:rPr>
      </w:pPr>
      <w:r w:rsidRPr="00E850D6">
        <w:rPr>
          <w:rFonts w:asciiTheme="minorHAnsi" w:eastAsia="Times New Roman" w:hAnsiTheme="minorHAnsi" w:cstheme="minorHAnsi"/>
          <w:sz w:val="18"/>
          <w:szCs w:val="18"/>
          <w:lang w:val="es-ES" w:eastAsia="es-ES"/>
        </w:rPr>
        <w:t>En la parte normativa, la Administración Pública del Estado funciona acorde a lo establecido en la  Constitución Política de los Estados Unidos Mexicanos, la propia del Estado, la Ley Orgánica de la Administración Pública del Estado de Tamaulipas, la Ley de Responsabilidades de los Servidores Públicos del Estado, Ley de Gasto Público, Ley de Deuda Pública</w:t>
      </w:r>
      <w:r w:rsidR="003E6B6E" w:rsidRPr="00E850D6">
        <w:rPr>
          <w:rFonts w:asciiTheme="minorHAnsi" w:eastAsia="Times New Roman" w:hAnsiTheme="minorHAnsi" w:cstheme="minorHAnsi"/>
          <w:sz w:val="18"/>
          <w:szCs w:val="18"/>
          <w:lang w:val="es-ES" w:eastAsia="es-ES"/>
        </w:rPr>
        <w:t xml:space="preserve"> Estatal y Municipal</w:t>
      </w:r>
      <w:r w:rsidRPr="00E850D6">
        <w:rPr>
          <w:rFonts w:asciiTheme="minorHAnsi" w:eastAsia="Times New Roman" w:hAnsiTheme="minorHAnsi" w:cstheme="minorHAnsi"/>
          <w:sz w:val="18"/>
          <w:szCs w:val="18"/>
          <w:lang w:val="es-ES" w:eastAsia="es-ES"/>
        </w:rPr>
        <w:t xml:space="preserve">, Ley </w:t>
      </w:r>
      <w:r w:rsidR="009E5D84" w:rsidRPr="00E850D6">
        <w:rPr>
          <w:rFonts w:asciiTheme="minorHAnsi" w:eastAsia="Times New Roman" w:hAnsiTheme="minorHAnsi" w:cstheme="minorHAnsi"/>
          <w:sz w:val="18"/>
          <w:szCs w:val="18"/>
          <w:lang w:val="es-ES" w:eastAsia="es-ES"/>
        </w:rPr>
        <w:t xml:space="preserve">Estatal </w:t>
      </w:r>
      <w:r w:rsidRPr="00E850D6">
        <w:rPr>
          <w:rFonts w:asciiTheme="minorHAnsi" w:eastAsia="Times New Roman" w:hAnsiTheme="minorHAnsi" w:cstheme="minorHAnsi"/>
          <w:sz w:val="18"/>
          <w:szCs w:val="18"/>
          <w:lang w:val="es-ES" w:eastAsia="es-ES"/>
        </w:rPr>
        <w:t xml:space="preserve">de Planeación, Ley de Entidades Paraestatales y Ley de Fiscalización y Rendición de Cuentas del Estado, entre otras.     </w:t>
      </w:r>
    </w:p>
    <w:p w14:paraId="52DFBCCE" w14:textId="77777777" w:rsidR="00AA7087" w:rsidRPr="00E850D6" w:rsidRDefault="00AA7087" w:rsidP="00AA7087">
      <w:pPr>
        <w:pStyle w:val="Prrafodelista"/>
        <w:spacing w:after="0" w:line="240" w:lineRule="exact"/>
        <w:jc w:val="both"/>
        <w:rPr>
          <w:rFonts w:asciiTheme="minorHAnsi" w:eastAsia="Times New Roman" w:hAnsiTheme="minorHAnsi" w:cstheme="minorHAnsi"/>
          <w:sz w:val="18"/>
          <w:szCs w:val="18"/>
          <w:lang w:val="es-ES" w:eastAsia="es-ES"/>
        </w:rPr>
      </w:pPr>
    </w:p>
    <w:p w14:paraId="6C5B0A98" w14:textId="77777777" w:rsidR="00AA7087" w:rsidRPr="00E850D6" w:rsidRDefault="00AA7087" w:rsidP="00FD47EF">
      <w:pPr>
        <w:pStyle w:val="Prrafodelista"/>
        <w:numPr>
          <w:ilvl w:val="0"/>
          <w:numId w:val="8"/>
        </w:numPr>
        <w:spacing w:after="0" w:line="240" w:lineRule="exact"/>
        <w:jc w:val="both"/>
        <w:rPr>
          <w:rFonts w:asciiTheme="minorHAnsi" w:eastAsia="Times New Roman" w:hAnsiTheme="minorHAnsi" w:cstheme="minorHAnsi"/>
          <w:sz w:val="18"/>
          <w:szCs w:val="18"/>
          <w:lang w:val="es-ES" w:eastAsia="es-ES"/>
        </w:rPr>
      </w:pPr>
      <w:r w:rsidRPr="00E850D6">
        <w:rPr>
          <w:rFonts w:asciiTheme="minorHAnsi" w:eastAsia="Times New Roman" w:hAnsiTheme="minorHAnsi" w:cstheme="minorHAnsi"/>
          <w:sz w:val="18"/>
          <w:szCs w:val="18"/>
          <w:lang w:val="es-ES" w:eastAsia="es-ES"/>
        </w:rPr>
        <w:t>Consideraciones Fiscales del Ente:</w:t>
      </w:r>
    </w:p>
    <w:p w14:paraId="7BB2484D" w14:textId="77777777" w:rsidR="00AA7087" w:rsidRPr="00E850D6" w:rsidRDefault="00AA7087" w:rsidP="00AA7087">
      <w:pPr>
        <w:spacing w:after="0" w:line="240" w:lineRule="exact"/>
        <w:jc w:val="both"/>
        <w:rPr>
          <w:rFonts w:asciiTheme="minorHAnsi" w:eastAsia="Times New Roman" w:hAnsiTheme="minorHAnsi" w:cstheme="minorHAnsi"/>
          <w:sz w:val="18"/>
          <w:szCs w:val="18"/>
          <w:lang w:val="es-ES" w:eastAsia="es-ES"/>
        </w:rPr>
      </w:pPr>
    </w:p>
    <w:p w14:paraId="018C9F26" w14:textId="77777777" w:rsidR="00AA7087" w:rsidRPr="00E850D6" w:rsidRDefault="00AA7087" w:rsidP="00AA7087">
      <w:pPr>
        <w:pStyle w:val="Prrafodelista"/>
        <w:spacing w:after="0" w:line="240" w:lineRule="exact"/>
        <w:jc w:val="both"/>
        <w:rPr>
          <w:rFonts w:asciiTheme="minorHAnsi" w:eastAsia="Times New Roman" w:hAnsiTheme="minorHAnsi" w:cstheme="minorHAnsi"/>
          <w:sz w:val="18"/>
          <w:szCs w:val="18"/>
          <w:lang w:val="es-ES" w:eastAsia="es-ES"/>
        </w:rPr>
      </w:pPr>
      <w:r w:rsidRPr="00E850D6">
        <w:rPr>
          <w:rFonts w:asciiTheme="minorHAnsi" w:eastAsia="Times New Roman" w:hAnsiTheme="minorHAnsi" w:cstheme="minorHAnsi"/>
          <w:sz w:val="18"/>
          <w:szCs w:val="18"/>
          <w:lang w:val="es-ES" w:eastAsia="es-ES"/>
        </w:rPr>
        <w:t>Obligado a retenciones en materia de Salarios y demás prestaciones que deriven de una relación laboral subordinada, así como retenciones en materia de Ingresos Asimilables a Salarios, retenciones en materia de prestación de Servicios Profesionales, retenciones en materia de Arrendamientos y en general por otorgar el uso o goce temporal de Inmuebles, así como el Impuesto al Valor Agregado por los actos o actividades que realice que cause este Impuesto.</w:t>
      </w:r>
    </w:p>
    <w:p w14:paraId="0AC21AF2" w14:textId="77777777" w:rsidR="00AA7087" w:rsidRPr="00E850D6" w:rsidRDefault="00AA7087" w:rsidP="00AA7087">
      <w:pPr>
        <w:pStyle w:val="Prrafodelista"/>
        <w:spacing w:after="0" w:line="240" w:lineRule="exact"/>
        <w:jc w:val="both"/>
        <w:rPr>
          <w:rFonts w:asciiTheme="minorHAnsi" w:eastAsia="Times New Roman" w:hAnsiTheme="minorHAnsi" w:cstheme="minorHAnsi"/>
          <w:sz w:val="18"/>
          <w:szCs w:val="18"/>
          <w:lang w:val="es-ES" w:eastAsia="es-ES"/>
        </w:rPr>
      </w:pPr>
    </w:p>
    <w:p w14:paraId="53907AD9" w14:textId="04D2D62C" w:rsidR="00AA7087" w:rsidRPr="00E850D6" w:rsidRDefault="00AA7087" w:rsidP="00FD47EF">
      <w:pPr>
        <w:pStyle w:val="Prrafodelista"/>
        <w:numPr>
          <w:ilvl w:val="0"/>
          <w:numId w:val="8"/>
        </w:numPr>
        <w:spacing w:after="0" w:line="240" w:lineRule="exact"/>
        <w:jc w:val="both"/>
        <w:rPr>
          <w:rFonts w:asciiTheme="minorHAnsi" w:eastAsia="Times New Roman" w:hAnsiTheme="minorHAnsi" w:cstheme="minorHAnsi"/>
          <w:sz w:val="18"/>
          <w:szCs w:val="18"/>
          <w:lang w:val="es-ES" w:eastAsia="es-ES"/>
        </w:rPr>
      </w:pPr>
      <w:r w:rsidRPr="00E850D6">
        <w:rPr>
          <w:rFonts w:asciiTheme="minorHAnsi" w:eastAsia="Times New Roman" w:hAnsiTheme="minorHAnsi" w:cstheme="minorHAnsi"/>
          <w:sz w:val="18"/>
          <w:szCs w:val="18"/>
          <w:lang w:val="es-ES" w:eastAsia="es-ES"/>
        </w:rPr>
        <w:t>Estructura Organizacional Básica</w:t>
      </w:r>
      <w:r w:rsidR="00291DC2" w:rsidRPr="00E850D6">
        <w:rPr>
          <w:rFonts w:asciiTheme="minorHAnsi" w:eastAsia="Times New Roman" w:hAnsiTheme="minorHAnsi" w:cstheme="minorHAnsi"/>
          <w:sz w:val="18"/>
          <w:szCs w:val="18"/>
          <w:lang w:val="es-ES" w:eastAsia="es-ES"/>
        </w:rPr>
        <w:t>.</w:t>
      </w:r>
    </w:p>
    <w:p w14:paraId="68C5C05E" w14:textId="77777777" w:rsidR="00AA7087" w:rsidRPr="00E850D6" w:rsidRDefault="00AA7087" w:rsidP="00AA7087">
      <w:pPr>
        <w:spacing w:after="0" w:line="240" w:lineRule="exact"/>
        <w:jc w:val="both"/>
        <w:rPr>
          <w:rFonts w:asciiTheme="minorHAnsi" w:eastAsia="Times New Roman" w:hAnsiTheme="minorHAnsi" w:cstheme="minorHAnsi"/>
          <w:sz w:val="18"/>
          <w:szCs w:val="18"/>
          <w:lang w:val="es-ES" w:eastAsia="es-ES"/>
        </w:rPr>
      </w:pPr>
    </w:p>
    <w:p w14:paraId="0571BD1B" w14:textId="77777777" w:rsidR="00AA7087" w:rsidRPr="00E850D6" w:rsidRDefault="00AA7087" w:rsidP="00AA7087">
      <w:pPr>
        <w:pStyle w:val="Prrafodelista"/>
        <w:spacing w:after="0" w:line="240" w:lineRule="exact"/>
        <w:jc w:val="both"/>
        <w:rPr>
          <w:rFonts w:asciiTheme="minorHAnsi" w:eastAsia="Times New Roman" w:hAnsiTheme="minorHAnsi" w:cstheme="minorHAnsi"/>
          <w:sz w:val="18"/>
          <w:szCs w:val="18"/>
          <w:lang w:val="es-ES" w:eastAsia="es-ES"/>
        </w:rPr>
      </w:pPr>
      <w:r w:rsidRPr="00E850D6">
        <w:rPr>
          <w:rFonts w:asciiTheme="minorHAnsi" w:eastAsia="Times New Roman" w:hAnsiTheme="minorHAnsi" w:cstheme="minorHAnsi"/>
          <w:sz w:val="18"/>
          <w:szCs w:val="18"/>
          <w:lang w:val="es-ES" w:eastAsia="es-ES"/>
        </w:rPr>
        <w:t>Conforme al Artículo 23 de la Ley Orgánica de la Administración Pública del Estado de Tamaulipas, el Titular del Poder Ejecutivo cuenta con las siguientes Dependencias.</w:t>
      </w:r>
    </w:p>
    <w:p w14:paraId="777057F2" w14:textId="77777777" w:rsidR="006674B5" w:rsidRPr="005F45A3" w:rsidRDefault="006674B5" w:rsidP="00AA7087">
      <w:pPr>
        <w:pStyle w:val="Prrafodelista"/>
        <w:spacing w:after="0" w:line="240" w:lineRule="exact"/>
        <w:jc w:val="both"/>
        <w:rPr>
          <w:rFonts w:asciiTheme="minorHAnsi" w:eastAsia="Times New Roman" w:hAnsiTheme="minorHAnsi" w:cstheme="minorHAnsi"/>
          <w:sz w:val="16"/>
          <w:szCs w:val="16"/>
          <w:lang w:val="es-ES" w:eastAsia="es-ES"/>
        </w:rPr>
      </w:pPr>
    </w:p>
    <w:p w14:paraId="2BEAE663" w14:textId="77777777" w:rsidR="00AA7087" w:rsidRPr="005F45A3" w:rsidRDefault="00AA7087" w:rsidP="00AA7087">
      <w:pPr>
        <w:spacing w:after="0" w:line="240" w:lineRule="exact"/>
        <w:ind w:left="1080"/>
        <w:jc w:val="both"/>
        <w:rPr>
          <w:rFonts w:asciiTheme="minorHAnsi" w:eastAsia="Times New Roman" w:hAnsiTheme="minorHAnsi" w:cstheme="minorHAnsi"/>
          <w:sz w:val="16"/>
          <w:szCs w:val="16"/>
          <w:lang w:val="es-ES" w:eastAsia="es-ES"/>
        </w:rPr>
      </w:pPr>
    </w:p>
    <w:tbl>
      <w:tblPr>
        <w:tblW w:w="6825" w:type="dxa"/>
        <w:tblInd w:w="426" w:type="dxa"/>
        <w:tblCellMar>
          <w:left w:w="70" w:type="dxa"/>
          <w:right w:w="70" w:type="dxa"/>
        </w:tblCellMar>
        <w:tblLook w:val="04A0" w:firstRow="1" w:lastRow="0" w:firstColumn="1" w:lastColumn="0" w:noHBand="0" w:noVBand="1"/>
      </w:tblPr>
      <w:tblGrid>
        <w:gridCol w:w="6825"/>
      </w:tblGrid>
      <w:tr w:rsidR="00533617" w:rsidRPr="005F45A3" w14:paraId="0DFF6E1D" w14:textId="77777777" w:rsidTr="00295AC0">
        <w:trPr>
          <w:trHeight w:val="340"/>
        </w:trPr>
        <w:tc>
          <w:tcPr>
            <w:tcW w:w="6825" w:type="dxa"/>
            <w:shd w:val="clear" w:color="auto" w:fill="auto"/>
            <w:noWrap/>
            <w:hideMark/>
          </w:tcPr>
          <w:p w14:paraId="6D952706"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Jefe de la Oficina del Gobernador;</w:t>
            </w:r>
          </w:p>
          <w:p w14:paraId="0E0700D4"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Secretaría General de Gobierno;</w:t>
            </w:r>
          </w:p>
          <w:p w14:paraId="3DB76B01"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 xml:space="preserve">Secretaría de Finanzas; </w:t>
            </w:r>
          </w:p>
          <w:p w14:paraId="4090E2B9"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 xml:space="preserve">Secretaría de Administración; </w:t>
            </w:r>
          </w:p>
          <w:p w14:paraId="1156B97D"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 xml:space="preserve">Secretaría de Desarrollo Económico; </w:t>
            </w:r>
          </w:p>
          <w:p w14:paraId="4716A190"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 xml:space="preserve">Secretaría de Turismo; </w:t>
            </w:r>
          </w:p>
          <w:p w14:paraId="4A40F125"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 xml:space="preserve">Secretaría del Trabajo; </w:t>
            </w:r>
          </w:p>
          <w:p w14:paraId="386FFE7F"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Secretaría de Desarrollo Rural;</w:t>
            </w:r>
          </w:p>
          <w:p w14:paraId="3B8310C0"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 xml:space="preserve">Secretaría de Pesca y Acuacultura; </w:t>
            </w:r>
          </w:p>
          <w:p w14:paraId="2E265B96"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 xml:space="preserve">Secretaría de Bienestar Social; </w:t>
            </w:r>
          </w:p>
          <w:p w14:paraId="1094480F"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Secretaría de Educación;</w:t>
            </w:r>
          </w:p>
          <w:p w14:paraId="239D34A1"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 xml:space="preserve">Secretaría de Salud; </w:t>
            </w:r>
          </w:p>
          <w:p w14:paraId="60F8BB69" w14:textId="77777777" w:rsidR="00533617" w:rsidRPr="005F45A3" w:rsidRDefault="00533617" w:rsidP="00FD47EF">
            <w:pPr>
              <w:pStyle w:val="Prrafodelista"/>
              <w:numPr>
                <w:ilvl w:val="0"/>
                <w:numId w:val="15"/>
              </w:numPr>
              <w:jc w:val="both"/>
              <w:rPr>
                <w:rFonts w:asciiTheme="minorHAnsi" w:hAnsiTheme="minorHAnsi" w:cstheme="minorHAnsi"/>
                <w:sz w:val="16"/>
                <w:szCs w:val="16"/>
              </w:rPr>
            </w:pPr>
            <w:r w:rsidRPr="005F45A3">
              <w:rPr>
                <w:rFonts w:asciiTheme="minorHAnsi" w:hAnsiTheme="minorHAnsi" w:cstheme="minorHAnsi"/>
                <w:sz w:val="16"/>
                <w:szCs w:val="16"/>
              </w:rPr>
              <w:t xml:space="preserve">Secretaría de Desarrollo Urbano y Medio Ambiente; </w:t>
            </w:r>
          </w:p>
          <w:p w14:paraId="413A8A74"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 xml:space="preserve">Secretaría de Obras Públicas; </w:t>
            </w:r>
          </w:p>
          <w:p w14:paraId="7DDE5FC6"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Secretaría de Seguridad Pública;</w:t>
            </w:r>
          </w:p>
          <w:p w14:paraId="570D34C0" w14:textId="77777777" w:rsidR="00533617" w:rsidRPr="005F45A3" w:rsidRDefault="00742D41"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Derogada</w:t>
            </w:r>
            <w:r w:rsidRPr="005F45A3">
              <w:rPr>
                <w:rFonts w:asciiTheme="minorHAnsi" w:hAnsiTheme="minorHAnsi" w:cstheme="minorHAnsi"/>
                <w:sz w:val="14"/>
                <w:szCs w:val="14"/>
              </w:rPr>
              <w:t xml:space="preserve"> (Decreto No.LXIV-95, P.O. Edición Vespertina No.45 del 14 de Abril de 2020</w:t>
            </w:r>
            <w:r w:rsidRPr="005F45A3">
              <w:rPr>
                <w:rFonts w:asciiTheme="minorHAnsi" w:hAnsiTheme="minorHAnsi" w:cstheme="minorHAnsi"/>
                <w:sz w:val="16"/>
                <w:szCs w:val="16"/>
              </w:rPr>
              <w:t>)</w:t>
            </w:r>
          </w:p>
          <w:p w14:paraId="30AD937A"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Contraloría Gubernamental.</w:t>
            </w:r>
          </w:p>
        </w:tc>
      </w:tr>
    </w:tbl>
    <w:p w14:paraId="1D06308A" w14:textId="639C78CA" w:rsidR="00AA7087" w:rsidRPr="005F45A3" w:rsidRDefault="00AA7087" w:rsidP="00AA7087">
      <w:pPr>
        <w:spacing w:after="0" w:line="240" w:lineRule="exact"/>
        <w:ind w:left="708"/>
        <w:jc w:val="both"/>
        <w:rPr>
          <w:rFonts w:asciiTheme="minorHAnsi" w:eastAsia="Times New Roman" w:hAnsiTheme="minorHAnsi" w:cstheme="minorHAnsi"/>
          <w:sz w:val="18"/>
          <w:szCs w:val="20"/>
          <w:lang w:val="es-ES" w:eastAsia="es-ES"/>
        </w:rPr>
      </w:pPr>
      <w:r w:rsidRPr="005F45A3">
        <w:rPr>
          <w:rFonts w:asciiTheme="minorHAnsi" w:eastAsia="Times New Roman" w:hAnsiTheme="minorHAnsi" w:cstheme="minorHAnsi"/>
          <w:sz w:val="18"/>
          <w:szCs w:val="20"/>
          <w:lang w:val="es-ES" w:eastAsia="es-ES"/>
        </w:rPr>
        <w:t xml:space="preserve">La Administración Pública Paraestatal, está conformada por los Organismos Descentralizados, las Empresas de Participación </w:t>
      </w:r>
      <w:r w:rsidRPr="005F45A3">
        <w:rPr>
          <w:rFonts w:asciiTheme="minorHAnsi" w:eastAsia="Times New Roman" w:hAnsiTheme="minorHAnsi" w:cstheme="minorHAnsi"/>
          <w:color w:val="000000"/>
          <w:sz w:val="18"/>
          <w:szCs w:val="20"/>
          <w:lang w:val="es-ES" w:eastAsia="es-ES"/>
        </w:rPr>
        <w:t>Estatal,</w:t>
      </w:r>
      <w:r w:rsidRPr="005F45A3">
        <w:rPr>
          <w:rFonts w:asciiTheme="minorHAnsi" w:eastAsia="Times New Roman" w:hAnsiTheme="minorHAnsi" w:cstheme="minorHAnsi"/>
          <w:sz w:val="18"/>
          <w:szCs w:val="20"/>
          <w:lang w:val="es-ES" w:eastAsia="es-ES"/>
        </w:rPr>
        <w:t xml:space="preserve"> y los Fideicomisos Públicos, cualquiera que sea su denominación, ello conforme al Artículo 1, Tercer Párrafo de la Ley Orgánica de la Administración Pública del Estado</w:t>
      </w:r>
      <w:r w:rsidR="00291DC2">
        <w:rPr>
          <w:rFonts w:asciiTheme="minorHAnsi" w:eastAsia="Times New Roman" w:hAnsiTheme="minorHAnsi" w:cstheme="minorHAnsi"/>
          <w:sz w:val="18"/>
          <w:szCs w:val="20"/>
          <w:lang w:val="es-ES" w:eastAsia="es-ES"/>
        </w:rPr>
        <w:t>.</w:t>
      </w:r>
    </w:p>
    <w:p w14:paraId="1180D835" w14:textId="77777777" w:rsidR="00AA7087" w:rsidRPr="005F45A3" w:rsidRDefault="00AA7087" w:rsidP="00AA7087">
      <w:pPr>
        <w:spacing w:after="0" w:line="240" w:lineRule="exact"/>
        <w:ind w:left="1080"/>
        <w:jc w:val="both"/>
        <w:rPr>
          <w:rFonts w:asciiTheme="minorHAnsi" w:eastAsia="Times New Roman" w:hAnsiTheme="minorHAnsi" w:cstheme="minorHAnsi"/>
          <w:sz w:val="18"/>
          <w:szCs w:val="20"/>
          <w:lang w:val="es-ES" w:eastAsia="es-ES"/>
        </w:rPr>
      </w:pPr>
    </w:p>
    <w:p w14:paraId="16F313F7" w14:textId="5C65FB65" w:rsidR="00AA7087" w:rsidRDefault="00AA7087" w:rsidP="00FB6304">
      <w:pPr>
        <w:autoSpaceDE w:val="0"/>
        <w:autoSpaceDN w:val="0"/>
        <w:adjustRightInd w:val="0"/>
        <w:spacing w:after="0"/>
        <w:ind w:left="708"/>
        <w:jc w:val="both"/>
        <w:rPr>
          <w:rFonts w:asciiTheme="minorHAnsi" w:hAnsiTheme="minorHAnsi" w:cstheme="minorHAnsi"/>
          <w:sz w:val="18"/>
          <w:szCs w:val="20"/>
        </w:rPr>
      </w:pPr>
      <w:r w:rsidRPr="005F45A3">
        <w:rPr>
          <w:rFonts w:asciiTheme="minorHAnsi" w:hAnsiTheme="minorHAnsi" w:cstheme="minorHAnsi"/>
          <w:sz w:val="18"/>
          <w:szCs w:val="20"/>
        </w:rPr>
        <w:t>Por otra parte, el Artículo 2 de la Ley de Entidades Paraestatales del Estado de Tamaulipas, menciona que “Las Entidades de la Administración Pública Paraestatal son aquellas que se determinan con tal carácter en la Ley Orgánica de la Administración Pública del Estado de Tamaulipas y en la presente ley.”</w:t>
      </w:r>
    </w:p>
    <w:p w14:paraId="4F6A277C" w14:textId="77777777" w:rsidR="00FB6304" w:rsidRPr="00FB6304" w:rsidRDefault="00FB6304" w:rsidP="00FB6304">
      <w:pPr>
        <w:autoSpaceDE w:val="0"/>
        <w:autoSpaceDN w:val="0"/>
        <w:adjustRightInd w:val="0"/>
        <w:spacing w:after="0"/>
        <w:ind w:left="708"/>
        <w:jc w:val="both"/>
        <w:rPr>
          <w:rFonts w:asciiTheme="minorHAnsi" w:hAnsiTheme="minorHAnsi" w:cstheme="minorHAnsi"/>
          <w:szCs w:val="20"/>
        </w:rPr>
      </w:pPr>
    </w:p>
    <w:p w14:paraId="7DE6393D" w14:textId="5588E80E" w:rsidR="0093065C" w:rsidRDefault="00DE2458" w:rsidP="00FB6304">
      <w:pPr>
        <w:pStyle w:val="Prrafodelista"/>
        <w:numPr>
          <w:ilvl w:val="0"/>
          <w:numId w:val="8"/>
        </w:numPr>
        <w:autoSpaceDE w:val="0"/>
        <w:autoSpaceDN w:val="0"/>
        <w:adjustRightInd w:val="0"/>
        <w:spacing w:after="0"/>
        <w:jc w:val="both"/>
        <w:rPr>
          <w:rFonts w:asciiTheme="minorHAnsi" w:hAnsiTheme="minorHAnsi" w:cstheme="minorHAnsi"/>
          <w:sz w:val="18"/>
          <w:szCs w:val="18"/>
        </w:rPr>
      </w:pPr>
      <w:r w:rsidRPr="005F45A3">
        <w:rPr>
          <w:rFonts w:asciiTheme="minorHAnsi" w:hAnsiTheme="minorHAnsi" w:cstheme="minorHAnsi"/>
          <w:sz w:val="18"/>
          <w:szCs w:val="18"/>
        </w:rPr>
        <w:t>Fideicomisos, mandatos y análogos de los cuales es fideicomitente o fideicomisario.</w:t>
      </w:r>
    </w:p>
    <w:p w14:paraId="003B3948" w14:textId="77777777" w:rsidR="00FB6304" w:rsidRPr="00FB6304" w:rsidRDefault="00FB6304" w:rsidP="00FB6304">
      <w:pPr>
        <w:pStyle w:val="Prrafodelista"/>
        <w:autoSpaceDE w:val="0"/>
        <w:autoSpaceDN w:val="0"/>
        <w:adjustRightInd w:val="0"/>
        <w:spacing w:after="0"/>
        <w:jc w:val="both"/>
        <w:rPr>
          <w:rFonts w:asciiTheme="minorHAnsi" w:hAnsiTheme="minorHAnsi" w:cstheme="minorHAnsi"/>
          <w:szCs w:val="18"/>
        </w:rPr>
      </w:pPr>
    </w:p>
    <w:p w14:paraId="22BB9232" w14:textId="2F76DC17" w:rsidR="00775086" w:rsidRPr="00B34B21" w:rsidRDefault="00571035" w:rsidP="00FB6304">
      <w:pPr>
        <w:spacing w:after="0" w:line="240" w:lineRule="auto"/>
        <w:ind w:left="720" w:hanging="153"/>
        <w:jc w:val="both"/>
        <w:rPr>
          <w:rFonts w:asciiTheme="minorHAnsi" w:eastAsia="Times New Roman" w:hAnsiTheme="minorHAnsi" w:cstheme="minorHAnsi"/>
          <w:b/>
          <w:sz w:val="20"/>
          <w:szCs w:val="18"/>
          <w:lang w:val="es-ES" w:eastAsia="es-ES"/>
        </w:rPr>
      </w:pPr>
      <w:r w:rsidRPr="00B34B21">
        <w:rPr>
          <w:rFonts w:asciiTheme="minorHAnsi" w:eastAsia="Times New Roman" w:hAnsiTheme="minorHAnsi" w:cstheme="minorHAnsi"/>
          <w:b/>
          <w:sz w:val="20"/>
          <w:szCs w:val="18"/>
          <w:lang w:val="es-ES" w:eastAsia="es-ES"/>
        </w:rPr>
        <w:t>Fideicomisos del Gobierno del Estado sin Estructura</w:t>
      </w:r>
    </w:p>
    <w:tbl>
      <w:tblPr>
        <w:tblW w:w="8359" w:type="dxa"/>
        <w:jc w:val="center"/>
        <w:tblCellMar>
          <w:left w:w="70" w:type="dxa"/>
          <w:right w:w="70" w:type="dxa"/>
        </w:tblCellMar>
        <w:tblLook w:val="04A0" w:firstRow="1" w:lastRow="0" w:firstColumn="1" w:lastColumn="0" w:noHBand="0" w:noVBand="1"/>
      </w:tblPr>
      <w:tblGrid>
        <w:gridCol w:w="8359"/>
      </w:tblGrid>
      <w:tr w:rsidR="00775086" w:rsidRPr="005F45A3" w14:paraId="2193F470" w14:textId="77777777" w:rsidTr="00452EEE">
        <w:trPr>
          <w:trHeight w:val="200"/>
          <w:jc w:val="center"/>
        </w:trPr>
        <w:tc>
          <w:tcPr>
            <w:tcW w:w="8359" w:type="dxa"/>
            <w:shd w:val="clear" w:color="auto" w:fill="auto"/>
            <w:noWrap/>
            <w:vAlign w:val="center"/>
          </w:tcPr>
          <w:p w14:paraId="10E44E13" w14:textId="2B660622" w:rsidR="00775086" w:rsidRPr="005F45A3" w:rsidRDefault="00775086" w:rsidP="00981BE0">
            <w:pPr>
              <w:spacing w:after="0" w:line="240" w:lineRule="auto"/>
              <w:jc w:val="both"/>
              <w:rPr>
                <w:rFonts w:asciiTheme="minorHAnsi" w:eastAsia="Times New Roman" w:hAnsiTheme="minorHAnsi" w:cstheme="minorHAnsi"/>
                <w:color w:val="000000"/>
                <w:sz w:val="18"/>
                <w:szCs w:val="18"/>
                <w:lang w:eastAsia="es-MX"/>
              </w:rPr>
            </w:pPr>
          </w:p>
        </w:tc>
      </w:tr>
      <w:tr w:rsidR="00775086" w:rsidRPr="005F45A3" w14:paraId="7CBB97AE" w14:textId="77777777" w:rsidTr="00452EEE">
        <w:trPr>
          <w:trHeight w:val="200"/>
          <w:jc w:val="center"/>
        </w:trPr>
        <w:tc>
          <w:tcPr>
            <w:tcW w:w="8359" w:type="dxa"/>
            <w:shd w:val="clear" w:color="auto" w:fill="auto"/>
            <w:noWrap/>
            <w:vAlign w:val="center"/>
          </w:tcPr>
          <w:p w14:paraId="441535BE" w14:textId="44FD6CD7" w:rsidR="00775086" w:rsidRPr="005F45A3" w:rsidRDefault="00981BE0" w:rsidP="001833B9">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w:t>
            </w:r>
            <w:r w:rsidR="00775086" w:rsidRPr="005F45A3">
              <w:rPr>
                <w:rFonts w:asciiTheme="minorHAnsi" w:eastAsia="Times New Roman" w:hAnsiTheme="minorHAnsi" w:cstheme="minorHAnsi"/>
                <w:color w:val="000000"/>
                <w:sz w:val="18"/>
                <w:szCs w:val="18"/>
                <w:lang w:eastAsia="es-MX"/>
              </w:rPr>
              <w:t>.   Fideicomiso para el Pago de Créditos del Estado de Tamaulipas (Fipac)</w:t>
            </w:r>
          </w:p>
        </w:tc>
      </w:tr>
      <w:tr w:rsidR="00775086" w:rsidRPr="005F45A3" w14:paraId="5C2FE6E4" w14:textId="77777777" w:rsidTr="00452EEE">
        <w:trPr>
          <w:trHeight w:val="200"/>
          <w:jc w:val="center"/>
        </w:trPr>
        <w:tc>
          <w:tcPr>
            <w:tcW w:w="8359" w:type="dxa"/>
            <w:shd w:val="clear" w:color="auto" w:fill="auto"/>
            <w:noWrap/>
            <w:vAlign w:val="center"/>
          </w:tcPr>
          <w:p w14:paraId="43B6F05D" w14:textId="1A006A0B" w:rsidR="00775086" w:rsidRPr="005F45A3" w:rsidRDefault="00981BE0" w:rsidP="006702D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2</w:t>
            </w:r>
            <w:r w:rsidR="00775086" w:rsidRPr="005F45A3">
              <w:rPr>
                <w:rFonts w:asciiTheme="minorHAnsi" w:eastAsia="Times New Roman" w:hAnsiTheme="minorHAnsi" w:cstheme="minorHAnsi"/>
                <w:color w:val="000000"/>
                <w:sz w:val="18"/>
                <w:szCs w:val="18"/>
                <w:lang w:eastAsia="es-MX"/>
              </w:rPr>
              <w:t>.   Fideicomiso Puente Internacional Nuevo Laredo III</w:t>
            </w:r>
          </w:p>
        </w:tc>
      </w:tr>
      <w:tr w:rsidR="00775086" w:rsidRPr="005F45A3" w14:paraId="506742D5" w14:textId="77777777" w:rsidTr="00452EEE">
        <w:trPr>
          <w:trHeight w:val="200"/>
          <w:jc w:val="center"/>
        </w:trPr>
        <w:tc>
          <w:tcPr>
            <w:tcW w:w="8359" w:type="dxa"/>
            <w:shd w:val="clear" w:color="auto" w:fill="auto"/>
            <w:noWrap/>
            <w:vAlign w:val="center"/>
          </w:tcPr>
          <w:p w14:paraId="34B9A121" w14:textId="45B0190F" w:rsidR="00775086" w:rsidRPr="005F45A3" w:rsidRDefault="00981BE0" w:rsidP="006702D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3</w:t>
            </w:r>
            <w:r w:rsidR="00775086" w:rsidRPr="005F45A3">
              <w:rPr>
                <w:rFonts w:asciiTheme="minorHAnsi" w:eastAsia="Times New Roman" w:hAnsiTheme="minorHAnsi" w:cstheme="minorHAnsi"/>
                <w:color w:val="000000"/>
                <w:sz w:val="18"/>
                <w:szCs w:val="18"/>
                <w:lang w:eastAsia="es-MX"/>
              </w:rPr>
              <w:t>.   Fideicomiso Irrevocable de Administración y Fuente de Pago (Banregio)</w:t>
            </w:r>
          </w:p>
        </w:tc>
      </w:tr>
      <w:tr w:rsidR="00775086" w:rsidRPr="005F45A3" w14:paraId="3BDC2813" w14:textId="77777777" w:rsidTr="00452EEE">
        <w:trPr>
          <w:trHeight w:val="200"/>
          <w:jc w:val="center"/>
        </w:trPr>
        <w:tc>
          <w:tcPr>
            <w:tcW w:w="8359" w:type="dxa"/>
            <w:shd w:val="clear" w:color="auto" w:fill="auto"/>
            <w:noWrap/>
            <w:vAlign w:val="center"/>
          </w:tcPr>
          <w:p w14:paraId="247BC909" w14:textId="216F53CA" w:rsidR="00775086" w:rsidRPr="005F45A3" w:rsidRDefault="00981BE0" w:rsidP="006702D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4</w:t>
            </w:r>
            <w:r w:rsidR="00775086" w:rsidRPr="005F45A3">
              <w:rPr>
                <w:rFonts w:asciiTheme="minorHAnsi" w:eastAsia="Times New Roman" w:hAnsiTheme="minorHAnsi" w:cstheme="minorHAnsi"/>
                <w:color w:val="000000"/>
                <w:sz w:val="18"/>
                <w:szCs w:val="18"/>
                <w:lang w:eastAsia="es-MX"/>
              </w:rPr>
              <w:t>.   Fideicomiso Irrevocable de Administración y Fuente de Pago  (Santander)</w:t>
            </w:r>
          </w:p>
        </w:tc>
      </w:tr>
      <w:tr w:rsidR="00775086" w:rsidRPr="005F45A3" w14:paraId="2530C242" w14:textId="77777777" w:rsidTr="00452EEE">
        <w:trPr>
          <w:trHeight w:val="200"/>
          <w:jc w:val="center"/>
        </w:trPr>
        <w:tc>
          <w:tcPr>
            <w:tcW w:w="8359" w:type="dxa"/>
            <w:shd w:val="clear" w:color="auto" w:fill="auto"/>
            <w:noWrap/>
            <w:vAlign w:val="center"/>
          </w:tcPr>
          <w:p w14:paraId="07FA3786" w14:textId="6923A7A0" w:rsidR="00775086" w:rsidRPr="005F45A3" w:rsidRDefault="00981BE0" w:rsidP="006702D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5</w:t>
            </w:r>
            <w:r w:rsidR="00775086" w:rsidRPr="005F45A3">
              <w:rPr>
                <w:rFonts w:asciiTheme="minorHAnsi" w:eastAsia="Times New Roman" w:hAnsiTheme="minorHAnsi" w:cstheme="minorHAnsi"/>
                <w:color w:val="000000"/>
                <w:sz w:val="18"/>
                <w:szCs w:val="18"/>
                <w:lang w:eastAsia="es-MX"/>
              </w:rPr>
              <w:t xml:space="preserve">.   Fideicomiso  Fondo de Desastres Naturales del Estado de Tamaulipas </w:t>
            </w:r>
          </w:p>
        </w:tc>
      </w:tr>
      <w:tr w:rsidR="00775086" w:rsidRPr="005F45A3" w14:paraId="40BD5898" w14:textId="77777777" w:rsidTr="00452EEE">
        <w:trPr>
          <w:trHeight w:val="200"/>
          <w:jc w:val="center"/>
        </w:trPr>
        <w:tc>
          <w:tcPr>
            <w:tcW w:w="8359" w:type="dxa"/>
            <w:shd w:val="clear" w:color="auto" w:fill="auto"/>
            <w:noWrap/>
            <w:vAlign w:val="center"/>
          </w:tcPr>
          <w:p w14:paraId="5A9928C1" w14:textId="2976D1DC" w:rsidR="00775086" w:rsidRPr="005F45A3" w:rsidRDefault="00981BE0" w:rsidP="006702D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6</w:t>
            </w:r>
            <w:r w:rsidR="00775086" w:rsidRPr="005F45A3">
              <w:rPr>
                <w:rFonts w:asciiTheme="minorHAnsi" w:eastAsia="Times New Roman" w:hAnsiTheme="minorHAnsi" w:cstheme="minorHAnsi"/>
                <w:color w:val="000000"/>
                <w:sz w:val="18"/>
                <w:szCs w:val="18"/>
                <w:lang w:eastAsia="es-MX"/>
              </w:rPr>
              <w:t>.   Fideicomiso Nuevo Santander</w:t>
            </w:r>
          </w:p>
        </w:tc>
      </w:tr>
      <w:tr w:rsidR="00775086" w:rsidRPr="005F45A3" w14:paraId="051EA1EE" w14:textId="77777777" w:rsidTr="00452EEE">
        <w:trPr>
          <w:trHeight w:val="200"/>
          <w:jc w:val="center"/>
        </w:trPr>
        <w:tc>
          <w:tcPr>
            <w:tcW w:w="8359" w:type="dxa"/>
            <w:shd w:val="clear" w:color="auto" w:fill="auto"/>
            <w:noWrap/>
            <w:vAlign w:val="center"/>
          </w:tcPr>
          <w:p w14:paraId="3AFC88F3" w14:textId="7CB418C9" w:rsidR="00775086" w:rsidRPr="005F45A3" w:rsidRDefault="00981BE0" w:rsidP="006702D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7</w:t>
            </w:r>
            <w:r w:rsidR="00775086" w:rsidRPr="005F45A3">
              <w:rPr>
                <w:rFonts w:asciiTheme="minorHAnsi" w:eastAsia="Times New Roman" w:hAnsiTheme="minorHAnsi" w:cstheme="minorHAnsi"/>
                <w:color w:val="000000"/>
                <w:sz w:val="18"/>
                <w:szCs w:val="18"/>
                <w:lang w:eastAsia="es-MX"/>
              </w:rPr>
              <w:t>.    Fideicomiso de Administración e Inversión del Impuesto por Servicios de Hospedaje del Estado de Tamaulipas</w:t>
            </w:r>
          </w:p>
        </w:tc>
      </w:tr>
      <w:tr w:rsidR="00775086" w:rsidRPr="005F45A3" w14:paraId="6AF5954C" w14:textId="77777777" w:rsidTr="00452EEE">
        <w:trPr>
          <w:trHeight w:val="200"/>
          <w:jc w:val="center"/>
        </w:trPr>
        <w:tc>
          <w:tcPr>
            <w:tcW w:w="8359" w:type="dxa"/>
            <w:shd w:val="clear" w:color="auto" w:fill="auto"/>
            <w:noWrap/>
            <w:vAlign w:val="center"/>
          </w:tcPr>
          <w:p w14:paraId="0336DE2A" w14:textId="14578865" w:rsidR="00775086" w:rsidRPr="005F45A3" w:rsidRDefault="00981BE0" w:rsidP="006702D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8</w:t>
            </w:r>
            <w:r w:rsidR="00775086" w:rsidRPr="005F45A3">
              <w:rPr>
                <w:rFonts w:asciiTheme="minorHAnsi" w:eastAsia="Times New Roman" w:hAnsiTheme="minorHAnsi" w:cstheme="minorHAnsi"/>
                <w:color w:val="000000"/>
                <w:sz w:val="18"/>
                <w:szCs w:val="18"/>
                <w:lang w:eastAsia="es-MX"/>
              </w:rPr>
              <w:t xml:space="preserve">.   </w:t>
            </w:r>
            <w:r w:rsidR="001833B9">
              <w:rPr>
                <w:rFonts w:asciiTheme="minorHAnsi" w:eastAsia="Times New Roman" w:hAnsiTheme="minorHAnsi" w:cstheme="minorHAnsi"/>
                <w:color w:val="000000"/>
                <w:sz w:val="18"/>
                <w:szCs w:val="18"/>
                <w:lang w:eastAsia="es-MX"/>
              </w:rPr>
              <w:t xml:space="preserve"> </w:t>
            </w:r>
            <w:r w:rsidR="00775086" w:rsidRPr="005F45A3">
              <w:rPr>
                <w:rFonts w:asciiTheme="minorHAnsi" w:eastAsia="Times New Roman" w:hAnsiTheme="minorHAnsi" w:cstheme="minorHAnsi"/>
                <w:color w:val="000000"/>
                <w:sz w:val="18"/>
                <w:szCs w:val="18"/>
                <w:lang w:eastAsia="es-MX"/>
              </w:rPr>
              <w:t>Fideicomiso Fondo de Fomento Agropecuario del Estado de Tamaulipas (Fofaet)</w:t>
            </w:r>
          </w:p>
        </w:tc>
      </w:tr>
      <w:tr w:rsidR="00775086" w:rsidRPr="005F45A3" w14:paraId="02EC9217" w14:textId="77777777" w:rsidTr="00452EEE">
        <w:trPr>
          <w:trHeight w:val="200"/>
          <w:jc w:val="center"/>
        </w:trPr>
        <w:tc>
          <w:tcPr>
            <w:tcW w:w="8359" w:type="dxa"/>
            <w:shd w:val="clear" w:color="auto" w:fill="auto"/>
            <w:noWrap/>
            <w:vAlign w:val="center"/>
          </w:tcPr>
          <w:p w14:paraId="6A6D6C9C" w14:textId="14A90406" w:rsidR="00775086" w:rsidRPr="005F45A3" w:rsidRDefault="00981BE0" w:rsidP="00162F3A">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9</w:t>
            </w:r>
            <w:r w:rsidR="00775086" w:rsidRPr="005F45A3">
              <w:rPr>
                <w:rFonts w:asciiTheme="minorHAnsi" w:eastAsia="Times New Roman" w:hAnsiTheme="minorHAnsi" w:cstheme="minorHAnsi"/>
                <w:color w:val="000000"/>
                <w:sz w:val="18"/>
                <w:szCs w:val="18"/>
                <w:lang w:eastAsia="es-MX"/>
              </w:rPr>
              <w:t xml:space="preserve">.   </w:t>
            </w:r>
            <w:r w:rsidR="001833B9">
              <w:rPr>
                <w:rFonts w:asciiTheme="minorHAnsi" w:eastAsia="Times New Roman" w:hAnsiTheme="minorHAnsi" w:cstheme="minorHAnsi"/>
                <w:color w:val="000000"/>
                <w:sz w:val="18"/>
                <w:szCs w:val="18"/>
                <w:lang w:eastAsia="es-MX"/>
              </w:rPr>
              <w:t xml:space="preserve"> </w:t>
            </w:r>
            <w:r w:rsidR="00775086" w:rsidRPr="005F45A3">
              <w:rPr>
                <w:rFonts w:asciiTheme="minorHAnsi" w:eastAsia="Times New Roman" w:hAnsiTheme="minorHAnsi" w:cstheme="minorHAnsi"/>
                <w:color w:val="000000"/>
                <w:sz w:val="18"/>
                <w:szCs w:val="18"/>
                <w:lang w:eastAsia="es-MX"/>
              </w:rPr>
              <w:t>Fideicomiso de Garantía Líquida Solidaria del Estado de Tamaulipas (Fidegat)</w:t>
            </w:r>
          </w:p>
        </w:tc>
      </w:tr>
      <w:tr w:rsidR="00775086" w:rsidRPr="005F45A3" w14:paraId="34F1887F" w14:textId="77777777" w:rsidTr="00452EEE">
        <w:trPr>
          <w:trHeight w:val="200"/>
          <w:jc w:val="center"/>
        </w:trPr>
        <w:tc>
          <w:tcPr>
            <w:tcW w:w="8359" w:type="dxa"/>
            <w:shd w:val="clear" w:color="auto" w:fill="auto"/>
            <w:noWrap/>
            <w:vAlign w:val="center"/>
          </w:tcPr>
          <w:p w14:paraId="48AD21AB" w14:textId="26AF4082" w:rsidR="00775086" w:rsidRPr="005F45A3" w:rsidRDefault="00981BE0" w:rsidP="006702D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10</w:t>
            </w:r>
            <w:r w:rsidR="00775086" w:rsidRPr="005F45A3">
              <w:rPr>
                <w:rFonts w:asciiTheme="minorHAnsi" w:eastAsia="Times New Roman" w:hAnsiTheme="minorHAnsi" w:cstheme="minorHAnsi"/>
                <w:color w:val="000000"/>
                <w:sz w:val="18"/>
                <w:szCs w:val="18"/>
                <w:lang w:eastAsia="es-MX"/>
              </w:rPr>
              <w:t>.  Fideicomiso para el Desarrollo Forestal Sustentable del Estado de Tamaulipas (Fidefoset)</w:t>
            </w:r>
          </w:p>
        </w:tc>
      </w:tr>
      <w:tr w:rsidR="00775086" w:rsidRPr="005F45A3" w14:paraId="0B97D4BD" w14:textId="77777777" w:rsidTr="00452EEE">
        <w:trPr>
          <w:trHeight w:val="200"/>
          <w:jc w:val="center"/>
        </w:trPr>
        <w:tc>
          <w:tcPr>
            <w:tcW w:w="8359" w:type="dxa"/>
            <w:shd w:val="clear" w:color="auto" w:fill="auto"/>
            <w:noWrap/>
            <w:vAlign w:val="center"/>
          </w:tcPr>
          <w:p w14:paraId="310E45C8" w14:textId="099C8D48" w:rsidR="00775086" w:rsidRPr="005F45A3" w:rsidRDefault="00981BE0" w:rsidP="001833B9">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11</w:t>
            </w:r>
            <w:r w:rsidR="00775086" w:rsidRPr="005F45A3">
              <w:rPr>
                <w:rFonts w:asciiTheme="minorHAnsi" w:eastAsia="Times New Roman" w:hAnsiTheme="minorHAnsi" w:cstheme="minorHAnsi"/>
                <w:color w:val="000000"/>
                <w:sz w:val="18"/>
                <w:szCs w:val="18"/>
                <w:lang w:eastAsia="es-MX"/>
              </w:rPr>
              <w:t>.  Fideicomiso Tamaulipas para Cobertura de Precios y Agricultura por Contrato (Fitam)</w:t>
            </w:r>
          </w:p>
        </w:tc>
      </w:tr>
      <w:tr w:rsidR="00775086" w:rsidRPr="005F45A3" w14:paraId="6D9C7220" w14:textId="77777777" w:rsidTr="00452EEE">
        <w:trPr>
          <w:trHeight w:val="200"/>
          <w:jc w:val="center"/>
        </w:trPr>
        <w:tc>
          <w:tcPr>
            <w:tcW w:w="8359" w:type="dxa"/>
            <w:shd w:val="clear" w:color="auto" w:fill="auto"/>
            <w:noWrap/>
            <w:vAlign w:val="center"/>
          </w:tcPr>
          <w:p w14:paraId="5AC90A49" w14:textId="615373DB" w:rsidR="00775086" w:rsidRPr="005F45A3" w:rsidRDefault="00981BE0" w:rsidP="001833B9">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12</w:t>
            </w:r>
            <w:r w:rsidR="00775086" w:rsidRPr="005F45A3">
              <w:rPr>
                <w:rFonts w:asciiTheme="minorHAnsi" w:eastAsia="Times New Roman" w:hAnsiTheme="minorHAnsi" w:cstheme="minorHAnsi"/>
                <w:color w:val="000000"/>
                <w:sz w:val="18"/>
                <w:szCs w:val="18"/>
                <w:lang w:eastAsia="es-MX"/>
              </w:rPr>
              <w:t>.  Fideicomiso Fondo de Garantía Agropecuaria del Estado de Tamaulipas (Fogagro)</w:t>
            </w:r>
          </w:p>
        </w:tc>
      </w:tr>
      <w:tr w:rsidR="00775086" w:rsidRPr="005F45A3" w14:paraId="317766C4" w14:textId="77777777" w:rsidTr="00452EEE">
        <w:trPr>
          <w:trHeight w:val="200"/>
          <w:jc w:val="center"/>
        </w:trPr>
        <w:tc>
          <w:tcPr>
            <w:tcW w:w="8359" w:type="dxa"/>
            <w:shd w:val="clear" w:color="auto" w:fill="auto"/>
            <w:noWrap/>
            <w:vAlign w:val="center"/>
          </w:tcPr>
          <w:p w14:paraId="25D32D23" w14:textId="1A806B33" w:rsidR="00775086" w:rsidRPr="005F45A3" w:rsidRDefault="00981BE0" w:rsidP="001833B9">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13.</w:t>
            </w:r>
            <w:r w:rsidR="00775086" w:rsidRPr="005F45A3">
              <w:rPr>
                <w:rFonts w:asciiTheme="minorHAnsi" w:eastAsia="Times New Roman" w:hAnsiTheme="minorHAnsi" w:cstheme="minorHAnsi"/>
                <w:color w:val="000000"/>
                <w:sz w:val="18"/>
                <w:szCs w:val="18"/>
                <w:lang w:eastAsia="es-MX"/>
              </w:rPr>
              <w:t>  Fideicomiso del Instituto Tamaulipeco de Becas, Estímulos y Créditos Educativos (Fitabec)</w:t>
            </w:r>
          </w:p>
        </w:tc>
      </w:tr>
      <w:tr w:rsidR="00775086" w:rsidRPr="005F45A3" w14:paraId="1FCF007F" w14:textId="77777777" w:rsidTr="00452EEE">
        <w:trPr>
          <w:trHeight w:val="200"/>
          <w:jc w:val="center"/>
        </w:trPr>
        <w:tc>
          <w:tcPr>
            <w:tcW w:w="8359" w:type="dxa"/>
            <w:shd w:val="clear" w:color="auto" w:fill="auto"/>
            <w:noWrap/>
            <w:vAlign w:val="center"/>
          </w:tcPr>
          <w:p w14:paraId="0356462E" w14:textId="04F6A7D5" w:rsidR="00775086" w:rsidRPr="005F45A3" w:rsidRDefault="00981BE0" w:rsidP="001833B9">
            <w:pPr>
              <w:spacing w:after="0" w:line="240" w:lineRule="auto"/>
              <w:ind w:left="351" w:hanging="351"/>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14</w:t>
            </w:r>
            <w:r w:rsidR="00775086" w:rsidRPr="005F45A3">
              <w:rPr>
                <w:rFonts w:asciiTheme="minorHAnsi" w:eastAsia="Times New Roman" w:hAnsiTheme="minorHAnsi" w:cstheme="minorHAnsi"/>
                <w:color w:val="000000"/>
                <w:sz w:val="18"/>
                <w:szCs w:val="18"/>
                <w:lang w:eastAsia="es-MX"/>
              </w:rPr>
              <w:t xml:space="preserve">.  Fideicomiso de Apoyo de Tecnologías Educativas y de la Información para el Personal al Servicio de la </w:t>
            </w:r>
            <w:r w:rsidR="001833B9">
              <w:rPr>
                <w:rFonts w:asciiTheme="minorHAnsi" w:eastAsia="Times New Roman" w:hAnsiTheme="minorHAnsi" w:cstheme="minorHAnsi"/>
                <w:color w:val="000000"/>
                <w:sz w:val="18"/>
                <w:szCs w:val="18"/>
                <w:lang w:eastAsia="es-MX"/>
              </w:rPr>
              <w:t xml:space="preserve">   </w:t>
            </w:r>
            <w:r w:rsidR="00775086" w:rsidRPr="005F45A3">
              <w:rPr>
                <w:rFonts w:asciiTheme="minorHAnsi" w:eastAsia="Times New Roman" w:hAnsiTheme="minorHAnsi" w:cstheme="minorHAnsi"/>
                <w:color w:val="000000"/>
                <w:sz w:val="18"/>
                <w:szCs w:val="18"/>
                <w:lang w:eastAsia="es-MX"/>
              </w:rPr>
              <w:t>Educación.</w:t>
            </w:r>
          </w:p>
        </w:tc>
      </w:tr>
      <w:tr w:rsidR="00775086" w:rsidRPr="005F45A3" w14:paraId="4A15BBD7" w14:textId="77777777" w:rsidTr="00452EEE">
        <w:trPr>
          <w:trHeight w:val="200"/>
          <w:jc w:val="center"/>
        </w:trPr>
        <w:tc>
          <w:tcPr>
            <w:tcW w:w="8359" w:type="dxa"/>
            <w:shd w:val="clear" w:color="auto" w:fill="auto"/>
            <w:noWrap/>
            <w:vAlign w:val="center"/>
          </w:tcPr>
          <w:p w14:paraId="10F60B21" w14:textId="30688A2B" w:rsidR="00775086" w:rsidRPr="005F45A3" w:rsidRDefault="00981BE0" w:rsidP="00162F3A">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15</w:t>
            </w:r>
            <w:r w:rsidR="00775086" w:rsidRPr="005F45A3">
              <w:rPr>
                <w:rFonts w:asciiTheme="minorHAnsi" w:eastAsia="Times New Roman" w:hAnsiTheme="minorHAnsi" w:cstheme="minorHAnsi"/>
                <w:color w:val="000000"/>
                <w:sz w:val="18"/>
                <w:szCs w:val="18"/>
                <w:lang w:eastAsia="es-MX"/>
              </w:rPr>
              <w:t>.   Fideicomiso Puente Internacional Río Bravo-Donna</w:t>
            </w:r>
          </w:p>
        </w:tc>
      </w:tr>
      <w:tr w:rsidR="00775086" w:rsidRPr="005F45A3" w14:paraId="68D89731" w14:textId="77777777" w:rsidTr="00452EEE">
        <w:trPr>
          <w:trHeight w:val="200"/>
          <w:jc w:val="center"/>
        </w:trPr>
        <w:tc>
          <w:tcPr>
            <w:tcW w:w="8359" w:type="dxa"/>
            <w:shd w:val="clear" w:color="auto" w:fill="auto"/>
            <w:noWrap/>
            <w:vAlign w:val="center"/>
          </w:tcPr>
          <w:p w14:paraId="3ED4128E" w14:textId="2A7FC7A0" w:rsidR="00775086" w:rsidRPr="005F45A3" w:rsidRDefault="00981BE0" w:rsidP="00162F3A">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16</w:t>
            </w:r>
            <w:r w:rsidR="00775086" w:rsidRPr="005F45A3">
              <w:rPr>
                <w:rFonts w:asciiTheme="minorHAnsi" w:eastAsia="Times New Roman" w:hAnsiTheme="minorHAnsi" w:cstheme="minorHAnsi"/>
                <w:color w:val="000000"/>
                <w:sz w:val="18"/>
                <w:szCs w:val="18"/>
                <w:lang w:eastAsia="es-MX"/>
              </w:rPr>
              <w:t>.   Fideicomiso Mante-Ocampo-Tula</w:t>
            </w:r>
          </w:p>
        </w:tc>
      </w:tr>
      <w:tr w:rsidR="00775086" w:rsidRPr="005F45A3" w14:paraId="44ADF80F" w14:textId="77777777" w:rsidTr="00452EEE">
        <w:trPr>
          <w:trHeight w:val="200"/>
          <w:jc w:val="center"/>
        </w:trPr>
        <w:tc>
          <w:tcPr>
            <w:tcW w:w="8359" w:type="dxa"/>
            <w:shd w:val="clear" w:color="auto" w:fill="auto"/>
            <w:noWrap/>
            <w:vAlign w:val="center"/>
          </w:tcPr>
          <w:p w14:paraId="14B025FC" w14:textId="1369FB20" w:rsidR="00775086" w:rsidRPr="005F45A3" w:rsidRDefault="00981BE0" w:rsidP="00162F3A">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17</w:t>
            </w:r>
            <w:r w:rsidR="00775086" w:rsidRPr="005F45A3">
              <w:rPr>
                <w:rFonts w:asciiTheme="minorHAnsi" w:eastAsia="Times New Roman" w:hAnsiTheme="minorHAnsi" w:cstheme="minorHAnsi"/>
                <w:color w:val="000000"/>
                <w:sz w:val="18"/>
                <w:szCs w:val="18"/>
                <w:lang w:eastAsia="es-MX"/>
              </w:rPr>
              <w:t xml:space="preserve">.   Fideicomiso de Administración e Inversión para el Desarrollo del Programa “Nuestros Niños, Nuestro Futuro” </w:t>
            </w:r>
          </w:p>
        </w:tc>
      </w:tr>
      <w:tr w:rsidR="00775086" w:rsidRPr="005F45A3" w14:paraId="63CA31E2" w14:textId="77777777" w:rsidTr="00452EEE">
        <w:trPr>
          <w:trHeight w:val="200"/>
          <w:jc w:val="center"/>
        </w:trPr>
        <w:tc>
          <w:tcPr>
            <w:tcW w:w="8359" w:type="dxa"/>
            <w:shd w:val="clear" w:color="auto" w:fill="auto"/>
            <w:noWrap/>
            <w:vAlign w:val="center"/>
          </w:tcPr>
          <w:p w14:paraId="68501889" w14:textId="19AD4865" w:rsidR="00775086" w:rsidRPr="005F45A3" w:rsidRDefault="00760A56" w:rsidP="001833B9">
            <w:pPr>
              <w:spacing w:after="0" w:line="240" w:lineRule="auto"/>
              <w:ind w:left="351" w:hanging="351"/>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18</w:t>
            </w:r>
            <w:r w:rsidR="00775086" w:rsidRPr="005F45A3">
              <w:rPr>
                <w:rFonts w:asciiTheme="minorHAnsi" w:eastAsia="Times New Roman" w:hAnsiTheme="minorHAnsi" w:cstheme="minorHAnsi"/>
                <w:color w:val="000000"/>
                <w:sz w:val="18"/>
                <w:szCs w:val="18"/>
                <w:lang w:eastAsia="es-MX"/>
              </w:rPr>
              <w:t>.   Fideicomiso para el Programa Especial de Financiamiento a la Vivienda para el Magisterio del Estado de Tamaulipas (Fovimat) *</w:t>
            </w:r>
          </w:p>
        </w:tc>
      </w:tr>
      <w:tr w:rsidR="00775086" w:rsidRPr="005F45A3" w14:paraId="1CECD8EF" w14:textId="77777777" w:rsidTr="00452EEE">
        <w:trPr>
          <w:trHeight w:val="200"/>
          <w:jc w:val="center"/>
        </w:trPr>
        <w:tc>
          <w:tcPr>
            <w:tcW w:w="8359" w:type="dxa"/>
            <w:shd w:val="clear" w:color="auto" w:fill="auto"/>
            <w:noWrap/>
            <w:vAlign w:val="center"/>
          </w:tcPr>
          <w:p w14:paraId="5EE89D71" w14:textId="787CE8C8" w:rsidR="00775086" w:rsidRPr="005F45A3" w:rsidRDefault="00760A56" w:rsidP="00162F3A">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19</w:t>
            </w:r>
            <w:r w:rsidR="00775086" w:rsidRPr="005F45A3">
              <w:rPr>
                <w:rFonts w:asciiTheme="minorHAnsi" w:eastAsia="Times New Roman" w:hAnsiTheme="minorHAnsi" w:cstheme="minorHAnsi"/>
                <w:color w:val="000000"/>
                <w:sz w:val="18"/>
                <w:szCs w:val="18"/>
                <w:lang w:eastAsia="es-MX"/>
              </w:rPr>
              <w:t>.   Fideicomiso Irrevocable de Administración y Fuente Alterna de Pago No. 3404/2019 (APP 27 Nov 2019)</w:t>
            </w:r>
          </w:p>
        </w:tc>
      </w:tr>
      <w:tr w:rsidR="00775086" w:rsidRPr="005F45A3" w14:paraId="6DB18E9C" w14:textId="77777777" w:rsidTr="00452EEE">
        <w:trPr>
          <w:trHeight w:val="200"/>
          <w:jc w:val="center"/>
        </w:trPr>
        <w:tc>
          <w:tcPr>
            <w:tcW w:w="8359" w:type="dxa"/>
            <w:shd w:val="clear" w:color="auto" w:fill="auto"/>
            <w:noWrap/>
            <w:vAlign w:val="center"/>
          </w:tcPr>
          <w:p w14:paraId="22C37952" w14:textId="401206CC" w:rsidR="00775086" w:rsidRDefault="00760A56" w:rsidP="00162F3A">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20</w:t>
            </w:r>
            <w:r w:rsidR="00775086" w:rsidRPr="005F45A3">
              <w:rPr>
                <w:rFonts w:asciiTheme="minorHAnsi" w:eastAsia="Times New Roman" w:hAnsiTheme="minorHAnsi" w:cstheme="minorHAnsi"/>
                <w:color w:val="000000"/>
                <w:sz w:val="18"/>
                <w:szCs w:val="18"/>
                <w:lang w:eastAsia="es-MX"/>
              </w:rPr>
              <w:t xml:space="preserve">.   Fideicomiso Público, Sin estructura, Maestro Irrevocable de Administración y Fuente de Pago No. F/1231 </w:t>
            </w:r>
          </w:p>
          <w:p w14:paraId="0E9B88F1" w14:textId="03023827" w:rsidR="00CD4994" w:rsidRDefault="00CD4994" w:rsidP="00162F3A">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21.   Fideicomiso Fondo para el Cambio Climático del Estado de Tamaulipas (06 jul 2022)</w:t>
            </w:r>
          </w:p>
          <w:p w14:paraId="454B1D58" w14:textId="4187259A" w:rsidR="00CD4994" w:rsidRPr="005F45A3" w:rsidRDefault="00CD4994" w:rsidP="00162F3A">
            <w:pPr>
              <w:spacing w:after="0" w:line="240" w:lineRule="auto"/>
              <w:jc w:val="both"/>
              <w:rPr>
                <w:rFonts w:asciiTheme="minorHAnsi" w:eastAsia="Times New Roman" w:hAnsiTheme="minorHAnsi" w:cstheme="minorHAnsi"/>
                <w:color w:val="000000"/>
                <w:sz w:val="18"/>
                <w:szCs w:val="18"/>
                <w:lang w:eastAsia="es-MX"/>
              </w:rPr>
            </w:pPr>
          </w:p>
        </w:tc>
      </w:tr>
    </w:tbl>
    <w:p w14:paraId="31480608" w14:textId="77777777" w:rsidR="00571035" w:rsidRPr="005F45A3" w:rsidRDefault="00571035" w:rsidP="00775086">
      <w:pPr>
        <w:spacing w:after="0" w:line="240" w:lineRule="auto"/>
        <w:jc w:val="both"/>
        <w:rPr>
          <w:rFonts w:asciiTheme="minorHAnsi" w:hAnsiTheme="minorHAnsi" w:cstheme="minorHAnsi"/>
          <w:sz w:val="18"/>
          <w:szCs w:val="18"/>
        </w:rPr>
      </w:pPr>
    </w:p>
    <w:p w14:paraId="42B8028F" w14:textId="1C1F5F8C" w:rsidR="004056BA" w:rsidRDefault="004056BA" w:rsidP="00295AC0">
      <w:pPr>
        <w:spacing w:after="0"/>
        <w:ind w:left="567"/>
        <w:jc w:val="both"/>
        <w:rPr>
          <w:rFonts w:asciiTheme="minorHAnsi" w:eastAsia="Times New Roman" w:hAnsiTheme="minorHAnsi" w:cstheme="minorHAnsi"/>
          <w:b/>
          <w:sz w:val="18"/>
          <w:szCs w:val="18"/>
          <w:lang w:val="es-ES" w:eastAsia="es-ES"/>
        </w:rPr>
      </w:pPr>
    </w:p>
    <w:p w14:paraId="7AA12EEF" w14:textId="5E8337DF" w:rsidR="00FB6304" w:rsidRDefault="00FB6304" w:rsidP="00295AC0">
      <w:pPr>
        <w:spacing w:after="0"/>
        <w:ind w:left="567"/>
        <w:jc w:val="both"/>
        <w:rPr>
          <w:rFonts w:asciiTheme="minorHAnsi" w:eastAsia="Times New Roman" w:hAnsiTheme="minorHAnsi" w:cstheme="minorHAnsi"/>
          <w:b/>
          <w:sz w:val="18"/>
          <w:szCs w:val="18"/>
          <w:lang w:val="es-ES" w:eastAsia="es-ES"/>
        </w:rPr>
      </w:pPr>
    </w:p>
    <w:p w14:paraId="6B034DB6" w14:textId="77777777" w:rsidR="00FB6304" w:rsidRDefault="00FB6304" w:rsidP="00295AC0">
      <w:pPr>
        <w:spacing w:after="0"/>
        <w:ind w:left="567"/>
        <w:jc w:val="both"/>
        <w:rPr>
          <w:rFonts w:asciiTheme="minorHAnsi" w:eastAsia="Times New Roman" w:hAnsiTheme="minorHAnsi" w:cstheme="minorHAnsi"/>
          <w:b/>
          <w:sz w:val="18"/>
          <w:szCs w:val="18"/>
          <w:lang w:val="es-ES" w:eastAsia="es-ES"/>
        </w:rPr>
      </w:pPr>
    </w:p>
    <w:p w14:paraId="331C29D0" w14:textId="3D39337D" w:rsidR="00571035" w:rsidRPr="00B34B21" w:rsidRDefault="00571035" w:rsidP="00295AC0">
      <w:pPr>
        <w:spacing w:after="0"/>
        <w:ind w:left="567"/>
        <w:jc w:val="both"/>
        <w:rPr>
          <w:rFonts w:asciiTheme="minorHAnsi" w:eastAsia="Times New Roman" w:hAnsiTheme="minorHAnsi" w:cstheme="minorHAnsi"/>
          <w:b/>
          <w:sz w:val="20"/>
          <w:szCs w:val="18"/>
          <w:lang w:val="es-ES" w:eastAsia="es-ES"/>
        </w:rPr>
      </w:pPr>
      <w:r w:rsidRPr="00B34B21">
        <w:rPr>
          <w:rFonts w:asciiTheme="minorHAnsi" w:eastAsia="Times New Roman" w:hAnsiTheme="minorHAnsi" w:cstheme="minorHAnsi"/>
          <w:b/>
          <w:sz w:val="20"/>
          <w:szCs w:val="18"/>
          <w:lang w:val="es-ES" w:eastAsia="es-ES"/>
        </w:rPr>
        <w:t>Fideicomisos del Gobierno del Estado con Estructura</w:t>
      </w:r>
    </w:p>
    <w:p w14:paraId="5A7CE049" w14:textId="77777777" w:rsidR="003B2245" w:rsidRPr="00B34B21" w:rsidRDefault="003B2245" w:rsidP="0086177A">
      <w:pPr>
        <w:spacing w:after="0"/>
        <w:ind w:left="708"/>
        <w:jc w:val="both"/>
        <w:rPr>
          <w:rFonts w:asciiTheme="minorHAnsi" w:eastAsia="Times New Roman" w:hAnsiTheme="minorHAnsi" w:cstheme="minorHAnsi"/>
          <w:b/>
          <w:sz w:val="14"/>
          <w:szCs w:val="18"/>
          <w:lang w:val="es-ES" w:eastAsia="es-ES"/>
        </w:rPr>
      </w:pPr>
    </w:p>
    <w:p w14:paraId="03B5348E" w14:textId="77777777" w:rsidR="00571035" w:rsidRPr="005F45A3" w:rsidRDefault="00571035" w:rsidP="00B46FFA">
      <w:pPr>
        <w:pStyle w:val="Prrafodelista"/>
        <w:numPr>
          <w:ilvl w:val="0"/>
          <w:numId w:val="27"/>
        </w:numPr>
        <w:spacing w:after="0" w:line="240" w:lineRule="auto"/>
        <w:ind w:left="851" w:hanging="284"/>
        <w:jc w:val="both"/>
        <w:rPr>
          <w:rFonts w:asciiTheme="minorHAnsi" w:hAnsiTheme="minorHAnsi" w:cstheme="minorHAnsi"/>
          <w:sz w:val="18"/>
          <w:szCs w:val="18"/>
        </w:rPr>
      </w:pPr>
      <w:r w:rsidRPr="005F45A3">
        <w:rPr>
          <w:rFonts w:asciiTheme="minorHAnsi" w:hAnsiTheme="minorHAnsi" w:cstheme="minorHAnsi"/>
          <w:sz w:val="18"/>
          <w:szCs w:val="18"/>
        </w:rPr>
        <w:t>Fideicomiso Fondo de Garantía y Fomento a la Microindustria del Estado de Tamaulipas (Fomicro)</w:t>
      </w:r>
    </w:p>
    <w:p w14:paraId="1BA9F57B" w14:textId="77777777" w:rsidR="00981BE0" w:rsidRPr="005F45A3" w:rsidRDefault="00981BE0" w:rsidP="00981BE0">
      <w:pPr>
        <w:pStyle w:val="Prrafodelista"/>
        <w:spacing w:after="0" w:line="240" w:lineRule="auto"/>
        <w:jc w:val="both"/>
        <w:rPr>
          <w:rFonts w:asciiTheme="minorHAnsi" w:hAnsiTheme="minorHAnsi" w:cstheme="minorHAnsi"/>
          <w:sz w:val="18"/>
          <w:szCs w:val="18"/>
        </w:rPr>
      </w:pPr>
    </w:p>
    <w:p w14:paraId="3DF1B1D3" w14:textId="0F622BD4" w:rsidR="002B201B" w:rsidRDefault="00571035" w:rsidP="00295AC0">
      <w:pPr>
        <w:spacing w:after="0" w:line="240" w:lineRule="auto"/>
        <w:ind w:left="567"/>
        <w:jc w:val="both"/>
        <w:rPr>
          <w:rFonts w:asciiTheme="minorHAnsi" w:eastAsia="Times New Roman" w:hAnsiTheme="minorHAnsi" w:cstheme="minorHAnsi"/>
          <w:b/>
          <w:sz w:val="20"/>
          <w:szCs w:val="18"/>
          <w:lang w:val="es-ES" w:eastAsia="es-ES"/>
        </w:rPr>
      </w:pPr>
      <w:r w:rsidRPr="00B34B21">
        <w:rPr>
          <w:rFonts w:asciiTheme="minorHAnsi" w:eastAsia="Times New Roman" w:hAnsiTheme="minorHAnsi" w:cstheme="minorHAnsi"/>
          <w:b/>
          <w:sz w:val="20"/>
          <w:szCs w:val="18"/>
          <w:lang w:val="es-ES" w:eastAsia="es-ES"/>
        </w:rPr>
        <w:t xml:space="preserve">Los Fideicomisos sin Estructura reportados a la fecha como </w:t>
      </w:r>
      <w:r w:rsidRPr="00B34B21">
        <w:rPr>
          <w:rFonts w:asciiTheme="minorHAnsi" w:eastAsia="Times New Roman" w:hAnsiTheme="minorHAnsi" w:cstheme="minorHAnsi"/>
          <w:b/>
          <w:i/>
          <w:sz w:val="20"/>
          <w:szCs w:val="18"/>
          <w:lang w:val="es-ES" w:eastAsia="es-ES"/>
        </w:rPr>
        <w:t xml:space="preserve">INACTIVOS </w:t>
      </w:r>
      <w:r w:rsidRPr="00B34B21">
        <w:rPr>
          <w:rFonts w:asciiTheme="minorHAnsi" w:eastAsia="Times New Roman" w:hAnsiTheme="minorHAnsi" w:cstheme="minorHAnsi"/>
          <w:b/>
          <w:sz w:val="20"/>
          <w:szCs w:val="18"/>
          <w:lang w:val="es-ES" w:eastAsia="es-ES"/>
        </w:rPr>
        <w:t>se enumeran a continuación:</w:t>
      </w:r>
    </w:p>
    <w:tbl>
      <w:tblPr>
        <w:tblStyle w:val="Tablaconcuadrcula"/>
        <w:tblpPr w:leftFromText="141" w:rightFromText="141" w:vertAnchor="text" w:horzAnchor="page" w:tblpX="1981" w:tblpY="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tblGrid>
      <w:tr w:rsidR="002B201B" w14:paraId="3E2CCED8" w14:textId="77777777" w:rsidTr="002B201B">
        <w:trPr>
          <w:trHeight w:val="284"/>
        </w:trPr>
        <w:tc>
          <w:tcPr>
            <w:tcW w:w="6374" w:type="dxa"/>
            <w:vAlign w:val="center"/>
          </w:tcPr>
          <w:p w14:paraId="02C0EC10" w14:textId="77777777" w:rsidR="002B201B" w:rsidRDefault="002B201B" w:rsidP="002B201B">
            <w:pPr>
              <w:spacing w:after="0" w:line="240" w:lineRule="auto"/>
              <w:jc w:val="both"/>
              <w:rPr>
                <w:rFonts w:asciiTheme="minorHAnsi" w:eastAsia="Times New Roman" w:hAnsiTheme="minorHAnsi" w:cstheme="minorHAnsi"/>
                <w:b/>
                <w:sz w:val="18"/>
                <w:szCs w:val="18"/>
                <w:lang w:val="es-ES" w:eastAsia="es-ES"/>
              </w:rPr>
            </w:pPr>
            <w:r w:rsidRPr="005F45A3">
              <w:rPr>
                <w:rFonts w:asciiTheme="minorHAnsi" w:eastAsia="Times New Roman" w:hAnsiTheme="minorHAnsi" w:cstheme="minorHAnsi"/>
                <w:color w:val="000000"/>
                <w:sz w:val="18"/>
                <w:szCs w:val="18"/>
                <w:lang w:eastAsia="es-MX"/>
              </w:rPr>
              <w:t xml:space="preserve">1.    Fideicomiso Desarrollo Urbano Lucio Blanco </w:t>
            </w:r>
          </w:p>
        </w:tc>
      </w:tr>
      <w:tr w:rsidR="002B201B" w14:paraId="490E2A62" w14:textId="77777777" w:rsidTr="002B201B">
        <w:trPr>
          <w:trHeight w:val="284"/>
        </w:trPr>
        <w:tc>
          <w:tcPr>
            <w:tcW w:w="6374" w:type="dxa"/>
            <w:vAlign w:val="center"/>
          </w:tcPr>
          <w:p w14:paraId="580814AE" w14:textId="77777777" w:rsidR="002B201B" w:rsidRDefault="002B201B" w:rsidP="002B201B">
            <w:pPr>
              <w:spacing w:after="0" w:line="240" w:lineRule="auto"/>
              <w:jc w:val="both"/>
              <w:rPr>
                <w:rFonts w:asciiTheme="minorHAnsi" w:eastAsia="Times New Roman" w:hAnsiTheme="minorHAnsi" w:cstheme="minorHAnsi"/>
                <w:b/>
                <w:sz w:val="18"/>
                <w:szCs w:val="18"/>
                <w:lang w:val="es-ES" w:eastAsia="es-ES"/>
              </w:rPr>
            </w:pPr>
            <w:r w:rsidRPr="005F45A3">
              <w:rPr>
                <w:rFonts w:asciiTheme="minorHAnsi" w:eastAsia="Times New Roman" w:hAnsiTheme="minorHAnsi" w:cstheme="minorHAnsi"/>
                <w:color w:val="000000"/>
                <w:sz w:val="18"/>
                <w:szCs w:val="18"/>
                <w:lang w:eastAsia="es-MX"/>
              </w:rPr>
              <w:t>2.    Fideicomiso del Centro Histórico de Matamoros (Ficemat)</w:t>
            </w:r>
          </w:p>
        </w:tc>
      </w:tr>
      <w:tr w:rsidR="002B201B" w14:paraId="2F67D8D0" w14:textId="77777777" w:rsidTr="002B201B">
        <w:trPr>
          <w:trHeight w:val="284"/>
        </w:trPr>
        <w:tc>
          <w:tcPr>
            <w:tcW w:w="6374" w:type="dxa"/>
          </w:tcPr>
          <w:p w14:paraId="3F7CBCE8" w14:textId="77777777" w:rsidR="002B201B" w:rsidRPr="002B201B" w:rsidRDefault="002B201B" w:rsidP="002B201B">
            <w:pPr>
              <w:spacing w:after="0" w:line="240" w:lineRule="auto"/>
              <w:jc w:val="both"/>
              <w:rPr>
                <w:rFonts w:asciiTheme="minorHAnsi" w:eastAsia="Times New Roman" w:hAnsiTheme="minorHAnsi" w:cstheme="minorHAnsi"/>
                <w:color w:val="000000"/>
                <w:sz w:val="18"/>
                <w:szCs w:val="18"/>
                <w:lang w:eastAsia="es-MX"/>
              </w:rPr>
            </w:pPr>
            <w:r w:rsidRPr="002B201B">
              <w:rPr>
                <w:rFonts w:asciiTheme="minorHAnsi" w:eastAsia="Times New Roman" w:hAnsiTheme="minorHAnsi" w:cstheme="minorHAnsi"/>
                <w:color w:val="000000"/>
                <w:sz w:val="18"/>
                <w:szCs w:val="18"/>
                <w:lang w:eastAsia="es-MX"/>
              </w:rPr>
              <w:t>3.</w:t>
            </w:r>
            <w:r>
              <w:rPr>
                <w:rFonts w:asciiTheme="minorHAnsi" w:eastAsia="Times New Roman" w:hAnsiTheme="minorHAnsi" w:cstheme="minorHAnsi"/>
                <w:color w:val="000000"/>
                <w:sz w:val="18"/>
                <w:szCs w:val="18"/>
                <w:lang w:eastAsia="es-MX"/>
              </w:rPr>
              <w:t xml:space="preserve">    </w:t>
            </w:r>
            <w:r w:rsidRPr="002B201B">
              <w:rPr>
                <w:rFonts w:asciiTheme="minorHAnsi" w:eastAsia="Times New Roman" w:hAnsiTheme="minorHAnsi" w:cstheme="minorHAnsi"/>
                <w:color w:val="000000"/>
                <w:sz w:val="18"/>
                <w:szCs w:val="18"/>
                <w:lang w:eastAsia="es-MX"/>
              </w:rPr>
              <w:t xml:space="preserve">Fideicomiso del Centro Urbano Turístico de Ciudad Madero (Ficutmad) </w:t>
            </w:r>
          </w:p>
        </w:tc>
      </w:tr>
      <w:tr w:rsidR="002B201B" w14:paraId="0CDBB579" w14:textId="77777777" w:rsidTr="002B201B">
        <w:trPr>
          <w:trHeight w:val="284"/>
        </w:trPr>
        <w:tc>
          <w:tcPr>
            <w:tcW w:w="6374" w:type="dxa"/>
          </w:tcPr>
          <w:p w14:paraId="3DF576CF" w14:textId="77777777" w:rsidR="002B201B" w:rsidRPr="002B201B" w:rsidRDefault="002B201B" w:rsidP="002B201B">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 xml:space="preserve">4.    </w:t>
            </w:r>
            <w:r w:rsidRPr="005F45A3">
              <w:rPr>
                <w:rFonts w:asciiTheme="minorHAnsi" w:eastAsia="Times New Roman" w:hAnsiTheme="minorHAnsi" w:cstheme="minorHAnsi"/>
                <w:color w:val="000000"/>
                <w:sz w:val="18"/>
                <w:szCs w:val="18"/>
                <w:lang w:eastAsia="es-MX"/>
              </w:rPr>
              <w:t>Fideicomiso del Centro de Capacitación de Altamira</w:t>
            </w:r>
          </w:p>
        </w:tc>
      </w:tr>
      <w:tr w:rsidR="002B201B" w14:paraId="639A94C4" w14:textId="77777777" w:rsidTr="002B201B">
        <w:trPr>
          <w:trHeight w:val="284"/>
        </w:trPr>
        <w:tc>
          <w:tcPr>
            <w:tcW w:w="6374" w:type="dxa"/>
          </w:tcPr>
          <w:p w14:paraId="63CDA75D" w14:textId="77777777" w:rsidR="002B201B" w:rsidRPr="002B201B" w:rsidRDefault="002B201B" w:rsidP="002B201B">
            <w:pPr>
              <w:spacing w:after="0" w:line="240" w:lineRule="auto"/>
              <w:jc w:val="both"/>
              <w:rPr>
                <w:rFonts w:asciiTheme="minorHAnsi" w:eastAsia="Times New Roman" w:hAnsiTheme="minorHAnsi" w:cstheme="minorHAnsi"/>
                <w:b/>
                <w:sz w:val="18"/>
                <w:szCs w:val="18"/>
                <w:lang w:val="es-ES" w:eastAsia="es-ES"/>
              </w:rPr>
            </w:pPr>
            <w:r>
              <w:rPr>
                <w:rFonts w:asciiTheme="minorHAnsi" w:eastAsia="Times New Roman" w:hAnsiTheme="minorHAnsi" w:cstheme="minorHAnsi"/>
                <w:color w:val="000000"/>
                <w:sz w:val="18"/>
                <w:szCs w:val="18"/>
                <w:lang w:eastAsia="es-MX"/>
              </w:rPr>
              <w:t xml:space="preserve">5.    </w:t>
            </w:r>
            <w:r w:rsidRPr="002B201B">
              <w:rPr>
                <w:rFonts w:asciiTheme="minorHAnsi" w:eastAsia="Times New Roman" w:hAnsiTheme="minorHAnsi" w:cstheme="minorHAnsi"/>
                <w:color w:val="000000"/>
                <w:sz w:val="18"/>
                <w:szCs w:val="18"/>
                <w:lang w:eastAsia="es-MX"/>
              </w:rPr>
              <w:t>Fideicomiso para el Desarrollo Comercial Ignacio Zaragoza</w:t>
            </w:r>
          </w:p>
        </w:tc>
      </w:tr>
      <w:tr w:rsidR="002B201B" w14:paraId="0193B199" w14:textId="77777777" w:rsidTr="002B201B">
        <w:trPr>
          <w:trHeight w:val="284"/>
        </w:trPr>
        <w:tc>
          <w:tcPr>
            <w:tcW w:w="6374" w:type="dxa"/>
          </w:tcPr>
          <w:p w14:paraId="3C4A1851" w14:textId="77777777" w:rsidR="002B201B" w:rsidRDefault="002B201B" w:rsidP="002B201B">
            <w:pPr>
              <w:spacing w:after="0" w:line="240" w:lineRule="auto"/>
              <w:jc w:val="both"/>
              <w:rPr>
                <w:rFonts w:asciiTheme="minorHAnsi" w:eastAsia="Times New Roman" w:hAnsiTheme="minorHAnsi" w:cstheme="minorHAnsi"/>
                <w:b/>
                <w:sz w:val="18"/>
                <w:szCs w:val="18"/>
                <w:lang w:val="es-ES" w:eastAsia="es-ES"/>
              </w:rPr>
            </w:pPr>
            <w:r>
              <w:rPr>
                <w:rFonts w:asciiTheme="minorHAnsi" w:eastAsia="Times New Roman" w:hAnsiTheme="minorHAnsi" w:cstheme="minorHAnsi"/>
                <w:color w:val="000000"/>
                <w:sz w:val="18"/>
                <w:szCs w:val="18"/>
                <w:lang w:eastAsia="es-MX"/>
              </w:rPr>
              <w:t xml:space="preserve">6.    </w:t>
            </w:r>
            <w:r w:rsidRPr="002B201B">
              <w:rPr>
                <w:rFonts w:asciiTheme="minorHAnsi" w:eastAsia="Times New Roman" w:hAnsiTheme="minorHAnsi" w:cstheme="minorHAnsi"/>
                <w:color w:val="000000"/>
                <w:sz w:val="18"/>
                <w:szCs w:val="18"/>
                <w:lang w:eastAsia="es-MX"/>
              </w:rPr>
              <w:t>Fideicomiso del Corredor Económico Norte.</w:t>
            </w:r>
          </w:p>
        </w:tc>
      </w:tr>
    </w:tbl>
    <w:p w14:paraId="13DE2DDC" w14:textId="16D28D56" w:rsidR="002B201B" w:rsidRDefault="002B201B" w:rsidP="00295AC0">
      <w:pPr>
        <w:spacing w:after="0" w:line="240" w:lineRule="auto"/>
        <w:ind w:left="567"/>
        <w:jc w:val="both"/>
        <w:rPr>
          <w:rFonts w:asciiTheme="minorHAnsi" w:eastAsia="Times New Roman" w:hAnsiTheme="minorHAnsi" w:cstheme="minorHAnsi"/>
          <w:b/>
          <w:sz w:val="20"/>
          <w:szCs w:val="18"/>
          <w:lang w:val="es-ES" w:eastAsia="es-ES"/>
        </w:rPr>
      </w:pPr>
    </w:p>
    <w:p w14:paraId="2684DD6F" w14:textId="198FCF6A" w:rsidR="002B201B" w:rsidRDefault="002B201B" w:rsidP="00295AC0">
      <w:pPr>
        <w:spacing w:after="0" w:line="240" w:lineRule="auto"/>
        <w:ind w:left="567"/>
        <w:jc w:val="both"/>
        <w:rPr>
          <w:rFonts w:asciiTheme="minorHAnsi" w:eastAsia="Times New Roman" w:hAnsiTheme="minorHAnsi" w:cstheme="minorHAnsi"/>
          <w:b/>
          <w:sz w:val="20"/>
          <w:szCs w:val="18"/>
          <w:lang w:val="es-ES" w:eastAsia="es-ES"/>
        </w:rPr>
      </w:pPr>
    </w:p>
    <w:p w14:paraId="3D14C5C3" w14:textId="77777777" w:rsidR="002B201B" w:rsidRPr="005F45A3" w:rsidRDefault="002B201B" w:rsidP="00295AC0">
      <w:pPr>
        <w:spacing w:after="0" w:line="240" w:lineRule="auto"/>
        <w:ind w:left="567"/>
        <w:jc w:val="both"/>
        <w:rPr>
          <w:rFonts w:asciiTheme="minorHAnsi" w:eastAsia="Times New Roman" w:hAnsiTheme="minorHAnsi" w:cstheme="minorHAnsi"/>
          <w:b/>
          <w:sz w:val="18"/>
          <w:szCs w:val="18"/>
          <w:lang w:val="es-ES" w:eastAsia="es-ES"/>
        </w:rPr>
      </w:pPr>
    </w:p>
    <w:p w14:paraId="6C2D8AF9" w14:textId="77777777" w:rsidR="00F029BA" w:rsidRPr="005F45A3" w:rsidRDefault="00F029BA" w:rsidP="0086177A">
      <w:pPr>
        <w:spacing w:after="0" w:line="240" w:lineRule="auto"/>
        <w:ind w:left="709"/>
        <w:jc w:val="both"/>
        <w:rPr>
          <w:rFonts w:asciiTheme="minorHAnsi" w:eastAsia="Times New Roman" w:hAnsiTheme="minorHAnsi" w:cstheme="minorHAnsi"/>
          <w:b/>
          <w:sz w:val="18"/>
          <w:szCs w:val="18"/>
          <w:lang w:val="es-ES" w:eastAsia="es-ES"/>
        </w:rPr>
      </w:pPr>
    </w:p>
    <w:p w14:paraId="5542B3CA" w14:textId="77777777" w:rsidR="002B201B" w:rsidRDefault="002B201B" w:rsidP="00571035">
      <w:pPr>
        <w:spacing w:after="0" w:line="240" w:lineRule="auto"/>
        <w:ind w:left="709"/>
        <w:jc w:val="both"/>
        <w:rPr>
          <w:rFonts w:asciiTheme="minorHAnsi" w:eastAsia="Times New Roman" w:hAnsiTheme="minorHAnsi" w:cstheme="minorHAnsi"/>
          <w:b/>
          <w:color w:val="000000"/>
          <w:sz w:val="18"/>
          <w:szCs w:val="18"/>
          <w:lang w:eastAsia="es-MX"/>
        </w:rPr>
      </w:pPr>
    </w:p>
    <w:p w14:paraId="306A863D" w14:textId="77777777" w:rsidR="002B201B" w:rsidRDefault="002B201B" w:rsidP="00571035">
      <w:pPr>
        <w:spacing w:after="0" w:line="240" w:lineRule="auto"/>
        <w:ind w:left="709"/>
        <w:jc w:val="both"/>
        <w:rPr>
          <w:rFonts w:asciiTheme="minorHAnsi" w:eastAsia="Times New Roman" w:hAnsiTheme="minorHAnsi" w:cstheme="minorHAnsi"/>
          <w:b/>
          <w:color w:val="000000"/>
          <w:sz w:val="18"/>
          <w:szCs w:val="18"/>
          <w:lang w:eastAsia="es-MX"/>
        </w:rPr>
      </w:pPr>
    </w:p>
    <w:p w14:paraId="11BC0E80" w14:textId="77777777" w:rsidR="002B201B" w:rsidRDefault="002B201B" w:rsidP="00571035">
      <w:pPr>
        <w:spacing w:after="0" w:line="240" w:lineRule="auto"/>
        <w:ind w:left="709"/>
        <w:jc w:val="both"/>
        <w:rPr>
          <w:rFonts w:asciiTheme="minorHAnsi" w:eastAsia="Times New Roman" w:hAnsiTheme="minorHAnsi" w:cstheme="minorHAnsi"/>
          <w:b/>
          <w:color w:val="000000"/>
          <w:sz w:val="18"/>
          <w:szCs w:val="18"/>
          <w:lang w:eastAsia="es-MX"/>
        </w:rPr>
      </w:pPr>
    </w:p>
    <w:p w14:paraId="79801FB7" w14:textId="77777777" w:rsidR="002B201B" w:rsidRDefault="002B201B" w:rsidP="00571035">
      <w:pPr>
        <w:spacing w:after="0" w:line="240" w:lineRule="auto"/>
        <w:ind w:left="709"/>
        <w:jc w:val="both"/>
        <w:rPr>
          <w:rFonts w:asciiTheme="minorHAnsi" w:eastAsia="Times New Roman" w:hAnsiTheme="minorHAnsi" w:cstheme="minorHAnsi"/>
          <w:b/>
          <w:color w:val="000000"/>
          <w:sz w:val="18"/>
          <w:szCs w:val="18"/>
          <w:lang w:eastAsia="es-MX"/>
        </w:rPr>
      </w:pPr>
    </w:p>
    <w:p w14:paraId="11D4CE7E" w14:textId="77777777" w:rsidR="002B201B" w:rsidRDefault="002B201B" w:rsidP="00571035">
      <w:pPr>
        <w:spacing w:after="0" w:line="240" w:lineRule="auto"/>
        <w:ind w:left="709"/>
        <w:jc w:val="both"/>
        <w:rPr>
          <w:rFonts w:asciiTheme="minorHAnsi" w:eastAsia="Times New Roman" w:hAnsiTheme="minorHAnsi" w:cstheme="minorHAnsi"/>
          <w:b/>
          <w:color w:val="000000"/>
          <w:sz w:val="18"/>
          <w:szCs w:val="18"/>
          <w:lang w:eastAsia="es-MX"/>
        </w:rPr>
      </w:pPr>
    </w:p>
    <w:p w14:paraId="45B4B2AD" w14:textId="77777777" w:rsidR="002B201B" w:rsidRDefault="002B201B" w:rsidP="00571035">
      <w:pPr>
        <w:spacing w:after="0" w:line="240" w:lineRule="auto"/>
        <w:ind w:left="709"/>
        <w:jc w:val="both"/>
        <w:rPr>
          <w:rFonts w:asciiTheme="minorHAnsi" w:eastAsia="Times New Roman" w:hAnsiTheme="minorHAnsi" w:cstheme="minorHAnsi"/>
          <w:b/>
          <w:color w:val="000000"/>
          <w:sz w:val="18"/>
          <w:szCs w:val="18"/>
          <w:lang w:eastAsia="es-MX"/>
        </w:rPr>
      </w:pPr>
    </w:p>
    <w:p w14:paraId="34F5B392" w14:textId="1352A611" w:rsidR="002B201B" w:rsidRPr="002B201B" w:rsidRDefault="002B201B" w:rsidP="00571035">
      <w:pPr>
        <w:spacing w:after="0" w:line="240" w:lineRule="auto"/>
        <w:ind w:left="709"/>
        <w:jc w:val="both"/>
        <w:rPr>
          <w:rFonts w:asciiTheme="minorHAnsi" w:eastAsia="Times New Roman" w:hAnsiTheme="minorHAnsi" w:cstheme="minorHAnsi"/>
          <w:b/>
          <w:color w:val="000000"/>
          <w:sz w:val="18"/>
          <w:szCs w:val="18"/>
          <w:lang w:eastAsia="es-MX"/>
        </w:rPr>
      </w:pPr>
      <w:r w:rsidRPr="002B201B">
        <w:rPr>
          <w:rFonts w:asciiTheme="minorHAnsi" w:eastAsia="Times New Roman" w:hAnsiTheme="minorHAnsi" w:cstheme="minorHAnsi"/>
          <w:b/>
          <w:color w:val="000000"/>
          <w:sz w:val="18"/>
          <w:szCs w:val="18"/>
          <w:lang w:eastAsia="es-MX"/>
        </w:rPr>
        <w:t>Fideicomisos Extintos</w:t>
      </w:r>
    </w:p>
    <w:p w14:paraId="601039C9" w14:textId="4E29CEF7" w:rsidR="00571035" w:rsidRPr="005F45A3" w:rsidRDefault="00A73911" w:rsidP="002B201B">
      <w:pPr>
        <w:spacing w:before="120" w:after="0" w:line="240" w:lineRule="auto"/>
        <w:ind w:left="709"/>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 xml:space="preserve">1. </w:t>
      </w:r>
      <w:r w:rsidR="00981BE0" w:rsidRPr="005F45A3">
        <w:rPr>
          <w:rFonts w:asciiTheme="minorHAnsi" w:eastAsia="Times New Roman" w:hAnsiTheme="minorHAnsi" w:cstheme="minorHAnsi"/>
          <w:color w:val="000000"/>
          <w:sz w:val="18"/>
          <w:szCs w:val="18"/>
          <w:lang w:eastAsia="es-MX"/>
        </w:rPr>
        <w:t>Fideicomiso del Estado de Tamaulipas para la Implementación del Sistema de Justicia Penal</w:t>
      </w:r>
    </w:p>
    <w:p w14:paraId="7338A0BC" w14:textId="7A96690D" w:rsidR="00981BE0" w:rsidRDefault="00A73911" w:rsidP="002B201B">
      <w:pPr>
        <w:spacing w:before="120" w:after="0" w:line="240" w:lineRule="auto"/>
        <w:ind w:left="709"/>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 xml:space="preserve">2. </w:t>
      </w:r>
      <w:r w:rsidR="00981BE0" w:rsidRPr="005F45A3">
        <w:rPr>
          <w:rFonts w:asciiTheme="minorHAnsi" w:eastAsia="Times New Roman" w:hAnsiTheme="minorHAnsi" w:cstheme="minorHAnsi"/>
          <w:color w:val="000000"/>
          <w:sz w:val="18"/>
          <w:szCs w:val="18"/>
          <w:lang w:eastAsia="es-MX"/>
        </w:rPr>
        <w:t>Fideicomiso del Centro Histórico de Tampico (Ficetam)</w:t>
      </w:r>
      <w:r w:rsidR="0050539A" w:rsidRPr="005F45A3">
        <w:rPr>
          <w:rFonts w:asciiTheme="minorHAnsi" w:eastAsia="Times New Roman" w:hAnsiTheme="minorHAnsi" w:cstheme="minorHAnsi"/>
          <w:color w:val="000000"/>
          <w:sz w:val="18"/>
          <w:szCs w:val="18"/>
          <w:lang w:eastAsia="es-MX"/>
        </w:rPr>
        <w:t xml:space="preserve">  (8 jun 2022)</w:t>
      </w:r>
    </w:p>
    <w:p w14:paraId="1B886B9F" w14:textId="7E374B49" w:rsidR="00760A56" w:rsidRPr="005F45A3" w:rsidRDefault="00760A56" w:rsidP="002B201B">
      <w:pPr>
        <w:spacing w:before="120" w:after="0" w:line="240" w:lineRule="auto"/>
        <w:ind w:left="709"/>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3.</w:t>
      </w:r>
      <w:r w:rsidRPr="00760A56">
        <w:rPr>
          <w:rFonts w:asciiTheme="minorHAnsi" w:eastAsia="Times New Roman" w:hAnsiTheme="minorHAnsi" w:cstheme="minorHAnsi"/>
          <w:color w:val="000000"/>
          <w:sz w:val="18"/>
          <w:szCs w:val="18"/>
          <w:lang w:eastAsia="es-MX"/>
        </w:rPr>
        <w:t xml:space="preserve"> </w:t>
      </w:r>
      <w:r w:rsidRPr="005F45A3">
        <w:rPr>
          <w:rFonts w:asciiTheme="minorHAnsi" w:eastAsia="Times New Roman" w:hAnsiTheme="minorHAnsi" w:cstheme="minorHAnsi"/>
          <w:color w:val="000000"/>
          <w:sz w:val="18"/>
          <w:szCs w:val="18"/>
          <w:lang w:eastAsia="es-MX"/>
        </w:rPr>
        <w:t>Fideicomiso para la Prevención de la Violencia en el Estado de Tamaulipas.</w:t>
      </w:r>
    </w:p>
    <w:p w14:paraId="61D00F80" w14:textId="7856FB80" w:rsidR="00A73911" w:rsidRPr="00CD4994" w:rsidRDefault="00CD4994" w:rsidP="002B201B">
      <w:pPr>
        <w:spacing w:before="120" w:after="0" w:line="240" w:lineRule="auto"/>
        <w:ind w:left="874"/>
        <w:jc w:val="both"/>
        <w:rPr>
          <w:rFonts w:asciiTheme="minorHAnsi" w:eastAsia="Times New Roman" w:hAnsiTheme="minorHAnsi" w:cstheme="minorHAnsi"/>
          <w:color w:val="000000"/>
          <w:sz w:val="18"/>
          <w:szCs w:val="18"/>
          <w:lang w:eastAsia="es-MX"/>
        </w:rPr>
      </w:pPr>
      <w:r w:rsidRPr="00CD4994">
        <w:rPr>
          <w:rFonts w:asciiTheme="minorHAnsi" w:eastAsia="Times New Roman" w:hAnsiTheme="minorHAnsi" w:cstheme="minorHAnsi"/>
          <w:color w:val="000000"/>
          <w:sz w:val="18"/>
          <w:szCs w:val="18"/>
          <w:lang w:eastAsia="es-MX"/>
        </w:rPr>
        <w:t xml:space="preserve">Los fideicomisos Ficetam y Prevención a la Violencia se encuentran en proceso para finiquitar los registros </w:t>
      </w:r>
      <w:r w:rsidR="002B201B" w:rsidRPr="00CD4994">
        <w:rPr>
          <w:rFonts w:asciiTheme="minorHAnsi" w:eastAsia="Times New Roman" w:hAnsiTheme="minorHAnsi" w:cstheme="minorHAnsi"/>
          <w:color w:val="000000"/>
          <w:sz w:val="18"/>
          <w:szCs w:val="18"/>
          <w:lang w:eastAsia="es-MX"/>
        </w:rPr>
        <w:t xml:space="preserve">contables </w:t>
      </w:r>
      <w:r w:rsidR="002B201B">
        <w:rPr>
          <w:rFonts w:asciiTheme="minorHAnsi" w:eastAsia="Times New Roman" w:hAnsiTheme="minorHAnsi" w:cstheme="minorHAnsi"/>
          <w:color w:val="000000"/>
          <w:sz w:val="18"/>
          <w:szCs w:val="18"/>
          <w:lang w:eastAsia="es-MX"/>
        </w:rPr>
        <w:t xml:space="preserve">    existentes</w:t>
      </w:r>
      <w:r w:rsidRPr="00CD4994">
        <w:rPr>
          <w:rFonts w:asciiTheme="minorHAnsi" w:eastAsia="Times New Roman" w:hAnsiTheme="minorHAnsi" w:cstheme="minorHAnsi"/>
          <w:color w:val="000000"/>
          <w:sz w:val="18"/>
          <w:szCs w:val="18"/>
          <w:lang w:eastAsia="es-MX"/>
        </w:rPr>
        <w:t>.</w:t>
      </w:r>
    </w:p>
    <w:p w14:paraId="11A0A52E" w14:textId="77777777" w:rsidR="00973991" w:rsidRPr="00CD4994" w:rsidRDefault="00973991" w:rsidP="002B201B">
      <w:pPr>
        <w:spacing w:after="0" w:line="240" w:lineRule="auto"/>
        <w:ind w:left="709"/>
        <w:jc w:val="both"/>
        <w:rPr>
          <w:rFonts w:asciiTheme="minorHAnsi" w:eastAsia="Times New Roman" w:hAnsiTheme="minorHAnsi" w:cstheme="minorHAnsi"/>
          <w:color w:val="000000"/>
          <w:sz w:val="18"/>
          <w:szCs w:val="18"/>
          <w:lang w:eastAsia="es-MX"/>
        </w:rPr>
      </w:pPr>
    </w:p>
    <w:p w14:paraId="5B2B15AF" w14:textId="77777777" w:rsidR="00AA7087" w:rsidRPr="00B34B21" w:rsidRDefault="00AA7087" w:rsidP="00B46FFA">
      <w:pPr>
        <w:pStyle w:val="Texto"/>
        <w:numPr>
          <w:ilvl w:val="0"/>
          <w:numId w:val="23"/>
        </w:numPr>
        <w:spacing w:after="0" w:line="240" w:lineRule="auto"/>
        <w:rPr>
          <w:rFonts w:asciiTheme="minorHAnsi" w:hAnsiTheme="minorHAnsi" w:cstheme="minorHAnsi"/>
          <w:b/>
          <w:sz w:val="20"/>
          <w:szCs w:val="18"/>
          <w:lang w:val="es-MX"/>
        </w:rPr>
      </w:pPr>
      <w:r w:rsidRPr="00B34B21">
        <w:rPr>
          <w:rFonts w:asciiTheme="minorHAnsi" w:hAnsiTheme="minorHAnsi" w:cstheme="minorHAnsi"/>
          <w:b/>
          <w:sz w:val="20"/>
          <w:szCs w:val="18"/>
          <w:lang w:val="es-MX"/>
        </w:rPr>
        <w:t>Bases de Preparación de los Estados Financieros</w:t>
      </w:r>
    </w:p>
    <w:p w14:paraId="1EEBB5C4" w14:textId="77777777" w:rsidR="00AA7087" w:rsidRPr="00B34B21" w:rsidRDefault="00AA7087" w:rsidP="00AA7087">
      <w:pPr>
        <w:pStyle w:val="Texto"/>
        <w:spacing w:after="0" w:line="240" w:lineRule="exact"/>
        <w:ind w:left="360" w:firstLine="0"/>
        <w:rPr>
          <w:rFonts w:asciiTheme="minorHAnsi" w:hAnsiTheme="minorHAnsi" w:cstheme="minorHAnsi"/>
          <w:b/>
          <w:sz w:val="12"/>
          <w:szCs w:val="18"/>
          <w:lang w:val="es-MX"/>
        </w:rPr>
      </w:pPr>
    </w:p>
    <w:p w14:paraId="53A8D5DA" w14:textId="17E9B1C5" w:rsidR="00AA7087" w:rsidRPr="005F45A3" w:rsidRDefault="00AA7087" w:rsidP="003B2245">
      <w:pPr>
        <w:pStyle w:val="INCISO"/>
        <w:numPr>
          <w:ilvl w:val="0"/>
          <w:numId w:val="2"/>
        </w:numPr>
        <w:spacing w:after="0" w:line="240" w:lineRule="exact"/>
        <w:ind w:left="709"/>
        <w:rPr>
          <w:rFonts w:asciiTheme="minorHAnsi" w:hAnsiTheme="minorHAnsi" w:cstheme="minorHAnsi"/>
        </w:rPr>
      </w:pPr>
      <w:r w:rsidRPr="005F45A3">
        <w:rPr>
          <w:rFonts w:asciiTheme="minorHAnsi" w:hAnsiTheme="minorHAnsi" w:cstheme="minorHAnsi"/>
        </w:rPr>
        <w:t>Se ha observado la nor</w:t>
      </w:r>
      <w:r w:rsidR="00BB19FC">
        <w:rPr>
          <w:rFonts w:asciiTheme="minorHAnsi" w:hAnsiTheme="minorHAnsi" w:cstheme="minorHAnsi"/>
        </w:rPr>
        <w:t>matividad emitida por el CONAC,</w:t>
      </w:r>
      <w:r w:rsidRPr="005F45A3">
        <w:rPr>
          <w:rFonts w:asciiTheme="minorHAnsi" w:hAnsiTheme="minorHAnsi" w:cstheme="minorHAnsi"/>
        </w:rPr>
        <w:t xml:space="preserve"> las disposiciones legales</w:t>
      </w:r>
      <w:r w:rsidR="008517E0">
        <w:rPr>
          <w:rFonts w:asciiTheme="minorHAnsi" w:hAnsiTheme="minorHAnsi" w:cstheme="minorHAnsi"/>
        </w:rPr>
        <w:t xml:space="preserve"> y fiscales</w:t>
      </w:r>
      <w:r w:rsidRPr="005F45A3">
        <w:rPr>
          <w:rFonts w:asciiTheme="minorHAnsi" w:hAnsiTheme="minorHAnsi" w:cstheme="minorHAnsi"/>
        </w:rPr>
        <w:t xml:space="preserve"> aplicables.</w:t>
      </w:r>
    </w:p>
    <w:p w14:paraId="0F20E823" w14:textId="77777777" w:rsidR="00AA7087" w:rsidRPr="005F45A3" w:rsidRDefault="00AA7087" w:rsidP="00AA7087">
      <w:pPr>
        <w:pStyle w:val="INCISO"/>
        <w:spacing w:after="0" w:line="240" w:lineRule="exact"/>
        <w:ind w:left="720" w:firstLine="0"/>
        <w:rPr>
          <w:rFonts w:asciiTheme="minorHAnsi" w:hAnsiTheme="minorHAnsi" w:cstheme="minorHAnsi"/>
          <w:i/>
        </w:rPr>
      </w:pPr>
      <w:r w:rsidRPr="005F45A3">
        <w:rPr>
          <w:rFonts w:asciiTheme="minorHAnsi" w:hAnsiTheme="minorHAnsi" w:cstheme="minorHAnsi"/>
        </w:rPr>
        <w:t>Los Estados Financieros han sido preparados de conformidad con lo establecido en la Ley General de Contabilidad Gubernamental, sus postulados básicos, el Marco Conceptual de Contabilidad, y los lineamientos emitidos por el Consejo Nacional de Armonización Contable</w:t>
      </w:r>
      <w:r w:rsidRPr="005F45A3">
        <w:rPr>
          <w:rFonts w:asciiTheme="minorHAnsi" w:hAnsiTheme="minorHAnsi" w:cstheme="minorHAnsi"/>
          <w:i/>
        </w:rPr>
        <w:t>.</w:t>
      </w:r>
    </w:p>
    <w:p w14:paraId="35F014AF" w14:textId="193DFF7D" w:rsidR="0093065C" w:rsidRPr="005F45A3" w:rsidRDefault="0093065C" w:rsidP="007041A0">
      <w:pPr>
        <w:pStyle w:val="INCISO"/>
        <w:spacing w:after="0" w:line="240" w:lineRule="exact"/>
        <w:ind w:left="0" w:firstLine="0"/>
        <w:rPr>
          <w:rFonts w:asciiTheme="minorHAnsi" w:hAnsiTheme="minorHAnsi" w:cstheme="minorHAnsi"/>
        </w:rPr>
      </w:pPr>
    </w:p>
    <w:p w14:paraId="5DE863E1" w14:textId="77777777" w:rsidR="00AA7087" w:rsidRPr="00B34B21" w:rsidRDefault="00AA7087" w:rsidP="00AA7087">
      <w:pPr>
        <w:autoSpaceDE w:val="0"/>
        <w:autoSpaceDN w:val="0"/>
        <w:adjustRightInd w:val="0"/>
        <w:spacing w:after="0" w:line="240" w:lineRule="auto"/>
        <w:ind w:left="720"/>
        <w:jc w:val="both"/>
        <w:rPr>
          <w:rFonts w:asciiTheme="minorHAnsi" w:hAnsiTheme="minorHAnsi" w:cstheme="minorHAnsi"/>
          <w:b/>
          <w:sz w:val="20"/>
          <w:szCs w:val="18"/>
        </w:rPr>
      </w:pPr>
      <w:r w:rsidRPr="00B34B21">
        <w:rPr>
          <w:rFonts w:asciiTheme="minorHAnsi" w:hAnsiTheme="minorHAnsi" w:cstheme="minorHAnsi"/>
          <w:b/>
          <w:sz w:val="20"/>
          <w:szCs w:val="18"/>
        </w:rPr>
        <w:t>Los Estados Financieros están integrados por:</w:t>
      </w:r>
    </w:p>
    <w:p w14:paraId="374C8787" w14:textId="77777777" w:rsidR="00AA7087" w:rsidRPr="005F45A3" w:rsidRDefault="00AA7087" w:rsidP="002F269F">
      <w:pPr>
        <w:autoSpaceDE w:val="0"/>
        <w:autoSpaceDN w:val="0"/>
        <w:adjustRightInd w:val="0"/>
        <w:spacing w:after="0" w:line="240" w:lineRule="auto"/>
        <w:ind w:left="720"/>
        <w:jc w:val="both"/>
        <w:rPr>
          <w:rFonts w:asciiTheme="minorHAnsi" w:hAnsiTheme="minorHAnsi" w:cstheme="minorHAnsi"/>
          <w:sz w:val="18"/>
          <w:szCs w:val="18"/>
        </w:rPr>
      </w:pPr>
    </w:p>
    <w:p w14:paraId="0DF82940" w14:textId="77777777" w:rsidR="00AA7087" w:rsidRPr="005F45A3" w:rsidRDefault="00AA7087" w:rsidP="002F269F">
      <w:pPr>
        <w:autoSpaceDE w:val="0"/>
        <w:autoSpaceDN w:val="0"/>
        <w:adjustRightInd w:val="0"/>
        <w:spacing w:after="0" w:line="240" w:lineRule="auto"/>
        <w:ind w:left="720"/>
        <w:jc w:val="both"/>
        <w:rPr>
          <w:rFonts w:asciiTheme="minorHAnsi" w:hAnsiTheme="minorHAnsi" w:cstheme="minorHAnsi"/>
          <w:sz w:val="18"/>
          <w:szCs w:val="18"/>
        </w:rPr>
      </w:pPr>
      <w:r w:rsidRPr="005F45A3">
        <w:rPr>
          <w:rFonts w:asciiTheme="minorHAnsi" w:hAnsiTheme="minorHAnsi" w:cstheme="minorHAnsi"/>
          <w:sz w:val="18"/>
          <w:szCs w:val="18"/>
        </w:rPr>
        <w:t>Información Contable</w:t>
      </w:r>
    </w:p>
    <w:p w14:paraId="0453429D" w14:textId="77777777" w:rsidR="00AA7087" w:rsidRPr="005F45A3" w:rsidRDefault="00AA7087" w:rsidP="002F269F">
      <w:pPr>
        <w:autoSpaceDE w:val="0"/>
        <w:autoSpaceDN w:val="0"/>
        <w:adjustRightInd w:val="0"/>
        <w:spacing w:before="120" w:after="0" w:line="240" w:lineRule="auto"/>
        <w:ind w:left="720"/>
        <w:jc w:val="both"/>
        <w:rPr>
          <w:rFonts w:asciiTheme="minorHAnsi" w:hAnsiTheme="minorHAnsi" w:cstheme="minorHAnsi"/>
          <w:sz w:val="18"/>
          <w:szCs w:val="18"/>
        </w:rPr>
      </w:pPr>
      <w:r w:rsidRPr="005F45A3">
        <w:rPr>
          <w:rFonts w:asciiTheme="minorHAnsi" w:hAnsiTheme="minorHAnsi" w:cstheme="minorHAnsi"/>
          <w:sz w:val="18"/>
          <w:szCs w:val="18"/>
        </w:rPr>
        <w:t>Información Presupuestal</w:t>
      </w:r>
    </w:p>
    <w:p w14:paraId="092F23A8" w14:textId="77777777" w:rsidR="00AA7087" w:rsidRPr="005F45A3" w:rsidRDefault="00AA7087" w:rsidP="002F269F">
      <w:pPr>
        <w:autoSpaceDE w:val="0"/>
        <w:autoSpaceDN w:val="0"/>
        <w:adjustRightInd w:val="0"/>
        <w:spacing w:before="120" w:after="0" w:line="240" w:lineRule="auto"/>
        <w:ind w:left="720"/>
        <w:jc w:val="both"/>
        <w:rPr>
          <w:rFonts w:asciiTheme="minorHAnsi" w:hAnsiTheme="minorHAnsi" w:cstheme="minorHAnsi"/>
          <w:sz w:val="18"/>
          <w:szCs w:val="18"/>
        </w:rPr>
      </w:pPr>
      <w:r w:rsidRPr="005F45A3">
        <w:rPr>
          <w:rFonts w:asciiTheme="minorHAnsi" w:hAnsiTheme="minorHAnsi" w:cstheme="minorHAnsi"/>
          <w:sz w:val="18"/>
          <w:szCs w:val="18"/>
        </w:rPr>
        <w:t>Información Programática</w:t>
      </w:r>
    </w:p>
    <w:p w14:paraId="7077945B" w14:textId="77777777" w:rsidR="00AA7087" w:rsidRPr="005F45A3" w:rsidRDefault="00AA7087" w:rsidP="002F269F">
      <w:pPr>
        <w:autoSpaceDE w:val="0"/>
        <w:autoSpaceDN w:val="0"/>
        <w:adjustRightInd w:val="0"/>
        <w:spacing w:before="120" w:after="0" w:line="240" w:lineRule="auto"/>
        <w:ind w:left="720"/>
        <w:jc w:val="both"/>
        <w:rPr>
          <w:rFonts w:asciiTheme="minorHAnsi" w:hAnsiTheme="minorHAnsi" w:cstheme="minorHAnsi"/>
          <w:sz w:val="18"/>
          <w:szCs w:val="18"/>
        </w:rPr>
      </w:pPr>
      <w:r w:rsidRPr="005F45A3">
        <w:rPr>
          <w:rFonts w:asciiTheme="minorHAnsi" w:hAnsiTheme="minorHAnsi" w:cstheme="minorHAnsi"/>
          <w:sz w:val="18"/>
          <w:szCs w:val="18"/>
        </w:rPr>
        <w:t>Anexos</w:t>
      </w:r>
      <w:r w:rsidR="002A6D06" w:rsidRPr="005F45A3">
        <w:rPr>
          <w:rFonts w:asciiTheme="minorHAnsi" w:hAnsiTheme="minorHAnsi" w:cstheme="minorHAnsi"/>
          <w:sz w:val="18"/>
          <w:szCs w:val="18"/>
        </w:rPr>
        <w:t>:</w:t>
      </w:r>
    </w:p>
    <w:p w14:paraId="4C49C13C" w14:textId="5374B2AB" w:rsidR="009E2673" w:rsidRPr="005F45A3" w:rsidRDefault="00255C12" w:rsidP="00B46FFA">
      <w:pPr>
        <w:pStyle w:val="INCISO"/>
        <w:numPr>
          <w:ilvl w:val="2"/>
          <w:numId w:val="36"/>
        </w:numPr>
        <w:spacing w:after="0" w:line="240" w:lineRule="auto"/>
        <w:rPr>
          <w:rFonts w:asciiTheme="minorHAnsi" w:hAnsiTheme="minorHAnsi" w:cstheme="minorHAnsi"/>
        </w:rPr>
      </w:pPr>
      <w:r>
        <w:rPr>
          <w:rFonts w:asciiTheme="minorHAnsi" w:eastAsia="Calibri" w:hAnsiTheme="minorHAnsi" w:cstheme="minorHAnsi"/>
          <w:lang w:val="es-MX" w:eastAsia="en-US"/>
        </w:rPr>
        <w:t>Información adicional de la Ley General de Contabilidad Gubernamental</w:t>
      </w:r>
    </w:p>
    <w:p w14:paraId="70BA0B68" w14:textId="3EF72CE1" w:rsidR="00AA7087" w:rsidRDefault="00AA7087" w:rsidP="00B46FFA">
      <w:pPr>
        <w:pStyle w:val="INCISO"/>
        <w:numPr>
          <w:ilvl w:val="2"/>
          <w:numId w:val="36"/>
        </w:numPr>
        <w:spacing w:after="0" w:line="240" w:lineRule="auto"/>
        <w:rPr>
          <w:rFonts w:asciiTheme="minorHAnsi" w:hAnsiTheme="minorHAnsi" w:cstheme="minorHAnsi"/>
        </w:rPr>
      </w:pPr>
      <w:r w:rsidRPr="005F45A3">
        <w:rPr>
          <w:rFonts w:asciiTheme="minorHAnsi" w:hAnsiTheme="minorHAnsi" w:cstheme="minorHAnsi"/>
        </w:rPr>
        <w:t>Información</w:t>
      </w:r>
      <w:r w:rsidR="000A0FF4" w:rsidRPr="005F45A3">
        <w:rPr>
          <w:rFonts w:asciiTheme="minorHAnsi" w:hAnsiTheme="minorHAnsi" w:cstheme="minorHAnsi"/>
        </w:rPr>
        <w:t xml:space="preserve"> en Formatos </w:t>
      </w:r>
      <w:r w:rsidRPr="005F45A3">
        <w:rPr>
          <w:rFonts w:asciiTheme="minorHAnsi" w:hAnsiTheme="minorHAnsi" w:cstheme="minorHAnsi"/>
        </w:rPr>
        <w:t>de</w:t>
      </w:r>
      <w:r w:rsidR="00255C12">
        <w:rPr>
          <w:rFonts w:asciiTheme="minorHAnsi" w:hAnsiTheme="minorHAnsi" w:cstheme="minorHAnsi"/>
        </w:rPr>
        <w:t xml:space="preserve"> la Ley de </w:t>
      </w:r>
      <w:r w:rsidRPr="005F45A3">
        <w:rPr>
          <w:rFonts w:asciiTheme="minorHAnsi" w:hAnsiTheme="minorHAnsi" w:cstheme="minorHAnsi"/>
        </w:rPr>
        <w:t xml:space="preserve"> Disciplina Financiera</w:t>
      </w:r>
    </w:p>
    <w:p w14:paraId="2B8176A7" w14:textId="6C88DA02" w:rsidR="00255C12" w:rsidRDefault="00255C12" w:rsidP="00B46FFA">
      <w:pPr>
        <w:pStyle w:val="INCISO"/>
        <w:numPr>
          <w:ilvl w:val="2"/>
          <w:numId w:val="36"/>
        </w:numPr>
        <w:spacing w:after="0" w:line="240" w:lineRule="auto"/>
        <w:rPr>
          <w:rFonts w:asciiTheme="minorHAnsi" w:hAnsiTheme="minorHAnsi" w:cstheme="minorHAnsi"/>
        </w:rPr>
      </w:pPr>
      <w:r>
        <w:rPr>
          <w:rFonts w:asciiTheme="minorHAnsi" w:hAnsiTheme="minorHAnsi" w:cstheme="minorHAnsi"/>
        </w:rPr>
        <w:t>Estado de Origen y Aplicación de Recursos Federales</w:t>
      </w:r>
    </w:p>
    <w:p w14:paraId="35ED52A8" w14:textId="5B1ECC01" w:rsidR="00255C12" w:rsidRDefault="00255C12" w:rsidP="00B46FFA">
      <w:pPr>
        <w:pStyle w:val="INCISO"/>
        <w:numPr>
          <w:ilvl w:val="2"/>
          <w:numId w:val="36"/>
        </w:numPr>
        <w:spacing w:after="0" w:line="240" w:lineRule="auto"/>
        <w:rPr>
          <w:rFonts w:asciiTheme="minorHAnsi" w:hAnsiTheme="minorHAnsi" w:cstheme="minorHAnsi"/>
        </w:rPr>
      </w:pPr>
      <w:r>
        <w:rPr>
          <w:rFonts w:asciiTheme="minorHAnsi" w:hAnsiTheme="minorHAnsi" w:cstheme="minorHAnsi"/>
        </w:rPr>
        <w:t xml:space="preserve">Cédula Acumulativa de Ingresos </w:t>
      </w:r>
    </w:p>
    <w:p w14:paraId="65968951" w14:textId="755EE8FC" w:rsidR="00255C12" w:rsidRDefault="00255C12" w:rsidP="00B46FFA">
      <w:pPr>
        <w:pStyle w:val="INCISO"/>
        <w:numPr>
          <w:ilvl w:val="2"/>
          <w:numId w:val="36"/>
        </w:numPr>
        <w:spacing w:after="0" w:line="240" w:lineRule="auto"/>
        <w:rPr>
          <w:rFonts w:asciiTheme="minorHAnsi" w:hAnsiTheme="minorHAnsi" w:cstheme="minorHAnsi"/>
        </w:rPr>
      </w:pPr>
      <w:r>
        <w:rPr>
          <w:rFonts w:asciiTheme="minorHAnsi" w:hAnsiTheme="minorHAnsi" w:cstheme="minorHAnsi"/>
        </w:rPr>
        <w:t>Fondo de Aportaciones a Municipios</w:t>
      </w:r>
    </w:p>
    <w:p w14:paraId="2D88D4F8" w14:textId="19EE311D" w:rsidR="00255C12" w:rsidRDefault="00255C12" w:rsidP="00B46FFA">
      <w:pPr>
        <w:pStyle w:val="INCISO"/>
        <w:numPr>
          <w:ilvl w:val="2"/>
          <w:numId w:val="36"/>
        </w:numPr>
        <w:spacing w:after="0" w:line="240" w:lineRule="auto"/>
        <w:rPr>
          <w:rFonts w:asciiTheme="minorHAnsi" w:hAnsiTheme="minorHAnsi" w:cstheme="minorHAnsi"/>
        </w:rPr>
      </w:pPr>
      <w:r>
        <w:rPr>
          <w:rFonts w:asciiTheme="minorHAnsi" w:hAnsiTheme="minorHAnsi" w:cstheme="minorHAnsi"/>
        </w:rPr>
        <w:t>Participaciones a Municipios</w:t>
      </w:r>
    </w:p>
    <w:p w14:paraId="4945E850" w14:textId="5D36E8F4" w:rsidR="00255C12" w:rsidRPr="005F45A3" w:rsidRDefault="00255C12" w:rsidP="00B34B21">
      <w:pPr>
        <w:pStyle w:val="INCISO"/>
        <w:numPr>
          <w:ilvl w:val="2"/>
          <w:numId w:val="36"/>
        </w:numPr>
        <w:spacing w:after="0" w:line="240" w:lineRule="auto"/>
        <w:rPr>
          <w:rFonts w:asciiTheme="minorHAnsi" w:hAnsiTheme="minorHAnsi" w:cstheme="minorHAnsi"/>
        </w:rPr>
      </w:pPr>
      <w:r>
        <w:rPr>
          <w:rFonts w:asciiTheme="minorHAnsi" w:hAnsiTheme="minorHAnsi" w:cstheme="minorHAnsi"/>
        </w:rPr>
        <w:t>Programas Transversales</w:t>
      </w:r>
    </w:p>
    <w:p w14:paraId="0C5C8399" w14:textId="77777777" w:rsidR="005F61A0" w:rsidRPr="00B34B21" w:rsidRDefault="005F61A0" w:rsidP="00B34B21">
      <w:pPr>
        <w:pStyle w:val="INCISO"/>
        <w:spacing w:after="0" w:line="240" w:lineRule="exact"/>
        <w:ind w:left="360" w:firstLine="336"/>
        <w:rPr>
          <w:rFonts w:asciiTheme="minorHAnsi" w:hAnsiTheme="minorHAnsi" w:cstheme="minorHAnsi"/>
          <w:sz w:val="14"/>
        </w:rPr>
      </w:pPr>
    </w:p>
    <w:p w14:paraId="447F924F" w14:textId="6B58BDFC" w:rsidR="00AA7087" w:rsidRPr="005F45A3" w:rsidRDefault="00AA7087" w:rsidP="00B34B21">
      <w:pPr>
        <w:pStyle w:val="INCISO"/>
        <w:numPr>
          <w:ilvl w:val="0"/>
          <w:numId w:val="9"/>
        </w:numPr>
        <w:spacing w:after="0" w:line="240" w:lineRule="exact"/>
        <w:rPr>
          <w:rFonts w:asciiTheme="minorHAnsi" w:hAnsiTheme="minorHAnsi" w:cstheme="minorHAnsi"/>
        </w:rPr>
      </w:pPr>
      <w:r w:rsidRPr="005F45A3">
        <w:rPr>
          <w:rFonts w:asciiTheme="minorHAnsi" w:hAnsiTheme="minorHAnsi" w:cstheme="minorHAnsi"/>
        </w:rPr>
        <w:t>La normatividad aplicada para el reconocimiento, valuación y revelación de los diferentes rubros de la información financiera van de acuerdo a los documentos normativos emitidos por el CONAC  las bases de medición utilizadas para la elaboración de los Estados Financieros se apegan al  costo histórico y a los criterios de valuación de los mismos, con excepción de los Ingresos ya que estos no se obtienen en tiempo real del Sistema de Plat</w:t>
      </w:r>
      <w:r w:rsidR="00D40A9B">
        <w:rPr>
          <w:rFonts w:asciiTheme="minorHAnsi" w:hAnsiTheme="minorHAnsi" w:cstheme="minorHAnsi"/>
        </w:rPr>
        <w:t>aforma Única (Sistema Contable).</w:t>
      </w:r>
    </w:p>
    <w:p w14:paraId="6D1CC8B2" w14:textId="77777777" w:rsidR="00AA7087" w:rsidRPr="005F45A3" w:rsidRDefault="00AA7087" w:rsidP="00AA7087">
      <w:pPr>
        <w:pStyle w:val="INCISO"/>
        <w:spacing w:after="0" w:line="240" w:lineRule="exact"/>
        <w:ind w:firstLine="0"/>
        <w:rPr>
          <w:rFonts w:asciiTheme="minorHAnsi" w:hAnsiTheme="minorHAnsi" w:cstheme="minorHAnsi"/>
        </w:rPr>
      </w:pPr>
    </w:p>
    <w:p w14:paraId="044C595E" w14:textId="30472E27" w:rsidR="00AA7087" w:rsidRDefault="00AA7087" w:rsidP="00FD47EF">
      <w:pPr>
        <w:pStyle w:val="INCISO"/>
        <w:numPr>
          <w:ilvl w:val="0"/>
          <w:numId w:val="10"/>
        </w:numPr>
        <w:spacing w:after="0" w:line="240" w:lineRule="exact"/>
        <w:rPr>
          <w:rFonts w:asciiTheme="minorHAnsi" w:hAnsiTheme="minorHAnsi" w:cstheme="minorHAnsi"/>
        </w:rPr>
      </w:pPr>
      <w:r w:rsidRPr="005F45A3">
        <w:rPr>
          <w:rFonts w:asciiTheme="minorHAnsi" w:hAnsiTheme="minorHAnsi" w:cstheme="minorHAnsi"/>
        </w:rPr>
        <w:t>Postulados básicos. Se aplican los establecidos en la Ley General de Contabilidad Gubernamental y la Normatividad emitida al respecto por el CONAC.</w:t>
      </w:r>
    </w:p>
    <w:p w14:paraId="35C2556D" w14:textId="77777777" w:rsidR="002D1E75" w:rsidRDefault="002D1E75" w:rsidP="002D1E75">
      <w:pPr>
        <w:pStyle w:val="INCISO"/>
        <w:spacing w:after="0" w:line="240" w:lineRule="exact"/>
        <w:ind w:left="720" w:firstLine="0"/>
        <w:rPr>
          <w:rFonts w:asciiTheme="minorHAnsi" w:hAnsiTheme="minorHAnsi" w:cstheme="minorHAnsi"/>
        </w:rPr>
      </w:pPr>
    </w:p>
    <w:p w14:paraId="1090C67E" w14:textId="77777777" w:rsidR="00AA7087" w:rsidRPr="005F45A3" w:rsidRDefault="00AA7087" w:rsidP="00FD47EF">
      <w:pPr>
        <w:pStyle w:val="INCISO"/>
        <w:numPr>
          <w:ilvl w:val="0"/>
          <w:numId w:val="10"/>
        </w:numPr>
        <w:spacing w:after="0" w:line="240" w:lineRule="exact"/>
        <w:rPr>
          <w:rFonts w:asciiTheme="minorHAnsi" w:hAnsiTheme="minorHAnsi" w:cstheme="minorHAnsi"/>
        </w:rPr>
      </w:pPr>
      <w:r w:rsidRPr="005F45A3">
        <w:rPr>
          <w:rFonts w:asciiTheme="minorHAnsi" w:hAnsiTheme="minorHAnsi" w:cstheme="minorHAnsi"/>
        </w:rPr>
        <w:t xml:space="preserve">Normatividad Supletoria: </w:t>
      </w:r>
      <w:r w:rsidRPr="00FB6304">
        <w:rPr>
          <w:rFonts w:asciiTheme="minorHAnsi" w:hAnsiTheme="minorHAnsi" w:cstheme="minorHAnsi"/>
          <w:b/>
        </w:rPr>
        <w:t>No Aplica</w:t>
      </w:r>
      <w:r w:rsidRPr="005F45A3">
        <w:rPr>
          <w:rFonts w:asciiTheme="minorHAnsi" w:hAnsiTheme="minorHAnsi" w:cstheme="minorHAnsi"/>
        </w:rPr>
        <w:t>.</w:t>
      </w:r>
    </w:p>
    <w:p w14:paraId="1D1B89FF" w14:textId="77777777" w:rsidR="00AA7087" w:rsidRPr="005F45A3" w:rsidRDefault="00AA7087" w:rsidP="00AA7087">
      <w:pPr>
        <w:pStyle w:val="Prrafodelista"/>
        <w:spacing w:after="0"/>
        <w:rPr>
          <w:rFonts w:asciiTheme="minorHAnsi" w:hAnsiTheme="minorHAnsi" w:cstheme="minorHAnsi"/>
          <w:sz w:val="16"/>
          <w:szCs w:val="18"/>
        </w:rPr>
      </w:pPr>
    </w:p>
    <w:p w14:paraId="4489C1F0" w14:textId="77777777" w:rsidR="003669E2" w:rsidRPr="005F45A3" w:rsidRDefault="00AA7087" w:rsidP="00FD47EF">
      <w:pPr>
        <w:pStyle w:val="INCISO"/>
        <w:numPr>
          <w:ilvl w:val="0"/>
          <w:numId w:val="10"/>
        </w:numPr>
        <w:spacing w:after="0" w:line="240" w:lineRule="exact"/>
        <w:rPr>
          <w:rFonts w:asciiTheme="minorHAnsi" w:hAnsiTheme="minorHAnsi" w:cstheme="minorHAnsi"/>
        </w:rPr>
      </w:pPr>
      <w:r w:rsidRPr="005F45A3">
        <w:rPr>
          <w:rFonts w:asciiTheme="minorHAnsi" w:hAnsiTheme="minorHAnsi" w:cstheme="minorHAnsi"/>
        </w:rPr>
        <w:t>El Gobierno del estado tiene implementado la base del devengado de acuerdo a la Ley de General de Contabilidad Gubernamental aplicando los acuerdos emitidos por el Consejo de Armonización Contable y los acuerdos del Consejo</w:t>
      </w:r>
      <w:r w:rsidR="003E6B6E" w:rsidRPr="005F45A3">
        <w:rPr>
          <w:rFonts w:asciiTheme="minorHAnsi" w:hAnsiTheme="minorHAnsi" w:cstheme="minorHAnsi"/>
        </w:rPr>
        <w:t xml:space="preserve"> de Armonización Contable</w:t>
      </w:r>
      <w:r w:rsidRPr="005F45A3">
        <w:rPr>
          <w:rFonts w:asciiTheme="minorHAnsi" w:hAnsiTheme="minorHAnsi" w:cstheme="minorHAnsi"/>
        </w:rPr>
        <w:t xml:space="preserve"> del Estado de Tamaulipas. </w:t>
      </w:r>
    </w:p>
    <w:p w14:paraId="73E1F4B1" w14:textId="77777777" w:rsidR="003669E2" w:rsidRPr="005F45A3" w:rsidRDefault="003669E2" w:rsidP="00AA7087">
      <w:pPr>
        <w:pStyle w:val="Texto"/>
        <w:spacing w:after="0" w:line="240" w:lineRule="exact"/>
        <w:ind w:left="1440" w:hanging="360"/>
        <w:rPr>
          <w:rFonts w:asciiTheme="minorHAnsi" w:hAnsiTheme="minorHAnsi" w:cstheme="minorHAnsi"/>
          <w:szCs w:val="18"/>
        </w:rPr>
      </w:pPr>
    </w:p>
    <w:p w14:paraId="3E7528B5" w14:textId="77777777" w:rsidR="00AA7087" w:rsidRPr="00B34B21" w:rsidRDefault="00AA7087" w:rsidP="00B46FFA">
      <w:pPr>
        <w:pStyle w:val="Texto"/>
        <w:numPr>
          <w:ilvl w:val="0"/>
          <w:numId w:val="23"/>
        </w:numPr>
        <w:spacing w:after="0" w:line="240" w:lineRule="exact"/>
        <w:rPr>
          <w:rFonts w:asciiTheme="minorHAnsi" w:hAnsiTheme="minorHAnsi" w:cstheme="minorHAnsi"/>
          <w:b/>
          <w:sz w:val="20"/>
          <w:szCs w:val="18"/>
          <w:lang w:val="es-MX"/>
        </w:rPr>
      </w:pPr>
      <w:r w:rsidRPr="00B34B21">
        <w:rPr>
          <w:rFonts w:asciiTheme="minorHAnsi" w:hAnsiTheme="minorHAnsi" w:cstheme="minorHAnsi"/>
          <w:b/>
          <w:sz w:val="20"/>
          <w:szCs w:val="18"/>
          <w:lang w:val="es-MX"/>
        </w:rPr>
        <w:t xml:space="preserve">Políticas de Contabilidad Significativas </w:t>
      </w:r>
    </w:p>
    <w:p w14:paraId="2FA76BB7" w14:textId="77777777" w:rsidR="00AA7087" w:rsidRPr="005F45A3" w:rsidRDefault="00AA7087" w:rsidP="00AA7087">
      <w:pPr>
        <w:pStyle w:val="INCISO"/>
        <w:spacing w:after="0" w:line="240" w:lineRule="exact"/>
        <w:ind w:left="0" w:firstLine="0"/>
        <w:rPr>
          <w:rFonts w:asciiTheme="minorHAnsi" w:hAnsiTheme="minorHAnsi" w:cstheme="minorHAnsi"/>
          <w:sz w:val="20"/>
        </w:rPr>
      </w:pPr>
    </w:p>
    <w:p w14:paraId="44DC1BA7" w14:textId="77777777" w:rsidR="00AA7087" w:rsidRPr="005F45A3" w:rsidRDefault="00AA7087" w:rsidP="00FD47EF">
      <w:pPr>
        <w:pStyle w:val="INCISO"/>
        <w:numPr>
          <w:ilvl w:val="0"/>
          <w:numId w:val="3"/>
        </w:numPr>
        <w:spacing w:after="0" w:line="240" w:lineRule="exact"/>
        <w:rPr>
          <w:rFonts w:asciiTheme="minorHAnsi" w:hAnsiTheme="minorHAnsi" w:cstheme="minorHAnsi"/>
        </w:rPr>
      </w:pPr>
      <w:r w:rsidRPr="005F45A3">
        <w:rPr>
          <w:rFonts w:asciiTheme="minorHAnsi" w:hAnsiTheme="minorHAnsi" w:cstheme="minorHAnsi"/>
        </w:rPr>
        <w:t xml:space="preserve">La Información Financiera del Gobierno del Estado no requirió de aplicar la metodología vigente para actualizarla, de tal forma que refleje la Inflación en la misma, toda vez que no se dieron los supuestos establecidos en la normatividad correspondiente para su </w:t>
      </w:r>
      <w:r w:rsidR="00004603" w:rsidRPr="005F45A3">
        <w:rPr>
          <w:rFonts w:asciiTheme="minorHAnsi" w:hAnsiTheme="minorHAnsi" w:cstheme="minorHAnsi"/>
        </w:rPr>
        <w:t>re expresión</w:t>
      </w:r>
      <w:r w:rsidRPr="005F45A3">
        <w:rPr>
          <w:rFonts w:asciiTheme="minorHAnsi" w:hAnsiTheme="minorHAnsi" w:cstheme="minorHAnsi"/>
        </w:rPr>
        <w:t xml:space="preserve"> obligatoria.</w:t>
      </w:r>
    </w:p>
    <w:p w14:paraId="4B1DBD25" w14:textId="77777777" w:rsidR="00AA7087" w:rsidRPr="005F45A3" w:rsidRDefault="00AA7087" w:rsidP="00AA7087">
      <w:pPr>
        <w:pStyle w:val="INCISO"/>
        <w:spacing w:after="0" w:line="240" w:lineRule="exact"/>
        <w:ind w:firstLine="0"/>
        <w:rPr>
          <w:rFonts w:asciiTheme="minorHAnsi" w:hAnsiTheme="minorHAnsi" w:cstheme="minorHAnsi"/>
        </w:rPr>
      </w:pPr>
    </w:p>
    <w:p w14:paraId="4EEE085C" w14:textId="5ADFC254" w:rsidR="00AA7087" w:rsidRDefault="00AA7087" w:rsidP="00FD47EF">
      <w:pPr>
        <w:pStyle w:val="INCISO"/>
        <w:numPr>
          <w:ilvl w:val="0"/>
          <w:numId w:val="3"/>
        </w:numPr>
        <w:spacing w:after="0" w:line="240" w:lineRule="exact"/>
        <w:rPr>
          <w:rFonts w:asciiTheme="minorHAnsi" w:hAnsiTheme="minorHAnsi" w:cstheme="minorHAnsi"/>
        </w:rPr>
      </w:pPr>
      <w:r w:rsidRPr="005F45A3">
        <w:rPr>
          <w:rFonts w:asciiTheme="minorHAnsi" w:hAnsiTheme="minorHAnsi" w:cstheme="minorHAnsi"/>
        </w:rPr>
        <w:t>Durante el Ejercicio Fiscal que se informa no se realizaron operaciones en el extranjero que hubieren afectado la valuación y presentación de la Información Financiera del Ente.</w:t>
      </w:r>
    </w:p>
    <w:p w14:paraId="552EFF55" w14:textId="77777777" w:rsidR="00FB6304" w:rsidRPr="005F45A3" w:rsidRDefault="00FB6304" w:rsidP="00FB6304">
      <w:pPr>
        <w:pStyle w:val="INCISO"/>
        <w:spacing w:after="0" w:line="240" w:lineRule="exact"/>
        <w:ind w:left="720" w:firstLine="0"/>
        <w:rPr>
          <w:rFonts w:asciiTheme="minorHAnsi" w:hAnsiTheme="minorHAnsi" w:cstheme="minorHAnsi"/>
        </w:rPr>
      </w:pPr>
    </w:p>
    <w:p w14:paraId="17463E0C" w14:textId="77777777" w:rsidR="00AA7087" w:rsidRPr="005F45A3" w:rsidRDefault="00AA7087" w:rsidP="00FD47EF">
      <w:pPr>
        <w:pStyle w:val="INCISO"/>
        <w:numPr>
          <w:ilvl w:val="0"/>
          <w:numId w:val="3"/>
        </w:numPr>
        <w:spacing w:after="0" w:line="240" w:lineRule="exact"/>
        <w:rPr>
          <w:rFonts w:asciiTheme="minorHAnsi" w:hAnsiTheme="minorHAnsi" w:cstheme="minorHAnsi"/>
        </w:rPr>
      </w:pPr>
      <w:r w:rsidRPr="005F45A3">
        <w:rPr>
          <w:rFonts w:asciiTheme="minorHAnsi" w:hAnsiTheme="minorHAnsi" w:cstheme="minorHAnsi"/>
        </w:rPr>
        <w:t xml:space="preserve">Método de valuación de la inversión en acciones en el Sector Paraestatal. </w:t>
      </w:r>
      <w:r w:rsidRPr="002D1E75">
        <w:rPr>
          <w:rFonts w:asciiTheme="minorHAnsi" w:hAnsiTheme="minorHAnsi" w:cstheme="minorHAnsi"/>
          <w:b/>
        </w:rPr>
        <w:t>No Aplica</w:t>
      </w:r>
    </w:p>
    <w:p w14:paraId="54A0391E" w14:textId="77777777" w:rsidR="00FB6304" w:rsidRDefault="00FB6304" w:rsidP="00FB6304">
      <w:pPr>
        <w:pStyle w:val="INCISO"/>
        <w:spacing w:after="0" w:line="240" w:lineRule="exact"/>
        <w:ind w:left="720" w:firstLine="0"/>
        <w:rPr>
          <w:rFonts w:asciiTheme="minorHAnsi" w:hAnsiTheme="minorHAnsi" w:cstheme="minorHAnsi"/>
        </w:rPr>
      </w:pPr>
    </w:p>
    <w:p w14:paraId="79CA7953" w14:textId="153CB2B3" w:rsidR="00AA7087" w:rsidRPr="005F45A3" w:rsidRDefault="00AA7087" w:rsidP="00FD47EF">
      <w:pPr>
        <w:pStyle w:val="INCISO"/>
        <w:numPr>
          <w:ilvl w:val="0"/>
          <w:numId w:val="3"/>
        </w:numPr>
        <w:spacing w:after="0" w:line="240" w:lineRule="exact"/>
        <w:rPr>
          <w:rFonts w:asciiTheme="minorHAnsi" w:hAnsiTheme="minorHAnsi" w:cstheme="minorHAnsi"/>
        </w:rPr>
      </w:pPr>
      <w:r w:rsidRPr="005F45A3">
        <w:rPr>
          <w:rFonts w:asciiTheme="minorHAnsi" w:hAnsiTheme="minorHAnsi" w:cstheme="minorHAnsi"/>
        </w:rPr>
        <w:t xml:space="preserve">Sistema y método de valuación de inventarios. </w:t>
      </w:r>
      <w:r w:rsidRPr="002D1E75">
        <w:rPr>
          <w:rFonts w:asciiTheme="minorHAnsi" w:hAnsiTheme="minorHAnsi" w:cstheme="minorHAnsi"/>
          <w:b/>
        </w:rPr>
        <w:t>No Aplica</w:t>
      </w:r>
    </w:p>
    <w:p w14:paraId="679D680D" w14:textId="77777777" w:rsidR="00775DE0" w:rsidRPr="005F45A3" w:rsidRDefault="00775DE0" w:rsidP="00775DE0">
      <w:pPr>
        <w:pStyle w:val="INCISO"/>
        <w:spacing w:after="0" w:line="240" w:lineRule="exact"/>
        <w:ind w:left="720" w:firstLine="0"/>
        <w:rPr>
          <w:rFonts w:asciiTheme="minorHAnsi" w:hAnsiTheme="minorHAnsi" w:cstheme="minorHAnsi"/>
        </w:rPr>
      </w:pPr>
    </w:p>
    <w:p w14:paraId="1CADA127" w14:textId="77777777" w:rsidR="00AA7087" w:rsidRPr="005F45A3" w:rsidRDefault="00AA7087" w:rsidP="00FD47EF">
      <w:pPr>
        <w:pStyle w:val="INCISO"/>
        <w:numPr>
          <w:ilvl w:val="0"/>
          <w:numId w:val="3"/>
        </w:numPr>
        <w:spacing w:after="0" w:line="240" w:lineRule="exact"/>
        <w:rPr>
          <w:rFonts w:asciiTheme="minorHAnsi" w:hAnsiTheme="minorHAnsi" w:cstheme="minorHAnsi"/>
        </w:rPr>
      </w:pPr>
      <w:r w:rsidRPr="005F45A3">
        <w:rPr>
          <w:rFonts w:asciiTheme="minorHAnsi" w:hAnsiTheme="minorHAnsi" w:cstheme="minorHAnsi"/>
        </w:rPr>
        <w:t>La Reserva Actuarial es formulada y calculada por el Instituto de Previsión y Seguridad Social del Estado de Tamaulipas (IPSSET) como Ente pensionador de los trabajadores de Gobierno del Estado.</w:t>
      </w:r>
    </w:p>
    <w:p w14:paraId="4C0C1442" w14:textId="77777777" w:rsidR="00AA7087" w:rsidRPr="005F45A3" w:rsidRDefault="00AA7087" w:rsidP="00AA7087">
      <w:pPr>
        <w:pStyle w:val="INCISO"/>
        <w:spacing w:after="0" w:line="240" w:lineRule="exact"/>
        <w:ind w:firstLine="0"/>
        <w:rPr>
          <w:rFonts w:asciiTheme="minorHAnsi" w:hAnsiTheme="minorHAnsi" w:cstheme="minorHAnsi"/>
        </w:rPr>
      </w:pPr>
    </w:p>
    <w:p w14:paraId="0671FF92" w14:textId="77777777" w:rsidR="00AA7087" w:rsidRPr="005F45A3" w:rsidRDefault="00AA7087" w:rsidP="00FD47EF">
      <w:pPr>
        <w:pStyle w:val="INCISO"/>
        <w:numPr>
          <w:ilvl w:val="0"/>
          <w:numId w:val="3"/>
        </w:numPr>
        <w:spacing w:after="0" w:line="240" w:lineRule="exact"/>
        <w:rPr>
          <w:rFonts w:asciiTheme="minorHAnsi" w:hAnsiTheme="minorHAnsi" w:cstheme="minorHAnsi"/>
        </w:rPr>
      </w:pPr>
      <w:r w:rsidRPr="005F45A3">
        <w:rPr>
          <w:rFonts w:asciiTheme="minorHAnsi" w:hAnsiTheme="minorHAnsi" w:cstheme="minorHAnsi"/>
        </w:rPr>
        <w:t>Provisiones: objetivo de su creación, monto y plazo.</w:t>
      </w:r>
    </w:p>
    <w:p w14:paraId="5E66447A" w14:textId="3715B9FE" w:rsidR="00AA7087" w:rsidRPr="005F45A3" w:rsidRDefault="00AA7087" w:rsidP="002A6D06">
      <w:pPr>
        <w:pStyle w:val="INCISO"/>
        <w:spacing w:after="0" w:line="240" w:lineRule="exact"/>
        <w:ind w:left="720" w:firstLine="0"/>
        <w:rPr>
          <w:rFonts w:asciiTheme="minorHAnsi" w:hAnsiTheme="minorHAnsi" w:cstheme="minorHAnsi"/>
        </w:rPr>
      </w:pPr>
      <w:r w:rsidRPr="005F45A3">
        <w:rPr>
          <w:rFonts w:asciiTheme="minorHAnsi" w:hAnsiTheme="minorHAnsi" w:cstheme="minorHAnsi"/>
        </w:rPr>
        <w:t xml:space="preserve">El Gobierno del Estado no tiene creadas Provisiones al </w:t>
      </w:r>
      <w:r w:rsidR="00B54A4F">
        <w:rPr>
          <w:rFonts w:asciiTheme="minorHAnsi" w:hAnsiTheme="minorHAnsi" w:cstheme="minorHAnsi"/>
        </w:rPr>
        <w:t xml:space="preserve">31 de Diciembre </w:t>
      </w:r>
      <w:r w:rsidR="000A0FF4" w:rsidRPr="005F45A3">
        <w:rPr>
          <w:rFonts w:asciiTheme="minorHAnsi" w:hAnsiTheme="minorHAnsi" w:cstheme="minorHAnsi"/>
        </w:rPr>
        <w:t xml:space="preserve"> de 20</w:t>
      </w:r>
      <w:r w:rsidR="00277074" w:rsidRPr="005F45A3">
        <w:rPr>
          <w:rFonts w:asciiTheme="minorHAnsi" w:hAnsiTheme="minorHAnsi" w:cstheme="minorHAnsi"/>
        </w:rPr>
        <w:t>22</w:t>
      </w:r>
      <w:r w:rsidR="002A6D06" w:rsidRPr="005F45A3">
        <w:rPr>
          <w:rFonts w:asciiTheme="minorHAnsi" w:hAnsiTheme="minorHAnsi" w:cstheme="minorHAnsi"/>
        </w:rPr>
        <w:t>.</w:t>
      </w:r>
    </w:p>
    <w:p w14:paraId="145DDE41" w14:textId="77777777" w:rsidR="007B1A52" w:rsidRPr="005F45A3" w:rsidRDefault="007B1A52" w:rsidP="002A6D06">
      <w:pPr>
        <w:pStyle w:val="INCISO"/>
        <w:spacing w:after="0" w:line="240" w:lineRule="exact"/>
        <w:ind w:left="720" w:firstLine="0"/>
        <w:rPr>
          <w:rFonts w:asciiTheme="minorHAnsi" w:hAnsiTheme="minorHAnsi" w:cstheme="minorHAnsi"/>
        </w:rPr>
      </w:pPr>
    </w:p>
    <w:p w14:paraId="70242699" w14:textId="77777777" w:rsidR="00AA7087" w:rsidRPr="005F45A3" w:rsidRDefault="00AA7087" w:rsidP="00FD47EF">
      <w:pPr>
        <w:pStyle w:val="INCISO"/>
        <w:numPr>
          <w:ilvl w:val="0"/>
          <w:numId w:val="3"/>
        </w:numPr>
        <w:spacing w:after="0" w:line="240" w:lineRule="exact"/>
        <w:rPr>
          <w:rFonts w:asciiTheme="minorHAnsi" w:hAnsiTheme="minorHAnsi" w:cstheme="minorHAnsi"/>
        </w:rPr>
      </w:pPr>
      <w:r w:rsidRPr="005F45A3">
        <w:rPr>
          <w:rFonts w:asciiTheme="minorHAnsi" w:hAnsiTheme="minorHAnsi" w:cstheme="minorHAnsi"/>
        </w:rPr>
        <w:t>Reservas: objetivo de su creación, monto y plazo.</w:t>
      </w:r>
    </w:p>
    <w:p w14:paraId="35E9A442" w14:textId="0ADCFE2C" w:rsidR="00AA7087" w:rsidRPr="005F45A3" w:rsidRDefault="00AA7087" w:rsidP="002A6D06">
      <w:pPr>
        <w:pStyle w:val="INCISO"/>
        <w:spacing w:after="0" w:line="240" w:lineRule="exact"/>
        <w:ind w:left="720" w:firstLine="0"/>
        <w:rPr>
          <w:rFonts w:asciiTheme="minorHAnsi" w:hAnsiTheme="minorHAnsi" w:cstheme="minorHAnsi"/>
        </w:rPr>
      </w:pPr>
      <w:r w:rsidRPr="005F45A3">
        <w:rPr>
          <w:rFonts w:asciiTheme="minorHAnsi" w:hAnsiTheme="minorHAnsi" w:cstheme="minorHAnsi"/>
        </w:rPr>
        <w:t xml:space="preserve">El Gobierno del Estado no tiene creadas Reservas al </w:t>
      </w:r>
      <w:r w:rsidR="00B54A4F">
        <w:rPr>
          <w:rFonts w:asciiTheme="minorHAnsi" w:hAnsiTheme="minorHAnsi" w:cstheme="minorHAnsi"/>
        </w:rPr>
        <w:t xml:space="preserve">31 de Diciembre </w:t>
      </w:r>
      <w:r w:rsidR="00277074" w:rsidRPr="005F45A3">
        <w:rPr>
          <w:rFonts w:asciiTheme="minorHAnsi" w:hAnsiTheme="minorHAnsi" w:cstheme="minorHAnsi"/>
        </w:rPr>
        <w:t xml:space="preserve"> de</w:t>
      </w:r>
      <w:r w:rsidR="000A0FF4" w:rsidRPr="005F45A3">
        <w:rPr>
          <w:rFonts w:asciiTheme="minorHAnsi" w:hAnsiTheme="minorHAnsi" w:cstheme="minorHAnsi"/>
        </w:rPr>
        <w:t xml:space="preserve"> 20</w:t>
      </w:r>
      <w:r w:rsidR="00277074" w:rsidRPr="005F45A3">
        <w:rPr>
          <w:rFonts w:asciiTheme="minorHAnsi" w:hAnsiTheme="minorHAnsi" w:cstheme="minorHAnsi"/>
        </w:rPr>
        <w:t>22</w:t>
      </w:r>
      <w:r w:rsidR="002A6D06" w:rsidRPr="005F45A3">
        <w:rPr>
          <w:rFonts w:asciiTheme="minorHAnsi" w:hAnsiTheme="minorHAnsi" w:cstheme="minorHAnsi"/>
        </w:rPr>
        <w:t>.</w:t>
      </w:r>
    </w:p>
    <w:p w14:paraId="5F4F485F" w14:textId="77777777" w:rsidR="007B1A52" w:rsidRPr="005F45A3" w:rsidRDefault="007B1A52" w:rsidP="002A6D06">
      <w:pPr>
        <w:pStyle w:val="INCISO"/>
        <w:spacing w:after="0" w:line="240" w:lineRule="exact"/>
        <w:ind w:left="720" w:firstLine="0"/>
        <w:rPr>
          <w:rFonts w:asciiTheme="minorHAnsi" w:hAnsiTheme="minorHAnsi" w:cstheme="minorHAnsi"/>
        </w:rPr>
      </w:pPr>
    </w:p>
    <w:p w14:paraId="7F9860E4" w14:textId="5BFFD059" w:rsidR="00D81B10" w:rsidRPr="005F45A3" w:rsidRDefault="00FB1EBF" w:rsidP="003B2245">
      <w:pPr>
        <w:pStyle w:val="INCISO"/>
        <w:numPr>
          <w:ilvl w:val="0"/>
          <w:numId w:val="3"/>
        </w:numPr>
        <w:spacing w:after="0" w:line="240" w:lineRule="exact"/>
        <w:rPr>
          <w:rFonts w:asciiTheme="minorHAnsi" w:hAnsiTheme="minorHAnsi" w:cstheme="minorHAnsi"/>
          <w:szCs w:val="20"/>
        </w:rPr>
      </w:pPr>
      <w:r w:rsidRPr="005F45A3">
        <w:rPr>
          <w:rFonts w:asciiTheme="minorHAnsi" w:hAnsiTheme="minorHAnsi" w:cstheme="minorHAnsi"/>
        </w:rPr>
        <w:t xml:space="preserve">Se </w:t>
      </w:r>
      <w:r w:rsidR="0093065C" w:rsidRPr="005F45A3">
        <w:rPr>
          <w:rFonts w:asciiTheme="minorHAnsi" w:hAnsiTheme="minorHAnsi" w:cstheme="minorHAnsi"/>
        </w:rPr>
        <w:t>continúa</w:t>
      </w:r>
      <w:r w:rsidR="00D81B10" w:rsidRPr="005F45A3">
        <w:rPr>
          <w:rFonts w:asciiTheme="minorHAnsi" w:hAnsiTheme="minorHAnsi" w:cstheme="minorHAnsi"/>
        </w:rPr>
        <w:t xml:space="preserve"> registrando los movimientos de la Contraloría del recurso del 5 al millar, dicho registro se realizó con base a la información de ingreso-gasto, realizando todas la</w:t>
      </w:r>
      <w:r w:rsidR="00295AC0">
        <w:rPr>
          <w:rFonts w:asciiTheme="minorHAnsi" w:hAnsiTheme="minorHAnsi" w:cstheme="minorHAnsi"/>
        </w:rPr>
        <w:t>s</w:t>
      </w:r>
      <w:r w:rsidR="00D81B10" w:rsidRPr="005F45A3">
        <w:rPr>
          <w:rFonts w:asciiTheme="minorHAnsi" w:hAnsiTheme="minorHAnsi" w:cstheme="minorHAnsi"/>
        </w:rPr>
        <w:t xml:space="preserve"> afectaciones en nuestra contabilidad en forma directa para la obtención del resultado del ejercicio, aplicando los criterios de la Ley General de Contabilidad Gubernamental así como los acuerdos emitidos por el </w:t>
      </w:r>
      <w:r w:rsidR="00277074" w:rsidRPr="005F45A3">
        <w:rPr>
          <w:rFonts w:asciiTheme="minorHAnsi" w:hAnsiTheme="minorHAnsi" w:cstheme="minorHAnsi"/>
        </w:rPr>
        <w:t>Consejo Nacional</w:t>
      </w:r>
      <w:r w:rsidR="00D81B10" w:rsidRPr="005F45A3">
        <w:rPr>
          <w:rFonts w:asciiTheme="minorHAnsi" w:hAnsiTheme="minorHAnsi" w:cstheme="minorHAnsi"/>
        </w:rPr>
        <w:t xml:space="preserve"> de Armonización Contable.</w:t>
      </w:r>
    </w:p>
    <w:p w14:paraId="13C9F8C0" w14:textId="77777777" w:rsidR="00D81B10" w:rsidRPr="005F45A3" w:rsidRDefault="00D81B10" w:rsidP="00D81B10">
      <w:pPr>
        <w:pStyle w:val="INCISO"/>
        <w:spacing w:after="0" w:line="240" w:lineRule="exact"/>
        <w:ind w:left="720" w:firstLine="0"/>
        <w:rPr>
          <w:rFonts w:asciiTheme="minorHAnsi" w:hAnsiTheme="minorHAnsi" w:cstheme="minorHAnsi"/>
          <w:szCs w:val="20"/>
        </w:rPr>
      </w:pPr>
    </w:p>
    <w:p w14:paraId="4658A335" w14:textId="77777777" w:rsidR="00AA7087" w:rsidRPr="005F45A3" w:rsidRDefault="00AA7087" w:rsidP="00FD47EF">
      <w:pPr>
        <w:pStyle w:val="INCISO"/>
        <w:numPr>
          <w:ilvl w:val="0"/>
          <w:numId w:val="3"/>
        </w:numPr>
        <w:spacing w:after="0" w:line="240" w:lineRule="exact"/>
        <w:rPr>
          <w:rFonts w:asciiTheme="minorHAnsi" w:hAnsiTheme="minorHAnsi" w:cstheme="minorHAnsi"/>
        </w:rPr>
      </w:pPr>
      <w:r w:rsidRPr="005F45A3">
        <w:rPr>
          <w:rFonts w:asciiTheme="minorHAnsi" w:hAnsiTheme="minorHAnsi" w:cstheme="minorHAnsi"/>
        </w:rPr>
        <w:t xml:space="preserve">Reclasificaciones: </w:t>
      </w:r>
      <w:r w:rsidR="00D73B87" w:rsidRPr="005F45A3">
        <w:rPr>
          <w:rFonts w:asciiTheme="minorHAnsi" w:hAnsiTheme="minorHAnsi" w:cstheme="minorHAnsi"/>
        </w:rPr>
        <w:t xml:space="preserve"> </w:t>
      </w:r>
    </w:p>
    <w:p w14:paraId="517A10B4" w14:textId="77777777" w:rsidR="00AA7087" w:rsidRPr="005F45A3" w:rsidRDefault="00AA7087" w:rsidP="00A81AD3">
      <w:pPr>
        <w:pStyle w:val="INCISO"/>
        <w:spacing w:after="0" w:line="240" w:lineRule="exact"/>
        <w:ind w:left="720" w:firstLine="0"/>
        <w:rPr>
          <w:rFonts w:asciiTheme="minorHAnsi" w:hAnsiTheme="minorHAnsi" w:cstheme="minorHAnsi"/>
          <w:szCs w:val="20"/>
          <w:highlight w:val="yellow"/>
        </w:rPr>
      </w:pPr>
      <w:r w:rsidRPr="005F45A3">
        <w:rPr>
          <w:rFonts w:asciiTheme="minorHAnsi" w:hAnsiTheme="minorHAnsi" w:cstheme="minorHAnsi"/>
          <w:szCs w:val="20"/>
        </w:rPr>
        <w:t>Las Reclasificaciones realizadas durante el Ejercicio obedecen a las necesidades de operación del Ente, y se reflejan en los Registros Contables y Presupuestarios correspondientes.</w:t>
      </w:r>
    </w:p>
    <w:p w14:paraId="52DFAB2C" w14:textId="77777777" w:rsidR="00AA7087" w:rsidRPr="005F45A3" w:rsidRDefault="00AA7087" w:rsidP="00AA7087">
      <w:pPr>
        <w:pStyle w:val="INCISO"/>
        <w:spacing w:after="0" w:line="240" w:lineRule="exact"/>
        <w:ind w:firstLine="0"/>
        <w:rPr>
          <w:rFonts w:asciiTheme="minorHAnsi" w:hAnsiTheme="minorHAnsi" w:cstheme="minorHAnsi"/>
          <w:szCs w:val="20"/>
          <w:highlight w:val="yellow"/>
        </w:rPr>
      </w:pPr>
    </w:p>
    <w:p w14:paraId="69B69265" w14:textId="5D4C1652" w:rsidR="00AA7087" w:rsidRDefault="00AA7087" w:rsidP="00FD47EF">
      <w:pPr>
        <w:pStyle w:val="INCISO"/>
        <w:numPr>
          <w:ilvl w:val="0"/>
          <w:numId w:val="3"/>
        </w:numPr>
        <w:spacing w:after="0" w:line="240" w:lineRule="exact"/>
        <w:rPr>
          <w:rFonts w:asciiTheme="minorHAnsi" w:hAnsiTheme="minorHAnsi" w:cstheme="minorHAnsi"/>
          <w:szCs w:val="20"/>
        </w:rPr>
      </w:pPr>
      <w:r w:rsidRPr="005F45A3">
        <w:rPr>
          <w:rFonts w:asciiTheme="minorHAnsi" w:hAnsiTheme="minorHAnsi" w:cstheme="minorHAnsi"/>
          <w:szCs w:val="20"/>
        </w:rPr>
        <w:t>Depuración y Cancelación de Saldos.  A partir de la utilización de Plataforma Única en forma constante se realiza la Conciliación y Depuración de Saldos en el sistema debido a los registros erróneos, duplicados e inconclusos propios de la operación.</w:t>
      </w:r>
    </w:p>
    <w:p w14:paraId="4B012D3E" w14:textId="4534DB81" w:rsidR="0093065C" w:rsidRDefault="0093065C" w:rsidP="0093065C">
      <w:pPr>
        <w:pStyle w:val="INCISO"/>
        <w:spacing w:after="0" w:line="240" w:lineRule="exact"/>
        <w:ind w:left="720" w:firstLine="0"/>
        <w:rPr>
          <w:rFonts w:asciiTheme="minorHAnsi" w:hAnsiTheme="minorHAnsi" w:cstheme="minorHAnsi"/>
          <w:szCs w:val="20"/>
        </w:rPr>
      </w:pPr>
    </w:p>
    <w:p w14:paraId="1C1B1D9C" w14:textId="77777777" w:rsidR="00AA7087" w:rsidRPr="00C57D3B" w:rsidRDefault="00AA7087" w:rsidP="00B46FFA">
      <w:pPr>
        <w:pStyle w:val="Texto"/>
        <w:numPr>
          <w:ilvl w:val="0"/>
          <w:numId w:val="23"/>
        </w:numPr>
        <w:spacing w:after="0" w:line="240" w:lineRule="exact"/>
        <w:rPr>
          <w:rFonts w:asciiTheme="minorHAnsi" w:hAnsiTheme="minorHAnsi" w:cstheme="minorHAnsi"/>
          <w:b/>
          <w:sz w:val="20"/>
          <w:lang w:val="es-MX"/>
        </w:rPr>
      </w:pPr>
      <w:r w:rsidRPr="00C57D3B">
        <w:rPr>
          <w:rFonts w:asciiTheme="minorHAnsi" w:hAnsiTheme="minorHAnsi" w:cstheme="minorHAnsi"/>
          <w:b/>
          <w:sz w:val="20"/>
          <w:lang w:val="es-MX"/>
        </w:rPr>
        <w:t>Posición en Moneda Extranjera y Protección por Riesgo Cambiario</w:t>
      </w:r>
    </w:p>
    <w:p w14:paraId="574BB93F" w14:textId="77777777" w:rsidR="00AA7087" w:rsidRPr="005F45A3" w:rsidRDefault="00AA7087" w:rsidP="00AA7087">
      <w:pPr>
        <w:pStyle w:val="Texto"/>
        <w:spacing w:after="0" w:line="240" w:lineRule="exact"/>
        <w:ind w:left="360" w:firstLine="0"/>
        <w:rPr>
          <w:rFonts w:asciiTheme="minorHAnsi" w:hAnsiTheme="minorHAnsi" w:cstheme="minorHAnsi"/>
          <w:b/>
          <w:sz w:val="20"/>
          <w:lang w:val="es-MX"/>
        </w:rPr>
      </w:pPr>
    </w:p>
    <w:p w14:paraId="0F0E7BFC" w14:textId="365D8ADB" w:rsidR="00AA7087" w:rsidRPr="005F45A3" w:rsidRDefault="00AA7087" w:rsidP="0094547F">
      <w:pPr>
        <w:pStyle w:val="INCISO"/>
        <w:numPr>
          <w:ilvl w:val="0"/>
          <w:numId w:val="11"/>
        </w:numPr>
        <w:spacing w:after="0" w:line="360" w:lineRule="auto"/>
        <w:ind w:left="714" w:hanging="357"/>
        <w:rPr>
          <w:rFonts w:asciiTheme="minorHAnsi" w:hAnsiTheme="minorHAnsi" w:cstheme="minorHAnsi"/>
          <w:szCs w:val="20"/>
        </w:rPr>
      </w:pPr>
      <w:r w:rsidRPr="005F45A3">
        <w:rPr>
          <w:rFonts w:asciiTheme="minorHAnsi" w:hAnsiTheme="minorHAnsi" w:cstheme="minorHAnsi"/>
          <w:szCs w:val="20"/>
        </w:rPr>
        <w:t>Activos en moneda extranjera:</w:t>
      </w:r>
      <w:r w:rsidR="009325D7">
        <w:rPr>
          <w:rFonts w:asciiTheme="minorHAnsi" w:hAnsiTheme="minorHAnsi" w:cstheme="minorHAnsi"/>
          <w:szCs w:val="20"/>
        </w:rPr>
        <w:t xml:space="preserve"> </w:t>
      </w:r>
      <w:r w:rsidRPr="005F45A3">
        <w:rPr>
          <w:rFonts w:asciiTheme="minorHAnsi" w:hAnsiTheme="minorHAnsi" w:cstheme="minorHAnsi"/>
          <w:szCs w:val="20"/>
        </w:rPr>
        <w:t xml:space="preserve"> </w:t>
      </w:r>
      <w:r w:rsidR="00F46E2A" w:rsidRPr="002808A4">
        <w:rPr>
          <w:rFonts w:asciiTheme="minorHAnsi" w:hAnsiTheme="minorHAnsi" w:cstheme="minorHAnsi"/>
          <w:b/>
        </w:rPr>
        <w:t>N</w:t>
      </w:r>
      <w:r w:rsidR="00F46E2A">
        <w:rPr>
          <w:rFonts w:asciiTheme="minorHAnsi" w:hAnsiTheme="minorHAnsi" w:cstheme="minorHAnsi"/>
          <w:b/>
        </w:rPr>
        <w:t xml:space="preserve">o </w:t>
      </w:r>
      <w:r w:rsidR="00F46E2A" w:rsidRPr="002808A4">
        <w:rPr>
          <w:rFonts w:asciiTheme="minorHAnsi" w:hAnsiTheme="minorHAnsi" w:cstheme="minorHAnsi"/>
          <w:b/>
        </w:rPr>
        <w:t>A</w:t>
      </w:r>
      <w:r w:rsidR="00F46E2A">
        <w:rPr>
          <w:rFonts w:asciiTheme="minorHAnsi" w:hAnsiTheme="minorHAnsi" w:cstheme="minorHAnsi"/>
          <w:b/>
        </w:rPr>
        <w:t>plica</w:t>
      </w:r>
      <w:r w:rsidRPr="009325D7">
        <w:rPr>
          <w:rFonts w:asciiTheme="minorHAnsi" w:hAnsiTheme="minorHAnsi" w:cstheme="minorHAnsi"/>
          <w:b/>
          <w:szCs w:val="20"/>
        </w:rPr>
        <w:t>.</w:t>
      </w:r>
    </w:p>
    <w:p w14:paraId="39B71AB6" w14:textId="186CD728" w:rsidR="00AA7087" w:rsidRPr="005F45A3" w:rsidRDefault="00AA7087" w:rsidP="0094547F">
      <w:pPr>
        <w:pStyle w:val="INCISO"/>
        <w:numPr>
          <w:ilvl w:val="0"/>
          <w:numId w:val="11"/>
        </w:numPr>
        <w:spacing w:after="0" w:line="360" w:lineRule="auto"/>
        <w:ind w:left="714" w:hanging="357"/>
        <w:rPr>
          <w:rFonts w:asciiTheme="minorHAnsi" w:hAnsiTheme="minorHAnsi" w:cstheme="minorHAnsi"/>
          <w:szCs w:val="20"/>
        </w:rPr>
      </w:pPr>
      <w:r w:rsidRPr="005F45A3">
        <w:rPr>
          <w:rFonts w:asciiTheme="minorHAnsi" w:hAnsiTheme="minorHAnsi" w:cstheme="minorHAnsi"/>
          <w:szCs w:val="20"/>
        </w:rPr>
        <w:t>Pasivos en moneda extranjera:</w:t>
      </w:r>
      <w:r w:rsidR="009325D7">
        <w:rPr>
          <w:rFonts w:asciiTheme="minorHAnsi" w:hAnsiTheme="minorHAnsi" w:cstheme="minorHAnsi"/>
          <w:szCs w:val="20"/>
        </w:rPr>
        <w:t xml:space="preserve"> </w:t>
      </w:r>
      <w:r w:rsidRPr="005F45A3">
        <w:rPr>
          <w:rFonts w:asciiTheme="minorHAnsi" w:hAnsiTheme="minorHAnsi" w:cstheme="minorHAnsi"/>
          <w:szCs w:val="20"/>
        </w:rPr>
        <w:t xml:space="preserve"> </w:t>
      </w:r>
      <w:r w:rsidR="00F46E2A" w:rsidRPr="002808A4">
        <w:rPr>
          <w:rFonts w:asciiTheme="minorHAnsi" w:hAnsiTheme="minorHAnsi" w:cstheme="minorHAnsi"/>
          <w:b/>
        </w:rPr>
        <w:t>N</w:t>
      </w:r>
      <w:r w:rsidR="00F46E2A">
        <w:rPr>
          <w:rFonts w:asciiTheme="minorHAnsi" w:hAnsiTheme="minorHAnsi" w:cstheme="minorHAnsi"/>
          <w:b/>
        </w:rPr>
        <w:t xml:space="preserve">o </w:t>
      </w:r>
      <w:r w:rsidR="00F46E2A" w:rsidRPr="002808A4">
        <w:rPr>
          <w:rFonts w:asciiTheme="minorHAnsi" w:hAnsiTheme="minorHAnsi" w:cstheme="minorHAnsi"/>
          <w:b/>
        </w:rPr>
        <w:t>A</w:t>
      </w:r>
      <w:r w:rsidR="00F46E2A">
        <w:rPr>
          <w:rFonts w:asciiTheme="minorHAnsi" w:hAnsiTheme="minorHAnsi" w:cstheme="minorHAnsi"/>
          <w:b/>
        </w:rPr>
        <w:t>plica</w:t>
      </w:r>
      <w:r w:rsidRPr="009325D7">
        <w:rPr>
          <w:rFonts w:asciiTheme="minorHAnsi" w:hAnsiTheme="minorHAnsi" w:cstheme="minorHAnsi"/>
          <w:b/>
          <w:szCs w:val="20"/>
        </w:rPr>
        <w:t>.</w:t>
      </w:r>
    </w:p>
    <w:p w14:paraId="40887961" w14:textId="3BA4F95B" w:rsidR="00AA7087" w:rsidRPr="005F45A3" w:rsidRDefault="00AA7087" w:rsidP="0094547F">
      <w:pPr>
        <w:pStyle w:val="INCISO"/>
        <w:numPr>
          <w:ilvl w:val="0"/>
          <w:numId w:val="11"/>
        </w:numPr>
        <w:spacing w:after="0" w:line="360" w:lineRule="auto"/>
        <w:ind w:left="714" w:hanging="357"/>
        <w:rPr>
          <w:rFonts w:asciiTheme="minorHAnsi" w:hAnsiTheme="minorHAnsi" w:cstheme="minorHAnsi"/>
          <w:szCs w:val="20"/>
        </w:rPr>
      </w:pPr>
      <w:r w:rsidRPr="005F45A3">
        <w:rPr>
          <w:rFonts w:asciiTheme="minorHAnsi" w:hAnsiTheme="minorHAnsi" w:cstheme="minorHAnsi"/>
          <w:szCs w:val="20"/>
        </w:rPr>
        <w:t>Posición en moneda extranjera:</w:t>
      </w:r>
      <w:r w:rsidR="009325D7">
        <w:rPr>
          <w:rFonts w:asciiTheme="minorHAnsi" w:hAnsiTheme="minorHAnsi" w:cstheme="minorHAnsi"/>
          <w:szCs w:val="20"/>
        </w:rPr>
        <w:t xml:space="preserve"> </w:t>
      </w:r>
      <w:r w:rsidRPr="005F45A3">
        <w:rPr>
          <w:rFonts w:asciiTheme="minorHAnsi" w:hAnsiTheme="minorHAnsi" w:cstheme="minorHAnsi"/>
          <w:szCs w:val="20"/>
        </w:rPr>
        <w:t xml:space="preserve"> </w:t>
      </w:r>
      <w:r w:rsidR="00F46E2A" w:rsidRPr="002808A4">
        <w:rPr>
          <w:rFonts w:asciiTheme="minorHAnsi" w:hAnsiTheme="minorHAnsi" w:cstheme="minorHAnsi"/>
          <w:b/>
        </w:rPr>
        <w:t>N</w:t>
      </w:r>
      <w:r w:rsidR="00F46E2A">
        <w:rPr>
          <w:rFonts w:asciiTheme="minorHAnsi" w:hAnsiTheme="minorHAnsi" w:cstheme="minorHAnsi"/>
          <w:b/>
        </w:rPr>
        <w:t xml:space="preserve">o </w:t>
      </w:r>
      <w:r w:rsidR="00F46E2A" w:rsidRPr="002808A4">
        <w:rPr>
          <w:rFonts w:asciiTheme="minorHAnsi" w:hAnsiTheme="minorHAnsi" w:cstheme="minorHAnsi"/>
          <w:b/>
        </w:rPr>
        <w:t>A</w:t>
      </w:r>
      <w:r w:rsidR="00F46E2A">
        <w:rPr>
          <w:rFonts w:asciiTheme="minorHAnsi" w:hAnsiTheme="minorHAnsi" w:cstheme="minorHAnsi"/>
          <w:b/>
        </w:rPr>
        <w:t>plica</w:t>
      </w:r>
      <w:r w:rsidRPr="009325D7">
        <w:rPr>
          <w:rFonts w:asciiTheme="minorHAnsi" w:hAnsiTheme="minorHAnsi" w:cstheme="minorHAnsi"/>
          <w:b/>
          <w:szCs w:val="20"/>
        </w:rPr>
        <w:t>.</w:t>
      </w:r>
    </w:p>
    <w:p w14:paraId="4EA56018" w14:textId="686C840A" w:rsidR="00AA7087" w:rsidRPr="005F45A3" w:rsidRDefault="00AA7087" w:rsidP="0094547F">
      <w:pPr>
        <w:pStyle w:val="INCISO"/>
        <w:numPr>
          <w:ilvl w:val="0"/>
          <w:numId w:val="11"/>
        </w:numPr>
        <w:spacing w:after="0" w:line="360" w:lineRule="auto"/>
        <w:ind w:left="714" w:hanging="357"/>
        <w:rPr>
          <w:rFonts w:asciiTheme="minorHAnsi" w:hAnsiTheme="minorHAnsi" w:cstheme="minorHAnsi"/>
          <w:szCs w:val="20"/>
        </w:rPr>
      </w:pPr>
      <w:r w:rsidRPr="005F45A3">
        <w:rPr>
          <w:rFonts w:asciiTheme="minorHAnsi" w:hAnsiTheme="minorHAnsi" w:cstheme="minorHAnsi"/>
          <w:szCs w:val="20"/>
        </w:rPr>
        <w:t xml:space="preserve">Tipo de cambio: </w:t>
      </w:r>
      <w:r w:rsidR="009325D7">
        <w:rPr>
          <w:rFonts w:asciiTheme="minorHAnsi" w:hAnsiTheme="minorHAnsi" w:cstheme="minorHAnsi"/>
          <w:szCs w:val="20"/>
        </w:rPr>
        <w:t xml:space="preserve"> </w:t>
      </w:r>
      <w:r w:rsidR="00F46E2A" w:rsidRPr="002808A4">
        <w:rPr>
          <w:rFonts w:asciiTheme="minorHAnsi" w:hAnsiTheme="minorHAnsi" w:cstheme="minorHAnsi"/>
          <w:b/>
        </w:rPr>
        <w:t>N</w:t>
      </w:r>
      <w:r w:rsidR="00F46E2A">
        <w:rPr>
          <w:rFonts w:asciiTheme="minorHAnsi" w:hAnsiTheme="minorHAnsi" w:cstheme="minorHAnsi"/>
          <w:b/>
        </w:rPr>
        <w:t xml:space="preserve">o </w:t>
      </w:r>
      <w:r w:rsidR="00F46E2A" w:rsidRPr="002808A4">
        <w:rPr>
          <w:rFonts w:asciiTheme="minorHAnsi" w:hAnsiTheme="minorHAnsi" w:cstheme="minorHAnsi"/>
          <w:b/>
        </w:rPr>
        <w:t>A</w:t>
      </w:r>
      <w:r w:rsidR="00F46E2A">
        <w:rPr>
          <w:rFonts w:asciiTheme="minorHAnsi" w:hAnsiTheme="minorHAnsi" w:cstheme="minorHAnsi"/>
          <w:b/>
        </w:rPr>
        <w:t>plica</w:t>
      </w:r>
      <w:r w:rsidRPr="009325D7">
        <w:rPr>
          <w:rFonts w:asciiTheme="minorHAnsi" w:hAnsiTheme="minorHAnsi" w:cstheme="minorHAnsi"/>
          <w:b/>
          <w:szCs w:val="20"/>
        </w:rPr>
        <w:t>.</w:t>
      </w:r>
    </w:p>
    <w:p w14:paraId="39645B1A" w14:textId="59CF8FC1" w:rsidR="007B1A52" w:rsidRDefault="00AA7087" w:rsidP="0094547F">
      <w:pPr>
        <w:pStyle w:val="INCISO"/>
        <w:numPr>
          <w:ilvl w:val="0"/>
          <w:numId w:val="11"/>
        </w:numPr>
        <w:spacing w:after="0" w:line="360" w:lineRule="auto"/>
        <w:ind w:left="714" w:hanging="357"/>
        <w:rPr>
          <w:rFonts w:asciiTheme="minorHAnsi" w:hAnsiTheme="minorHAnsi" w:cstheme="minorHAnsi"/>
          <w:szCs w:val="20"/>
        </w:rPr>
      </w:pPr>
      <w:r w:rsidRPr="005F45A3">
        <w:rPr>
          <w:rFonts w:asciiTheme="minorHAnsi" w:hAnsiTheme="minorHAnsi" w:cstheme="minorHAnsi"/>
          <w:szCs w:val="20"/>
        </w:rPr>
        <w:t>Equivalente en moneda nacional:</w:t>
      </w:r>
      <w:r w:rsidR="009325D7">
        <w:rPr>
          <w:rFonts w:asciiTheme="minorHAnsi" w:hAnsiTheme="minorHAnsi" w:cstheme="minorHAnsi"/>
          <w:szCs w:val="20"/>
        </w:rPr>
        <w:t xml:space="preserve"> </w:t>
      </w:r>
      <w:r w:rsidRPr="005F45A3">
        <w:rPr>
          <w:rFonts w:asciiTheme="minorHAnsi" w:hAnsiTheme="minorHAnsi" w:cstheme="minorHAnsi"/>
          <w:szCs w:val="20"/>
        </w:rPr>
        <w:t xml:space="preserve"> </w:t>
      </w:r>
      <w:r w:rsidR="00F46E2A" w:rsidRPr="002808A4">
        <w:rPr>
          <w:rFonts w:asciiTheme="minorHAnsi" w:hAnsiTheme="minorHAnsi" w:cstheme="minorHAnsi"/>
          <w:b/>
        </w:rPr>
        <w:t>N</w:t>
      </w:r>
      <w:r w:rsidR="00F46E2A">
        <w:rPr>
          <w:rFonts w:asciiTheme="minorHAnsi" w:hAnsiTheme="minorHAnsi" w:cstheme="minorHAnsi"/>
          <w:b/>
        </w:rPr>
        <w:t xml:space="preserve">o </w:t>
      </w:r>
      <w:r w:rsidR="00F46E2A" w:rsidRPr="002808A4">
        <w:rPr>
          <w:rFonts w:asciiTheme="minorHAnsi" w:hAnsiTheme="minorHAnsi" w:cstheme="minorHAnsi"/>
          <w:b/>
        </w:rPr>
        <w:t>A</w:t>
      </w:r>
      <w:r w:rsidR="00F46E2A">
        <w:rPr>
          <w:rFonts w:asciiTheme="minorHAnsi" w:hAnsiTheme="minorHAnsi" w:cstheme="minorHAnsi"/>
          <w:b/>
        </w:rPr>
        <w:t>plica</w:t>
      </w:r>
      <w:r w:rsidR="009325D7">
        <w:rPr>
          <w:rFonts w:asciiTheme="minorHAnsi" w:hAnsiTheme="minorHAnsi" w:cstheme="minorHAnsi"/>
          <w:b/>
          <w:szCs w:val="20"/>
        </w:rPr>
        <w:t>.</w:t>
      </w:r>
    </w:p>
    <w:p w14:paraId="3AC3D5F7" w14:textId="05F429E5" w:rsidR="00295AC0" w:rsidRDefault="00295AC0" w:rsidP="00295AC0">
      <w:pPr>
        <w:pStyle w:val="INCISO"/>
        <w:spacing w:after="0" w:line="360" w:lineRule="auto"/>
        <w:rPr>
          <w:rFonts w:asciiTheme="minorHAnsi" w:hAnsiTheme="minorHAnsi" w:cstheme="minorHAnsi"/>
          <w:szCs w:val="20"/>
        </w:rPr>
      </w:pPr>
    </w:p>
    <w:p w14:paraId="759919AF" w14:textId="77777777" w:rsidR="00AA7087" w:rsidRPr="00C57D3B" w:rsidRDefault="00AA7087" w:rsidP="00B46FFA">
      <w:pPr>
        <w:pStyle w:val="Texto"/>
        <w:numPr>
          <w:ilvl w:val="0"/>
          <w:numId w:val="23"/>
        </w:numPr>
        <w:spacing w:after="0" w:line="240" w:lineRule="exact"/>
        <w:rPr>
          <w:rFonts w:asciiTheme="minorHAnsi" w:hAnsiTheme="minorHAnsi" w:cstheme="minorHAnsi"/>
          <w:b/>
          <w:sz w:val="20"/>
          <w:szCs w:val="18"/>
          <w:lang w:val="es-MX"/>
        </w:rPr>
      </w:pPr>
      <w:r w:rsidRPr="00C57D3B">
        <w:rPr>
          <w:rFonts w:asciiTheme="minorHAnsi" w:hAnsiTheme="minorHAnsi" w:cstheme="minorHAnsi"/>
          <w:b/>
          <w:sz w:val="20"/>
          <w:szCs w:val="18"/>
          <w:lang w:val="es-MX"/>
        </w:rPr>
        <w:t>Reporte Analítico del Activo</w:t>
      </w:r>
    </w:p>
    <w:p w14:paraId="0D7B4783" w14:textId="77777777" w:rsidR="007563EB" w:rsidRPr="005F45A3" w:rsidRDefault="007563EB" w:rsidP="007563EB">
      <w:pPr>
        <w:pStyle w:val="Texto"/>
        <w:spacing w:after="0" w:line="240" w:lineRule="exact"/>
        <w:ind w:left="360" w:firstLine="0"/>
        <w:rPr>
          <w:rFonts w:asciiTheme="minorHAnsi" w:hAnsiTheme="minorHAnsi" w:cstheme="minorHAnsi"/>
          <w:b/>
          <w:szCs w:val="18"/>
          <w:lang w:val="es-MX"/>
        </w:rPr>
      </w:pPr>
    </w:p>
    <w:p w14:paraId="4D7326A9" w14:textId="77777777" w:rsidR="00AA7087" w:rsidRPr="005F45A3" w:rsidRDefault="00AA7087" w:rsidP="00B46FFA">
      <w:pPr>
        <w:pStyle w:val="INCISO"/>
        <w:numPr>
          <w:ilvl w:val="0"/>
          <w:numId w:val="18"/>
        </w:numPr>
        <w:spacing w:after="0" w:line="240" w:lineRule="exact"/>
        <w:rPr>
          <w:rFonts w:asciiTheme="minorHAnsi" w:hAnsiTheme="minorHAnsi" w:cstheme="minorHAnsi"/>
        </w:rPr>
      </w:pPr>
      <w:r w:rsidRPr="005F45A3">
        <w:rPr>
          <w:rFonts w:asciiTheme="minorHAnsi" w:hAnsiTheme="minorHAnsi" w:cstheme="minorHAnsi"/>
        </w:rPr>
        <w:t>Vida útil o porcentajes de Depreciación, Deterioro o Amortización utilizados en los diferentes tipos de Activos.</w:t>
      </w:r>
    </w:p>
    <w:p w14:paraId="559EF277" w14:textId="77777777" w:rsidR="00CB7DAA" w:rsidRPr="005F45A3" w:rsidRDefault="00CB7DAA" w:rsidP="00CB7DAA">
      <w:pPr>
        <w:pStyle w:val="INCISO"/>
        <w:spacing w:after="0" w:line="240" w:lineRule="exact"/>
        <w:rPr>
          <w:rFonts w:asciiTheme="minorHAnsi" w:hAnsiTheme="minorHAnsi" w:cstheme="minorHAnsi"/>
        </w:rPr>
      </w:pPr>
    </w:p>
    <w:tbl>
      <w:tblPr>
        <w:tblW w:w="9440" w:type="dxa"/>
        <w:tblCellMar>
          <w:left w:w="70" w:type="dxa"/>
          <w:right w:w="70" w:type="dxa"/>
        </w:tblCellMar>
        <w:tblLook w:val="04A0" w:firstRow="1" w:lastRow="0" w:firstColumn="1" w:lastColumn="0" w:noHBand="0" w:noVBand="1"/>
      </w:tblPr>
      <w:tblGrid>
        <w:gridCol w:w="740"/>
        <w:gridCol w:w="3220"/>
        <w:gridCol w:w="1140"/>
        <w:gridCol w:w="920"/>
        <w:gridCol w:w="1180"/>
        <w:gridCol w:w="1020"/>
        <w:gridCol w:w="1220"/>
      </w:tblGrid>
      <w:tr w:rsidR="00F37BEB" w:rsidRPr="00295AC0" w14:paraId="4BE8AC67" w14:textId="77777777" w:rsidTr="00F37BEB">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5E601258" w14:textId="77777777" w:rsidR="00526EC3" w:rsidRPr="00295AC0" w:rsidRDefault="00526EC3" w:rsidP="00526EC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CLASE</w:t>
            </w:r>
          </w:p>
        </w:tc>
        <w:tc>
          <w:tcPr>
            <w:tcW w:w="3220" w:type="dxa"/>
            <w:tcBorders>
              <w:top w:val="single" w:sz="4" w:space="0" w:color="auto"/>
              <w:left w:val="nil"/>
              <w:bottom w:val="single" w:sz="4" w:space="0" w:color="auto"/>
              <w:right w:val="single" w:sz="4" w:space="0" w:color="auto"/>
            </w:tcBorders>
            <w:shd w:val="clear" w:color="auto" w:fill="AB0033"/>
            <w:vAlign w:val="center"/>
            <w:hideMark/>
          </w:tcPr>
          <w:p w14:paraId="26AC9635" w14:textId="77777777" w:rsidR="00526EC3" w:rsidRPr="00295AC0" w:rsidRDefault="00526EC3" w:rsidP="00526EC3">
            <w:pPr>
              <w:spacing w:after="0" w:line="240" w:lineRule="auto"/>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 </w:t>
            </w:r>
          </w:p>
        </w:tc>
        <w:tc>
          <w:tcPr>
            <w:tcW w:w="1140" w:type="dxa"/>
            <w:tcBorders>
              <w:top w:val="single" w:sz="4" w:space="0" w:color="auto"/>
              <w:left w:val="nil"/>
              <w:bottom w:val="single" w:sz="4" w:space="0" w:color="auto"/>
              <w:right w:val="single" w:sz="4" w:space="0" w:color="auto"/>
            </w:tcBorders>
            <w:shd w:val="clear" w:color="auto" w:fill="AB0033"/>
            <w:vAlign w:val="center"/>
            <w:hideMark/>
          </w:tcPr>
          <w:p w14:paraId="460B39BC" w14:textId="70CAF055" w:rsidR="00526EC3" w:rsidRPr="00295AC0" w:rsidRDefault="0093065C" w:rsidP="00526EC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MÉTODO</w:t>
            </w:r>
            <w:r w:rsidR="00526EC3" w:rsidRPr="00295AC0">
              <w:rPr>
                <w:rFonts w:asciiTheme="minorHAnsi" w:eastAsia="Times New Roman" w:hAnsiTheme="minorHAnsi" w:cstheme="minorHAnsi"/>
                <w:b/>
                <w:bCs/>
                <w:color w:val="FFFFFF" w:themeColor="background1"/>
                <w:sz w:val="14"/>
                <w:szCs w:val="14"/>
                <w:lang w:eastAsia="es-MX"/>
              </w:rPr>
              <w:t xml:space="preserve"> DE </w:t>
            </w:r>
            <w:r w:rsidRPr="00295AC0">
              <w:rPr>
                <w:rFonts w:asciiTheme="minorHAnsi" w:eastAsia="Times New Roman" w:hAnsiTheme="minorHAnsi" w:cstheme="minorHAnsi"/>
                <w:b/>
                <w:bCs/>
                <w:color w:val="FFFFFF" w:themeColor="background1"/>
                <w:sz w:val="14"/>
                <w:szCs w:val="14"/>
                <w:lang w:eastAsia="es-MX"/>
              </w:rPr>
              <w:t>DEPRECIACIÓN</w:t>
            </w:r>
          </w:p>
        </w:tc>
        <w:tc>
          <w:tcPr>
            <w:tcW w:w="920" w:type="dxa"/>
            <w:tcBorders>
              <w:top w:val="single" w:sz="4" w:space="0" w:color="auto"/>
              <w:left w:val="nil"/>
              <w:bottom w:val="single" w:sz="4" w:space="0" w:color="auto"/>
              <w:right w:val="single" w:sz="4" w:space="0" w:color="auto"/>
            </w:tcBorders>
            <w:shd w:val="clear" w:color="auto" w:fill="AB0033"/>
            <w:vAlign w:val="center"/>
            <w:hideMark/>
          </w:tcPr>
          <w:p w14:paraId="37B2A9E7" w14:textId="77777777" w:rsidR="00526EC3" w:rsidRPr="00295AC0" w:rsidRDefault="00526EC3" w:rsidP="00526EC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VIDA UTIL EN AÑOS</w:t>
            </w:r>
          </w:p>
        </w:tc>
        <w:tc>
          <w:tcPr>
            <w:tcW w:w="1180" w:type="dxa"/>
            <w:tcBorders>
              <w:top w:val="single" w:sz="4" w:space="0" w:color="auto"/>
              <w:left w:val="nil"/>
              <w:bottom w:val="single" w:sz="4" w:space="0" w:color="auto"/>
              <w:right w:val="single" w:sz="4" w:space="0" w:color="auto"/>
            </w:tcBorders>
            <w:shd w:val="clear" w:color="auto" w:fill="AB0033"/>
            <w:vAlign w:val="center"/>
            <w:hideMark/>
          </w:tcPr>
          <w:p w14:paraId="5C2CDD21" w14:textId="77777777" w:rsidR="00526EC3" w:rsidRPr="00295AC0" w:rsidRDefault="00526EC3" w:rsidP="00526EC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VALOR RESIDUAL (%)</w:t>
            </w:r>
          </w:p>
        </w:tc>
        <w:tc>
          <w:tcPr>
            <w:tcW w:w="1020" w:type="dxa"/>
            <w:tcBorders>
              <w:top w:val="single" w:sz="4" w:space="0" w:color="auto"/>
              <w:left w:val="nil"/>
              <w:bottom w:val="single" w:sz="4" w:space="0" w:color="auto"/>
              <w:right w:val="single" w:sz="4" w:space="0" w:color="auto"/>
            </w:tcBorders>
            <w:shd w:val="clear" w:color="auto" w:fill="AB0033"/>
            <w:vAlign w:val="center"/>
            <w:hideMark/>
          </w:tcPr>
          <w:p w14:paraId="402C2F81" w14:textId="77777777" w:rsidR="00526EC3" w:rsidRPr="00295AC0" w:rsidRDefault="00526EC3" w:rsidP="00526EC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DEP. ANUAL (%)</w:t>
            </w:r>
          </w:p>
        </w:tc>
        <w:tc>
          <w:tcPr>
            <w:tcW w:w="1220" w:type="dxa"/>
            <w:tcBorders>
              <w:top w:val="single" w:sz="4" w:space="0" w:color="auto"/>
              <w:left w:val="nil"/>
              <w:bottom w:val="single" w:sz="4" w:space="0" w:color="auto"/>
              <w:right w:val="single" w:sz="4" w:space="0" w:color="auto"/>
            </w:tcBorders>
            <w:shd w:val="clear" w:color="auto" w:fill="AB0033"/>
            <w:vAlign w:val="center"/>
            <w:hideMark/>
          </w:tcPr>
          <w:p w14:paraId="7A272CA5" w14:textId="77777777" w:rsidR="00526EC3" w:rsidRPr="00295AC0" w:rsidRDefault="00526EC3" w:rsidP="00526EC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DEP.MENSUAL (%)</w:t>
            </w:r>
          </w:p>
        </w:tc>
      </w:tr>
      <w:tr w:rsidR="00526EC3" w:rsidRPr="005F45A3" w14:paraId="3ED484E6"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82ACC0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3100</w:t>
            </w:r>
          </w:p>
        </w:tc>
        <w:tc>
          <w:tcPr>
            <w:tcW w:w="3220" w:type="dxa"/>
            <w:tcBorders>
              <w:top w:val="nil"/>
              <w:left w:val="nil"/>
              <w:bottom w:val="single" w:sz="4" w:space="0" w:color="auto"/>
              <w:right w:val="single" w:sz="4" w:space="0" w:color="auto"/>
            </w:tcBorders>
            <w:shd w:val="clear" w:color="000000" w:fill="FFFFFF"/>
            <w:noWrap/>
            <w:vAlign w:val="center"/>
            <w:hideMark/>
          </w:tcPr>
          <w:p w14:paraId="5CE0FB0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Terrenos</w:t>
            </w:r>
          </w:p>
        </w:tc>
        <w:tc>
          <w:tcPr>
            <w:tcW w:w="1140" w:type="dxa"/>
            <w:tcBorders>
              <w:top w:val="nil"/>
              <w:left w:val="nil"/>
              <w:bottom w:val="single" w:sz="4" w:space="0" w:color="auto"/>
              <w:right w:val="single" w:sz="4" w:space="0" w:color="auto"/>
            </w:tcBorders>
            <w:shd w:val="clear" w:color="000000" w:fill="FFFFFF"/>
            <w:noWrap/>
            <w:vAlign w:val="center"/>
            <w:hideMark/>
          </w:tcPr>
          <w:p w14:paraId="3E0A61D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2F58D82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E689EC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EA090B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0DB799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1773C29"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9FB4CB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3200</w:t>
            </w:r>
          </w:p>
        </w:tc>
        <w:tc>
          <w:tcPr>
            <w:tcW w:w="3220" w:type="dxa"/>
            <w:tcBorders>
              <w:top w:val="nil"/>
              <w:left w:val="nil"/>
              <w:bottom w:val="single" w:sz="4" w:space="0" w:color="auto"/>
              <w:right w:val="single" w:sz="4" w:space="0" w:color="auto"/>
            </w:tcBorders>
            <w:shd w:val="clear" w:color="000000" w:fill="FFFFFF"/>
            <w:noWrap/>
            <w:vAlign w:val="center"/>
            <w:hideMark/>
          </w:tcPr>
          <w:p w14:paraId="38BBB8B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Vivienda</w:t>
            </w:r>
          </w:p>
        </w:tc>
        <w:tc>
          <w:tcPr>
            <w:tcW w:w="1140" w:type="dxa"/>
            <w:tcBorders>
              <w:top w:val="nil"/>
              <w:left w:val="nil"/>
              <w:bottom w:val="single" w:sz="4" w:space="0" w:color="auto"/>
              <w:right w:val="single" w:sz="4" w:space="0" w:color="auto"/>
            </w:tcBorders>
            <w:shd w:val="clear" w:color="000000" w:fill="FFFFFF"/>
            <w:noWrap/>
            <w:vAlign w:val="center"/>
            <w:hideMark/>
          </w:tcPr>
          <w:p w14:paraId="14A9237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7C2327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50</w:t>
            </w:r>
          </w:p>
        </w:tc>
        <w:tc>
          <w:tcPr>
            <w:tcW w:w="1180" w:type="dxa"/>
            <w:tcBorders>
              <w:top w:val="nil"/>
              <w:left w:val="nil"/>
              <w:bottom w:val="single" w:sz="4" w:space="0" w:color="auto"/>
              <w:right w:val="single" w:sz="4" w:space="0" w:color="auto"/>
            </w:tcBorders>
            <w:shd w:val="clear" w:color="000000" w:fill="FFFFFF"/>
            <w:noWrap/>
            <w:vAlign w:val="center"/>
            <w:hideMark/>
          </w:tcPr>
          <w:p w14:paraId="30160B5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8BCFC5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w:t>
            </w:r>
          </w:p>
        </w:tc>
        <w:tc>
          <w:tcPr>
            <w:tcW w:w="1220" w:type="dxa"/>
            <w:tcBorders>
              <w:top w:val="nil"/>
              <w:left w:val="nil"/>
              <w:bottom w:val="single" w:sz="4" w:space="0" w:color="auto"/>
              <w:right w:val="single" w:sz="4" w:space="0" w:color="auto"/>
            </w:tcBorders>
            <w:shd w:val="clear" w:color="000000" w:fill="FFFFFF"/>
            <w:noWrap/>
            <w:vAlign w:val="bottom"/>
            <w:hideMark/>
          </w:tcPr>
          <w:p w14:paraId="65296E3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0.17</w:t>
            </w:r>
          </w:p>
        </w:tc>
      </w:tr>
      <w:tr w:rsidR="00526EC3" w:rsidRPr="005F45A3" w14:paraId="764CA46A"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64B992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3310</w:t>
            </w:r>
          </w:p>
        </w:tc>
        <w:tc>
          <w:tcPr>
            <w:tcW w:w="3220" w:type="dxa"/>
            <w:tcBorders>
              <w:top w:val="nil"/>
              <w:left w:val="nil"/>
              <w:bottom w:val="single" w:sz="4" w:space="0" w:color="auto"/>
              <w:right w:val="single" w:sz="4" w:space="0" w:color="auto"/>
            </w:tcBorders>
            <w:shd w:val="clear" w:color="000000" w:fill="FFFFFF"/>
            <w:noWrap/>
            <w:vAlign w:val="center"/>
            <w:hideMark/>
          </w:tcPr>
          <w:p w14:paraId="2D3E7596"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Edificios No Habitacionales (Bienes Inmuebles)</w:t>
            </w:r>
          </w:p>
        </w:tc>
        <w:tc>
          <w:tcPr>
            <w:tcW w:w="1140" w:type="dxa"/>
            <w:tcBorders>
              <w:top w:val="nil"/>
              <w:left w:val="nil"/>
              <w:bottom w:val="single" w:sz="4" w:space="0" w:color="auto"/>
              <w:right w:val="single" w:sz="4" w:space="0" w:color="auto"/>
            </w:tcBorders>
            <w:shd w:val="clear" w:color="000000" w:fill="FFFFFF"/>
            <w:noWrap/>
            <w:vAlign w:val="center"/>
            <w:hideMark/>
          </w:tcPr>
          <w:p w14:paraId="5031BE5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F5F774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30</w:t>
            </w:r>
          </w:p>
        </w:tc>
        <w:tc>
          <w:tcPr>
            <w:tcW w:w="1180" w:type="dxa"/>
            <w:tcBorders>
              <w:top w:val="nil"/>
              <w:left w:val="nil"/>
              <w:bottom w:val="single" w:sz="4" w:space="0" w:color="auto"/>
              <w:right w:val="single" w:sz="4" w:space="0" w:color="auto"/>
            </w:tcBorders>
            <w:shd w:val="clear" w:color="000000" w:fill="FFFFFF"/>
            <w:noWrap/>
            <w:vAlign w:val="center"/>
            <w:hideMark/>
          </w:tcPr>
          <w:p w14:paraId="2C6ED12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25BA00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3.33</w:t>
            </w:r>
          </w:p>
        </w:tc>
        <w:tc>
          <w:tcPr>
            <w:tcW w:w="1220" w:type="dxa"/>
            <w:tcBorders>
              <w:top w:val="nil"/>
              <w:left w:val="nil"/>
              <w:bottom w:val="single" w:sz="4" w:space="0" w:color="auto"/>
              <w:right w:val="single" w:sz="4" w:space="0" w:color="auto"/>
            </w:tcBorders>
            <w:shd w:val="clear" w:color="000000" w:fill="FFFFFF"/>
            <w:noWrap/>
            <w:vAlign w:val="bottom"/>
            <w:hideMark/>
          </w:tcPr>
          <w:p w14:paraId="001665D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0.28</w:t>
            </w:r>
          </w:p>
        </w:tc>
      </w:tr>
      <w:tr w:rsidR="00526EC3" w:rsidRPr="005F45A3" w14:paraId="5938530C"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54C7E2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3320</w:t>
            </w:r>
          </w:p>
        </w:tc>
        <w:tc>
          <w:tcPr>
            <w:tcW w:w="3220" w:type="dxa"/>
            <w:tcBorders>
              <w:top w:val="nil"/>
              <w:left w:val="nil"/>
              <w:bottom w:val="single" w:sz="4" w:space="0" w:color="auto"/>
              <w:right w:val="single" w:sz="4" w:space="0" w:color="auto"/>
            </w:tcBorders>
            <w:shd w:val="clear" w:color="000000" w:fill="FFFFFF"/>
            <w:noWrap/>
            <w:vAlign w:val="center"/>
            <w:hideMark/>
          </w:tcPr>
          <w:p w14:paraId="128F96C7"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Edificios</w:t>
            </w:r>
          </w:p>
        </w:tc>
        <w:tc>
          <w:tcPr>
            <w:tcW w:w="1140" w:type="dxa"/>
            <w:tcBorders>
              <w:top w:val="nil"/>
              <w:left w:val="nil"/>
              <w:bottom w:val="single" w:sz="4" w:space="0" w:color="auto"/>
              <w:right w:val="single" w:sz="4" w:space="0" w:color="auto"/>
            </w:tcBorders>
            <w:shd w:val="clear" w:color="000000" w:fill="FFFFFF"/>
            <w:noWrap/>
            <w:vAlign w:val="center"/>
            <w:hideMark/>
          </w:tcPr>
          <w:p w14:paraId="2997FB3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68DBCF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30</w:t>
            </w:r>
          </w:p>
        </w:tc>
        <w:tc>
          <w:tcPr>
            <w:tcW w:w="1180" w:type="dxa"/>
            <w:tcBorders>
              <w:top w:val="nil"/>
              <w:left w:val="nil"/>
              <w:bottom w:val="single" w:sz="4" w:space="0" w:color="auto"/>
              <w:right w:val="single" w:sz="4" w:space="0" w:color="auto"/>
            </w:tcBorders>
            <w:shd w:val="clear" w:color="000000" w:fill="FFFFFF"/>
            <w:noWrap/>
            <w:vAlign w:val="center"/>
            <w:hideMark/>
          </w:tcPr>
          <w:p w14:paraId="4697CC0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87A7F5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3.33</w:t>
            </w:r>
          </w:p>
        </w:tc>
        <w:tc>
          <w:tcPr>
            <w:tcW w:w="1220" w:type="dxa"/>
            <w:tcBorders>
              <w:top w:val="nil"/>
              <w:left w:val="nil"/>
              <w:bottom w:val="single" w:sz="4" w:space="0" w:color="auto"/>
              <w:right w:val="single" w:sz="4" w:space="0" w:color="auto"/>
            </w:tcBorders>
            <w:shd w:val="clear" w:color="000000" w:fill="FFFFFF"/>
            <w:noWrap/>
            <w:vAlign w:val="bottom"/>
            <w:hideMark/>
          </w:tcPr>
          <w:p w14:paraId="1E73BD7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0.28</w:t>
            </w:r>
          </w:p>
        </w:tc>
      </w:tr>
      <w:tr w:rsidR="00526EC3" w:rsidRPr="005F45A3" w14:paraId="00BB334B"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0D6E4E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3330</w:t>
            </w:r>
          </w:p>
        </w:tc>
        <w:tc>
          <w:tcPr>
            <w:tcW w:w="3220" w:type="dxa"/>
            <w:tcBorders>
              <w:top w:val="nil"/>
              <w:left w:val="nil"/>
              <w:bottom w:val="single" w:sz="4" w:space="0" w:color="auto"/>
              <w:right w:val="single" w:sz="4" w:space="0" w:color="auto"/>
            </w:tcBorders>
            <w:shd w:val="clear" w:color="000000" w:fill="FFFFFF"/>
            <w:noWrap/>
            <w:vAlign w:val="center"/>
            <w:hideMark/>
          </w:tcPr>
          <w:p w14:paraId="2F17465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Edificios No Habit.Transferibles</w:t>
            </w:r>
          </w:p>
        </w:tc>
        <w:tc>
          <w:tcPr>
            <w:tcW w:w="1140" w:type="dxa"/>
            <w:tcBorders>
              <w:top w:val="nil"/>
              <w:left w:val="nil"/>
              <w:bottom w:val="single" w:sz="4" w:space="0" w:color="auto"/>
              <w:right w:val="single" w:sz="4" w:space="0" w:color="auto"/>
            </w:tcBorders>
            <w:shd w:val="clear" w:color="000000" w:fill="FFFFFF"/>
            <w:noWrap/>
            <w:vAlign w:val="center"/>
            <w:hideMark/>
          </w:tcPr>
          <w:p w14:paraId="2AF2065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21EB15A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2AB32F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CCDF7A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4A2B30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3829CA41"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8AB819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3410</w:t>
            </w:r>
          </w:p>
        </w:tc>
        <w:tc>
          <w:tcPr>
            <w:tcW w:w="3220" w:type="dxa"/>
            <w:tcBorders>
              <w:top w:val="nil"/>
              <w:left w:val="nil"/>
              <w:bottom w:val="single" w:sz="4" w:space="0" w:color="auto"/>
              <w:right w:val="single" w:sz="4" w:space="0" w:color="auto"/>
            </w:tcBorders>
            <w:shd w:val="clear" w:color="000000" w:fill="FFFFFF"/>
            <w:noWrap/>
            <w:vAlign w:val="center"/>
            <w:hideMark/>
          </w:tcPr>
          <w:p w14:paraId="569834CF"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De Carreteras</w:t>
            </w:r>
          </w:p>
        </w:tc>
        <w:tc>
          <w:tcPr>
            <w:tcW w:w="1140" w:type="dxa"/>
            <w:tcBorders>
              <w:top w:val="nil"/>
              <w:left w:val="nil"/>
              <w:bottom w:val="single" w:sz="4" w:space="0" w:color="auto"/>
              <w:right w:val="single" w:sz="4" w:space="0" w:color="auto"/>
            </w:tcBorders>
            <w:shd w:val="clear" w:color="000000" w:fill="FFFFFF"/>
            <w:noWrap/>
            <w:vAlign w:val="center"/>
            <w:hideMark/>
          </w:tcPr>
          <w:p w14:paraId="282EC73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59CB12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0745769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EE372F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46BF68F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72CB8DD5"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640FE4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3420</w:t>
            </w:r>
          </w:p>
        </w:tc>
        <w:tc>
          <w:tcPr>
            <w:tcW w:w="3220" w:type="dxa"/>
            <w:tcBorders>
              <w:top w:val="nil"/>
              <w:left w:val="nil"/>
              <w:bottom w:val="single" w:sz="4" w:space="0" w:color="auto"/>
              <w:right w:val="single" w:sz="4" w:space="0" w:color="auto"/>
            </w:tcBorders>
            <w:shd w:val="clear" w:color="000000" w:fill="FFFFFF"/>
            <w:noWrap/>
            <w:vAlign w:val="center"/>
            <w:hideMark/>
          </w:tcPr>
          <w:p w14:paraId="7666A088"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Ferroviaria Y Multimodal</w:t>
            </w:r>
          </w:p>
        </w:tc>
        <w:tc>
          <w:tcPr>
            <w:tcW w:w="1140" w:type="dxa"/>
            <w:tcBorders>
              <w:top w:val="nil"/>
              <w:left w:val="nil"/>
              <w:bottom w:val="single" w:sz="4" w:space="0" w:color="auto"/>
              <w:right w:val="single" w:sz="4" w:space="0" w:color="auto"/>
            </w:tcBorders>
            <w:shd w:val="clear" w:color="000000" w:fill="FFFFFF"/>
            <w:noWrap/>
            <w:vAlign w:val="center"/>
            <w:hideMark/>
          </w:tcPr>
          <w:p w14:paraId="5A2985F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604C7E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007659E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763394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1499FEA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3D891B53"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60D089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3430</w:t>
            </w:r>
          </w:p>
        </w:tc>
        <w:tc>
          <w:tcPr>
            <w:tcW w:w="3220" w:type="dxa"/>
            <w:tcBorders>
              <w:top w:val="nil"/>
              <w:left w:val="nil"/>
              <w:bottom w:val="single" w:sz="4" w:space="0" w:color="auto"/>
              <w:right w:val="single" w:sz="4" w:space="0" w:color="auto"/>
            </w:tcBorders>
            <w:shd w:val="clear" w:color="000000" w:fill="FFFFFF"/>
            <w:noWrap/>
            <w:vAlign w:val="center"/>
            <w:hideMark/>
          </w:tcPr>
          <w:p w14:paraId="3D0E2A3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Portuaria</w:t>
            </w:r>
          </w:p>
        </w:tc>
        <w:tc>
          <w:tcPr>
            <w:tcW w:w="1140" w:type="dxa"/>
            <w:tcBorders>
              <w:top w:val="nil"/>
              <w:left w:val="nil"/>
              <w:bottom w:val="single" w:sz="4" w:space="0" w:color="auto"/>
              <w:right w:val="single" w:sz="4" w:space="0" w:color="auto"/>
            </w:tcBorders>
            <w:shd w:val="clear" w:color="000000" w:fill="FFFFFF"/>
            <w:noWrap/>
            <w:vAlign w:val="center"/>
            <w:hideMark/>
          </w:tcPr>
          <w:p w14:paraId="6377739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89B989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0438CB8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1E5577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2658F3A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2C508F85"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FEA131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3440</w:t>
            </w:r>
          </w:p>
        </w:tc>
        <w:tc>
          <w:tcPr>
            <w:tcW w:w="3220" w:type="dxa"/>
            <w:tcBorders>
              <w:top w:val="nil"/>
              <w:left w:val="nil"/>
              <w:bottom w:val="single" w:sz="4" w:space="0" w:color="auto"/>
              <w:right w:val="single" w:sz="4" w:space="0" w:color="auto"/>
            </w:tcBorders>
            <w:shd w:val="clear" w:color="000000" w:fill="FFFFFF"/>
            <w:noWrap/>
            <w:vAlign w:val="center"/>
            <w:hideMark/>
          </w:tcPr>
          <w:p w14:paraId="61EA8429"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Aeroportuaria</w:t>
            </w:r>
          </w:p>
        </w:tc>
        <w:tc>
          <w:tcPr>
            <w:tcW w:w="1140" w:type="dxa"/>
            <w:tcBorders>
              <w:top w:val="nil"/>
              <w:left w:val="nil"/>
              <w:bottom w:val="single" w:sz="4" w:space="0" w:color="auto"/>
              <w:right w:val="single" w:sz="4" w:space="0" w:color="auto"/>
            </w:tcBorders>
            <w:shd w:val="clear" w:color="000000" w:fill="FFFFFF"/>
            <w:noWrap/>
            <w:vAlign w:val="center"/>
            <w:hideMark/>
          </w:tcPr>
          <w:p w14:paraId="7CDD04F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613688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719E71F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687DA6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04D2F6B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4BD07BAD"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99EB98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3450</w:t>
            </w:r>
          </w:p>
        </w:tc>
        <w:tc>
          <w:tcPr>
            <w:tcW w:w="3220" w:type="dxa"/>
            <w:tcBorders>
              <w:top w:val="nil"/>
              <w:left w:val="nil"/>
              <w:bottom w:val="single" w:sz="4" w:space="0" w:color="auto"/>
              <w:right w:val="single" w:sz="4" w:space="0" w:color="auto"/>
            </w:tcBorders>
            <w:shd w:val="clear" w:color="000000" w:fill="FFFFFF"/>
            <w:noWrap/>
            <w:vAlign w:val="center"/>
            <w:hideMark/>
          </w:tcPr>
          <w:p w14:paraId="493F820C"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De Telecomunicaciones</w:t>
            </w:r>
          </w:p>
        </w:tc>
        <w:tc>
          <w:tcPr>
            <w:tcW w:w="1140" w:type="dxa"/>
            <w:tcBorders>
              <w:top w:val="nil"/>
              <w:left w:val="nil"/>
              <w:bottom w:val="single" w:sz="4" w:space="0" w:color="auto"/>
              <w:right w:val="single" w:sz="4" w:space="0" w:color="auto"/>
            </w:tcBorders>
            <w:shd w:val="clear" w:color="000000" w:fill="FFFFFF"/>
            <w:noWrap/>
            <w:vAlign w:val="center"/>
            <w:hideMark/>
          </w:tcPr>
          <w:p w14:paraId="246CEDB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1E73EE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1F65B03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B26D91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3C6362C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1866CCD1"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825757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3460</w:t>
            </w:r>
          </w:p>
        </w:tc>
        <w:tc>
          <w:tcPr>
            <w:tcW w:w="3220" w:type="dxa"/>
            <w:tcBorders>
              <w:top w:val="nil"/>
              <w:left w:val="nil"/>
              <w:bottom w:val="single" w:sz="4" w:space="0" w:color="auto"/>
              <w:right w:val="single" w:sz="4" w:space="0" w:color="auto"/>
            </w:tcBorders>
            <w:shd w:val="clear" w:color="000000" w:fill="FFFFFF"/>
            <w:noWrap/>
            <w:vAlign w:val="center"/>
            <w:hideMark/>
          </w:tcPr>
          <w:p w14:paraId="701812FF"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Infraest.Agua Pot. Saneam. Hidroagric.Ctrol.Inund</w:t>
            </w:r>
          </w:p>
        </w:tc>
        <w:tc>
          <w:tcPr>
            <w:tcW w:w="1140" w:type="dxa"/>
            <w:tcBorders>
              <w:top w:val="nil"/>
              <w:left w:val="nil"/>
              <w:bottom w:val="single" w:sz="4" w:space="0" w:color="auto"/>
              <w:right w:val="single" w:sz="4" w:space="0" w:color="auto"/>
            </w:tcBorders>
            <w:shd w:val="clear" w:color="000000" w:fill="FFFFFF"/>
            <w:noWrap/>
            <w:vAlign w:val="center"/>
            <w:hideMark/>
          </w:tcPr>
          <w:p w14:paraId="669DA66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905179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63666D0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B71340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70E4E65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07D8E2D2"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ACC1C9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3470</w:t>
            </w:r>
          </w:p>
        </w:tc>
        <w:tc>
          <w:tcPr>
            <w:tcW w:w="3220" w:type="dxa"/>
            <w:tcBorders>
              <w:top w:val="nil"/>
              <w:left w:val="nil"/>
              <w:bottom w:val="single" w:sz="4" w:space="0" w:color="auto"/>
              <w:right w:val="single" w:sz="4" w:space="0" w:color="auto"/>
            </w:tcBorders>
            <w:shd w:val="clear" w:color="000000" w:fill="FFFFFF"/>
            <w:noWrap/>
            <w:vAlign w:val="center"/>
            <w:hideMark/>
          </w:tcPr>
          <w:p w14:paraId="4372465E" w14:textId="3CA2D80A"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Eléctrica</w:t>
            </w:r>
          </w:p>
        </w:tc>
        <w:tc>
          <w:tcPr>
            <w:tcW w:w="1140" w:type="dxa"/>
            <w:tcBorders>
              <w:top w:val="nil"/>
              <w:left w:val="nil"/>
              <w:bottom w:val="single" w:sz="4" w:space="0" w:color="auto"/>
              <w:right w:val="single" w:sz="4" w:space="0" w:color="auto"/>
            </w:tcBorders>
            <w:shd w:val="clear" w:color="000000" w:fill="FFFFFF"/>
            <w:noWrap/>
            <w:vAlign w:val="center"/>
            <w:hideMark/>
          </w:tcPr>
          <w:p w14:paraId="120258B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F134DA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22962D2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64FCB6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6E3BD14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1F30DC52"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6824B2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3480</w:t>
            </w:r>
          </w:p>
        </w:tc>
        <w:tc>
          <w:tcPr>
            <w:tcW w:w="3220" w:type="dxa"/>
            <w:tcBorders>
              <w:top w:val="nil"/>
              <w:left w:val="nil"/>
              <w:bottom w:val="single" w:sz="4" w:space="0" w:color="auto"/>
              <w:right w:val="single" w:sz="4" w:space="0" w:color="auto"/>
            </w:tcBorders>
            <w:shd w:val="clear" w:color="000000" w:fill="FFFFFF"/>
            <w:noWrap/>
            <w:vAlign w:val="center"/>
            <w:hideMark/>
          </w:tcPr>
          <w:p w14:paraId="6F8A3890" w14:textId="30AFE016"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De Producción De Hidrocarburos</w:t>
            </w:r>
          </w:p>
        </w:tc>
        <w:tc>
          <w:tcPr>
            <w:tcW w:w="1140" w:type="dxa"/>
            <w:tcBorders>
              <w:top w:val="nil"/>
              <w:left w:val="nil"/>
              <w:bottom w:val="single" w:sz="4" w:space="0" w:color="auto"/>
              <w:right w:val="single" w:sz="4" w:space="0" w:color="auto"/>
            </w:tcBorders>
            <w:shd w:val="clear" w:color="000000" w:fill="FFFFFF"/>
            <w:noWrap/>
            <w:vAlign w:val="center"/>
            <w:hideMark/>
          </w:tcPr>
          <w:p w14:paraId="24A8CFE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B3C471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5280922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973B69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573173B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41504537"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080E90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3490</w:t>
            </w:r>
          </w:p>
        </w:tc>
        <w:tc>
          <w:tcPr>
            <w:tcW w:w="3220" w:type="dxa"/>
            <w:tcBorders>
              <w:top w:val="nil"/>
              <w:left w:val="nil"/>
              <w:bottom w:val="single" w:sz="4" w:space="0" w:color="auto"/>
              <w:right w:val="single" w:sz="4" w:space="0" w:color="auto"/>
            </w:tcBorders>
            <w:shd w:val="clear" w:color="000000" w:fill="FFFFFF"/>
            <w:noWrap/>
            <w:vAlign w:val="center"/>
            <w:hideMark/>
          </w:tcPr>
          <w:p w14:paraId="5C7907C3" w14:textId="05F105B9"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De Refinación, Gas Y Petroquímica</w:t>
            </w:r>
          </w:p>
        </w:tc>
        <w:tc>
          <w:tcPr>
            <w:tcW w:w="1140" w:type="dxa"/>
            <w:tcBorders>
              <w:top w:val="nil"/>
              <w:left w:val="nil"/>
              <w:bottom w:val="single" w:sz="4" w:space="0" w:color="auto"/>
              <w:right w:val="single" w:sz="4" w:space="0" w:color="auto"/>
            </w:tcBorders>
            <w:shd w:val="clear" w:color="000000" w:fill="FFFFFF"/>
            <w:noWrap/>
            <w:vAlign w:val="center"/>
            <w:hideMark/>
          </w:tcPr>
          <w:p w14:paraId="2A2BA99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815F95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2E0A951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707103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1506CF6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001117B6"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F7C26C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3510</w:t>
            </w:r>
          </w:p>
        </w:tc>
        <w:tc>
          <w:tcPr>
            <w:tcW w:w="3220" w:type="dxa"/>
            <w:tcBorders>
              <w:top w:val="nil"/>
              <w:left w:val="nil"/>
              <w:bottom w:val="single" w:sz="4" w:space="0" w:color="auto"/>
              <w:right w:val="single" w:sz="4" w:space="0" w:color="auto"/>
            </w:tcBorders>
            <w:shd w:val="clear" w:color="000000" w:fill="FFFFFF"/>
            <w:noWrap/>
            <w:vAlign w:val="center"/>
            <w:hideMark/>
          </w:tcPr>
          <w:p w14:paraId="18E9357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Edificación Habitacional En Proceso Dp</w:t>
            </w:r>
          </w:p>
        </w:tc>
        <w:tc>
          <w:tcPr>
            <w:tcW w:w="1140" w:type="dxa"/>
            <w:tcBorders>
              <w:top w:val="nil"/>
              <w:left w:val="nil"/>
              <w:bottom w:val="single" w:sz="4" w:space="0" w:color="auto"/>
              <w:right w:val="single" w:sz="4" w:space="0" w:color="auto"/>
            </w:tcBorders>
            <w:shd w:val="clear" w:color="000000" w:fill="FFFFFF"/>
            <w:noWrap/>
            <w:vAlign w:val="center"/>
            <w:hideMark/>
          </w:tcPr>
          <w:p w14:paraId="45B478B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3787A23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967692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F3AE8F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207609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1AF2604A"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AC763F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3520</w:t>
            </w:r>
          </w:p>
        </w:tc>
        <w:tc>
          <w:tcPr>
            <w:tcW w:w="3220" w:type="dxa"/>
            <w:tcBorders>
              <w:top w:val="nil"/>
              <w:left w:val="nil"/>
              <w:bottom w:val="single" w:sz="4" w:space="0" w:color="auto"/>
              <w:right w:val="single" w:sz="4" w:space="0" w:color="auto"/>
            </w:tcBorders>
            <w:shd w:val="clear" w:color="000000" w:fill="FFFFFF"/>
            <w:noWrap/>
            <w:vAlign w:val="center"/>
            <w:hideMark/>
          </w:tcPr>
          <w:p w14:paraId="3E52626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Edificación No Habitacional En Proceso Dp</w:t>
            </w:r>
          </w:p>
        </w:tc>
        <w:tc>
          <w:tcPr>
            <w:tcW w:w="1140" w:type="dxa"/>
            <w:tcBorders>
              <w:top w:val="nil"/>
              <w:left w:val="nil"/>
              <w:bottom w:val="single" w:sz="4" w:space="0" w:color="auto"/>
              <w:right w:val="single" w:sz="4" w:space="0" w:color="auto"/>
            </w:tcBorders>
            <w:shd w:val="clear" w:color="000000" w:fill="FFFFFF"/>
            <w:noWrap/>
            <w:vAlign w:val="center"/>
            <w:hideMark/>
          </w:tcPr>
          <w:p w14:paraId="7995097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598049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3F5459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37C5E5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53B31C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706BE11B"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F64B00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3530</w:t>
            </w:r>
          </w:p>
        </w:tc>
        <w:tc>
          <w:tcPr>
            <w:tcW w:w="3220" w:type="dxa"/>
            <w:tcBorders>
              <w:top w:val="nil"/>
              <w:left w:val="nil"/>
              <w:bottom w:val="single" w:sz="4" w:space="0" w:color="auto"/>
              <w:right w:val="single" w:sz="4" w:space="0" w:color="auto"/>
            </w:tcBorders>
            <w:shd w:val="clear" w:color="000000" w:fill="FFFFFF"/>
            <w:noWrap/>
            <w:vAlign w:val="center"/>
            <w:hideMark/>
          </w:tcPr>
          <w:p w14:paraId="34C2D344"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Const.Obr.Abast.Agua, Petr.Gas,Elect.Tel.Procesodp</w:t>
            </w:r>
          </w:p>
        </w:tc>
        <w:tc>
          <w:tcPr>
            <w:tcW w:w="1140" w:type="dxa"/>
            <w:tcBorders>
              <w:top w:val="nil"/>
              <w:left w:val="nil"/>
              <w:bottom w:val="single" w:sz="4" w:space="0" w:color="auto"/>
              <w:right w:val="single" w:sz="4" w:space="0" w:color="auto"/>
            </w:tcBorders>
            <w:shd w:val="clear" w:color="000000" w:fill="FFFFFF"/>
            <w:noWrap/>
            <w:vAlign w:val="center"/>
            <w:hideMark/>
          </w:tcPr>
          <w:p w14:paraId="312FAAC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0CB83ED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34E57D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F8D191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230776F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5D19A704"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5A7C0E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3540</w:t>
            </w:r>
          </w:p>
        </w:tc>
        <w:tc>
          <w:tcPr>
            <w:tcW w:w="3220" w:type="dxa"/>
            <w:tcBorders>
              <w:top w:val="nil"/>
              <w:left w:val="nil"/>
              <w:bottom w:val="single" w:sz="4" w:space="0" w:color="auto"/>
              <w:right w:val="single" w:sz="4" w:space="0" w:color="auto"/>
            </w:tcBorders>
            <w:shd w:val="clear" w:color="000000" w:fill="FFFFFF"/>
            <w:noWrap/>
            <w:vAlign w:val="center"/>
            <w:hideMark/>
          </w:tcPr>
          <w:p w14:paraId="3FA0D7C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Div.Terr. Construcc.Obras De Urbaniz.En Proceso Dp</w:t>
            </w:r>
          </w:p>
        </w:tc>
        <w:tc>
          <w:tcPr>
            <w:tcW w:w="1140" w:type="dxa"/>
            <w:tcBorders>
              <w:top w:val="nil"/>
              <w:left w:val="nil"/>
              <w:bottom w:val="single" w:sz="4" w:space="0" w:color="auto"/>
              <w:right w:val="single" w:sz="4" w:space="0" w:color="auto"/>
            </w:tcBorders>
            <w:shd w:val="clear" w:color="000000" w:fill="FFFFFF"/>
            <w:noWrap/>
            <w:vAlign w:val="center"/>
            <w:hideMark/>
          </w:tcPr>
          <w:p w14:paraId="1883CAF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30EF48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3FC77D6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3222E7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315D232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20727C1B"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C29323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3550</w:t>
            </w:r>
          </w:p>
        </w:tc>
        <w:tc>
          <w:tcPr>
            <w:tcW w:w="3220" w:type="dxa"/>
            <w:tcBorders>
              <w:top w:val="nil"/>
              <w:left w:val="nil"/>
              <w:bottom w:val="single" w:sz="4" w:space="0" w:color="auto"/>
              <w:right w:val="single" w:sz="4" w:space="0" w:color="auto"/>
            </w:tcBorders>
            <w:shd w:val="clear" w:color="000000" w:fill="FFFFFF"/>
            <w:noWrap/>
            <w:vAlign w:val="center"/>
            <w:hideMark/>
          </w:tcPr>
          <w:p w14:paraId="1378928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Construcción De Vías De Comunicación En Proceso Dp</w:t>
            </w:r>
          </w:p>
        </w:tc>
        <w:tc>
          <w:tcPr>
            <w:tcW w:w="1140" w:type="dxa"/>
            <w:tcBorders>
              <w:top w:val="nil"/>
              <w:left w:val="nil"/>
              <w:bottom w:val="single" w:sz="4" w:space="0" w:color="auto"/>
              <w:right w:val="single" w:sz="4" w:space="0" w:color="auto"/>
            </w:tcBorders>
            <w:shd w:val="clear" w:color="000000" w:fill="FFFFFF"/>
            <w:noWrap/>
            <w:vAlign w:val="center"/>
            <w:hideMark/>
          </w:tcPr>
          <w:p w14:paraId="1399BBA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0BC1C10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2315FF1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DE7998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8FA96A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CDF4DB2"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30FDFD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3560</w:t>
            </w:r>
          </w:p>
        </w:tc>
        <w:tc>
          <w:tcPr>
            <w:tcW w:w="3220" w:type="dxa"/>
            <w:tcBorders>
              <w:top w:val="nil"/>
              <w:left w:val="nil"/>
              <w:bottom w:val="single" w:sz="4" w:space="0" w:color="auto"/>
              <w:right w:val="single" w:sz="4" w:space="0" w:color="auto"/>
            </w:tcBorders>
            <w:shd w:val="clear" w:color="000000" w:fill="FFFFFF"/>
            <w:noWrap/>
            <w:vAlign w:val="center"/>
            <w:hideMark/>
          </w:tcPr>
          <w:p w14:paraId="730A1DC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Otras Constr. Ingen. Civ. U Obra Pesada En Proc.Dp</w:t>
            </w:r>
          </w:p>
        </w:tc>
        <w:tc>
          <w:tcPr>
            <w:tcW w:w="1140" w:type="dxa"/>
            <w:tcBorders>
              <w:top w:val="nil"/>
              <w:left w:val="nil"/>
              <w:bottom w:val="single" w:sz="4" w:space="0" w:color="auto"/>
              <w:right w:val="single" w:sz="4" w:space="0" w:color="auto"/>
            </w:tcBorders>
            <w:shd w:val="clear" w:color="000000" w:fill="FFFFFF"/>
            <w:noWrap/>
            <w:vAlign w:val="center"/>
            <w:hideMark/>
          </w:tcPr>
          <w:p w14:paraId="6624643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D2613A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8CD074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C9CC9D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35F82CE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2B04ED15"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DB46CD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3570</w:t>
            </w:r>
          </w:p>
        </w:tc>
        <w:tc>
          <w:tcPr>
            <w:tcW w:w="3220" w:type="dxa"/>
            <w:tcBorders>
              <w:top w:val="nil"/>
              <w:left w:val="nil"/>
              <w:bottom w:val="single" w:sz="4" w:space="0" w:color="auto"/>
              <w:right w:val="single" w:sz="4" w:space="0" w:color="auto"/>
            </w:tcBorders>
            <w:shd w:val="clear" w:color="000000" w:fill="FFFFFF"/>
            <w:noWrap/>
            <w:vAlign w:val="center"/>
            <w:hideMark/>
          </w:tcPr>
          <w:p w14:paraId="3DC089BD"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Instalac. Y Equipam. Construcc.En Proceso Dp</w:t>
            </w:r>
          </w:p>
        </w:tc>
        <w:tc>
          <w:tcPr>
            <w:tcW w:w="1140" w:type="dxa"/>
            <w:tcBorders>
              <w:top w:val="nil"/>
              <w:left w:val="nil"/>
              <w:bottom w:val="single" w:sz="4" w:space="0" w:color="auto"/>
              <w:right w:val="single" w:sz="4" w:space="0" w:color="auto"/>
            </w:tcBorders>
            <w:shd w:val="clear" w:color="000000" w:fill="FFFFFF"/>
            <w:noWrap/>
            <w:vAlign w:val="center"/>
            <w:hideMark/>
          </w:tcPr>
          <w:p w14:paraId="1E70E77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C6C5E8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4723D0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D9BF80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63861C9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66FB349E"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70818F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3590</w:t>
            </w:r>
          </w:p>
        </w:tc>
        <w:tc>
          <w:tcPr>
            <w:tcW w:w="3220" w:type="dxa"/>
            <w:tcBorders>
              <w:top w:val="nil"/>
              <w:left w:val="nil"/>
              <w:bottom w:val="single" w:sz="4" w:space="0" w:color="auto"/>
              <w:right w:val="single" w:sz="4" w:space="0" w:color="auto"/>
            </w:tcBorders>
            <w:shd w:val="clear" w:color="000000" w:fill="FFFFFF"/>
            <w:noWrap/>
            <w:vAlign w:val="center"/>
            <w:hideMark/>
          </w:tcPr>
          <w:p w14:paraId="0CB3A45D"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Trab.Acabados Edific.Otros Trab.Espec. Proceso Dp</w:t>
            </w:r>
          </w:p>
        </w:tc>
        <w:tc>
          <w:tcPr>
            <w:tcW w:w="1140" w:type="dxa"/>
            <w:tcBorders>
              <w:top w:val="nil"/>
              <w:left w:val="nil"/>
              <w:bottom w:val="single" w:sz="4" w:space="0" w:color="auto"/>
              <w:right w:val="single" w:sz="4" w:space="0" w:color="auto"/>
            </w:tcBorders>
            <w:shd w:val="clear" w:color="000000" w:fill="FFFFFF"/>
            <w:noWrap/>
            <w:vAlign w:val="center"/>
            <w:hideMark/>
          </w:tcPr>
          <w:p w14:paraId="62B5406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5E74873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3774DE2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97AE0A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A09046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1E0B5DE6"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E1E70A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3610</w:t>
            </w:r>
          </w:p>
        </w:tc>
        <w:tc>
          <w:tcPr>
            <w:tcW w:w="3220" w:type="dxa"/>
            <w:tcBorders>
              <w:top w:val="nil"/>
              <w:left w:val="nil"/>
              <w:bottom w:val="single" w:sz="4" w:space="0" w:color="auto"/>
              <w:right w:val="single" w:sz="4" w:space="0" w:color="auto"/>
            </w:tcBorders>
            <w:shd w:val="clear" w:color="000000" w:fill="FFFFFF"/>
            <w:noWrap/>
            <w:vAlign w:val="center"/>
            <w:hideMark/>
          </w:tcPr>
          <w:p w14:paraId="00D3CB86"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Edificación Habitacional En Proceso Bp</w:t>
            </w:r>
          </w:p>
        </w:tc>
        <w:tc>
          <w:tcPr>
            <w:tcW w:w="1140" w:type="dxa"/>
            <w:tcBorders>
              <w:top w:val="nil"/>
              <w:left w:val="nil"/>
              <w:bottom w:val="single" w:sz="4" w:space="0" w:color="auto"/>
              <w:right w:val="single" w:sz="4" w:space="0" w:color="auto"/>
            </w:tcBorders>
            <w:shd w:val="clear" w:color="000000" w:fill="FFFFFF"/>
            <w:noWrap/>
            <w:vAlign w:val="center"/>
            <w:hideMark/>
          </w:tcPr>
          <w:p w14:paraId="583390E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4D4A8A6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3FAC048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536A5F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C89659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41F2DBEA"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51E06B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3620</w:t>
            </w:r>
          </w:p>
        </w:tc>
        <w:tc>
          <w:tcPr>
            <w:tcW w:w="3220" w:type="dxa"/>
            <w:tcBorders>
              <w:top w:val="nil"/>
              <w:left w:val="nil"/>
              <w:bottom w:val="single" w:sz="4" w:space="0" w:color="auto"/>
              <w:right w:val="single" w:sz="4" w:space="0" w:color="auto"/>
            </w:tcBorders>
            <w:shd w:val="clear" w:color="000000" w:fill="FFFFFF"/>
            <w:noWrap/>
            <w:vAlign w:val="center"/>
            <w:hideMark/>
          </w:tcPr>
          <w:p w14:paraId="5BF36860"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Edificación No Habitacional En Proceso Bp</w:t>
            </w:r>
          </w:p>
        </w:tc>
        <w:tc>
          <w:tcPr>
            <w:tcW w:w="1140" w:type="dxa"/>
            <w:tcBorders>
              <w:top w:val="nil"/>
              <w:left w:val="nil"/>
              <w:bottom w:val="single" w:sz="4" w:space="0" w:color="auto"/>
              <w:right w:val="single" w:sz="4" w:space="0" w:color="auto"/>
            </w:tcBorders>
            <w:shd w:val="clear" w:color="000000" w:fill="FFFFFF"/>
            <w:noWrap/>
            <w:vAlign w:val="center"/>
            <w:hideMark/>
          </w:tcPr>
          <w:p w14:paraId="23F80DE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7E3B423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42693C1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A33D41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15D437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24E889F"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CEB811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3630</w:t>
            </w:r>
          </w:p>
        </w:tc>
        <w:tc>
          <w:tcPr>
            <w:tcW w:w="3220" w:type="dxa"/>
            <w:tcBorders>
              <w:top w:val="nil"/>
              <w:left w:val="nil"/>
              <w:bottom w:val="single" w:sz="4" w:space="0" w:color="auto"/>
              <w:right w:val="single" w:sz="4" w:space="0" w:color="auto"/>
            </w:tcBorders>
            <w:shd w:val="clear" w:color="000000" w:fill="FFFFFF"/>
            <w:noWrap/>
            <w:vAlign w:val="center"/>
            <w:hideMark/>
          </w:tcPr>
          <w:p w14:paraId="11C51EF6"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Cons.Obr.Abas.Agu.Petr.Gas,Elect.Tel. En Proc.Bp</w:t>
            </w:r>
          </w:p>
        </w:tc>
        <w:tc>
          <w:tcPr>
            <w:tcW w:w="1140" w:type="dxa"/>
            <w:tcBorders>
              <w:top w:val="nil"/>
              <w:left w:val="nil"/>
              <w:bottom w:val="single" w:sz="4" w:space="0" w:color="auto"/>
              <w:right w:val="single" w:sz="4" w:space="0" w:color="auto"/>
            </w:tcBorders>
            <w:shd w:val="clear" w:color="000000" w:fill="FFFFFF"/>
            <w:noWrap/>
            <w:vAlign w:val="center"/>
            <w:hideMark/>
          </w:tcPr>
          <w:p w14:paraId="52418CA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37BD888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D2AB2A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A1478D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2E6C0D7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5CE45B54"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9DBFA2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3640</w:t>
            </w:r>
          </w:p>
        </w:tc>
        <w:tc>
          <w:tcPr>
            <w:tcW w:w="3220" w:type="dxa"/>
            <w:tcBorders>
              <w:top w:val="nil"/>
              <w:left w:val="nil"/>
              <w:bottom w:val="single" w:sz="4" w:space="0" w:color="auto"/>
              <w:right w:val="single" w:sz="4" w:space="0" w:color="auto"/>
            </w:tcBorders>
            <w:shd w:val="clear" w:color="000000" w:fill="FFFFFF"/>
            <w:noWrap/>
            <w:vAlign w:val="center"/>
            <w:hideMark/>
          </w:tcPr>
          <w:p w14:paraId="271975F4"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Div.Terren. Y Constr.Obras Urban. En Proceso Bp</w:t>
            </w:r>
          </w:p>
        </w:tc>
        <w:tc>
          <w:tcPr>
            <w:tcW w:w="1140" w:type="dxa"/>
            <w:tcBorders>
              <w:top w:val="nil"/>
              <w:left w:val="nil"/>
              <w:bottom w:val="single" w:sz="4" w:space="0" w:color="auto"/>
              <w:right w:val="single" w:sz="4" w:space="0" w:color="auto"/>
            </w:tcBorders>
            <w:shd w:val="clear" w:color="000000" w:fill="FFFFFF"/>
            <w:noWrap/>
            <w:vAlign w:val="center"/>
            <w:hideMark/>
          </w:tcPr>
          <w:p w14:paraId="16CEE7D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A9FC5B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E6FFAC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8F5931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7017D21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1E2579CE"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F9099B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3650</w:t>
            </w:r>
          </w:p>
        </w:tc>
        <w:tc>
          <w:tcPr>
            <w:tcW w:w="3220" w:type="dxa"/>
            <w:tcBorders>
              <w:top w:val="nil"/>
              <w:left w:val="nil"/>
              <w:bottom w:val="single" w:sz="4" w:space="0" w:color="auto"/>
              <w:right w:val="single" w:sz="4" w:space="0" w:color="auto"/>
            </w:tcBorders>
            <w:shd w:val="clear" w:color="000000" w:fill="FFFFFF"/>
            <w:noWrap/>
            <w:vAlign w:val="center"/>
            <w:hideMark/>
          </w:tcPr>
          <w:p w14:paraId="29666A36"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Construcción De Vías De Comunicación En Proceso Bp</w:t>
            </w:r>
          </w:p>
        </w:tc>
        <w:tc>
          <w:tcPr>
            <w:tcW w:w="1140" w:type="dxa"/>
            <w:tcBorders>
              <w:top w:val="nil"/>
              <w:left w:val="nil"/>
              <w:bottom w:val="single" w:sz="4" w:space="0" w:color="auto"/>
              <w:right w:val="single" w:sz="4" w:space="0" w:color="auto"/>
            </w:tcBorders>
            <w:shd w:val="clear" w:color="000000" w:fill="FFFFFF"/>
            <w:noWrap/>
            <w:vAlign w:val="center"/>
            <w:hideMark/>
          </w:tcPr>
          <w:p w14:paraId="590553D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3C6E17C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69206E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B1EAF5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33389E8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6D72E834"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EBE9D7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3660</w:t>
            </w:r>
          </w:p>
        </w:tc>
        <w:tc>
          <w:tcPr>
            <w:tcW w:w="3220" w:type="dxa"/>
            <w:tcBorders>
              <w:top w:val="nil"/>
              <w:left w:val="nil"/>
              <w:bottom w:val="single" w:sz="4" w:space="0" w:color="auto"/>
              <w:right w:val="single" w:sz="4" w:space="0" w:color="auto"/>
            </w:tcBorders>
            <w:shd w:val="clear" w:color="000000" w:fill="FFFFFF"/>
            <w:noWrap/>
            <w:vAlign w:val="center"/>
            <w:hideMark/>
          </w:tcPr>
          <w:p w14:paraId="11ACB37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Otras Constr.Ingen. Civ. U Obra Pesada Proceso Bp</w:t>
            </w:r>
          </w:p>
        </w:tc>
        <w:tc>
          <w:tcPr>
            <w:tcW w:w="1140" w:type="dxa"/>
            <w:tcBorders>
              <w:top w:val="nil"/>
              <w:left w:val="nil"/>
              <w:bottom w:val="single" w:sz="4" w:space="0" w:color="auto"/>
              <w:right w:val="single" w:sz="4" w:space="0" w:color="auto"/>
            </w:tcBorders>
            <w:shd w:val="clear" w:color="000000" w:fill="FFFFFF"/>
            <w:noWrap/>
            <w:vAlign w:val="center"/>
            <w:hideMark/>
          </w:tcPr>
          <w:p w14:paraId="296D4A5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0C91C2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E4AFC3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DBB566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6ED6CC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531BC48E"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C4311E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3670</w:t>
            </w:r>
          </w:p>
        </w:tc>
        <w:tc>
          <w:tcPr>
            <w:tcW w:w="3220" w:type="dxa"/>
            <w:tcBorders>
              <w:top w:val="nil"/>
              <w:left w:val="nil"/>
              <w:bottom w:val="single" w:sz="4" w:space="0" w:color="auto"/>
              <w:right w:val="single" w:sz="4" w:space="0" w:color="auto"/>
            </w:tcBorders>
            <w:shd w:val="clear" w:color="000000" w:fill="FFFFFF"/>
            <w:noWrap/>
            <w:vAlign w:val="center"/>
            <w:hideMark/>
          </w:tcPr>
          <w:p w14:paraId="64125388"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Instalac. Y Equipam. En Construcc. En Proceso Bp</w:t>
            </w:r>
          </w:p>
        </w:tc>
        <w:tc>
          <w:tcPr>
            <w:tcW w:w="1140" w:type="dxa"/>
            <w:tcBorders>
              <w:top w:val="nil"/>
              <w:left w:val="nil"/>
              <w:bottom w:val="single" w:sz="4" w:space="0" w:color="auto"/>
              <w:right w:val="single" w:sz="4" w:space="0" w:color="auto"/>
            </w:tcBorders>
            <w:shd w:val="clear" w:color="000000" w:fill="FFFFFF"/>
            <w:noWrap/>
            <w:vAlign w:val="center"/>
            <w:hideMark/>
          </w:tcPr>
          <w:p w14:paraId="2E1B846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70B3A19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364AD17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F533B5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67195D4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4D2DD242"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B50670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3690</w:t>
            </w:r>
          </w:p>
        </w:tc>
        <w:tc>
          <w:tcPr>
            <w:tcW w:w="3220" w:type="dxa"/>
            <w:tcBorders>
              <w:top w:val="nil"/>
              <w:left w:val="nil"/>
              <w:bottom w:val="single" w:sz="4" w:space="0" w:color="auto"/>
              <w:right w:val="single" w:sz="4" w:space="0" w:color="auto"/>
            </w:tcBorders>
            <w:shd w:val="clear" w:color="000000" w:fill="FFFFFF"/>
            <w:noWrap/>
            <w:vAlign w:val="center"/>
            <w:hideMark/>
          </w:tcPr>
          <w:p w14:paraId="068D89E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Trab.Acabados En Edific. Y Otros Trab.Espec. Proc.</w:t>
            </w:r>
          </w:p>
        </w:tc>
        <w:tc>
          <w:tcPr>
            <w:tcW w:w="1140" w:type="dxa"/>
            <w:tcBorders>
              <w:top w:val="nil"/>
              <w:left w:val="nil"/>
              <w:bottom w:val="single" w:sz="4" w:space="0" w:color="auto"/>
              <w:right w:val="single" w:sz="4" w:space="0" w:color="auto"/>
            </w:tcBorders>
            <w:shd w:val="clear" w:color="000000" w:fill="FFFFFF"/>
            <w:noWrap/>
            <w:vAlign w:val="center"/>
            <w:hideMark/>
          </w:tcPr>
          <w:p w14:paraId="7EEF4CD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3D638E4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2F55054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BB8D22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2C622B8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20767F23"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1E8087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3900</w:t>
            </w:r>
          </w:p>
        </w:tc>
        <w:tc>
          <w:tcPr>
            <w:tcW w:w="3220" w:type="dxa"/>
            <w:tcBorders>
              <w:top w:val="nil"/>
              <w:left w:val="nil"/>
              <w:bottom w:val="single" w:sz="4" w:space="0" w:color="auto"/>
              <w:right w:val="single" w:sz="4" w:space="0" w:color="auto"/>
            </w:tcBorders>
            <w:shd w:val="clear" w:color="000000" w:fill="FFFFFF"/>
            <w:noWrap/>
            <w:vAlign w:val="center"/>
            <w:hideMark/>
          </w:tcPr>
          <w:p w14:paraId="6D9A8D6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Otro Bienes Inmuebles</w:t>
            </w:r>
          </w:p>
        </w:tc>
        <w:tc>
          <w:tcPr>
            <w:tcW w:w="1140" w:type="dxa"/>
            <w:tcBorders>
              <w:top w:val="nil"/>
              <w:left w:val="nil"/>
              <w:bottom w:val="single" w:sz="4" w:space="0" w:color="auto"/>
              <w:right w:val="single" w:sz="4" w:space="0" w:color="auto"/>
            </w:tcBorders>
            <w:shd w:val="clear" w:color="000000" w:fill="FFFFFF"/>
            <w:noWrap/>
            <w:vAlign w:val="center"/>
            <w:hideMark/>
          </w:tcPr>
          <w:p w14:paraId="5D30B61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30C55C7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1E78A36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521C1B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4B12849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4703AE2E"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CF81E1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3902</w:t>
            </w:r>
          </w:p>
        </w:tc>
        <w:tc>
          <w:tcPr>
            <w:tcW w:w="3220" w:type="dxa"/>
            <w:tcBorders>
              <w:top w:val="nil"/>
              <w:left w:val="nil"/>
              <w:bottom w:val="single" w:sz="4" w:space="0" w:color="auto"/>
              <w:right w:val="single" w:sz="4" w:space="0" w:color="auto"/>
            </w:tcBorders>
            <w:shd w:val="clear" w:color="000000" w:fill="FFFFFF"/>
            <w:noWrap/>
            <w:vAlign w:val="center"/>
            <w:hideMark/>
          </w:tcPr>
          <w:p w14:paraId="55A7DB1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Obra-Gasto Sop</w:t>
            </w:r>
          </w:p>
        </w:tc>
        <w:tc>
          <w:tcPr>
            <w:tcW w:w="1140" w:type="dxa"/>
            <w:tcBorders>
              <w:top w:val="nil"/>
              <w:left w:val="nil"/>
              <w:bottom w:val="single" w:sz="4" w:space="0" w:color="auto"/>
              <w:right w:val="single" w:sz="4" w:space="0" w:color="auto"/>
            </w:tcBorders>
            <w:shd w:val="clear" w:color="000000" w:fill="FFFFFF"/>
            <w:noWrap/>
            <w:vAlign w:val="center"/>
            <w:hideMark/>
          </w:tcPr>
          <w:p w14:paraId="238C966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373158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510ED98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1BAF97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3D0013C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4C0D8FA3"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33E025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3903</w:t>
            </w:r>
          </w:p>
        </w:tc>
        <w:tc>
          <w:tcPr>
            <w:tcW w:w="3220" w:type="dxa"/>
            <w:tcBorders>
              <w:top w:val="nil"/>
              <w:left w:val="nil"/>
              <w:bottom w:val="single" w:sz="4" w:space="0" w:color="auto"/>
              <w:right w:val="single" w:sz="4" w:space="0" w:color="auto"/>
            </w:tcBorders>
            <w:shd w:val="clear" w:color="000000" w:fill="FFFFFF"/>
            <w:noWrap/>
            <w:vAlign w:val="center"/>
            <w:hideMark/>
          </w:tcPr>
          <w:p w14:paraId="2CEC7F1A"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Obra-Gasto Itife</w:t>
            </w:r>
          </w:p>
        </w:tc>
        <w:tc>
          <w:tcPr>
            <w:tcW w:w="1140" w:type="dxa"/>
            <w:tcBorders>
              <w:top w:val="nil"/>
              <w:left w:val="nil"/>
              <w:bottom w:val="single" w:sz="4" w:space="0" w:color="auto"/>
              <w:right w:val="single" w:sz="4" w:space="0" w:color="auto"/>
            </w:tcBorders>
            <w:shd w:val="clear" w:color="000000" w:fill="FFFFFF"/>
            <w:noWrap/>
            <w:vAlign w:val="center"/>
            <w:hideMark/>
          </w:tcPr>
          <w:p w14:paraId="07D4C49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08878F6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5395507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23D9EB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30FF452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7754928D"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F4C343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4110</w:t>
            </w:r>
          </w:p>
        </w:tc>
        <w:tc>
          <w:tcPr>
            <w:tcW w:w="3220" w:type="dxa"/>
            <w:tcBorders>
              <w:top w:val="nil"/>
              <w:left w:val="nil"/>
              <w:bottom w:val="single" w:sz="4" w:space="0" w:color="auto"/>
              <w:right w:val="single" w:sz="4" w:space="0" w:color="auto"/>
            </w:tcBorders>
            <w:shd w:val="clear" w:color="000000" w:fill="FFFFFF"/>
            <w:noWrap/>
            <w:vAlign w:val="center"/>
            <w:hideMark/>
          </w:tcPr>
          <w:p w14:paraId="697BC6D8"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Muebles De Oficina Y Estantería</w:t>
            </w:r>
          </w:p>
        </w:tc>
        <w:tc>
          <w:tcPr>
            <w:tcW w:w="1140" w:type="dxa"/>
            <w:tcBorders>
              <w:top w:val="nil"/>
              <w:left w:val="nil"/>
              <w:bottom w:val="single" w:sz="4" w:space="0" w:color="auto"/>
              <w:right w:val="single" w:sz="4" w:space="0" w:color="auto"/>
            </w:tcBorders>
            <w:shd w:val="clear" w:color="000000" w:fill="FFFFFF"/>
            <w:noWrap/>
            <w:vAlign w:val="center"/>
            <w:hideMark/>
          </w:tcPr>
          <w:p w14:paraId="4C88346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04EDE0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0CA9B75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5EB994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1A63879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48EE31DA"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287130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4120</w:t>
            </w:r>
          </w:p>
        </w:tc>
        <w:tc>
          <w:tcPr>
            <w:tcW w:w="3220" w:type="dxa"/>
            <w:tcBorders>
              <w:top w:val="nil"/>
              <w:left w:val="nil"/>
              <w:bottom w:val="single" w:sz="4" w:space="0" w:color="auto"/>
              <w:right w:val="single" w:sz="4" w:space="0" w:color="auto"/>
            </w:tcBorders>
            <w:shd w:val="clear" w:color="000000" w:fill="FFFFFF"/>
            <w:noWrap/>
            <w:vAlign w:val="center"/>
            <w:hideMark/>
          </w:tcPr>
          <w:p w14:paraId="12F0B08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Muebles Excepto De Ofna Y Estanteria</w:t>
            </w:r>
          </w:p>
        </w:tc>
        <w:tc>
          <w:tcPr>
            <w:tcW w:w="1140" w:type="dxa"/>
            <w:tcBorders>
              <w:top w:val="nil"/>
              <w:left w:val="nil"/>
              <w:bottom w:val="single" w:sz="4" w:space="0" w:color="auto"/>
              <w:right w:val="single" w:sz="4" w:space="0" w:color="auto"/>
            </w:tcBorders>
            <w:shd w:val="clear" w:color="000000" w:fill="FFFFFF"/>
            <w:noWrap/>
            <w:vAlign w:val="center"/>
            <w:hideMark/>
          </w:tcPr>
          <w:p w14:paraId="36B025F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EAD9B8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053423E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C51D53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2A6D94B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113A2412"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4FB531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4130</w:t>
            </w:r>
          </w:p>
        </w:tc>
        <w:tc>
          <w:tcPr>
            <w:tcW w:w="3220" w:type="dxa"/>
            <w:tcBorders>
              <w:top w:val="nil"/>
              <w:left w:val="nil"/>
              <w:bottom w:val="single" w:sz="4" w:space="0" w:color="auto"/>
              <w:right w:val="single" w:sz="4" w:space="0" w:color="auto"/>
            </w:tcBorders>
            <w:shd w:val="clear" w:color="000000" w:fill="FFFFFF"/>
            <w:noWrap/>
            <w:vAlign w:val="center"/>
            <w:hideMark/>
          </w:tcPr>
          <w:p w14:paraId="68AF332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De Cómputo Y De Tecnologías De La Inform.</w:t>
            </w:r>
          </w:p>
        </w:tc>
        <w:tc>
          <w:tcPr>
            <w:tcW w:w="1140" w:type="dxa"/>
            <w:tcBorders>
              <w:top w:val="nil"/>
              <w:left w:val="nil"/>
              <w:bottom w:val="single" w:sz="4" w:space="0" w:color="auto"/>
              <w:right w:val="single" w:sz="4" w:space="0" w:color="auto"/>
            </w:tcBorders>
            <w:shd w:val="clear" w:color="000000" w:fill="FFFFFF"/>
            <w:noWrap/>
            <w:vAlign w:val="center"/>
            <w:hideMark/>
          </w:tcPr>
          <w:p w14:paraId="2449656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EC4409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39EFAE3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AFB2C0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50D4DD4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526EC3" w:rsidRPr="005F45A3" w14:paraId="5BCEBE33"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E86854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4190</w:t>
            </w:r>
          </w:p>
        </w:tc>
        <w:tc>
          <w:tcPr>
            <w:tcW w:w="3220" w:type="dxa"/>
            <w:tcBorders>
              <w:top w:val="nil"/>
              <w:left w:val="nil"/>
              <w:bottom w:val="single" w:sz="4" w:space="0" w:color="auto"/>
              <w:right w:val="single" w:sz="4" w:space="0" w:color="auto"/>
            </w:tcBorders>
            <w:shd w:val="clear" w:color="000000" w:fill="FFFFFF"/>
            <w:noWrap/>
            <w:vAlign w:val="center"/>
            <w:hideMark/>
          </w:tcPr>
          <w:p w14:paraId="09B2E9BB"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Otros Mobiliarios Y Equipos De Administración</w:t>
            </w:r>
          </w:p>
        </w:tc>
        <w:tc>
          <w:tcPr>
            <w:tcW w:w="1140" w:type="dxa"/>
            <w:tcBorders>
              <w:top w:val="nil"/>
              <w:left w:val="nil"/>
              <w:bottom w:val="single" w:sz="4" w:space="0" w:color="auto"/>
              <w:right w:val="single" w:sz="4" w:space="0" w:color="auto"/>
            </w:tcBorders>
            <w:shd w:val="clear" w:color="000000" w:fill="FFFFFF"/>
            <w:noWrap/>
            <w:vAlign w:val="center"/>
            <w:hideMark/>
          </w:tcPr>
          <w:p w14:paraId="2FBD599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E23BC1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0BF3B95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0190EA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7C54C9C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2D1E75" w:rsidRPr="00295AC0" w14:paraId="4A91A27B" w14:textId="77777777" w:rsidTr="00204583">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4F45EE6E" w14:textId="77777777" w:rsidR="002D1E75" w:rsidRPr="00295AC0" w:rsidRDefault="002D1E75" w:rsidP="0020458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CLASE</w:t>
            </w:r>
          </w:p>
        </w:tc>
        <w:tc>
          <w:tcPr>
            <w:tcW w:w="3220" w:type="dxa"/>
            <w:tcBorders>
              <w:top w:val="single" w:sz="4" w:space="0" w:color="auto"/>
              <w:left w:val="nil"/>
              <w:bottom w:val="single" w:sz="4" w:space="0" w:color="auto"/>
              <w:right w:val="single" w:sz="4" w:space="0" w:color="auto"/>
            </w:tcBorders>
            <w:shd w:val="clear" w:color="auto" w:fill="AB0033"/>
            <w:vAlign w:val="center"/>
            <w:hideMark/>
          </w:tcPr>
          <w:p w14:paraId="48D8DCE2" w14:textId="77777777" w:rsidR="002D1E75" w:rsidRPr="00295AC0" w:rsidRDefault="002D1E75" w:rsidP="00204583">
            <w:pPr>
              <w:spacing w:after="0" w:line="240" w:lineRule="auto"/>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 </w:t>
            </w:r>
          </w:p>
        </w:tc>
        <w:tc>
          <w:tcPr>
            <w:tcW w:w="1140" w:type="dxa"/>
            <w:tcBorders>
              <w:top w:val="single" w:sz="4" w:space="0" w:color="auto"/>
              <w:left w:val="nil"/>
              <w:bottom w:val="single" w:sz="4" w:space="0" w:color="auto"/>
              <w:right w:val="single" w:sz="4" w:space="0" w:color="auto"/>
            </w:tcBorders>
            <w:shd w:val="clear" w:color="auto" w:fill="AB0033"/>
            <w:vAlign w:val="center"/>
            <w:hideMark/>
          </w:tcPr>
          <w:p w14:paraId="429EABA9" w14:textId="77777777" w:rsidR="002D1E75" w:rsidRPr="00295AC0" w:rsidRDefault="002D1E75" w:rsidP="0020458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MÉTODO DE DEPRECIACIÓN</w:t>
            </w:r>
          </w:p>
        </w:tc>
        <w:tc>
          <w:tcPr>
            <w:tcW w:w="920" w:type="dxa"/>
            <w:tcBorders>
              <w:top w:val="single" w:sz="4" w:space="0" w:color="auto"/>
              <w:left w:val="nil"/>
              <w:bottom w:val="single" w:sz="4" w:space="0" w:color="auto"/>
              <w:right w:val="single" w:sz="4" w:space="0" w:color="auto"/>
            </w:tcBorders>
            <w:shd w:val="clear" w:color="auto" w:fill="AB0033"/>
            <w:vAlign w:val="center"/>
            <w:hideMark/>
          </w:tcPr>
          <w:p w14:paraId="5C2C38E7" w14:textId="77777777" w:rsidR="002D1E75" w:rsidRPr="00295AC0" w:rsidRDefault="002D1E75" w:rsidP="0020458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VIDA UTIL EN AÑOS</w:t>
            </w:r>
          </w:p>
        </w:tc>
        <w:tc>
          <w:tcPr>
            <w:tcW w:w="1180" w:type="dxa"/>
            <w:tcBorders>
              <w:top w:val="single" w:sz="4" w:space="0" w:color="auto"/>
              <w:left w:val="nil"/>
              <w:bottom w:val="single" w:sz="4" w:space="0" w:color="auto"/>
              <w:right w:val="single" w:sz="4" w:space="0" w:color="auto"/>
            </w:tcBorders>
            <w:shd w:val="clear" w:color="auto" w:fill="AB0033"/>
            <w:vAlign w:val="center"/>
            <w:hideMark/>
          </w:tcPr>
          <w:p w14:paraId="278FCCD6" w14:textId="77777777" w:rsidR="002D1E75" w:rsidRPr="00295AC0" w:rsidRDefault="002D1E75" w:rsidP="0020458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VALOR RESIDUAL (%)</w:t>
            </w:r>
          </w:p>
        </w:tc>
        <w:tc>
          <w:tcPr>
            <w:tcW w:w="1020" w:type="dxa"/>
            <w:tcBorders>
              <w:top w:val="single" w:sz="4" w:space="0" w:color="auto"/>
              <w:left w:val="nil"/>
              <w:bottom w:val="single" w:sz="4" w:space="0" w:color="auto"/>
              <w:right w:val="single" w:sz="4" w:space="0" w:color="auto"/>
            </w:tcBorders>
            <w:shd w:val="clear" w:color="auto" w:fill="AB0033"/>
            <w:vAlign w:val="center"/>
            <w:hideMark/>
          </w:tcPr>
          <w:p w14:paraId="52B1FC31" w14:textId="77777777" w:rsidR="002D1E75" w:rsidRPr="00295AC0" w:rsidRDefault="002D1E75" w:rsidP="0020458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DEP. ANUAL (%)</w:t>
            </w:r>
          </w:p>
        </w:tc>
        <w:tc>
          <w:tcPr>
            <w:tcW w:w="1220" w:type="dxa"/>
            <w:tcBorders>
              <w:top w:val="single" w:sz="4" w:space="0" w:color="auto"/>
              <w:left w:val="nil"/>
              <w:bottom w:val="single" w:sz="4" w:space="0" w:color="auto"/>
              <w:right w:val="single" w:sz="4" w:space="0" w:color="auto"/>
            </w:tcBorders>
            <w:shd w:val="clear" w:color="auto" w:fill="AB0033"/>
            <w:vAlign w:val="center"/>
            <w:hideMark/>
          </w:tcPr>
          <w:p w14:paraId="1124C476" w14:textId="77777777" w:rsidR="002D1E75" w:rsidRPr="00295AC0" w:rsidRDefault="002D1E75" w:rsidP="0020458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DEP.MENSUAL (%)</w:t>
            </w:r>
          </w:p>
        </w:tc>
      </w:tr>
      <w:tr w:rsidR="00526EC3" w:rsidRPr="005F45A3" w14:paraId="46898006"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56386C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4210</w:t>
            </w:r>
          </w:p>
        </w:tc>
        <w:tc>
          <w:tcPr>
            <w:tcW w:w="3220" w:type="dxa"/>
            <w:tcBorders>
              <w:top w:val="nil"/>
              <w:left w:val="nil"/>
              <w:bottom w:val="single" w:sz="4" w:space="0" w:color="auto"/>
              <w:right w:val="single" w:sz="4" w:space="0" w:color="auto"/>
            </w:tcBorders>
            <w:shd w:val="clear" w:color="000000" w:fill="FFFFFF"/>
            <w:noWrap/>
            <w:vAlign w:val="center"/>
            <w:hideMark/>
          </w:tcPr>
          <w:p w14:paraId="7635D7A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De Aparatos Audiovisuales</w:t>
            </w:r>
          </w:p>
        </w:tc>
        <w:tc>
          <w:tcPr>
            <w:tcW w:w="1140" w:type="dxa"/>
            <w:tcBorders>
              <w:top w:val="nil"/>
              <w:left w:val="nil"/>
              <w:bottom w:val="single" w:sz="4" w:space="0" w:color="auto"/>
              <w:right w:val="single" w:sz="4" w:space="0" w:color="auto"/>
            </w:tcBorders>
            <w:shd w:val="clear" w:color="000000" w:fill="FFFFFF"/>
            <w:noWrap/>
            <w:vAlign w:val="center"/>
            <w:hideMark/>
          </w:tcPr>
          <w:p w14:paraId="0AA01D2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B8C480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0FB2FD1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0A54EE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40D1AA9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7456D96F"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4014FF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4220</w:t>
            </w:r>
          </w:p>
        </w:tc>
        <w:tc>
          <w:tcPr>
            <w:tcW w:w="3220" w:type="dxa"/>
            <w:tcBorders>
              <w:top w:val="nil"/>
              <w:left w:val="nil"/>
              <w:bottom w:val="single" w:sz="4" w:space="0" w:color="auto"/>
              <w:right w:val="single" w:sz="4" w:space="0" w:color="auto"/>
            </w:tcBorders>
            <w:shd w:val="clear" w:color="000000" w:fill="FFFFFF"/>
            <w:noWrap/>
            <w:vAlign w:val="center"/>
            <w:hideMark/>
          </w:tcPr>
          <w:p w14:paraId="616615F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Aparatos Deportivos</w:t>
            </w:r>
          </w:p>
        </w:tc>
        <w:tc>
          <w:tcPr>
            <w:tcW w:w="1140" w:type="dxa"/>
            <w:tcBorders>
              <w:top w:val="nil"/>
              <w:left w:val="nil"/>
              <w:bottom w:val="single" w:sz="4" w:space="0" w:color="auto"/>
              <w:right w:val="single" w:sz="4" w:space="0" w:color="auto"/>
            </w:tcBorders>
            <w:shd w:val="clear" w:color="000000" w:fill="FFFFFF"/>
            <w:noWrap/>
            <w:vAlign w:val="center"/>
            <w:hideMark/>
          </w:tcPr>
          <w:p w14:paraId="24649C8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2D51EE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050EC76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30390B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5AD339A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526EC3" w:rsidRPr="005F45A3" w14:paraId="58A262A2"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2E0728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4230</w:t>
            </w:r>
          </w:p>
        </w:tc>
        <w:tc>
          <w:tcPr>
            <w:tcW w:w="3220" w:type="dxa"/>
            <w:tcBorders>
              <w:top w:val="nil"/>
              <w:left w:val="nil"/>
              <w:bottom w:val="single" w:sz="4" w:space="0" w:color="auto"/>
              <w:right w:val="single" w:sz="4" w:space="0" w:color="auto"/>
            </w:tcBorders>
            <w:shd w:val="clear" w:color="000000" w:fill="FFFFFF"/>
            <w:noWrap/>
            <w:vAlign w:val="center"/>
            <w:hideMark/>
          </w:tcPr>
          <w:p w14:paraId="3795B06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Cámaras Fotográficas Y De Video</w:t>
            </w:r>
          </w:p>
        </w:tc>
        <w:tc>
          <w:tcPr>
            <w:tcW w:w="1140" w:type="dxa"/>
            <w:tcBorders>
              <w:top w:val="nil"/>
              <w:left w:val="nil"/>
              <w:bottom w:val="single" w:sz="4" w:space="0" w:color="auto"/>
              <w:right w:val="single" w:sz="4" w:space="0" w:color="auto"/>
            </w:tcBorders>
            <w:shd w:val="clear" w:color="000000" w:fill="FFFFFF"/>
            <w:noWrap/>
            <w:vAlign w:val="center"/>
            <w:hideMark/>
          </w:tcPr>
          <w:p w14:paraId="049C5A3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D3D0BA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29F4D73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0F03E4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0B911A1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526EC3" w:rsidRPr="005F45A3" w14:paraId="5ECFA4EC"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8AEB3D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4290</w:t>
            </w:r>
          </w:p>
        </w:tc>
        <w:tc>
          <w:tcPr>
            <w:tcW w:w="3220" w:type="dxa"/>
            <w:tcBorders>
              <w:top w:val="nil"/>
              <w:left w:val="nil"/>
              <w:bottom w:val="single" w:sz="4" w:space="0" w:color="auto"/>
              <w:right w:val="single" w:sz="4" w:space="0" w:color="auto"/>
            </w:tcBorders>
            <w:shd w:val="clear" w:color="000000" w:fill="FFFFFF"/>
            <w:noWrap/>
            <w:vAlign w:val="center"/>
            <w:hideMark/>
          </w:tcPr>
          <w:p w14:paraId="113755BF"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Otro Mobiliario Y Equipo Educacional Y Recreativo</w:t>
            </w:r>
          </w:p>
        </w:tc>
        <w:tc>
          <w:tcPr>
            <w:tcW w:w="1140" w:type="dxa"/>
            <w:tcBorders>
              <w:top w:val="nil"/>
              <w:left w:val="nil"/>
              <w:bottom w:val="single" w:sz="4" w:space="0" w:color="auto"/>
              <w:right w:val="single" w:sz="4" w:space="0" w:color="auto"/>
            </w:tcBorders>
            <w:shd w:val="clear" w:color="000000" w:fill="FFFFFF"/>
            <w:noWrap/>
            <w:vAlign w:val="center"/>
            <w:hideMark/>
          </w:tcPr>
          <w:p w14:paraId="12E12AC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333A69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4F8B619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12CFE6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2627C57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79237B9E"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EF6D62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4310</w:t>
            </w:r>
          </w:p>
        </w:tc>
        <w:tc>
          <w:tcPr>
            <w:tcW w:w="3220" w:type="dxa"/>
            <w:tcBorders>
              <w:top w:val="nil"/>
              <w:left w:val="nil"/>
              <w:bottom w:val="single" w:sz="4" w:space="0" w:color="auto"/>
              <w:right w:val="single" w:sz="4" w:space="0" w:color="auto"/>
            </w:tcBorders>
            <w:shd w:val="clear" w:color="000000" w:fill="FFFFFF"/>
            <w:noWrap/>
            <w:vAlign w:val="center"/>
            <w:hideMark/>
          </w:tcPr>
          <w:p w14:paraId="3E81E5D7" w14:textId="4CC3EBA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Médico Y De Laboratorio</w:t>
            </w:r>
          </w:p>
        </w:tc>
        <w:tc>
          <w:tcPr>
            <w:tcW w:w="1140" w:type="dxa"/>
            <w:tcBorders>
              <w:top w:val="nil"/>
              <w:left w:val="nil"/>
              <w:bottom w:val="single" w:sz="4" w:space="0" w:color="auto"/>
              <w:right w:val="single" w:sz="4" w:space="0" w:color="auto"/>
            </w:tcBorders>
            <w:shd w:val="clear" w:color="000000" w:fill="FFFFFF"/>
            <w:noWrap/>
            <w:vAlign w:val="center"/>
            <w:hideMark/>
          </w:tcPr>
          <w:p w14:paraId="185B3CE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F3B3A0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1E2F45B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69339E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29212F6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1A0902C8"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14A655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4320</w:t>
            </w:r>
          </w:p>
        </w:tc>
        <w:tc>
          <w:tcPr>
            <w:tcW w:w="3220" w:type="dxa"/>
            <w:tcBorders>
              <w:top w:val="nil"/>
              <w:left w:val="nil"/>
              <w:bottom w:val="single" w:sz="4" w:space="0" w:color="auto"/>
              <w:right w:val="single" w:sz="4" w:space="0" w:color="auto"/>
            </w:tcBorders>
            <w:shd w:val="clear" w:color="000000" w:fill="FFFFFF"/>
            <w:noWrap/>
            <w:vAlign w:val="center"/>
            <w:hideMark/>
          </w:tcPr>
          <w:p w14:paraId="7E1FA27C"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Instrumental Médico Y De Laboratorio</w:t>
            </w:r>
          </w:p>
        </w:tc>
        <w:tc>
          <w:tcPr>
            <w:tcW w:w="1140" w:type="dxa"/>
            <w:tcBorders>
              <w:top w:val="nil"/>
              <w:left w:val="nil"/>
              <w:bottom w:val="single" w:sz="4" w:space="0" w:color="auto"/>
              <w:right w:val="single" w:sz="4" w:space="0" w:color="auto"/>
            </w:tcBorders>
            <w:shd w:val="clear" w:color="000000" w:fill="FFFFFF"/>
            <w:noWrap/>
            <w:vAlign w:val="center"/>
            <w:hideMark/>
          </w:tcPr>
          <w:p w14:paraId="1EA958F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1C8027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51140C5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92A2F6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3269A5C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526EC3" w:rsidRPr="005F45A3" w14:paraId="21406F7C"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6BC7D6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4410</w:t>
            </w:r>
          </w:p>
        </w:tc>
        <w:tc>
          <w:tcPr>
            <w:tcW w:w="3220" w:type="dxa"/>
            <w:tcBorders>
              <w:top w:val="nil"/>
              <w:left w:val="nil"/>
              <w:bottom w:val="single" w:sz="4" w:space="0" w:color="auto"/>
              <w:right w:val="single" w:sz="4" w:space="0" w:color="auto"/>
            </w:tcBorders>
            <w:shd w:val="clear" w:color="000000" w:fill="FFFFFF"/>
            <w:noWrap/>
            <w:vAlign w:val="center"/>
            <w:hideMark/>
          </w:tcPr>
          <w:p w14:paraId="6824EFCD"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Autos Para Uso Administrativo Y De Oficina</w:t>
            </w:r>
          </w:p>
        </w:tc>
        <w:tc>
          <w:tcPr>
            <w:tcW w:w="1140" w:type="dxa"/>
            <w:tcBorders>
              <w:top w:val="nil"/>
              <w:left w:val="nil"/>
              <w:bottom w:val="single" w:sz="4" w:space="0" w:color="auto"/>
              <w:right w:val="single" w:sz="4" w:space="0" w:color="auto"/>
            </w:tcBorders>
            <w:shd w:val="clear" w:color="000000" w:fill="FFFFFF"/>
            <w:noWrap/>
            <w:vAlign w:val="center"/>
            <w:hideMark/>
          </w:tcPr>
          <w:p w14:paraId="6C107B9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F61395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5FE1024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020" w:type="dxa"/>
            <w:tcBorders>
              <w:top w:val="nil"/>
              <w:left w:val="nil"/>
              <w:bottom w:val="single" w:sz="4" w:space="0" w:color="auto"/>
              <w:right w:val="single" w:sz="4" w:space="0" w:color="auto"/>
            </w:tcBorders>
            <w:shd w:val="clear" w:color="000000" w:fill="FFFFFF"/>
            <w:noWrap/>
            <w:vAlign w:val="bottom"/>
            <w:hideMark/>
          </w:tcPr>
          <w:p w14:paraId="5621A24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635A7B7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74ADA205"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001B24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4411</w:t>
            </w:r>
          </w:p>
        </w:tc>
        <w:tc>
          <w:tcPr>
            <w:tcW w:w="3220" w:type="dxa"/>
            <w:tcBorders>
              <w:top w:val="nil"/>
              <w:left w:val="nil"/>
              <w:bottom w:val="single" w:sz="4" w:space="0" w:color="auto"/>
              <w:right w:val="single" w:sz="4" w:space="0" w:color="auto"/>
            </w:tcBorders>
            <w:shd w:val="clear" w:color="000000" w:fill="FFFFFF"/>
            <w:noWrap/>
            <w:vAlign w:val="center"/>
            <w:hideMark/>
          </w:tcPr>
          <w:p w14:paraId="1C220E0A" w14:textId="58F07351"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Grúas</w:t>
            </w:r>
          </w:p>
        </w:tc>
        <w:tc>
          <w:tcPr>
            <w:tcW w:w="1140" w:type="dxa"/>
            <w:tcBorders>
              <w:top w:val="nil"/>
              <w:left w:val="nil"/>
              <w:bottom w:val="single" w:sz="4" w:space="0" w:color="auto"/>
              <w:right w:val="single" w:sz="4" w:space="0" w:color="auto"/>
            </w:tcBorders>
            <w:shd w:val="clear" w:color="000000" w:fill="FFFFFF"/>
            <w:noWrap/>
            <w:vAlign w:val="center"/>
            <w:hideMark/>
          </w:tcPr>
          <w:p w14:paraId="618155D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9C732D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29F6F14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192CB9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779A474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6A9AA135"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42D91C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4412</w:t>
            </w:r>
          </w:p>
        </w:tc>
        <w:tc>
          <w:tcPr>
            <w:tcW w:w="3220" w:type="dxa"/>
            <w:tcBorders>
              <w:top w:val="nil"/>
              <w:left w:val="nil"/>
              <w:bottom w:val="single" w:sz="4" w:space="0" w:color="auto"/>
              <w:right w:val="single" w:sz="4" w:space="0" w:color="auto"/>
            </w:tcBorders>
            <w:shd w:val="clear" w:color="000000" w:fill="FFFFFF"/>
            <w:noWrap/>
            <w:vAlign w:val="center"/>
            <w:hideMark/>
          </w:tcPr>
          <w:p w14:paraId="233E51CB"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Autobuses, Microbuses Y Vans</w:t>
            </w:r>
          </w:p>
        </w:tc>
        <w:tc>
          <w:tcPr>
            <w:tcW w:w="1140" w:type="dxa"/>
            <w:tcBorders>
              <w:top w:val="nil"/>
              <w:left w:val="nil"/>
              <w:bottom w:val="single" w:sz="4" w:space="0" w:color="auto"/>
              <w:right w:val="single" w:sz="4" w:space="0" w:color="auto"/>
            </w:tcBorders>
            <w:shd w:val="clear" w:color="000000" w:fill="FFFFFF"/>
            <w:noWrap/>
            <w:vAlign w:val="center"/>
            <w:hideMark/>
          </w:tcPr>
          <w:p w14:paraId="28D48BB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D00194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07D6D56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7C54F7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4785946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2EB5B2AB"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927692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4413</w:t>
            </w:r>
          </w:p>
        </w:tc>
        <w:tc>
          <w:tcPr>
            <w:tcW w:w="3220" w:type="dxa"/>
            <w:tcBorders>
              <w:top w:val="nil"/>
              <w:left w:val="nil"/>
              <w:bottom w:val="single" w:sz="4" w:space="0" w:color="auto"/>
              <w:right w:val="single" w:sz="4" w:space="0" w:color="auto"/>
            </w:tcBorders>
            <w:shd w:val="clear" w:color="000000" w:fill="FFFFFF"/>
            <w:noWrap/>
            <w:vAlign w:val="center"/>
            <w:hideMark/>
          </w:tcPr>
          <w:p w14:paraId="07F9395D"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Camiones De Volteo Y Carga</w:t>
            </w:r>
          </w:p>
        </w:tc>
        <w:tc>
          <w:tcPr>
            <w:tcW w:w="1140" w:type="dxa"/>
            <w:tcBorders>
              <w:top w:val="nil"/>
              <w:left w:val="nil"/>
              <w:bottom w:val="single" w:sz="4" w:space="0" w:color="auto"/>
              <w:right w:val="single" w:sz="4" w:space="0" w:color="auto"/>
            </w:tcBorders>
            <w:shd w:val="clear" w:color="000000" w:fill="FFFFFF"/>
            <w:noWrap/>
            <w:vAlign w:val="center"/>
            <w:hideMark/>
          </w:tcPr>
          <w:p w14:paraId="7F1A497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E828D7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617AD41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02774D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44BA009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28EE133D"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B940FB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4414</w:t>
            </w:r>
          </w:p>
        </w:tc>
        <w:tc>
          <w:tcPr>
            <w:tcW w:w="3220" w:type="dxa"/>
            <w:tcBorders>
              <w:top w:val="nil"/>
              <w:left w:val="nil"/>
              <w:bottom w:val="single" w:sz="4" w:space="0" w:color="auto"/>
              <w:right w:val="single" w:sz="4" w:space="0" w:color="auto"/>
            </w:tcBorders>
            <w:shd w:val="clear" w:color="000000" w:fill="FFFFFF"/>
            <w:noWrap/>
            <w:vAlign w:val="center"/>
            <w:hideMark/>
          </w:tcPr>
          <w:p w14:paraId="4A2C48F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Ambulancias</w:t>
            </w:r>
          </w:p>
        </w:tc>
        <w:tc>
          <w:tcPr>
            <w:tcW w:w="1140" w:type="dxa"/>
            <w:tcBorders>
              <w:top w:val="nil"/>
              <w:left w:val="nil"/>
              <w:bottom w:val="single" w:sz="4" w:space="0" w:color="auto"/>
              <w:right w:val="single" w:sz="4" w:space="0" w:color="auto"/>
            </w:tcBorders>
            <w:shd w:val="clear" w:color="000000" w:fill="FFFFFF"/>
            <w:noWrap/>
            <w:vAlign w:val="center"/>
            <w:hideMark/>
          </w:tcPr>
          <w:p w14:paraId="1FF7B88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D6F88A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w:t>
            </w:r>
          </w:p>
        </w:tc>
        <w:tc>
          <w:tcPr>
            <w:tcW w:w="1180" w:type="dxa"/>
            <w:tcBorders>
              <w:top w:val="nil"/>
              <w:left w:val="nil"/>
              <w:bottom w:val="single" w:sz="4" w:space="0" w:color="auto"/>
              <w:right w:val="single" w:sz="4" w:space="0" w:color="auto"/>
            </w:tcBorders>
            <w:shd w:val="clear" w:color="000000" w:fill="FFFFFF"/>
            <w:noWrap/>
            <w:vAlign w:val="center"/>
            <w:hideMark/>
          </w:tcPr>
          <w:p w14:paraId="3ADA7EE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B43571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16.67</w:t>
            </w:r>
          </w:p>
        </w:tc>
        <w:tc>
          <w:tcPr>
            <w:tcW w:w="1220" w:type="dxa"/>
            <w:tcBorders>
              <w:top w:val="nil"/>
              <w:left w:val="nil"/>
              <w:bottom w:val="single" w:sz="4" w:space="0" w:color="auto"/>
              <w:right w:val="single" w:sz="4" w:space="0" w:color="auto"/>
            </w:tcBorders>
            <w:shd w:val="clear" w:color="000000" w:fill="FFFFFF"/>
            <w:noWrap/>
            <w:vAlign w:val="bottom"/>
            <w:hideMark/>
          </w:tcPr>
          <w:p w14:paraId="1170A17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1.39</w:t>
            </w:r>
          </w:p>
        </w:tc>
      </w:tr>
      <w:tr w:rsidR="00526EC3" w:rsidRPr="005F45A3" w14:paraId="2661FD23"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064E4E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4415</w:t>
            </w:r>
          </w:p>
        </w:tc>
        <w:tc>
          <w:tcPr>
            <w:tcW w:w="3220" w:type="dxa"/>
            <w:tcBorders>
              <w:top w:val="nil"/>
              <w:left w:val="nil"/>
              <w:bottom w:val="single" w:sz="4" w:space="0" w:color="auto"/>
              <w:right w:val="single" w:sz="4" w:space="0" w:color="auto"/>
            </w:tcBorders>
            <w:shd w:val="clear" w:color="000000" w:fill="FFFFFF"/>
            <w:noWrap/>
            <w:vAlign w:val="center"/>
            <w:hideMark/>
          </w:tcPr>
          <w:p w14:paraId="49AF22CD"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Camiones De Basura</w:t>
            </w:r>
          </w:p>
        </w:tc>
        <w:tc>
          <w:tcPr>
            <w:tcW w:w="1140" w:type="dxa"/>
            <w:tcBorders>
              <w:top w:val="nil"/>
              <w:left w:val="nil"/>
              <w:bottom w:val="single" w:sz="4" w:space="0" w:color="auto"/>
              <w:right w:val="single" w:sz="4" w:space="0" w:color="auto"/>
            </w:tcBorders>
            <w:shd w:val="clear" w:color="000000" w:fill="FFFFFF"/>
            <w:noWrap/>
            <w:vAlign w:val="center"/>
            <w:hideMark/>
          </w:tcPr>
          <w:p w14:paraId="5ED6EFF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6C1646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w:t>
            </w:r>
          </w:p>
        </w:tc>
        <w:tc>
          <w:tcPr>
            <w:tcW w:w="1180" w:type="dxa"/>
            <w:tcBorders>
              <w:top w:val="nil"/>
              <w:left w:val="nil"/>
              <w:bottom w:val="single" w:sz="4" w:space="0" w:color="auto"/>
              <w:right w:val="single" w:sz="4" w:space="0" w:color="auto"/>
            </w:tcBorders>
            <w:shd w:val="clear" w:color="000000" w:fill="FFFFFF"/>
            <w:noWrap/>
            <w:vAlign w:val="center"/>
            <w:hideMark/>
          </w:tcPr>
          <w:p w14:paraId="74356C5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089B34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16.67</w:t>
            </w:r>
          </w:p>
        </w:tc>
        <w:tc>
          <w:tcPr>
            <w:tcW w:w="1220" w:type="dxa"/>
            <w:tcBorders>
              <w:top w:val="nil"/>
              <w:left w:val="nil"/>
              <w:bottom w:val="single" w:sz="4" w:space="0" w:color="auto"/>
              <w:right w:val="single" w:sz="4" w:space="0" w:color="auto"/>
            </w:tcBorders>
            <w:shd w:val="clear" w:color="000000" w:fill="FFFFFF"/>
            <w:noWrap/>
            <w:vAlign w:val="bottom"/>
            <w:hideMark/>
          </w:tcPr>
          <w:p w14:paraId="7DAE64E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1.39</w:t>
            </w:r>
          </w:p>
        </w:tc>
      </w:tr>
      <w:tr w:rsidR="00526EC3" w:rsidRPr="005F45A3" w14:paraId="2572E9F1"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838EE1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4416</w:t>
            </w:r>
          </w:p>
        </w:tc>
        <w:tc>
          <w:tcPr>
            <w:tcW w:w="3220" w:type="dxa"/>
            <w:tcBorders>
              <w:top w:val="nil"/>
              <w:left w:val="nil"/>
              <w:bottom w:val="single" w:sz="4" w:space="0" w:color="auto"/>
              <w:right w:val="single" w:sz="4" w:space="0" w:color="auto"/>
            </w:tcBorders>
            <w:shd w:val="clear" w:color="000000" w:fill="FFFFFF"/>
            <w:noWrap/>
            <w:vAlign w:val="center"/>
            <w:hideMark/>
          </w:tcPr>
          <w:p w14:paraId="5B1217E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Patrullas,Motocicletas Y Cuatrimotos</w:t>
            </w:r>
          </w:p>
        </w:tc>
        <w:tc>
          <w:tcPr>
            <w:tcW w:w="1140" w:type="dxa"/>
            <w:tcBorders>
              <w:top w:val="nil"/>
              <w:left w:val="nil"/>
              <w:bottom w:val="single" w:sz="4" w:space="0" w:color="auto"/>
              <w:right w:val="single" w:sz="4" w:space="0" w:color="auto"/>
            </w:tcBorders>
            <w:shd w:val="clear" w:color="000000" w:fill="FFFFFF"/>
            <w:noWrap/>
            <w:vAlign w:val="center"/>
            <w:hideMark/>
          </w:tcPr>
          <w:p w14:paraId="602B0FC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F09BEA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w:t>
            </w:r>
          </w:p>
        </w:tc>
        <w:tc>
          <w:tcPr>
            <w:tcW w:w="1180" w:type="dxa"/>
            <w:tcBorders>
              <w:top w:val="nil"/>
              <w:left w:val="nil"/>
              <w:bottom w:val="single" w:sz="4" w:space="0" w:color="auto"/>
              <w:right w:val="single" w:sz="4" w:space="0" w:color="auto"/>
            </w:tcBorders>
            <w:shd w:val="clear" w:color="000000" w:fill="FFFFFF"/>
            <w:noWrap/>
            <w:vAlign w:val="center"/>
            <w:hideMark/>
          </w:tcPr>
          <w:p w14:paraId="63E3F9B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w:t>
            </w:r>
          </w:p>
        </w:tc>
        <w:tc>
          <w:tcPr>
            <w:tcW w:w="1020" w:type="dxa"/>
            <w:tcBorders>
              <w:top w:val="nil"/>
              <w:left w:val="nil"/>
              <w:bottom w:val="single" w:sz="4" w:space="0" w:color="auto"/>
              <w:right w:val="single" w:sz="4" w:space="0" w:color="auto"/>
            </w:tcBorders>
            <w:shd w:val="clear" w:color="000000" w:fill="FFFFFF"/>
            <w:noWrap/>
            <w:vAlign w:val="bottom"/>
            <w:hideMark/>
          </w:tcPr>
          <w:p w14:paraId="3BEEB9D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25.00</w:t>
            </w:r>
          </w:p>
        </w:tc>
        <w:tc>
          <w:tcPr>
            <w:tcW w:w="1220" w:type="dxa"/>
            <w:tcBorders>
              <w:top w:val="nil"/>
              <w:left w:val="nil"/>
              <w:bottom w:val="single" w:sz="4" w:space="0" w:color="auto"/>
              <w:right w:val="single" w:sz="4" w:space="0" w:color="auto"/>
            </w:tcBorders>
            <w:shd w:val="clear" w:color="000000" w:fill="FFFFFF"/>
            <w:noWrap/>
            <w:vAlign w:val="bottom"/>
            <w:hideMark/>
          </w:tcPr>
          <w:p w14:paraId="505D46D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2.08</w:t>
            </w:r>
          </w:p>
        </w:tc>
      </w:tr>
      <w:tr w:rsidR="00526EC3" w:rsidRPr="005F45A3" w14:paraId="32475485"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4857B7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4420</w:t>
            </w:r>
          </w:p>
        </w:tc>
        <w:tc>
          <w:tcPr>
            <w:tcW w:w="3220" w:type="dxa"/>
            <w:tcBorders>
              <w:top w:val="nil"/>
              <w:left w:val="nil"/>
              <w:bottom w:val="single" w:sz="4" w:space="0" w:color="auto"/>
              <w:right w:val="single" w:sz="4" w:space="0" w:color="auto"/>
            </w:tcBorders>
            <w:shd w:val="clear" w:color="000000" w:fill="FFFFFF"/>
            <w:noWrap/>
            <w:vAlign w:val="center"/>
            <w:hideMark/>
          </w:tcPr>
          <w:p w14:paraId="4FDF92C6" w14:textId="50D745F3"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Carrocerías Y Remolques</w:t>
            </w:r>
          </w:p>
        </w:tc>
        <w:tc>
          <w:tcPr>
            <w:tcW w:w="1140" w:type="dxa"/>
            <w:tcBorders>
              <w:top w:val="nil"/>
              <w:left w:val="nil"/>
              <w:bottom w:val="single" w:sz="4" w:space="0" w:color="auto"/>
              <w:right w:val="single" w:sz="4" w:space="0" w:color="auto"/>
            </w:tcBorders>
            <w:shd w:val="clear" w:color="000000" w:fill="FFFFFF"/>
            <w:noWrap/>
            <w:vAlign w:val="center"/>
            <w:hideMark/>
          </w:tcPr>
          <w:p w14:paraId="4F0E956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D85E08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1403E55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w:t>
            </w:r>
          </w:p>
        </w:tc>
        <w:tc>
          <w:tcPr>
            <w:tcW w:w="1020" w:type="dxa"/>
            <w:tcBorders>
              <w:top w:val="nil"/>
              <w:left w:val="nil"/>
              <w:bottom w:val="single" w:sz="4" w:space="0" w:color="auto"/>
              <w:right w:val="single" w:sz="4" w:space="0" w:color="auto"/>
            </w:tcBorders>
            <w:shd w:val="clear" w:color="000000" w:fill="FFFFFF"/>
            <w:noWrap/>
            <w:vAlign w:val="bottom"/>
            <w:hideMark/>
          </w:tcPr>
          <w:p w14:paraId="748271A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4B4F0A3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526EC3" w:rsidRPr="005F45A3" w14:paraId="37BA75BD"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5822DC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4430</w:t>
            </w:r>
          </w:p>
        </w:tc>
        <w:tc>
          <w:tcPr>
            <w:tcW w:w="3220" w:type="dxa"/>
            <w:tcBorders>
              <w:top w:val="nil"/>
              <w:left w:val="nil"/>
              <w:bottom w:val="single" w:sz="4" w:space="0" w:color="auto"/>
              <w:right w:val="single" w:sz="4" w:space="0" w:color="auto"/>
            </w:tcBorders>
            <w:shd w:val="clear" w:color="000000" w:fill="FFFFFF"/>
            <w:noWrap/>
            <w:vAlign w:val="center"/>
            <w:hideMark/>
          </w:tcPr>
          <w:p w14:paraId="1E24409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Aeroespacial</w:t>
            </w:r>
          </w:p>
        </w:tc>
        <w:tc>
          <w:tcPr>
            <w:tcW w:w="1140" w:type="dxa"/>
            <w:tcBorders>
              <w:top w:val="nil"/>
              <w:left w:val="nil"/>
              <w:bottom w:val="single" w:sz="4" w:space="0" w:color="auto"/>
              <w:right w:val="single" w:sz="4" w:space="0" w:color="auto"/>
            </w:tcBorders>
            <w:shd w:val="clear" w:color="000000" w:fill="FFFFFF"/>
            <w:noWrap/>
            <w:vAlign w:val="center"/>
            <w:hideMark/>
          </w:tcPr>
          <w:p w14:paraId="6FCE5AA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5A77F62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472A44C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020" w:type="dxa"/>
            <w:tcBorders>
              <w:top w:val="nil"/>
              <w:left w:val="nil"/>
              <w:bottom w:val="single" w:sz="4" w:space="0" w:color="auto"/>
              <w:right w:val="single" w:sz="4" w:space="0" w:color="auto"/>
            </w:tcBorders>
            <w:shd w:val="clear" w:color="000000" w:fill="FFFFFF"/>
            <w:noWrap/>
            <w:vAlign w:val="bottom"/>
            <w:hideMark/>
          </w:tcPr>
          <w:p w14:paraId="3B9E4D2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4301D0F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526EC3" w:rsidRPr="005F45A3" w14:paraId="6C0CB535"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7439D9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4431</w:t>
            </w:r>
          </w:p>
        </w:tc>
        <w:tc>
          <w:tcPr>
            <w:tcW w:w="3220" w:type="dxa"/>
            <w:tcBorders>
              <w:top w:val="nil"/>
              <w:left w:val="nil"/>
              <w:bottom w:val="single" w:sz="4" w:space="0" w:color="auto"/>
              <w:right w:val="single" w:sz="4" w:space="0" w:color="auto"/>
            </w:tcBorders>
            <w:shd w:val="clear" w:color="000000" w:fill="FFFFFF"/>
            <w:noWrap/>
            <w:vAlign w:val="center"/>
            <w:hideMark/>
          </w:tcPr>
          <w:p w14:paraId="48027497" w14:textId="6C5DA8F2"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Vehículo Aeroespacial No Tripulado</w:t>
            </w:r>
          </w:p>
        </w:tc>
        <w:tc>
          <w:tcPr>
            <w:tcW w:w="1140" w:type="dxa"/>
            <w:tcBorders>
              <w:top w:val="nil"/>
              <w:left w:val="nil"/>
              <w:bottom w:val="single" w:sz="4" w:space="0" w:color="auto"/>
              <w:right w:val="single" w:sz="4" w:space="0" w:color="auto"/>
            </w:tcBorders>
            <w:shd w:val="clear" w:color="000000" w:fill="FFFFFF"/>
            <w:noWrap/>
            <w:vAlign w:val="center"/>
            <w:hideMark/>
          </w:tcPr>
          <w:p w14:paraId="213F958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F59341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3C3119F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2BE2C5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14B7D90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526EC3" w:rsidRPr="005F45A3" w14:paraId="7AEF6AC1"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E9094C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4440</w:t>
            </w:r>
          </w:p>
        </w:tc>
        <w:tc>
          <w:tcPr>
            <w:tcW w:w="3220" w:type="dxa"/>
            <w:tcBorders>
              <w:top w:val="nil"/>
              <w:left w:val="nil"/>
              <w:bottom w:val="single" w:sz="4" w:space="0" w:color="auto"/>
              <w:right w:val="single" w:sz="4" w:space="0" w:color="auto"/>
            </w:tcBorders>
            <w:shd w:val="clear" w:color="000000" w:fill="FFFFFF"/>
            <w:noWrap/>
            <w:vAlign w:val="center"/>
            <w:hideMark/>
          </w:tcPr>
          <w:p w14:paraId="4BA8B777"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Ferroviario</w:t>
            </w:r>
          </w:p>
        </w:tc>
        <w:tc>
          <w:tcPr>
            <w:tcW w:w="1140" w:type="dxa"/>
            <w:tcBorders>
              <w:top w:val="nil"/>
              <w:left w:val="nil"/>
              <w:bottom w:val="single" w:sz="4" w:space="0" w:color="auto"/>
              <w:right w:val="single" w:sz="4" w:space="0" w:color="auto"/>
            </w:tcBorders>
            <w:shd w:val="clear" w:color="000000" w:fill="FFFFFF"/>
            <w:noWrap/>
            <w:vAlign w:val="center"/>
            <w:hideMark/>
          </w:tcPr>
          <w:p w14:paraId="22931EE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115797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2FE23D4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5566FB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300996E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279B6106"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DDF6B3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4450</w:t>
            </w:r>
          </w:p>
        </w:tc>
        <w:tc>
          <w:tcPr>
            <w:tcW w:w="3220" w:type="dxa"/>
            <w:tcBorders>
              <w:top w:val="nil"/>
              <w:left w:val="nil"/>
              <w:bottom w:val="single" w:sz="4" w:space="0" w:color="auto"/>
              <w:right w:val="single" w:sz="4" w:space="0" w:color="auto"/>
            </w:tcBorders>
            <w:shd w:val="clear" w:color="000000" w:fill="FFFFFF"/>
            <w:noWrap/>
            <w:vAlign w:val="center"/>
            <w:hideMark/>
          </w:tcPr>
          <w:p w14:paraId="0F20A08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Embarcaciones</w:t>
            </w:r>
          </w:p>
        </w:tc>
        <w:tc>
          <w:tcPr>
            <w:tcW w:w="1140" w:type="dxa"/>
            <w:tcBorders>
              <w:top w:val="nil"/>
              <w:left w:val="nil"/>
              <w:bottom w:val="single" w:sz="4" w:space="0" w:color="auto"/>
              <w:right w:val="single" w:sz="4" w:space="0" w:color="auto"/>
            </w:tcBorders>
            <w:shd w:val="clear" w:color="000000" w:fill="FFFFFF"/>
            <w:noWrap/>
            <w:vAlign w:val="center"/>
            <w:hideMark/>
          </w:tcPr>
          <w:p w14:paraId="71BA3CF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0C0DFB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5253343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020" w:type="dxa"/>
            <w:tcBorders>
              <w:top w:val="nil"/>
              <w:left w:val="nil"/>
              <w:bottom w:val="single" w:sz="4" w:space="0" w:color="auto"/>
              <w:right w:val="single" w:sz="4" w:space="0" w:color="auto"/>
            </w:tcBorders>
            <w:shd w:val="clear" w:color="000000" w:fill="FFFFFF"/>
            <w:noWrap/>
            <w:vAlign w:val="bottom"/>
            <w:hideMark/>
          </w:tcPr>
          <w:p w14:paraId="5D0604E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4AF8031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526EC3" w:rsidRPr="005F45A3" w14:paraId="3A524EBC"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EE5EA9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4490</w:t>
            </w:r>
          </w:p>
        </w:tc>
        <w:tc>
          <w:tcPr>
            <w:tcW w:w="3220" w:type="dxa"/>
            <w:tcBorders>
              <w:top w:val="nil"/>
              <w:left w:val="nil"/>
              <w:bottom w:val="single" w:sz="4" w:space="0" w:color="auto"/>
              <w:right w:val="single" w:sz="4" w:space="0" w:color="auto"/>
            </w:tcBorders>
            <w:shd w:val="clear" w:color="000000" w:fill="FFFFFF"/>
            <w:noWrap/>
            <w:vAlign w:val="center"/>
            <w:hideMark/>
          </w:tcPr>
          <w:p w14:paraId="25655A4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Otros Equipos De Transporte</w:t>
            </w:r>
          </w:p>
        </w:tc>
        <w:tc>
          <w:tcPr>
            <w:tcW w:w="1140" w:type="dxa"/>
            <w:tcBorders>
              <w:top w:val="nil"/>
              <w:left w:val="nil"/>
              <w:bottom w:val="single" w:sz="4" w:space="0" w:color="auto"/>
              <w:right w:val="single" w:sz="4" w:space="0" w:color="auto"/>
            </w:tcBorders>
            <w:shd w:val="clear" w:color="000000" w:fill="FFFFFF"/>
            <w:noWrap/>
            <w:vAlign w:val="center"/>
            <w:hideMark/>
          </w:tcPr>
          <w:p w14:paraId="3C4625B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A2102D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0F75EE0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A3893A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278527B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54E15C10"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2A34A4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4500</w:t>
            </w:r>
          </w:p>
        </w:tc>
        <w:tc>
          <w:tcPr>
            <w:tcW w:w="3220" w:type="dxa"/>
            <w:tcBorders>
              <w:top w:val="nil"/>
              <w:left w:val="nil"/>
              <w:bottom w:val="single" w:sz="4" w:space="0" w:color="auto"/>
              <w:right w:val="single" w:sz="4" w:space="0" w:color="auto"/>
            </w:tcBorders>
            <w:shd w:val="clear" w:color="000000" w:fill="FFFFFF"/>
            <w:noWrap/>
            <w:vAlign w:val="center"/>
            <w:hideMark/>
          </w:tcPr>
          <w:p w14:paraId="4D665B2A"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De Seguridad Publica</w:t>
            </w:r>
          </w:p>
        </w:tc>
        <w:tc>
          <w:tcPr>
            <w:tcW w:w="1140" w:type="dxa"/>
            <w:tcBorders>
              <w:top w:val="nil"/>
              <w:left w:val="nil"/>
              <w:bottom w:val="single" w:sz="4" w:space="0" w:color="auto"/>
              <w:right w:val="single" w:sz="4" w:space="0" w:color="auto"/>
            </w:tcBorders>
            <w:shd w:val="clear" w:color="000000" w:fill="FFFFFF"/>
            <w:noWrap/>
            <w:vAlign w:val="center"/>
            <w:hideMark/>
          </w:tcPr>
          <w:p w14:paraId="6AC4496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73FE70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w:t>
            </w:r>
          </w:p>
        </w:tc>
        <w:tc>
          <w:tcPr>
            <w:tcW w:w="1180" w:type="dxa"/>
            <w:tcBorders>
              <w:top w:val="nil"/>
              <w:left w:val="nil"/>
              <w:bottom w:val="single" w:sz="4" w:space="0" w:color="auto"/>
              <w:right w:val="single" w:sz="4" w:space="0" w:color="auto"/>
            </w:tcBorders>
            <w:shd w:val="clear" w:color="000000" w:fill="FFFFFF"/>
            <w:noWrap/>
            <w:vAlign w:val="center"/>
            <w:hideMark/>
          </w:tcPr>
          <w:p w14:paraId="398EDAD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86D9DF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25.00</w:t>
            </w:r>
          </w:p>
        </w:tc>
        <w:tc>
          <w:tcPr>
            <w:tcW w:w="1220" w:type="dxa"/>
            <w:tcBorders>
              <w:top w:val="nil"/>
              <w:left w:val="nil"/>
              <w:bottom w:val="single" w:sz="4" w:space="0" w:color="auto"/>
              <w:right w:val="single" w:sz="4" w:space="0" w:color="auto"/>
            </w:tcBorders>
            <w:shd w:val="clear" w:color="000000" w:fill="FFFFFF"/>
            <w:noWrap/>
            <w:vAlign w:val="bottom"/>
            <w:hideMark/>
          </w:tcPr>
          <w:p w14:paraId="60526B0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2.08</w:t>
            </w:r>
          </w:p>
        </w:tc>
      </w:tr>
      <w:tr w:rsidR="00526EC3" w:rsidRPr="005F45A3" w14:paraId="430B2C62"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495AE3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4610</w:t>
            </w:r>
          </w:p>
        </w:tc>
        <w:tc>
          <w:tcPr>
            <w:tcW w:w="3220" w:type="dxa"/>
            <w:tcBorders>
              <w:top w:val="nil"/>
              <w:left w:val="nil"/>
              <w:bottom w:val="single" w:sz="4" w:space="0" w:color="auto"/>
              <w:right w:val="single" w:sz="4" w:space="0" w:color="auto"/>
            </w:tcBorders>
            <w:shd w:val="clear" w:color="000000" w:fill="FFFFFF"/>
            <w:noWrap/>
            <w:vAlign w:val="center"/>
            <w:hideMark/>
          </w:tcPr>
          <w:p w14:paraId="5D48B2F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Maquinaria Y Equipo Agropecuario</w:t>
            </w:r>
          </w:p>
        </w:tc>
        <w:tc>
          <w:tcPr>
            <w:tcW w:w="1140" w:type="dxa"/>
            <w:tcBorders>
              <w:top w:val="nil"/>
              <w:left w:val="nil"/>
              <w:bottom w:val="single" w:sz="4" w:space="0" w:color="auto"/>
              <w:right w:val="single" w:sz="4" w:space="0" w:color="auto"/>
            </w:tcBorders>
            <w:shd w:val="clear" w:color="000000" w:fill="FFFFFF"/>
            <w:noWrap/>
            <w:vAlign w:val="center"/>
            <w:hideMark/>
          </w:tcPr>
          <w:p w14:paraId="4905AE4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9FBB4C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48523D9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611658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346FE0A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71098BD6"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EB275C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4620</w:t>
            </w:r>
          </w:p>
        </w:tc>
        <w:tc>
          <w:tcPr>
            <w:tcW w:w="3220" w:type="dxa"/>
            <w:tcBorders>
              <w:top w:val="nil"/>
              <w:left w:val="nil"/>
              <w:bottom w:val="single" w:sz="4" w:space="0" w:color="auto"/>
              <w:right w:val="single" w:sz="4" w:space="0" w:color="auto"/>
            </w:tcBorders>
            <w:shd w:val="clear" w:color="000000" w:fill="FFFFFF"/>
            <w:noWrap/>
            <w:vAlign w:val="center"/>
            <w:hideMark/>
          </w:tcPr>
          <w:p w14:paraId="3F5D4CC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Maquinaria Y Equipo Industrial</w:t>
            </w:r>
          </w:p>
        </w:tc>
        <w:tc>
          <w:tcPr>
            <w:tcW w:w="1140" w:type="dxa"/>
            <w:tcBorders>
              <w:top w:val="nil"/>
              <w:left w:val="nil"/>
              <w:bottom w:val="single" w:sz="4" w:space="0" w:color="auto"/>
              <w:right w:val="single" w:sz="4" w:space="0" w:color="auto"/>
            </w:tcBorders>
            <w:shd w:val="clear" w:color="000000" w:fill="FFFFFF"/>
            <w:noWrap/>
            <w:vAlign w:val="center"/>
            <w:hideMark/>
          </w:tcPr>
          <w:p w14:paraId="79564C7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EBFA46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1913E2E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AF4BB1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09BB49C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613624F2"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646945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4630</w:t>
            </w:r>
          </w:p>
        </w:tc>
        <w:tc>
          <w:tcPr>
            <w:tcW w:w="3220" w:type="dxa"/>
            <w:tcBorders>
              <w:top w:val="nil"/>
              <w:left w:val="nil"/>
              <w:bottom w:val="single" w:sz="4" w:space="0" w:color="auto"/>
              <w:right w:val="single" w:sz="4" w:space="0" w:color="auto"/>
            </w:tcBorders>
            <w:shd w:val="clear" w:color="000000" w:fill="FFFFFF"/>
            <w:noWrap/>
            <w:vAlign w:val="center"/>
            <w:hideMark/>
          </w:tcPr>
          <w:p w14:paraId="2CB4BFC5" w14:textId="5A785C7F"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Maquinaria Y Equipo De Construcción</w:t>
            </w:r>
          </w:p>
        </w:tc>
        <w:tc>
          <w:tcPr>
            <w:tcW w:w="1140" w:type="dxa"/>
            <w:tcBorders>
              <w:top w:val="nil"/>
              <w:left w:val="nil"/>
              <w:bottom w:val="single" w:sz="4" w:space="0" w:color="auto"/>
              <w:right w:val="single" w:sz="4" w:space="0" w:color="auto"/>
            </w:tcBorders>
            <w:shd w:val="clear" w:color="000000" w:fill="FFFFFF"/>
            <w:noWrap/>
            <w:vAlign w:val="center"/>
            <w:hideMark/>
          </w:tcPr>
          <w:p w14:paraId="2D2DA1F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AAB397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7</w:t>
            </w:r>
          </w:p>
        </w:tc>
        <w:tc>
          <w:tcPr>
            <w:tcW w:w="1180" w:type="dxa"/>
            <w:tcBorders>
              <w:top w:val="nil"/>
              <w:left w:val="nil"/>
              <w:bottom w:val="single" w:sz="4" w:space="0" w:color="auto"/>
              <w:right w:val="single" w:sz="4" w:space="0" w:color="auto"/>
            </w:tcBorders>
            <w:shd w:val="clear" w:color="000000" w:fill="FFFFFF"/>
            <w:noWrap/>
            <w:vAlign w:val="center"/>
            <w:hideMark/>
          </w:tcPr>
          <w:p w14:paraId="25C7DDE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F979FD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14.29</w:t>
            </w:r>
          </w:p>
        </w:tc>
        <w:tc>
          <w:tcPr>
            <w:tcW w:w="1220" w:type="dxa"/>
            <w:tcBorders>
              <w:top w:val="nil"/>
              <w:left w:val="nil"/>
              <w:bottom w:val="single" w:sz="4" w:space="0" w:color="auto"/>
              <w:right w:val="single" w:sz="4" w:space="0" w:color="auto"/>
            </w:tcBorders>
            <w:shd w:val="clear" w:color="000000" w:fill="FFFFFF"/>
            <w:noWrap/>
            <w:vAlign w:val="bottom"/>
            <w:hideMark/>
          </w:tcPr>
          <w:p w14:paraId="76DB96D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1.19</w:t>
            </w:r>
          </w:p>
        </w:tc>
      </w:tr>
      <w:tr w:rsidR="00526EC3" w:rsidRPr="005F45A3" w14:paraId="703CAE6C"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534415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4640</w:t>
            </w:r>
          </w:p>
        </w:tc>
        <w:tc>
          <w:tcPr>
            <w:tcW w:w="3220" w:type="dxa"/>
            <w:tcBorders>
              <w:top w:val="nil"/>
              <w:left w:val="nil"/>
              <w:bottom w:val="single" w:sz="4" w:space="0" w:color="auto"/>
              <w:right w:val="single" w:sz="4" w:space="0" w:color="auto"/>
            </w:tcBorders>
            <w:shd w:val="clear" w:color="000000" w:fill="FFFFFF"/>
            <w:noWrap/>
            <w:vAlign w:val="center"/>
            <w:hideMark/>
          </w:tcPr>
          <w:p w14:paraId="70BB6FE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De Aire Acondicionado</w:t>
            </w:r>
          </w:p>
        </w:tc>
        <w:tc>
          <w:tcPr>
            <w:tcW w:w="1140" w:type="dxa"/>
            <w:tcBorders>
              <w:top w:val="nil"/>
              <w:left w:val="nil"/>
              <w:bottom w:val="single" w:sz="4" w:space="0" w:color="auto"/>
              <w:right w:val="single" w:sz="4" w:space="0" w:color="auto"/>
            </w:tcBorders>
            <w:shd w:val="clear" w:color="000000" w:fill="FFFFFF"/>
            <w:noWrap/>
            <w:vAlign w:val="center"/>
            <w:hideMark/>
          </w:tcPr>
          <w:p w14:paraId="61C023D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32AE65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3FD444A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D5B278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3D07D32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12A34085"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2FC5FF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4650</w:t>
            </w:r>
          </w:p>
        </w:tc>
        <w:tc>
          <w:tcPr>
            <w:tcW w:w="3220" w:type="dxa"/>
            <w:tcBorders>
              <w:top w:val="nil"/>
              <w:left w:val="nil"/>
              <w:bottom w:val="single" w:sz="4" w:space="0" w:color="auto"/>
              <w:right w:val="single" w:sz="4" w:space="0" w:color="auto"/>
            </w:tcBorders>
            <w:shd w:val="clear" w:color="000000" w:fill="FFFFFF"/>
            <w:noWrap/>
            <w:vAlign w:val="center"/>
            <w:hideMark/>
          </w:tcPr>
          <w:p w14:paraId="06FA74F4"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De Comunicaciones Y Telecomunicaciones</w:t>
            </w:r>
          </w:p>
        </w:tc>
        <w:tc>
          <w:tcPr>
            <w:tcW w:w="1140" w:type="dxa"/>
            <w:tcBorders>
              <w:top w:val="nil"/>
              <w:left w:val="nil"/>
              <w:bottom w:val="single" w:sz="4" w:space="0" w:color="auto"/>
              <w:right w:val="single" w:sz="4" w:space="0" w:color="auto"/>
            </w:tcBorders>
            <w:shd w:val="clear" w:color="000000" w:fill="FFFFFF"/>
            <w:noWrap/>
            <w:vAlign w:val="center"/>
            <w:hideMark/>
          </w:tcPr>
          <w:p w14:paraId="51656F8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B74ABC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w:t>
            </w:r>
          </w:p>
        </w:tc>
        <w:tc>
          <w:tcPr>
            <w:tcW w:w="1180" w:type="dxa"/>
            <w:tcBorders>
              <w:top w:val="nil"/>
              <w:left w:val="nil"/>
              <w:bottom w:val="single" w:sz="4" w:space="0" w:color="auto"/>
              <w:right w:val="single" w:sz="4" w:space="0" w:color="auto"/>
            </w:tcBorders>
            <w:shd w:val="clear" w:color="000000" w:fill="FFFFFF"/>
            <w:noWrap/>
            <w:vAlign w:val="center"/>
            <w:hideMark/>
          </w:tcPr>
          <w:p w14:paraId="05EE659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5BCB84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8.33</w:t>
            </w:r>
          </w:p>
        </w:tc>
        <w:tc>
          <w:tcPr>
            <w:tcW w:w="1220" w:type="dxa"/>
            <w:tcBorders>
              <w:top w:val="nil"/>
              <w:left w:val="nil"/>
              <w:bottom w:val="single" w:sz="4" w:space="0" w:color="auto"/>
              <w:right w:val="single" w:sz="4" w:space="0" w:color="auto"/>
            </w:tcBorders>
            <w:shd w:val="clear" w:color="000000" w:fill="FFFFFF"/>
            <w:noWrap/>
            <w:vAlign w:val="bottom"/>
            <w:hideMark/>
          </w:tcPr>
          <w:p w14:paraId="53F5AAB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0.69</w:t>
            </w:r>
          </w:p>
        </w:tc>
      </w:tr>
      <w:tr w:rsidR="00526EC3" w:rsidRPr="005F45A3" w14:paraId="6B8FBC91"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BEEE27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4660</w:t>
            </w:r>
          </w:p>
        </w:tc>
        <w:tc>
          <w:tcPr>
            <w:tcW w:w="3220" w:type="dxa"/>
            <w:tcBorders>
              <w:top w:val="nil"/>
              <w:left w:val="nil"/>
              <w:bottom w:val="single" w:sz="4" w:space="0" w:color="auto"/>
              <w:right w:val="single" w:sz="4" w:space="0" w:color="auto"/>
            </w:tcBorders>
            <w:shd w:val="clear" w:color="000000" w:fill="FFFFFF"/>
            <w:noWrap/>
            <w:vAlign w:val="center"/>
            <w:hideMark/>
          </w:tcPr>
          <w:p w14:paraId="3672D941" w14:textId="7ADB98C3"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Eq.De Generación Eléctrica, Aparatos Y Accesorios</w:t>
            </w:r>
          </w:p>
        </w:tc>
        <w:tc>
          <w:tcPr>
            <w:tcW w:w="1140" w:type="dxa"/>
            <w:tcBorders>
              <w:top w:val="nil"/>
              <w:left w:val="nil"/>
              <w:bottom w:val="single" w:sz="4" w:space="0" w:color="auto"/>
              <w:right w:val="single" w:sz="4" w:space="0" w:color="auto"/>
            </w:tcBorders>
            <w:shd w:val="clear" w:color="000000" w:fill="FFFFFF"/>
            <w:noWrap/>
            <w:vAlign w:val="center"/>
            <w:hideMark/>
          </w:tcPr>
          <w:p w14:paraId="6F056D4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E3E0E6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6DBAE4D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5E94BF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5214305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526C95A0"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441F8A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4670</w:t>
            </w:r>
          </w:p>
        </w:tc>
        <w:tc>
          <w:tcPr>
            <w:tcW w:w="3220" w:type="dxa"/>
            <w:tcBorders>
              <w:top w:val="nil"/>
              <w:left w:val="nil"/>
              <w:bottom w:val="single" w:sz="4" w:space="0" w:color="auto"/>
              <w:right w:val="single" w:sz="4" w:space="0" w:color="auto"/>
            </w:tcBorders>
            <w:shd w:val="clear" w:color="000000" w:fill="FFFFFF"/>
            <w:noWrap/>
            <w:vAlign w:val="center"/>
            <w:hideMark/>
          </w:tcPr>
          <w:p w14:paraId="71EC900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Herramientas Y Máquinas-Herramienta</w:t>
            </w:r>
          </w:p>
        </w:tc>
        <w:tc>
          <w:tcPr>
            <w:tcW w:w="1140" w:type="dxa"/>
            <w:tcBorders>
              <w:top w:val="nil"/>
              <w:left w:val="nil"/>
              <w:bottom w:val="single" w:sz="4" w:space="0" w:color="auto"/>
              <w:right w:val="single" w:sz="4" w:space="0" w:color="auto"/>
            </w:tcBorders>
            <w:shd w:val="clear" w:color="000000" w:fill="FFFFFF"/>
            <w:noWrap/>
            <w:vAlign w:val="center"/>
            <w:hideMark/>
          </w:tcPr>
          <w:p w14:paraId="1B5F592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3ED095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278CEB7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432BE7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09C129C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526EC3" w:rsidRPr="005F45A3" w14:paraId="275E96AE"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AB50F4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4690</w:t>
            </w:r>
          </w:p>
        </w:tc>
        <w:tc>
          <w:tcPr>
            <w:tcW w:w="3220" w:type="dxa"/>
            <w:tcBorders>
              <w:top w:val="nil"/>
              <w:left w:val="nil"/>
              <w:bottom w:val="single" w:sz="4" w:space="0" w:color="auto"/>
              <w:right w:val="single" w:sz="4" w:space="0" w:color="auto"/>
            </w:tcBorders>
            <w:shd w:val="clear" w:color="000000" w:fill="FFFFFF"/>
            <w:noWrap/>
            <w:vAlign w:val="center"/>
            <w:hideMark/>
          </w:tcPr>
          <w:p w14:paraId="7F176C01" w14:textId="39138079"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De Medición</w:t>
            </w:r>
          </w:p>
        </w:tc>
        <w:tc>
          <w:tcPr>
            <w:tcW w:w="1140" w:type="dxa"/>
            <w:tcBorders>
              <w:top w:val="nil"/>
              <w:left w:val="nil"/>
              <w:bottom w:val="single" w:sz="4" w:space="0" w:color="auto"/>
              <w:right w:val="single" w:sz="4" w:space="0" w:color="auto"/>
            </w:tcBorders>
            <w:shd w:val="clear" w:color="000000" w:fill="FFFFFF"/>
            <w:noWrap/>
            <w:vAlign w:val="center"/>
            <w:hideMark/>
          </w:tcPr>
          <w:p w14:paraId="40976D6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C4DF39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7</w:t>
            </w:r>
          </w:p>
        </w:tc>
        <w:tc>
          <w:tcPr>
            <w:tcW w:w="1180" w:type="dxa"/>
            <w:tcBorders>
              <w:top w:val="nil"/>
              <w:left w:val="nil"/>
              <w:bottom w:val="single" w:sz="4" w:space="0" w:color="auto"/>
              <w:right w:val="single" w:sz="4" w:space="0" w:color="auto"/>
            </w:tcBorders>
            <w:shd w:val="clear" w:color="000000" w:fill="FFFFFF"/>
            <w:noWrap/>
            <w:vAlign w:val="center"/>
            <w:hideMark/>
          </w:tcPr>
          <w:p w14:paraId="2586F7D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5DFDDD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14.29</w:t>
            </w:r>
          </w:p>
        </w:tc>
        <w:tc>
          <w:tcPr>
            <w:tcW w:w="1220" w:type="dxa"/>
            <w:tcBorders>
              <w:top w:val="nil"/>
              <w:left w:val="nil"/>
              <w:bottom w:val="single" w:sz="4" w:space="0" w:color="auto"/>
              <w:right w:val="single" w:sz="4" w:space="0" w:color="auto"/>
            </w:tcBorders>
            <w:shd w:val="clear" w:color="000000" w:fill="FFFFFF"/>
            <w:noWrap/>
            <w:vAlign w:val="bottom"/>
            <w:hideMark/>
          </w:tcPr>
          <w:p w14:paraId="384E1A9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1.19</w:t>
            </w:r>
          </w:p>
        </w:tc>
      </w:tr>
      <w:tr w:rsidR="00526EC3" w:rsidRPr="005F45A3" w14:paraId="2825935F"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2C74EC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4710</w:t>
            </w:r>
          </w:p>
        </w:tc>
        <w:tc>
          <w:tcPr>
            <w:tcW w:w="3220" w:type="dxa"/>
            <w:tcBorders>
              <w:top w:val="nil"/>
              <w:left w:val="nil"/>
              <w:bottom w:val="single" w:sz="4" w:space="0" w:color="auto"/>
              <w:right w:val="single" w:sz="4" w:space="0" w:color="auto"/>
            </w:tcBorders>
            <w:shd w:val="clear" w:color="000000" w:fill="FFFFFF"/>
            <w:noWrap/>
            <w:vAlign w:val="center"/>
            <w:hideMark/>
          </w:tcPr>
          <w:p w14:paraId="6326F426" w14:textId="2AE07F4E"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Bienes Artísticos, Culturales Y Científicos</w:t>
            </w:r>
          </w:p>
        </w:tc>
        <w:tc>
          <w:tcPr>
            <w:tcW w:w="1140" w:type="dxa"/>
            <w:tcBorders>
              <w:top w:val="nil"/>
              <w:left w:val="nil"/>
              <w:bottom w:val="single" w:sz="4" w:space="0" w:color="auto"/>
              <w:right w:val="single" w:sz="4" w:space="0" w:color="auto"/>
            </w:tcBorders>
            <w:shd w:val="clear" w:color="000000" w:fill="FFFFFF"/>
            <w:noWrap/>
            <w:vAlign w:val="center"/>
            <w:hideMark/>
          </w:tcPr>
          <w:p w14:paraId="6871426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5C0C3E4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CBE2F1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721648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2719E9A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7E3E5D3"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49365F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4720</w:t>
            </w:r>
          </w:p>
        </w:tc>
        <w:tc>
          <w:tcPr>
            <w:tcW w:w="3220" w:type="dxa"/>
            <w:tcBorders>
              <w:top w:val="nil"/>
              <w:left w:val="nil"/>
              <w:bottom w:val="single" w:sz="4" w:space="0" w:color="auto"/>
              <w:right w:val="single" w:sz="4" w:space="0" w:color="auto"/>
            </w:tcBorders>
            <w:shd w:val="clear" w:color="000000" w:fill="FFFFFF"/>
            <w:noWrap/>
            <w:vAlign w:val="center"/>
            <w:hideMark/>
          </w:tcPr>
          <w:p w14:paraId="65BBDFB7"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Objetos De Valor</w:t>
            </w:r>
          </w:p>
        </w:tc>
        <w:tc>
          <w:tcPr>
            <w:tcW w:w="1140" w:type="dxa"/>
            <w:tcBorders>
              <w:top w:val="nil"/>
              <w:left w:val="nil"/>
              <w:bottom w:val="single" w:sz="4" w:space="0" w:color="auto"/>
              <w:right w:val="single" w:sz="4" w:space="0" w:color="auto"/>
            </w:tcBorders>
            <w:shd w:val="clear" w:color="000000" w:fill="FFFFFF"/>
            <w:noWrap/>
            <w:vAlign w:val="center"/>
            <w:hideMark/>
          </w:tcPr>
          <w:p w14:paraId="73825CA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B293F1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2866600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A7F8E9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A8E15B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253EF356"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CF4890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4810</w:t>
            </w:r>
          </w:p>
        </w:tc>
        <w:tc>
          <w:tcPr>
            <w:tcW w:w="3220" w:type="dxa"/>
            <w:tcBorders>
              <w:top w:val="nil"/>
              <w:left w:val="nil"/>
              <w:bottom w:val="single" w:sz="4" w:space="0" w:color="auto"/>
              <w:right w:val="single" w:sz="4" w:space="0" w:color="auto"/>
            </w:tcBorders>
            <w:shd w:val="clear" w:color="000000" w:fill="FFFFFF"/>
            <w:noWrap/>
            <w:vAlign w:val="center"/>
            <w:hideMark/>
          </w:tcPr>
          <w:p w14:paraId="5C3A707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Bovinos</w:t>
            </w:r>
          </w:p>
        </w:tc>
        <w:tc>
          <w:tcPr>
            <w:tcW w:w="1140" w:type="dxa"/>
            <w:tcBorders>
              <w:top w:val="nil"/>
              <w:left w:val="nil"/>
              <w:bottom w:val="single" w:sz="4" w:space="0" w:color="auto"/>
              <w:right w:val="single" w:sz="4" w:space="0" w:color="auto"/>
            </w:tcBorders>
            <w:shd w:val="clear" w:color="000000" w:fill="FFFFFF"/>
            <w:noWrap/>
            <w:vAlign w:val="center"/>
            <w:hideMark/>
          </w:tcPr>
          <w:p w14:paraId="48F88C2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0225534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CF819C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5023C2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1CB09A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7ECDE1D0"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B09FAA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4820</w:t>
            </w:r>
          </w:p>
        </w:tc>
        <w:tc>
          <w:tcPr>
            <w:tcW w:w="3220" w:type="dxa"/>
            <w:tcBorders>
              <w:top w:val="nil"/>
              <w:left w:val="nil"/>
              <w:bottom w:val="single" w:sz="4" w:space="0" w:color="auto"/>
              <w:right w:val="single" w:sz="4" w:space="0" w:color="auto"/>
            </w:tcBorders>
            <w:shd w:val="clear" w:color="000000" w:fill="FFFFFF"/>
            <w:noWrap/>
            <w:vAlign w:val="center"/>
            <w:hideMark/>
          </w:tcPr>
          <w:p w14:paraId="48E13B98"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Porcinos</w:t>
            </w:r>
          </w:p>
        </w:tc>
        <w:tc>
          <w:tcPr>
            <w:tcW w:w="1140" w:type="dxa"/>
            <w:tcBorders>
              <w:top w:val="nil"/>
              <w:left w:val="nil"/>
              <w:bottom w:val="single" w:sz="4" w:space="0" w:color="auto"/>
              <w:right w:val="single" w:sz="4" w:space="0" w:color="auto"/>
            </w:tcBorders>
            <w:shd w:val="clear" w:color="000000" w:fill="FFFFFF"/>
            <w:noWrap/>
            <w:vAlign w:val="center"/>
            <w:hideMark/>
          </w:tcPr>
          <w:p w14:paraId="03B8242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4A4F3E7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D1C165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9923A3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9D0EAD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1F38093B"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B5CF31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4830</w:t>
            </w:r>
          </w:p>
        </w:tc>
        <w:tc>
          <w:tcPr>
            <w:tcW w:w="3220" w:type="dxa"/>
            <w:tcBorders>
              <w:top w:val="nil"/>
              <w:left w:val="nil"/>
              <w:bottom w:val="single" w:sz="4" w:space="0" w:color="auto"/>
              <w:right w:val="single" w:sz="4" w:space="0" w:color="auto"/>
            </w:tcBorders>
            <w:shd w:val="clear" w:color="000000" w:fill="FFFFFF"/>
            <w:noWrap/>
            <w:vAlign w:val="center"/>
            <w:hideMark/>
          </w:tcPr>
          <w:p w14:paraId="77E7271A"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Aves</w:t>
            </w:r>
          </w:p>
        </w:tc>
        <w:tc>
          <w:tcPr>
            <w:tcW w:w="1140" w:type="dxa"/>
            <w:tcBorders>
              <w:top w:val="nil"/>
              <w:left w:val="nil"/>
              <w:bottom w:val="single" w:sz="4" w:space="0" w:color="auto"/>
              <w:right w:val="single" w:sz="4" w:space="0" w:color="auto"/>
            </w:tcBorders>
            <w:shd w:val="clear" w:color="000000" w:fill="FFFFFF"/>
            <w:noWrap/>
            <w:vAlign w:val="center"/>
            <w:hideMark/>
          </w:tcPr>
          <w:p w14:paraId="79D3F78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53CC8D4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9559BE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44B2AC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22B5458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47F3DD6C"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3C6EC1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4840</w:t>
            </w:r>
          </w:p>
        </w:tc>
        <w:tc>
          <w:tcPr>
            <w:tcW w:w="3220" w:type="dxa"/>
            <w:tcBorders>
              <w:top w:val="nil"/>
              <w:left w:val="nil"/>
              <w:bottom w:val="single" w:sz="4" w:space="0" w:color="auto"/>
              <w:right w:val="single" w:sz="4" w:space="0" w:color="auto"/>
            </w:tcBorders>
            <w:shd w:val="clear" w:color="000000" w:fill="FFFFFF"/>
            <w:noWrap/>
            <w:vAlign w:val="center"/>
            <w:hideMark/>
          </w:tcPr>
          <w:p w14:paraId="415BBEB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Ovinos Y Caprinos</w:t>
            </w:r>
          </w:p>
        </w:tc>
        <w:tc>
          <w:tcPr>
            <w:tcW w:w="1140" w:type="dxa"/>
            <w:tcBorders>
              <w:top w:val="nil"/>
              <w:left w:val="nil"/>
              <w:bottom w:val="single" w:sz="4" w:space="0" w:color="auto"/>
              <w:right w:val="single" w:sz="4" w:space="0" w:color="auto"/>
            </w:tcBorders>
            <w:shd w:val="clear" w:color="000000" w:fill="FFFFFF"/>
            <w:noWrap/>
            <w:vAlign w:val="center"/>
            <w:hideMark/>
          </w:tcPr>
          <w:p w14:paraId="77AF56B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C9E1F6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9271DA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CA9D08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9B1E03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931206E"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182559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4850</w:t>
            </w:r>
          </w:p>
        </w:tc>
        <w:tc>
          <w:tcPr>
            <w:tcW w:w="3220" w:type="dxa"/>
            <w:tcBorders>
              <w:top w:val="nil"/>
              <w:left w:val="nil"/>
              <w:bottom w:val="single" w:sz="4" w:space="0" w:color="auto"/>
              <w:right w:val="single" w:sz="4" w:space="0" w:color="auto"/>
            </w:tcBorders>
            <w:shd w:val="clear" w:color="000000" w:fill="FFFFFF"/>
            <w:noWrap/>
            <w:vAlign w:val="center"/>
            <w:hideMark/>
          </w:tcPr>
          <w:p w14:paraId="301A8E7F"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Peces Y Acuicultura</w:t>
            </w:r>
          </w:p>
        </w:tc>
        <w:tc>
          <w:tcPr>
            <w:tcW w:w="1140" w:type="dxa"/>
            <w:tcBorders>
              <w:top w:val="nil"/>
              <w:left w:val="nil"/>
              <w:bottom w:val="single" w:sz="4" w:space="0" w:color="auto"/>
              <w:right w:val="single" w:sz="4" w:space="0" w:color="auto"/>
            </w:tcBorders>
            <w:shd w:val="clear" w:color="000000" w:fill="FFFFFF"/>
            <w:noWrap/>
            <w:vAlign w:val="center"/>
            <w:hideMark/>
          </w:tcPr>
          <w:p w14:paraId="05D975B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0286476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46CE97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1447D6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B8BB1D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785AC40C"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CB5C15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4860</w:t>
            </w:r>
          </w:p>
        </w:tc>
        <w:tc>
          <w:tcPr>
            <w:tcW w:w="3220" w:type="dxa"/>
            <w:tcBorders>
              <w:top w:val="nil"/>
              <w:left w:val="nil"/>
              <w:bottom w:val="single" w:sz="4" w:space="0" w:color="auto"/>
              <w:right w:val="single" w:sz="4" w:space="0" w:color="auto"/>
            </w:tcBorders>
            <w:shd w:val="clear" w:color="000000" w:fill="FFFFFF"/>
            <w:noWrap/>
            <w:vAlign w:val="center"/>
            <w:hideMark/>
          </w:tcPr>
          <w:p w14:paraId="23C765AD"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Equinos</w:t>
            </w:r>
          </w:p>
        </w:tc>
        <w:tc>
          <w:tcPr>
            <w:tcW w:w="1140" w:type="dxa"/>
            <w:tcBorders>
              <w:top w:val="nil"/>
              <w:left w:val="nil"/>
              <w:bottom w:val="single" w:sz="4" w:space="0" w:color="auto"/>
              <w:right w:val="single" w:sz="4" w:space="0" w:color="auto"/>
            </w:tcBorders>
            <w:shd w:val="clear" w:color="000000" w:fill="FFFFFF"/>
            <w:noWrap/>
            <w:vAlign w:val="center"/>
            <w:hideMark/>
          </w:tcPr>
          <w:p w14:paraId="3394585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5D0EE2A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F1A8FC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90A1D4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74122D2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5DB70E71"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D1FF7D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4870</w:t>
            </w:r>
          </w:p>
        </w:tc>
        <w:tc>
          <w:tcPr>
            <w:tcW w:w="3220" w:type="dxa"/>
            <w:tcBorders>
              <w:top w:val="nil"/>
              <w:left w:val="nil"/>
              <w:bottom w:val="single" w:sz="4" w:space="0" w:color="auto"/>
              <w:right w:val="single" w:sz="4" w:space="0" w:color="auto"/>
            </w:tcBorders>
            <w:shd w:val="clear" w:color="000000" w:fill="FFFFFF"/>
            <w:noWrap/>
            <w:vAlign w:val="center"/>
            <w:hideMark/>
          </w:tcPr>
          <w:p w14:paraId="5E74F50F" w14:textId="3EB19DD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Especies Menores Y De Zoológico</w:t>
            </w:r>
          </w:p>
        </w:tc>
        <w:tc>
          <w:tcPr>
            <w:tcW w:w="1140" w:type="dxa"/>
            <w:tcBorders>
              <w:top w:val="nil"/>
              <w:left w:val="nil"/>
              <w:bottom w:val="single" w:sz="4" w:space="0" w:color="auto"/>
              <w:right w:val="single" w:sz="4" w:space="0" w:color="auto"/>
            </w:tcBorders>
            <w:shd w:val="clear" w:color="000000" w:fill="FFFFFF"/>
            <w:noWrap/>
            <w:vAlign w:val="center"/>
            <w:hideMark/>
          </w:tcPr>
          <w:p w14:paraId="47EA327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7E9FD0C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4196DA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E90C08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237474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474AEC93"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2B1EB1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4880</w:t>
            </w:r>
          </w:p>
        </w:tc>
        <w:tc>
          <w:tcPr>
            <w:tcW w:w="3220" w:type="dxa"/>
            <w:tcBorders>
              <w:top w:val="nil"/>
              <w:left w:val="nil"/>
              <w:bottom w:val="single" w:sz="4" w:space="0" w:color="auto"/>
              <w:right w:val="single" w:sz="4" w:space="0" w:color="auto"/>
            </w:tcBorders>
            <w:shd w:val="clear" w:color="000000" w:fill="FFFFFF"/>
            <w:noWrap/>
            <w:vAlign w:val="center"/>
            <w:hideMark/>
          </w:tcPr>
          <w:p w14:paraId="0E952D6C"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Arboles Y Plantas</w:t>
            </w:r>
          </w:p>
        </w:tc>
        <w:tc>
          <w:tcPr>
            <w:tcW w:w="1140" w:type="dxa"/>
            <w:tcBorders>
              <w:top w:val="nil"/>
              <w:left w:val="nil"/>
              <w:bottom w:val="single" w:sz="4" w:space="0" w:color="auto"/>
              <w:right w:val="single" w:sz="4" w:space="0" w:color="auto"/>
            </w:tcBorders>
            <w:shd w:val="clear" w:color="000000" w:fill="FFFFFF"/>
            <w:noWrap/>
            <w:vAlign w:val="center"/>
            <w:hideMark/>
          </w:tcPr>
          <w:p w14:paraId="0BFC4E1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94BC71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B2223F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7CB57D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EF565B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5DEF76DD"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062A2D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4890</w:t>
            </w:r>
          </w:p>
        </w:tc>
        <w:tc>
          <w:tcPr>
            <w:tcW w:w="3220" w:type="dxa"/>
            <w:tcBorders>
              <w:top w:val="nil"/>
              <w:left w:val="nil"/>
              <w:bottom w:val="single" w:sz="4" w:space="0" w:color="auto"/>
              <w:right w:val="single" w:sz="4" w:space="0" w:color="auto"/>
            </w:tcBorders>
            <w:shd w:val="clear" w:color="000000" w:fill="FFFFFF"/>
            <w:noWrap/>
            <w:vAlign w:val="center"/>
            <w:hideMark/>
          </w:tcPr>
          <w:p w14:paraId="030EBB80"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Otros Activos Biológicos Flora Y Fauna</w:t>
            </w:r>
          </w:p>
        </w:tc>
        <w:tc>
          <w:tcPr>
            <w:tcW w:w="1140" w:type="dxa"/>
            <w:tcBorders>
              <w:top w:val="nil"/>
              <w:left w:val="nil"/>
              <w:bottom w:val="single" w:sz="4" w:space="0" w:color="auto"/>
              <w:right w:val="single" w:sz="4" w:space="0" w:color="auto"/>
            </w:tcBorders>
            <w:shd w:val="clear" w:color="000000" w:fill="FFFFFF"/>
            <w:noWrap/>
            <w:vAlign w:val="center"/>
            <w:hideMark/>
          </w:tcPr>
          <w:p w14:paraId="673BCE5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7C683D0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45F9CFF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BAD21C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BF4EB3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BF13110"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6AFE1B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5100</w:t>
            </w:r>
          </w:p>
        </w:tc>
        <w:tc>
          <w:tcPr>
            <w:tcW w:w="3220" w:type="dxa"/>
            <w:tcBorders>
              <w:top w:val="nil"/>
              <w:left w:val="nil"/>
              <w:bottom w:val="single" w:sz="4" w:space="0" w:color="auto"/>
              <w:right w:val="single" w:sz="4" w:space="0" w:color="auto"/>
            </w:tcBorders>
            <w:shd w:val="clear" w:color="000000" w:fill="FFFFFF"/>
            <w:noWrap/>
            <w:vAlign w:val="center"/>
            <w:hideMark/>
          </w:tcPr>
          <w:p w14:paraId="6473E740"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Software</w:t>
            </w:r>
          </w:p>
        </w:tc>
        <w:tc>
          <w:tcPr>
            <w:tcW w:w="1140" w:type="dxa"/>
            <w:tcBorders>
              <w:top w:val="nil"/>
              <w:left w:val="nil"/>
              <w:bottom w:val="single" w:sz="4" w:space="0" w:color="auto"/>
              <w:right w:val="single" w:sz="4" w:space="0" w:color="auto"/>
            </w:tcBorders>
            <w:shd w:val="clear" w:color="000000" w:fill="FFFFFF"/>
            <w:noWrap/>
            <w:vAlign w:val="center"/>
            <w:hideMark/>
          </w:tcPr>
          <w:p w14:paraId="4D7B690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279F9A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6C6B650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F0F332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100.00</w:t>
            </w:r>
          </w:p>
        </w:tc>
        <w:tc>
          <w:tcPr>
            <w:tcW w:w="1220" w:type="dxa"/>
            <w:tcBorders>
              <w:top w:val="nil"/>
              <w:left w:val="nil"/>
              <w:bottom w:val="single" w:sz="4" w:space="0" w:color="auto"/>
              <w:right w:val="single" w:sz="4" w:space="0" w:color="auto"/>
            </w:tcBorders>
            <w:shd w:val="clear" w:color="000000" w:fill="FFFFFF"/>
            <w:noWrap/>
            <w:vAlign w:val="bottom"/>
            <w:hideMark/>
          </w:tcPr>
          <w:p w14:paraId="3529496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8.33</w:t>
            </w:r>
          </w:p>
        </w:tc>
      </w:tr>
      <w:tr w:rsidR="00526EC3" w:rsidRPr="005F45A3" w14:paraId="00C3E817"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EF3DAF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5210</w:t>
            </w:r>
          </w:p>
        </w:tc>
        <w:tc>
          <w:tcPr>
            <w:tcW w:w="3220" w:type="dxa"/>
            <w:tcBorders>
              <w:top w:val="nil"/>
              <w:left w:val="nil"/>
              <w:bottom w:val="single" w:sz="4" w:space="0" w:color="auto"/>
              <w:right w:val="single" w:sz="4" w:space="0" w:color="auto"/>
            </w:tcBorders>
            <w:shd w:val="clear" w:color="000000" w:fill="FFFFFF"/>
            <w:noWrap/>
            <w:vAlign w:val="center"/>
            <w:hideMark/>
          </w:tcPr>
          <w:p w14:paraId="2C246A16"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Patentes</w:t>
            </w:r>
          </w:p>
        </w:tc>
        <w:tc>
          <w:tcPr>
            <w:tcW w:w="1140" w:type="dxa"/>
            <w:tcBorders>
              <w:top w:val="nil"/>
              <w:left w:val="nil"/>
              <w:bottom w:val="single" w:sz="4" w:space="0" w:color="auto"/>
              <w:right w:val="single" w:sz="4" w:space="0" w:color="auto"/>
            </w:tcBorders>
            <w:shd w:val="clear" w:color="000000" w:fill="FFFFFF"/>
            <w:noWrap/>
            <w:vAlign w:val="center"/>
            <w:hideMark/>
          </w:tcPr>
          <w:p w14:paraId="0C06897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1D53C6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C7C0E6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E4108A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7FF54E2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24C50453"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6AB7D9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5220</w:t>
            </w:r>
          </w:p>
        </w:tc>
        <w:tc>
          <w:tcPr>
            <w:tcW w:w="3220" w:type="dxa"/>
            <w:tcBorders>
              <w:top w:val="nil"/>
              <w:left w:val="nil"/>
              <w:bottom w:val="single" w:sz="4" w:space="0" w:color="auto"/>
              <w:right w:val="single" w:sz="4" w:space="0" w:color="auto"/>
            </w:tcBorders>
            <w:shd w:val="clear" w:color="000000" w:fill="FFFFFF"/>
            <w:noWrap/>
            <w:vAlign w:val="center"/>
            <w:hideMark/>
          </w:tcPr>
          <w:p w14:paraId="2BFCFAE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Marcas</w:t>
            </w:r>
          </w:p>
        </w:tc>
        <w:tc>
          <w:tcPr>
            <w:tcW w:w="1140" w:type="dxa"/>
            <w:tcBorders>
              <w:top w:val="nil"/>
              <w:left w:val="nil"/>
              <w:bottom w:val="single" w:sz="4" w:space="0" w:color="auto"/>
              <w:right w:val="single" w:sz="4" w:space="0" w:color="auto"/>
            </w:tcBorders>
            <w:shd w:val="clear" w:color="000000" w:fill="FFFFFF"/>
            <w:noWrap/>
            <w:vAlign w:val="center"/>
            <w:hideMark/>
          </w:tcPr>
          <w:p w14:paraId="2331F2B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E383F6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EE60B3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A4A30C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B3E014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E5D2674"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543A8B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5230</w:t>
            </w:r>
          </w:p>
        </w:tc>
        <w:tc>
          <w:tcPr>
            <w:tcW w:w="3220" w:type="dxa"/>
            <w:tcBorders>
              <w:top w:val="nil"/>
              <w:left w:val="nil"/>
              <w:bottom w:val="single" w:sz="4" w:space="0" w:color="auto"/>
              <w:right w:val="single" w:sz="4" w:space="0" w:color="auto"/>
            </w:tcBorders>
            <w:shd w:val="clear" w:color="000000" w:fill="FFFFFF"/>
            <w:noWrap/>
            <w:vAlign w:val="center"/>
            <w:hideMark/>
          </w:tcPr>
          <w:p w14:paraId="7FAC2FAC"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Derechos</w:t>
            </w:r>
          </w:p>
        </w:tc>
        <w:tc>
          <w:tcPr>
            <w:tcW w:w="1140" w:type="dxa"/>
            <w:tcBorders>
              <w:top w:val="nil"/>
              <w:left w:val="nil"/>
              <w:bottom w:val="single" w:sz="4" w:space="0" w:color="auto"/>
              <w:right w:val="single" w:sz="4" w:space="0" w:color="auto"/>
            </w:tcBorders>
            <w:shd w:val="clear" w:color="000000" w:fill="FFFFFF"/>
            <w:noWrap/>
            <w:vAlign w:val="center"/>
            <w:hideMark/>
          </w:tcPr>
          <w:p w14:paraId="0BADC65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49F680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267902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A11919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7F0C1A6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6F502B5D"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698E59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5310</w:t>
            </w:r>
          </w:p>
        </w:tc>
        <w:tc>
          <w:tcPr>
            <w:tcW w:w="3220" w:type="dxa"/>
            <w:tcBorders>
              <w:top w:val="nil"/>
              <w:left w:val="nil"/>
              <w:bottom w:val="single" w:sz="4" w:space="0" w:color="auto"/>
              <w:right w:val="single" w:sz="4" w:space="0" w:color="auto"/>
            </w:tcBorders>
            <w:shd w:val="clear" w:color="000000" w:fill="FFFFFF"/>
            <w:noWrap/>
            <w:vAlign w:val="center"/>
            <w:hideMark/>
          </w:tcPr>
          <w:p w14:paraId="52ABB2B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Concesiones</w:t>
            </w:r>
          </w:p>
        </w:tc>
        <w:tc>
          <w:tcPr>
            <w:tcW w:w="1140" w:type="dxa"/>
            <w:tcBorders>
              <w:top w:val="nil"/>
              <w:left w:val="nil"/>
              <w:bottom w:val="single" w:sz="4" w:space="0" w:color="auto"/>
              <w:right w:val="single" w:sz="4" w:space="0" w:color="auto"/>
            </w:tcBorders>
            <w:shd w:val="clear" w:color="000000" w:fill="FFFFFF"/>
            <w:noWrap/>
            <w:vAlign w:val="center"/>
            <w:hideMark/>
          </w:tcPr>
          <w:p w14:paraId="1FF3AB1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1F742F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5D0944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DD581D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2E326B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2D1E75" w:rsidRPr="00295AC0" w14:paraId="728E8F03" w14:textId="77777777" w:rsidTr="00204583">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095F3DDE" w14:textId="77777777" w:rsidR="002D1E75" w:rsidRPr="00295AC0" w:rsidRDefault="002D1E75" w:rsidP="0020458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CLASE</w:t>
            </w:r>
          </w:p>
        </w:tc>
        <w:tc>
          <w:tcPr>
            <w:tcW w:w="3220" w:type="dxa"/>
            <w:tcBorders>
              <w:top w:val="single" w:sz="4" w:space="0" w:color="auto"/>
              <w:left w:val="nil"/>
              <w:bottom w:val="single" w:sz="4" w:space="0" w:color="auto"/>
              <w:right w:val="single" w:sz="4" w:space="0" w:color="auto"/>
            </w:tcBorders>
            <w:shd w:val="clear" w:color="auto" w:fill="AB0033"/>
            <w:vAlign w:val="center"/>
            <w:hideMark/>
          </w:tcPr>
          <w:p w14:paraId="25D51E6E" w14:textId="77777777" w:rsidR="002D1E75" w:rsidRPr="00295AC0" w:rsidRDefault="002D1E75" w:rsidP="00204583">
            <w:pPr>
              <w:spacing w:after="0" w:line="240" w:lineRule="auto"/>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 </w:t>
            </w:r>
          </w:p>
        </w:tc>
        <w:tc>
          <w:tcPr>
            <w:tcW w:w="1140" w:type="dxa"/>
            <w:tcBorders>
              <w:top w:val="single" w:sz="4" w:space="0" w:color="auto"/>
              <w:left w:val="nil"/>
              <w:bottom w:val="single" w:sz="4" w:space="0" w:color="auto"/>
              <w:right w:val="single" w:sz="4" w:space="0" w:color="auto"/>
            </w:tcBorders>
            <w:shd w:val="clear" w:color="auto" w:fill="AB0033"/>
            <w:vAlign w:val="center"/>
            <w:hideMark/>
          </w:tcPr>
          <w:p w14:paraId="7BFD1EF3" w14:textId="77777777" w:rsidR="002D1E75" w:rsidRPr="00295AC0" w:rsidRDefault="002D1E75" w:rsidP="0020458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MÉTODO DE DEPRECIACIÓN</w:t>
            </w:r>
          </w:p>
        </w:tc>
        <w:tc>
          <w:tcPr>
            <w:tcW w:w="920" w:type="dxa"/>
            <w:tcBorders>
              <w:top w:val="single" w:sz="4" w:space="0" w:color="auto"/>
              <w:left w:val="nil"/>
              <w:bottom w:val="single" w:sz="4" w:space="0" w:color="auto"/>
              <w:right w:val="single" w:sz="4" w:space="0" w:color="auto"/>
            </w:tcBorders>
            <w:shd w:val="clear" w:color="auto" w:fill="AB0033"/>
            <w:vAlign w:val="center"/>
            <w:hideMark/>
          </w:tcPr>
          <w:p w14:paraId="38994AF0" w14:textId="77777777" w:rsidR="002D1E75" w:rsidRPr="00295AC0" w:rsidRDefault="002D1E75" w:rsidP="0020458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VIDA UTIL EN AÑOS</w:t>
            </w:r>
          </w:p>
        </w:tc>
        <w:tc>
          <w:tcPr>
            <w:tcW w:w="1180" w:type="dxa"/>
            <w:tcBorders>
              <w:top w:val="single" w:sz="4" w:space="0" w:color="auto"/>
              <w:left w:val="nil"/>
              <w:bottom w:val="single" w:sz="4" w:space="0" w:color="auto"/>
              <w:right w:val="single" w:sz="4" w:space="0" w:color="auto"/>
            </w:tcBorders>
            <w:shd w:val="clear" w:color="auto" w:fill="AB0033"/>
            <w:vAlign w:val="center"/>
            <w:hideMark/>
          </w:tcPr>
          <w:p w14:paraId="6BDC9A00" w14:textId="77777777" w:rsidR="002D1E75" w:rsidRPr="00295AC0" w:rsidRDefault="002D1E75" w:rsidP="0020458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VALOR RESIDUAL (%)</w:t>
            </w:r>
          </w:p>
        </w:tc>
        <w:tc>
          <w:tcPr>
            <w:tcW w:w="1020" w:type="dxa"/>
            <w:tcBorders>
              <w:top w:val="single" w:sz="4" w:space="0" w:color="auto"/>
              <w:left w:val="nil"/>
              <w:bottom w:val="single" w:sz="4" w:space="0" w:color="auto"/>
              <w:right w:val="single" w:sz="4" w:space="0" w:color="auto"/>
            </w:tcBorders>
            <w:shd w:val="clear" w:color="auto" w:fill="AB0033"/>
            <w:vAlign w:val="center"/>
            <w:hideMark/>
          </w:tcPr>
          <w:p w14:paraId="090CD06A" w14:textId="77777777" w:rsidR="002D1E75" w:rsidRPr="00295AC0" w:rsidRDefault="002D1E75" w:rsidP="0020458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DEP. ANUAL (%)</w:t>
            </w:r>
          </w:p>
        </w:tc>
        <w:tc>
          <w:tcPr>
            <w:tcW w:w="1220" w:type="dxa"/>
            <w:tcBorders>
              <w:top w:val="single" w:sz="4" w:space="0" w:color="auto"/>
              <w:left w:val="nil"/>
              <w:bottom w:val="single" w:sz="4" w:space="0" w:color="auto"/>
              <w:right w:val="single" w:sz="4" w:space="0" w:color="auto"/>
            </w:tcBorders>
            <w:shd w:val="clear" w:color="auto" w:fill="AB0033"/>
            <w:vAlign w:val="center"/>
            <w:hideMark/>
          </w:tcPr>
          <w:p w14:paraId="4BA420E3" w14:textId="77777777" w:rsidR="002D1E75" w:rsidRPr="00295AC0" w:rsidRDefault="002D1E75" w:rsidP="0020458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DEP.MENSUAL (%)</w:t>
            </w:r>
          </w:p>
        </w:tc>
      </w:tr>
      <w:tr w:rsidR="00526EC3" w:rsidRPr="005F45A3" w14:paraId="293E5F80"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19C918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5320</w:t>
            </w:r>
          </w:p>
        </w:tc>
        <w:tc>
          <w:tcPr>
            <w:tcW w:w="3220" w:type="dxa"/>
            <w:tcBorders>
              <w:top w:val="nil"/>
              <w:left w:val="nil"/>
              <w:bottom w:val="single" w:sz="4" w:space="0" w:color="auto"/>
              <w:right w:val="single" w:sz="4" w:space="0" w:color="auto"/>
            </w:tcBorders>
            <w:shd w:val="clear" w:color="000000" w:fill="FFFFFF"/>
            <w:noWrap/>
            <w:vAlign w:val="center"/>
            <w:hideMark/>
          </w:tcPr>
          <w:p w14:paraId="1E880D43"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Franquicias</w:t>
            </w:r>
          </w:p>
        </w:tc>
        <w:tc>
          <w:tcPr>
            <w:tcW w:w="1140" w:type="dxa"/>
            <w:tcBorders>
              <w:top w:val="nil"/>
              <w:left w:val="nil"/>
              <w:bottom w:val="single" w:sz="4" w:space="0" w:color="auto"/>
              <w:right w:val="single" w:sz="4" w:space="0" w:color="auto"/>
            </w:tcBorders>
            <w:shd w:val="clear" w:color="000000" w:fill="FFFFFF"/>
            <w:noWrap/>
            <w:vAlign w:val="center"/>
            <w:hideMark/>
          </w:tcPr>
          <w:p w14:paraId="64718AB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2E49F3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47BC2AE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8C62BB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5870E5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7A0F4D3"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8E26BF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5410</w:t>
            </w:r>
          </w:p>
        </w:tc>
        <w:tc>
          <w:tcPr>
            <w:tcW w:w="3220" w:type="dxa"/>
            <w:tcBorders>
              <w:top w:val="nil"/>
              <w:left w:val="nil"/>
              <w:bottom w:val="single" w:sz="4" w:space="0" w:color="auto"/>
              <w:right w:val="single" w:sz="4" w:space="0" w:color="auto"/>
            </w:tcBorders>
            <w:shd w:val="clear" w:color="000000" w:fill="FFFFFF"/>
            <w:noWrap/>
            <w:vAlign w:val="center"/>
            <w:hideMark/>
          </w:tcPr>
          <w:p w14:paraId="0153F078"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Licencias Informáticas E Intelectuales</w:t>
            </w:r>
          </w:p>
        </w:tc>
        <w:tc>
          <w:tcPr>
            <w:tcW w:w="1140" w:type="dxa"/>
            <w:tcBorders>
              <w:top w:val="nil"/>
              <w:left w:val="nil"/>
              <w:bottom w:val="single" w:sz="4" w:space="0" w:color="auto"/>
              <w:right w:val="single" w:sz="4" w:space="0" w:color="auto"/>
            </w:tcBorders>
            <w:shd w:val="clear" w:color="000000" w:fill="FFFFFF"/>
            <w:noWrap/>
            <w:vAlign w:val="center"/>
            <w:hideMark/>
          </w:tcPr>
          <w:p w14:paraId="0C3CDF0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643A75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3C779D9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3E692E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100.00</w:t>
            </w:r>
          </w:p>
        </w:tc>
        <w:tc>
          <w:tcPr>
            <w:tcW w:w="1220" w:type="dxa"/>
            <w:tcBorders>
              <w:top w:val="nil"/>
              <w:left w:val="nil"/>
              <w:bottom w:val="single" w:sz="4" w:space="0" w:color="auto"/>
              <w:right w:val="single" w:sz="4" w:space="0" w:color="auto"/>
            </w:tcBorders>
            <w:shd w:val="clear" w:color="000000" w:fill="FFFFFF"/>
            <w:noWrap/>
            <w:vAlign w:val="bottom"/>
            <w:hideMark/>
          </w:tcPr>
          <w:p w14:paraId="4F9E514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8.33</w:t>
            </w:r>
          </w:p>
        </w:tc>
      </w:tr>
      <w:tr w:rsidR="00526EC3" w:rsidRPr="005F45A3" w14:paraId="1375D2E9"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4DD08E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5420</w:t>
            </w:r>
          </w:p>
        </w:tc>
        <w:tc>
          <w:tcPr>
            <w:tcW w:w="3220" w:type="dxa"/>
            <w:tcBorders>
              <w:top w:val="nil"/>
              <w:left w:val="nil"/>
              <w:bottom w:val="single" w:sz="4" w:space="0" w:color="auto"/>
              <w:right w:val="single" w:sz="4" w:space="0" w:color="auto"/>
            </w:tcBorders>
            <w:shd w:val="clear" w:color="000000" w:fill="FFFFFF"/>
            <w:noWrap/>
            <w:vAlign w:val="center"/>
            <w:hideMark/>
          </w:tcPr>
          <w:p w14:paraId="6EACA13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Licencias Industriales, Comerciales Y Otras</w:t>
            </w:r>
          </w:p>
        </w:tc>
        <w:tc>
          <w:tcPr>
            <w:tcW w:w="1140" w:type="dxa"/>
            <w:tcBorders>
              <w:top w:val="nil"/>
              <w:left w:val="nil"/>
              <w:bottom w:val="single" w:sz="4" w:space="0" w:color="auto"/>
              <w:right w:val="single" w:sz="4" w:space="0" w:color="auto"/>
            </w:tcBorders>
            <w:shd w:val="clear" w:color="000000" w:fill="FFFFFF"/>
            <w:noWrap/>
            <w:vAlign w:val="center"/>
            <w:hideMark/>
          </w:tcPr>
          <w:p w14:paraId="6FB0FC5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3CD752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2C13B05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A60870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3428920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6D6D26F0"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A28DE0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5900</w:t>
            </w:r>
          </w:p>
        </w:tc>
        <w:tc>
          <w:tcPr>
            <w:tcW w:w="3220" w:type="dxa"/>
            <w:tcBorders>
              <w:top w:val="nil"/>
              <w:left w:val="nil"/>
              <w:bottom w:val="single" w:sz="4" w:space="0" w:color="auto"/>
              <w:right w:val="single" w:sz="4" w:space="0" w:color="auto"/>
            </w:tcBorders>
            <w:shd w:val="clear" w:color="000000" w:fill="FFFFFF"/>
            <w:noWrap/>
            <w:vAlign w:val="center"/>
            <w:hideMark/>
          </w:tcPr>
          <w:p w14:paraId="7CD9B064"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Otros Activos Intangibles</w:t>
            </w:r>
          </w:p>
        </w:tc>
        <w:tc>
          <w:tcPr>
            <w:tcW w:w="1140" w:type="dxa"/>
            <w:tcBorders>
              <w:top w:val="nil"/>
              <w:left w:val="nil"/>
              <w:bottom w:val="single" w:sz="4" w:space="0" w:color="auto"/>
              <w:right w:val="single" w:sz="4" w:space="0" w:color="auto"/>
            </w:tcBorders>
            <w:shd w:val="clear" w:color="000000" w:fill="FFFFFF"/>
            <w:noWrap/>
            <w:vAlign w:val="center"/>
            <w:hideMark/>
          </w:tcPr>
          <w:p w14:paraId="4650D8F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6A0B0F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DB275E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263291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712D2EE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16D42BDC"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F7BA8E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93100</w:t>
            </w:r>
          </w:p>
        </w:tc>
        <w:tc>
          <w:tcPr>
            <w:tcW w:w="3220" w:type="dxa"/>
            <w:tcBorders>
              <w:top w:val="nil"/>
              <w:left w:val="nil"/>
              <w:bottom w:val="single" w:sz="4" w:space="0" w:color="auto"/>
              <w:right w:val="single" w:sz="4" w:space="0" w:color="auto"/>
            </w:tcBorders>
            <w:shd w:val="clear" w:color="000000" w:fill="FFFFFF"/>
            <w:noWrap/>
            <w:vAlign w:val="center"/>
            <w:hideMark/>
          </w:tcPr>
          <w:p w14:paraId="160C1039"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Terrenos</w:t>
            </w:r>
          </w:p>
        </w:tc>
        <w:tc>
          <w:tcPr>
            <w:tcW w:w="1140" w:type="dxa"/>
            <w:tcBorders>
              <w:top w:val="nil"/>
              <w:left w:val="nil"/>
              <w:bottom w:val="single" w:sz="4" w:space="0" w:color="auto"/>
              <w:right w:val="single" w:sz="4" w:space="0" w:color="auto"/>
            </w:tcBorders>
            <w:shd w:val="clear" w:color="000000" w:fill="FFFFFF"/>
            <w:noWrap/>
            <w:vAlign w:val="center"/>
            <w:hideMark/>
          </w:tcPr>
          <w:p w14:paraId="67D70DC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4039936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BD8515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4B4A98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1D7974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5106AA63"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4A343F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93200</w:t>
            </w:r>
          </w:p>
        </w:tc>
        <w:tc>
          <w:tcPr>
            <w:tcW w:w="3220" w:type="dxa"/>
            <w:tcBorders>
              <w:top w:val="nil"/>
              <w:left w:val="nil"/>
              <w:bottom w:val="single" w:sz="4" w:space="0" w:color="auto"/>
              <w:right w:val="single" w:sz="4" w:space="0" w:color="auto"/>
            </w:tcBorders>
            <w:shd w:val="clear" w:color="000000" w:fill="FFFFFF"/>
            <w:noWrap/>
            <w:vAlign w:val="center"/>
            <w:hideMark/>
          </w:tcPr>
          <w:p w14:paraId="6672C7D9"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Vivienda</w:t>
            </w:r>
          </w:p>
        </w:tc>
        <w:tc>
          <w:tcPr>
            <w:tcW w:w="1140" w:type="dxa"/>
            <w:tcBorders>
              <w:top w:val="nil"/>
              <w:left w:val="nil"/>
              <w:bottom w:val="single" w:sz="4" w:space="0" w:color="auto"/>
              <w:right w:val="single" w:sz="4" w:space="0" w:color="auto"/>
            </w:tcBorders>
            <w:shd w:val="clear" w:color="000000" w:fill="FFFFFF"/>
            <w:noWrap/>
            <w:vAlign w:val="center"/>
            <w:hideMark/>
          </w:tcPr>
          <w:p w14:paraId="5C69B25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5DEC6E2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50</w:t>
            </w:r>
          </w:p>
        </w:tc>
        <w:tc>
          <w:tcPr>
            <w:tcW w:w="1180" w:type="dxa"/>
            <w:tcBorders>
              <w:top w:val="nil"/>
              <w:left w:val="nil"/>
              <w:bottom w:val="single" w:sz="4" w:space="0" w:color="auto"/>
              <w:right w:val="single" w:sz="4" w:space="0" w:color="auto"/>
            </w:tcBorders>
            <w:shd w:val="clear" w:color="000000" w:fill="FFFFFF"/>
            <w:noWrap/>
            <w:vAlign w:val="center"/>
            <w:hideMark/>
          </w:tcPr>
          <w:p w14:paraId="524ABC3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824437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w:t>
            </w:r>
          </w:p>
        </w:tc>
        <w:tc>
          <w:tcPr>
            <w:tcW w:w="1220" w:type="dxa"/>
            <w:tcBorders>
              <w:top w:val="nil"/>
              <w:left w:val="nil"/>
              <w:bottom w:val="single" w:sz="4" w:space="0" w:color="auto"/>
              <w:right w:val="single" w:sz="4" w:space="0" w:color="auto"/>
            </w:tcBorders>
            <w:shd w:val="clear" w:color="000000" w:fill="FFFFFF"/>
            <w:noWrap/>
            <w:vAlign w:val="bottom"/>
            <w:hideMark/>
          </w:tcPr>
          <w:p w14:paraId="423D9EE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0.17</w:t>
            </w:r>
          </w:p>
        </w:tc>
      </w:tr>
      <w:tr w:rsidR="00526EC3" w:rsidRPr="005F45A3" w14:paraId="59F13CAC"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7C36BF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93310</w:t>
            </w:r>
          </w:p>
        </w:tc>
        <w:tc>
          <w:tcPr>
            <w:tcW w:w="3220" w:type="dxa"/>
            <w:tcBorders>
              <w:top w:val="nil"/>
              <w:left w:val="nil"/>
              <w:bottom w:val="single" w:sz="4" w:space="0" w:color="auto"/>
              <w:right w:val="single" w:sz="4" w:space="0" w:color="auto"/>
            </w:tcBorders>
            <w:shd w:val="clear" w:color="000000" w:fill="FFFFFF"/>
            <w:noWrap/>
            <w:vAlign w:val="center"/>
            <w:hideMark/>
          </w:tcPr>
          <w:p w14:paraId="6F118798"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Edificios No Habitacionales (Bienes Inmu</w:t>
            </w:r>
          </w:p>
        </w:tc>
        <w:tc>
          <w:tcPr>
            <w:tcW w:w="1140" w:type="dxa"/>
            <w:tcBorders>
              <w:top w:val="nil"/>
              <w:left w:val="nil"/>
              <w:bottom w:val="single" w:sz="4" w:space="0" w:color="auto"/>
              <w:right w:val="single" w:sz="4" w:space="0" w:color="auto"/>
            </w:tcBorders>
            <w:shd w:val="clear" w:color="000000" w:fill="FFFFFF"/>
            <w:noWrap/>
            <w:vAlign w:val="center"/>
            <w:hideMark/>
          </w:tcPr>
          <w:p w14:paraId="0E8BBA2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170F4E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30</w:t>
            </w:r>
          </w:p>
        </w:tc>
        <w:tc>
          <w:tcPr>
            <w:tcW w:w="1180" w:type="dxa"/>
            <w:tcBorders>
              <w:top w:val="nil"/>
              <w:left w:val="nil"/>
              <w:bottom w:val="single" w:sz="4" w:space="0" w:color="auto"/>
              <w:right w:val="single" w:sz="4" w:space="0" w:color="auto"/>
            </w:tcBorders>
            <w:shd w:val="clear" w:color="000000" w:fill="FFFFFF"/>
            <w:noWrap/>
            <w:vAlign w:val="center"/>
            <w:hideMark/>
          </w:tcPr>
          <w:p w14:paraId="056F5AF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C019FE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3.33</w:t>
            </w:r>
          </w:p>
        </w:tc>
        <w:tc>
          <w:tcPr>
            <w:tcW w:w="1220" w:type="dxa"/>
            <w:tcBorders>
              <w:top w:val="nil"/>
              <w:left w:val="nil"/>
              <w:bottom w:val="single" w:sz="4" w:space="0" w:color="auto"/>
              <w:right w:val="single" w:sz="4" w:space="0" w:color="auto"/>
            </w:tcBorders>
            <w:shd w:val="clear" w:color="000000" w:fill="FFFFFF"/>
            <w:noWrap/>
            <w:vAlign w:val="bottom"/>
            <w:hideMark/>
          </w:tcPr>
          <w:p w14:paraId="0560498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0.28</w:t>
            </w:r>
          </w:p>
        </w:tc>
      </w:tr>
      <w:tr w:rsidR="00526EC3" w:rsidRPr="005F45A3" w14:paraId="2F8562D7"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6B165A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93320</w:t>
            </w:r>
          </w:p>
        </w:tc>
        <w:tc>
          <w:tcPr>
            <w:tcW w:w="3220" w:type="dxa"/>
            <w:tcBorders>
              <w:top w:val="nil"/>
              <w:left w:val="nil"/>
              <w:bottom w:val="single" w:sz="4" w:space="0" w:color="auto"/>
              <w:right w:val="single" w:sz="4" w:space="0" w:color="auto"/>
            </w:tcBorders>
            <w:shd w:val="clear" w:color="000000" w:fill="FFFFFF"/>
            <w:noWrap/>
            <w:vAlign w:val="center"/>
            <w:hideMark/>
          </w:tcPr>
          <w:p w14:paraId="2E95A956"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Edificios</w:t>
            </w:r>
          </w:p>
        </w:tc>
        <w:tc>
          <w:tcPr>
            <w:tcW w:w="1140" w:type="dxa"/>
            <w:tcBorders>
              <w:top w:val="nil"/>
              <w:left w:val="nil"/>
              <w:bottom w:val="single" w:sz="4" w:space="0" w:color="auto"/>
              <w:right w:val="single" w:sz="4" w:space="0" w:color="auto"/>
            </w:tcBorders>
            <w:shd w:val="clear" w:color="000000" w:fill="FFFFFF"/>
            <w:noWrap/>
            <w:vAlign w:val="center"/>
            <w:hideMark/>
          </w:tcPr>
          <w:p w14:paraId="3E8E10C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B264F2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30</w:t>
            </w:r>
          </w:p>
        </w:tc>
        <w:tc>
          <w:tcPr>
            <w:tcW w:w="1180" w:type="dxa"/>
            <w:tcBorders>
              <w:top w:val="nil"/>
              <w:left w:val="nil"/>
              <w:bottom w:val="single" w:sz="4" w:space="0" w:color="auto"/>
              <w:right w:val="single" w:sz="4" w:space="0" w:color="auto"/>
            </w:tcBorders>
            <w:shd w:val="clear" w:color="000000" w:fill="FFFFFF"/>
            <w:noWrap/>
            <w:vAlign w:val="center"/>
            <w:hideMark/>
          </w:tcPr>
          <w:p w14:paraId="37B8439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306EF5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3.33</w:t>
            </w:r>
          </w:p>
        </w:tc>
        <w:tc>
          <w:tcPr>
            <w:tcW w:w="1220" w:type="dxa"/>
            <w:tcBorders>
              <w:top w:val="nil"/>
              <w:left w:val="nil"/>
              <w:bottom w:val="single" w:sz="4" w:space="0" w:color="auto"/>
              <w:right w:val="single" w:sz="4" w:space="0" w:color="auto"/>
            </w:tcBorders>
            <w:shd w:val="clear" w:color="000000" w:fill="FFFFFF"/>
            <w:noWrap/>
            <w:vAlign w:val="bottom"/>
            <w:hideMark/>
          </w:tcPr>
          <w:p w14:paraId="2C17FE5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0.28</w:t>
            </w:r>
          </w:p>
        </w:tc>
      </w:tr>
      <w:tr w:rsidR="00526EC3" w:rsidRPr="005F45A3" w14:paraId="485B9E42"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B2DA90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93900</w:t>
            </w:r>
          </w:p>
        </w:tc>
        <w:tc>
          <w:tcPr>
            <w:tcW w:w="3220" w:type="dxa"/>
            <w:tcBorders>
              <w:top w:val="nil"/>
              <w:left w:val="nil"/>
              <w:bottom w:val="single" w:sz="4" w:space="0" w:color="auto"/>
              <w:right w:val="single" w:sz="4" w:space="0" w:color="auto"/>
            </w:tcBorders>
            <w:shd w:val="clear" w:color="000000" w:fill="FFFFFF"/>
            <w:noWrap/>
            <w:vAlign w:val="center"/>
            <w:hideMark/>
          </w:tcPr>
          <w:p w14:paraId="11BA19A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Otro Bienes Inmuebles</w:t>
            </w:r>
          </w:p>
        </w:tc>
        <w:tc>
          <w:tcPr>
            <w:tcW w:w="1140" w:type="dxa"/>
            <w:tcBorders>
              <w:top w:val="nil"/>
              <w:left w:val="nil"/>
              <w:bottom w:val="single" w:sz="4" w:space="0" w:color="auto"/>
              <w:right w:val="single" w:sz="4" w:space="0" w:color="auto"/>
            </w:tcBorders>
            <w:shd w:val="clear" w:color="000000" w:fill="FFFFFF"/>
            <w:noWrap/>
            <w:vAlign w:val="center"/>
            <w:hideMark/>
          </w:tcPr>
          <w:p w14:paraId="2B76162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C3C6F6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658B3DE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9D1AAB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6B8E2CD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06C5E592"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DD3159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94110</w:t>
            </w:r>
          </w:p>
        </w:tc>
        <w:tc>
          <w:tcPr>
            <w:tcW w:w="3220" w:type="dxa"/>
            <w:tcBorders>
              <w:top w:val="nil"/>
              <w:left w:val="nil"/>
              <w:bottom w:val="single" w:sz="4" w:space="0" w:color="auto"/>
              <w:right w:val="single" w:sz="4" w:space="0" w:color="auto"/>
            </w:tcBorders>
            <w:shd w:val="clear" w:color="000000" w:fill="FFFFFF"/>
            <w:noWrap/>
            <w:vAlign w:val="center"/>
            <w:hideMark/>
          </w:tcPr>
          <w:p w14:paraId="25EFB32C"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Muebles De Oficina Y Estantería</w:t>
            </w:r>
          </w:p>
        </w:tc>
        <w:tc>
          <w:tcPr>
            <w:tcW w:w="1140" w:type="dxa"/>
            <w:tcBorders>
              <w:top w:val="nil"/>
              <w:left w:val="nil"/>
              <w:bottom w:val="single" w:sz="4" w:space="0" w:color="auto"/>
              <w:right w:val="single" w:sz="4" w:space="0" w:color="auto"/>
            </w:tcBorders>
            <w:shd w:val="clear" w:color="000000" w:fill="FFFFFF"/>
            <w:noWrap/>
            <w:vAlign w:val="center"/>
            <w:hideMark/>
          </w:tcPr>
          <w:p w14:paraId="77B961B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DE7B02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5C5DCB5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54FB10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2D468E1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26BD0AC1"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104C40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94120</w:t>
            </w:r>
          </w:p>
        </w:tc>
        <w:tc>
          <w:tcPr>
            <w:tcW w:w="3220" w:type="dxa"/>
            <w:tcBorders>
              <w:top w:val="nil"/>
              <w:left w:val="nil"/>
              <w:bottom w:val="single" w:sz="4" w:space="0" w:color="auto"/>
              <w:right w:val="single" w:sz="4" w:space="0" w:color="auto"/>
            </w:tcBorders>
            <w:shd w:val="clear" w:color="000000" w:fill="FFFFFF"/>
            <w:noWrap/>
            <w:vAlign w:val="center"/>
            <w:hideMark/>
          </w:tcPr>
          <w:p w14:paraId="5EE0AD36" w14:textId="2A14604D"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Muebles Excepto De Ofna Y Estantería</w:t>
            </w:r>
          </w:p>
        </w:tc>
        <w:tc>
          <w:tcPr>
            <w:tcW w:w="1140" w:type="dxa"/>
            <w:tcBorders>
              <w:top w:val="nil"/>
              <w:left w:val="nil"/>
              <w:bottom w:val="single" w:sz="4" w:space="0" w:color="auto"/>
              <w:right w:val="single" w:sz="4" w:space="0" w:color="auto"/>
            </w:tcBorders>
            <w:shd w:val="clear" w:color="000000" w:fill="FFFFFF"/>
            <w:noWrap/>
            <w:vAlign w:val="center"/>
            <w:hideMark/>
          </w:tcPr>
          <w:p w14:paraId="6C61CFD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F6FB2D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7B2DAC0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22CE64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2F8BF18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7D87B568"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D5251A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94130</w:t>
            </w:r>
          </w:p>
        </w:tc>
        <w:tc>
          <w:tcPr>
            <w:tcW w:w="3220" w:type="dxa"/>
            <w:tcBorders>
              <w:top w:val="nil"/>
              <w:left w:val="nil"/>
              <w:bottom w:val="single" w:sz="4" w:space="0" w:color="auto"/>
              <w:right w:val="single" w:sz="4" w:space="0" w:color="auto"/>
            </w:tcBorders>
            <w:shd w:val="clear" w:color="000000" w:fill="FFFFFF"/>
            <w:noWrap/>
            <w:vAlign w:val="center"/>
            <w:hideMark/>
          </w:tcPr>
          <w:p w14:paraId="1A1233DB"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Cómputo Y Tecnologías De La Infor</w:t>
            </w:r>
          </w:p>
        </w:tc>
        <w:tc>
          <w:tcPr>
            <w:tcW w:w="1140" w:type="dxa"/>
            <w:tcBorders>
              <w:top w:val="nil"/>
              <w:left w:val="nil"/>
              <w:bottom w:val="single" w:sz="4" w:space="0" w:color="auto"/>
              <w:right w:val="single" w:sz="4" w:space="0" w:color="auto"/>
            </w:tcBorders>
            <w:shd w:val="clear" w:color="000000" w:fill="FFFFFF"/>
            <w:noWrap/>
            <w:vAlign w:val="center"/>
            <w:hideMark/>
          </w:tcPr>
          <w:p w14:paraId="475C0C0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14686F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79B3A4F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BCB7FC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48F1C10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526EC3" w:rsidRPr="005F45A3" w14:paraId="778093BE"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A4764F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94190</w:t>
            </w:r>
          </w:p>
        </w:tc>
        <w:tc>
          <w:tcPr>
            <w:tcW w:w="3220" w:type="dxa"/>
            <w:tcBorders>
              <w:top w:val="nil"/>
              <w:left w:val="nil"/>
              <w:bottom w:val="single" w:sz="4" w:space="0" w:color="auto"/>
              <w:right w:val="single" w:sz="4" w:space="0" w:color="auto"/>
            </w:tcBorders>
            <w:shd w:val="clear" w:color="000000" w:fill="FFFFFF"/>
            <w:noWrap/>
            <w:vAlign w:val="center"/>
            <w:hideMark/>
          </w:tcPr>
          <w:p w14:paraId="7FFA5B2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Otros Mobiliarios Y Equipos De Administr</w:t>
            </w:r>
          </w:p>
        </w:tc>
        <w:tc>
          <w:tcPr>
            <w:tcW w:w="1140" w:type="dxa"/>
            <w:tcBorders>
              <w:top w:val="nil"/>
              <w:left w:val="nil"/>
              <w:bottom w:val="single" w:sz="4" w:space="0" w:color="auto"/>
              <w:right w:val="single" w:sz="4" w:space="0" w:color="auto"/>
            </w:tcBorders>
            <w:shd w:val="clear" w:color="000000" w:fill="FFFFFF"/>
            <w:noWrap/>
            <w:vAlign w:val="center"/>
            <w:hideMark/>
          </w:tcPr>
          <w:p w14:paraId="4288FE0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C86385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642D689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D11EE5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73F0C9F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706A8C01"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AB0D4D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94210</w:t>
            </w:r>
          </w:p>
        </w:tc>
        <w:tc>
          <w:tcPr>
            <w:tcW w:w="3220" w:type="dxa"/>
            <w:tcBorders>
              <w:top w:val="nil"/>
              <w:left w:val="nil"/>
              <w:bottom w:val="single" w:sz="4" w:space="0" w:color="auto"/>
              <w:right w:val="single" w:sz="4" w:space="0" w:color="auto"/>
            </w:tcBorders>
            <w:shd w:val="clear" w:color="000000" w:fill="FFFFFF"/>
            <w:noWrap/>
            <w:vAlign w:val="center"/>
            <w:hideMark/>
          </w:tcPr>
          <w:p w14:paraId="0CE1F67A"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De Aparatos Audiovisuales</w:t>
            </w:r>
          </w:p>
        </w:tc>
        <w:tc>
          <w:tcPr>
            <w:tcW w:w="1140" w:type="dxa"/>
            <w:tcBorders>
              <w:top w:val="nil"/>
              <w:left w:val="nil"/>
              <w:bottom w:val="single" w:sz="4" w:space="0" w:color="auto"/>
              <w:right w:val="single" w:sz="4" w:space="0" w:color="auto"/>
            </w:tcBorders>
            <w:shd w:val="clear" w:color="000000" w:fill="FFFFFF"/>
            <w:noWrap/>
            <w:vAlign w:val="center"/>
            <w:hideMark/>
          </w:tcPr>
          <w:p w14:paraId="53B96CE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B93B7C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3CFF242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31B404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677E395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1319D1D5"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289F48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94220</w:t>
            </w:r>
          </w:p>
        </w:tc>
        <w:tc>
          <w:tcPr>
            <w:tcW w:w="3220" w:type="dxa"/>
            <w:tcBorders>
              <w:top w:val="nil"/>
              <w:left w:val="nil"/>
              <w:bottom w:val="single" w:sz="4" w:space="0" w:color="auto"/>
              <w:right w:val="single" w:sz="4" w:space="0" w:color="auto"/>
            </w:tcBorders>
            <w:shd w:val="clear" w:color="000000" w:fill="FFFFFF"/>
            <w:noWrap/>
            <w:vAlign w:val="center"/>
            <w:hideMark/>
          </w:tcPr>
          <w:p w14:paraId="4177BE88"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Aparatos Deportivos</w:t>
            </w:r>
          </w:p>
        </w:tc>
        <w:tc>
          <w:tcPr>
            <w:tcW w:w="1140" w:type="dxa"/>
            <w:tcBorders>
              <w:top w:val="nil"/>
              <w:left w:val="nil"/>
              <w:bottom w:val="single" w:sz="4" w:space="0" w:color="auto"/>
              <w:right w:val="single" w:sz="4" w:space="0" w:color="auto"/>
            </w:tcBorders>
            <w:shd w:val="clear" w:color="000000" w:fill="FFFFFF"/>
            <w:noWrap/>
            <w:vAlign w:val="center"/>
            <w:hideMark/>
          </w:tcPr>
          <w:p w14:paraId="29D5442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5A4FA8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552B6C1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DDDF1B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468FBB8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526EC3" w:rsidRPr="005F45A3" w14:paraId="0D4ABCE8"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0939D2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94230</w:t>
            </w:r>
          </w:p>
        </w:tc>
        <w:tc>
          <w:tcPr>
            <w:tcW w:w="3220" w:type="dxa"/>
            <w:tcBorders>
              <w:top w:val="nil"/>
              <w:left w:val="nil"/>
              <w:bottom w:val="single" w:sz="4" w:space="0" w:color="auto"/>
              <w:right w:val="single" w:sz="4" w:space="0" w:color="auto"/>
            </w:tcBorders>
            <w:shd w:val="clear" w:color="000000" w:fill="FFFFFF"/>
            <w:noWrap/>
            <w:vAlign w:val="center"/>
            <w:hideMark/>
          </w:tcPr>
          <w:p w14:paraId="1A01245C"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Cámaras Fotográficas Y De Video</w:t>
            </w:r>
          </w:p>
        </w:tc>
        <w:tc>
          <w:tcPr>
            <w:tcW w:w="1140" w:type="dxa"/>
            <w:tcBorders>
              <w:top w:val="nil"/>
              <w:left w:val="nil"/>
              <w:bottom w:val="single" w:sz="4" w:space="0" w:color="auto"/>
              <w:right w:val="single" w:sz="4" w:space="0" w:color="auto"/>
            </w:tcBorders>
            <w:shd w:val="clear" w:color="000000" w:fill="FFFFFF"/>
            <w:noWrap/>
            <w:vAlign w:val="center"/>
            <w:hideMark/>
          </w:tcPr>
          <w:p w14:paraId="38DC979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1AF6DB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4210EFB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EC9A22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385E1B5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526EC3" w:rsidRPr="005F45A3" w14:paraId="2A47371E"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73DD8E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94290</w:t>
            </w:r>
          </w:p>
        </w:tc>
        <w:tc>
          <w:tcPr>
            <w:tcW w:w="3220" w:type="dxa"/>
            <w:tcBorders>
              <w:top w:val="nil"/>
              <w:left w:val="nil"/>
              <w:bottom w:val="single" w:sz="4" w:space="0" w:color="auto"/>
              <w:right w:val="single" w:sz="4" w:space="0" w:color="auto"/>
            </w:tcBorders>
            <w:shd w:val="clear" w:color="000000" w:fill="FFFFFF"/>
            <w:noWrap/>
            <w:vAlign w:val="center"/>
            <w:hideMark/>
          </w:tcPr>
          <w:p w14:paraId="6AB656AD"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Otro Mobiliario Y Equipo Educacional Y R</w:t>
            </w:r>
          </w:p>
        </w:tc>
        <w:tc>
          <w:tcPr>
            <w:tcW w:w="1140" w:type="dxa"/>
            <w:tcBorders>
              <w:top w:val="nil"/>
              <w:left w:val="nil"/>
              <w:bottom w:val="single" w:sz="4" w:space="0" w:color="auto"/>
              <w:right w:val="single" w:sz="4" w:space="0" w:color="auto"/>
            </w:tcBorders>
            <w:shd w:val="clear" w:color="000000" w:fill="FFFFFF"/>
            <w:noWrap/>
            <w:vAlign w:val="center"/>
            <w:hideMark/>
          </w:tcPr>
          <w:p w14:paraId="70281F5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E47F79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39F16C4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DD41AF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4D1B458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79CB9D00"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91A430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94310</w:t>
            </w:r>
          </w:p>
        </w:tc>
        <w:tc>
          <w:tcPr>
            <w:tcW w:w="3220" w:type="dxa"/>
            <w:tcBorders>
              <w:top w:val="nil"/>
              <w:left w:val="nil"/>
              <w:bottom w:val="single" w:sz="4" w:space="0" w:color="auto"/>
              <w:right w:val="single" w:sz="4" w:space="0" w:color="auto"/>
            </w:tcBorders>
            <w:shd w:val="clear" w:color="000000" w:fill="FFFFFF"/>
            <w:noWrap/>
            <w:vAlign w:val="center"/>
            <w:hideMark/>
          </w:tcPr>
          <w:p w14:paraId="4F8A482C" w14:textId="42048900"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Médico Y De Laboratorio</w:t>
            </w:r>
          </w:p>
        </w:tc>
        <w:tc>
          <w:tcPr>
            <w:tcW w:w="1140" w:type="dxa"/>
            <w:tcBorders>
              <w:top w:val="nil"/>
              <w:left w:val="nil"/>
              <w:bottom w:val="single" w:sz="4" w:space="0" w:color="auto"/>
              <w:right w:val="single" w:sz="4" w:space="0" w:color="auto"/>
            </w:tcBorders>
            <w:shd w:val="clear" w:color="000000" w:fill="FFFFFF"/>
            <w:noWrap/>
            <w:vAlign w:val="center"/>
            <w:hideMark/>
          </w:tcPr>
          <w:p w14:paraId="06FF97A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669A91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6E881BB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69BFED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598C635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1D9946BB"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353032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94320</w:t>
            </w:r>
          </w:p>
        </w:tc>
        <w:tc>
          <w:tcPr>
            <w:tcW w:w="3220" w:type="dxa"/>
            <w:tcBorders>
              <w:top w:val="nil"/>
              <w:left w:val="nil"/>
              <w:bottom w:val="single" w:sz="4" w:space="0" w:color="auto"/>
              <w:right w:val="single" w:sz="4" w:space="0" w:color="auto"/>
            </w:tcBorders>
            <w:shd w:val="clear" w:color="000000" w:fill="FFFFFF"/>
            <w:noWrap/>
            <w:vAlign w:val="center"/>
            <w:hideMark/>
          </w:tcPr>
          <w:p w14:paraId="72AC0C2F"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Instrumental Médico Y De Laboratorio</w:t>
            </w:r>
          </w:p>
        </w:tc>
        <w:tc>
          <w:tcPr>
            <w:tcW w:w="1140" w:type="dxa"/>
            <w:tcBorders>
              <w:top w:val="nil"/>
              <w:left w:val="nil"/>
              <w:bottom w:val="single" w:sz="4" w:space="0" w:color="auto"/>
              <w:right w:val="single" w:sz="4" w:space="0" w:color="auto"/>
            </w:tcBorders>
            <w:shd w:val="clear" w:color="000000" w:fill="FFFFFF"/>
            <w:noWrap/>
            <w:vAlign w:val="center"/>
            <w:hideMark/>
          </w:tcPr>
          <w:p w14:paraId="4D5C694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D407D1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5E0CF96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2C9016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644747C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526EC3" w:rsidRPr="005F45A3" w14:paraId="16797F6A"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C3B389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94410</w:t>
            </w:r>
          </w:p>
        </w:tc>
        <w:tc>
          <w:tcPr>
            <w:tcW w:w="3220" w:type="dxa"/>
            <w:tcBorders>
              <w:top w:val="nil"/>
              <w:left w:val="nil"/>
              <w:bottom w:val="single" w:sz="4" w:space="0" w:color="auto"/>
              <w:right w:val="single" w:sz="4" w:space="0" w:color="auto"/>
            </w:tcBorders>
            <w:shd w:val="clear" w:color="000000" w:fill="FFFFFF"/>
            <w:noWrap/>
            <w:vAlign w:val="center"/>
            <w:hideMark/>
          </w:tcPr>
          <w:p w14:paraId="26F5FB34"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Autos Para Uso Administrativo Y De Ofici</w:t>
            </w:r>
          </w:p>
        </w:tc>
        <w:tc>
          <w:tcPr>
            <w:tcW w:w="1140" w:type="dxa"/>
            <w:tcBorders>
              <w:top w:val="nil"/>
              <w:left w:val="nil"/>
              <w:bottom w:val="single" w:sz="4" w:space="0" w:color="auto"/>
              <w:right w:val="single" w:sz="4" w:space="0" w:color="auto"/>
            </w:tcBorders>
            <w:shd w:val="clear" w:color="000000" w:fill="FFFFFF"/>
            <w:noWrap/>
            <w:vAlign w:val="center"/>
            <w:hideMark/>
          </w:tcPr>
          <w:p w14:paraId="45B2BC4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4EDC71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60FB61E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6E866C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3CBC14D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1802AB01"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E19B52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94411</w:t>
            </w:r>
          </w:p>
        </w:tc>
        <w:tc>
          <w:tcPr>
            <w:tcW w:w="3220" w:type="dxa"/>
            <w:tcBorders>
              <w:top w:val="nil"/>
              <w:left w:val="nil"/>
              <w:bottom w:val="single" w:sz="4" w:space="0" w:color="auto"/>
              <w:right w:val="single" w:sz="4" w:space="0" w:color="auto"/>
            </w:tcBorders>
            <w:shd w:val="clear" w:color="000000" w:fill="FFFFFF"/>
            <w:noWrap/>
            <w:vAlign w:val="center"/>
            <w:hideMark/>
          </w:tcPr>
          <w:p w14:paraId="4B47D3D0" w14:textId="3BB43BEF"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 Grúas</w:t>
            </w:r>
          </w:p>
        </w:tc>
        <w:tc>
          <w:tcPr>
            <w:tcW w:w="1140" w:type="dxa"/>
            <w:tcBorders>
              <w:top w:val="nil"/>
              <w:left w:val="nil"/>
              <w:bottom w:val="single" w:sz="4" w:space="0" w:color="auto"/>
              <w:right w:val="single" w:sz="4" w:space="0" w:color="auto"/>
            </w:tcBorders>
            <w:shd w:val="clear" w:color="000000" w:fill="FFFFFF"/>
            <w:noWrap/>
            <w:vAlign w:val="center"/>
            <w:hideMark/>
          </w:tcPr>
          <w:p w14:paraId="1D95BE5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4B2BE2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2836D09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9EDF21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186C90F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36619703"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966F33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94412</w:t>
            </w:r>
          </w:p>
        </w:tc>
        <w:tc>
          <w:tcPr>
            <w:tcW w:w="3220" w:type="dxa"/>
            <w:tcBorders>
              <w:top w:val="nil"/>
              <w:left w:val="nil"/>
              <w:bottom w:val="single" w:sz="4" w:space="0" w:color="auto"/>
              <w:right w:val="single" w:sz="4" w:space="0" w:color="auto"/>
            </w:tcBorders>
            <w:shd w:val="clear" w:color="000000" w:fill="FFFFFF"/>
            <w:noWrap/>
            <w:vAlign w:val="center"/>
            <w:hideMark/>
          </w:tcPr>
          <w:p w14:paraId="3D8D8B7A"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Autobuses, Microbuses Y Vans</w:t>
            </w:r>
          </w:p>
        </w:tc>
        <w:tc>
          <w:tcPr>
            <w:tcW w:w="1140" w:type="dxa"/>
            <w:tcBorders>
              <w:top w:val="nil"/>
              <w:left w:val="nil"/>
              <w:bottom w:val="single" w:sz="4" w:space="0" w:color="auto"/>
              <w:right w:val="single" w:sz="4" w:space="0" w:color="auto"/>
            </w:tcBorders>
            <w:shd w:val="clear" w:color="000000" w:fill="FFFFFF"/>
            <w:noWrap/>
            <w:vAlign w:val="center"/>
            <w:hideMark/>
          </w:tcPr>
          <w:p w14:paraId="7A2CA2E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D71909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28C4DEA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39D7DF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6BF5238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226898D2"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8EB305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94413</w:t>
            </w:r>
          </w:p>
        </w:tc>
        <w:tc>
          <w:tcPr>
            <w:tcW w:w="3220" w:type="dxa"/>
            <w:tcBorders>
              <w:top w:val="nil"/>
              <w:left w:val="nil"/>
              <w:bottom w:val="single" w:sz="4" w:space="0" w:color="auto"/>
              <w:right w:val="single" w:sz="4" w:space="0" w:color="auto"/>
            </w:tcBorders>
            <w:shd w:val="clear" w:color="000000" w:fill="FFFFFF"/>
            <w:noWrap/>
            <w:vAlign w:val="center"/>
            <w:hideMark/>
          </w:tcPr>
          <w:p w14:paraId="51A998A6"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Camiones De Volteo Y Carga</w:t>
            </w:r>
          </w:p>
        </w:tc>
        <w:tc>
          <w:tcPr>
            <w:tcW w:w="1140" w:type="dxa"/>
            <w:tcBorders>
              <w:top w:val="nil"/>
              <w:left w:val="nil"/>
              <w:bottom w:val="single" w:sz="4" w:space="0" w:color="auto"/>
              <w:right w:val="single" w:sz="4" w:space="0" w:color="auto"/>
            </w:tcBorders>
            <w:shd w:val="clear" w:color="000000" w:fill="FFFFFF"/>
            <w:noWrap/>
            <w:vAlign w:val="center"/>
            <w:hideMark/>
          </w:tcPr>
          <w:p w14:paraId="7251F07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C8409F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007EE35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EE3F9D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2AF55FC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7459128A"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1BB769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94414</w:t>
            </w:r>
          </w:p>
        </w:tc>
        <w:tc>
          <w:tcPr>
            <w:tcW w:w="3220" w:type="dxa"/>
            <w:tcBorders>
              <w:top w:val="nil"/>
              <w:left w:val="nil"/>
              <w:bottom w:val="single" w:sz="4" w:space="0" w:color="auto"/>
              <w:right w:val="single" w:sz="4" w:space="0" w:color="auto"/>
            </w:tcBorders>
            <w:shd w:val="clear" w:color="000000" w:fill="FFFFFF"/>
            <w:noWrap/>
            <w:vAlign w:val="center"/>
            <w:hideMark/>
          </w:tcPr>
          <w:p w14:paraId="2FC2175A"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Ambulancias</w:t>
            </w:r>
          </w:p>
        </w:tc>
        <w:tc>
          <w:tcPr>
            <w:tcW w:w="1140" w:type="dxa"/>
            <w:tcBorders>
              <w:top w:val="nil"/>
              <w:left w:val="nil"/>
              <w:bottom w:val="single" w:sz="4" w:space="0" w:color="auto"/>
              <w:right w:val="single" w:sz="4" w:space="0" w:color="auto"/>
            </w:tcBorders>
            <w:shd w:val="clear" w:color="000000" w:fill="FFFFFF"/>
            <w:noWrap/>
            <w:vAlign w:val="center"/>
            <w:hideMark/>
          </w:tcPr>
          <w:p w14:paraId="44069D4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CCC196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w:t>
            </w:r>
          </w:p>
        </w:tc>
        <w:tc>
          <w:tcPr>
            <w:tcW w:w="1180" w:type="dxa"/>
            <w:tcBorders>
              <w:top w:val="nil"/>
              <w:left w:val="nil"/>
              <w:bottom w:val="single" w:sz="4" w:space="0" w:color="auto"/>
              <w:right w:val="single" w:sz="4" w:space="0" w:color="auto"/>
            </w:tcBorders>
            <w:shd w:val="clear" w:color="000000" w:fill="FFFFFF"/>
            <w:noWrap/>
            <w:vAlign w:val="center"/>
            <w:hideMark/>
          </w:tcPr>
          <w:p w14:paraId="4CF832F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8C88C7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16.67</w:t>
            </w:r>
          </w:p>
        </w:tc>
        <w:tc>
          <w:tcPr>
            <w:tcW w:w="1220" w:type="dxa"/>
            <w:tcBorders>
              <w:top w:val="nil"/>
              <w:left w:val="nil"/>
              <w:bottom w:val="single" w:sz="4" w:space="0" w:color="auto"/>
              <w:right w:val="single" w:sz="4" w:space="0" w:color="auto"/>
            </w:tcBorders>
            <w:shd w:val="clear" w:color="000000" w:fill="FFFFFF"/>
            <w:noWrap/>
            <w:vAlign w:val="bottom"/>
            <w:hideMark/>
          </w:tcPr>
          <w:p w14:paraId="70C2984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1.39</w:t>
            </w:r>
          </w:p>
        </w:tc>
      </w:tr>
      <w:tr w:rsidR="00526EC3" w:rsidRPr="005F45A3" w14:paraId="38C748D1"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829393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94415</w:t>
            </w:r>
          </w:p>
        </w:tc>
        <w:tc>
          <w:tcPr>
            <w:tcW w:w="3220" w:type="dxa"/>
            <w:tcBorders>
              <w:top w:val="nil"/>
              <w:left w:val="nil"/>
              <w:bottom w:val="single" w:sz="4" w:space="0" w:color="auto"/>
              <w:right w:val="single" w:sz="4" w:space="0" w:color="auto"/>
            </w:tcBorders>
            <w:shd w:val="clear" w:color="000000" w:fill="FFFFFF"/>
            <w:noWrap/>
            <w:vAlign w:val="center"/>
            <w:hideMark/>
          </w:tcPr>
          <w:p w14:paraId="00858B7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Camiones De Basura</w:t>
            </w:r>
          </w:p>
        </w:tc>
        <w:tc>
          <w:tcPr>
            <w:tcW w:w="1140" w:type="dxa"/>
            <w:tcBorders>
              <w:top w:val="nil"/>
              <w:left w:val="nil"/>
              <w:bottom w:val="single" w:sz="4" w:space="0" w:color="auto"/>
              <w:right w:val="single" w:sz="4" w:space="0" w:color="auto"/>
            </w:tcBorders>
            <w:shd w:val="clear" w:color="000000" w:fill="FFFFFF"/>
            <w:noWrap/>
            <w:vAlign w:val="center"/>
            <w:hideMark/>
          </w:tcPr>
          <w:p w14:paraId="1E431CF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FBAB19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w:t>
            </w:r>
          </w:p>
        </w:tc>
        <w:tc>
          <w:tcPr>
            <w:tcW w:w="1180" w:type="dxa"/>
            <w:tcBorders>
              <w:top w:val="nil"/>
              <w:left w:val="nil"/>
              <w:bottom w:val="single" w:sz="4" w:space="0" w:color="auto"/>
              <w:right w:val="single" w:sz="4" w:space="0" w:color="auto"/>
            </w:tcBorders>
            <w:shd w:val="clear" w:color="000000" w:fill="FFFFFF"/>
            <w:noWrap/>
            <w:vAlign w:val="center"/>
            <w:hideMark/>
          </w:tcPr>
          <w:p w14:paraId="083C5B0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E7D7B0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16.67</w:t>
            </w:r>
          </w:p>
        </w:tc>
        <w:tc>
          <w:tcPr>
            <w:tcW w:w="1220" w:type="dxa"/>
            <w:tcBorders>
              <w:top w:val="nil"/>
              <w:left w:val="nil"/>
              <w:bottom w:val="single" w:sz="4" w:space="0" w:color="auto"/>
              <w:right w:val="single" w:sz="4" w:space="0" w:color="auto"/>
            </w:tcBorders>
            <w:shd w:val="clear" w:color="000000" w:fill="FFFFFF"/>
            <w:noWrap/>
            <w:vAlign w:val="bottom"/>
            <w:hideMark/>
          </w:tcPr>
          <w:p w14:paraId="7EE52B9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1.39</w:t>
            </w:r>
          </w:p>
        </w:tc>
      </w:tr>
      <w:tr w:rsidR="00526EC3" w:rsidRPr="005F45A3" w14:paraId="7C72E73C"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041584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94416</w:t>
            </w:r>
          </w:p>
        </w:tc>
        <w:tc>
          <w:tcPr>
            <w:tcW w:w="3220" w:type="dxa"/>
            <w:tcBorders>
              <w:top w:val="nil"/>
              <w:left w:val="nil"/>
              <w:bottom w:val="single" w:sz="4" w:space="0" w:color="auto"/>
              <w:right w:val="single" w:sz="4" w:space="0" w:color="auto"/>
            </w:tcBorders>
            <w:shd w:val="clear" w:color="000000" w:fill="FFFFFF"/>
            <w:noWrap/>
            <w:vAlign w:val="center"/>
            <w:hideMark/>
          </w:tcPr>
          <w:p w14:paraId="75E3D01D"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Patrullas,Motocicletas Y Cuatrimotos</w:t>
            </w:r>
          </w:p>
        </w:tc>
        <w:tc>
          <w:tcPr>
            <w:tcW w:w="1140" w:type="dxa"/>
            <w:tcBorders>
              <w:top w:val="nil"/>
              <w:left w:val="nil"/>
              <w:bottom w:val="single" w:sz="4" w:space="0" w:color="auto"/>
              <w:right w:val="single" w:sz="4" w:space="0" w:color="auto"/>
            </w:tcBorders>
            <w:shd w:val="clear" w:color="000000" w:fill="FFFFFF"/>
            <w:noWrap/>
            <w:vAlign w:val="center"/>
            <w:hideMark/>
          </w:tcPr>
          <w:p w14:paraId="3FB3D73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153CAA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w:t>
            </w:r>
          </w:p>
        </w:tc>
        <w:tc>
          <w:tcPr>
            <w:tcW w:w="1180" w:type="dxa"/>
            <w:tcBorders>
              <w:top w:val="nil"/>
              <w:left w:val="nil"/>
              <w:bottom w:val="single" w:sz="4" w:space="0" w:color="auto"/>
              <w:right w:val="single" w:sz="4" w:space="0" w:color="auto"/>
            </w:tcBorders>
            <w:shd w:val="clear" w:color="000000" w:fill="FFFFFF"/>
            <w:noWrap/>
            <w:vAlign w:val="center"/>
            <w:hideMark/>
          </w:tcPr>
          <w:p w14:paraId="3692E7B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w:t>
            </w:r>
          </w:p>
        </w:tc>
        <w:tc>
          <w:tcPr>
            <w:tcW w:w="1020" w:type="dxa"/>
            <w:tcBorders>
              <w:top w:val="nil"/>
              <w:left w:val="nil"/>
              <w:bottom w:val="single" w:sz="4" w:space="0" w:color="auto"/>
              <w:right w:val="single" w:sz="4" w:space="0" w:color="auto"/>
            </w:tcBorders>
            <w:shd w:val="clear" w:color="000000" w:fill="FFFFFF"/>
            <w:noWrap/>
            <w:vAlign w:val="bottom"/>
            <w:hideMark/>
          </w:tcPr>
          <w:p w14:paraId="3CD089B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25.00</w:t>
            </w:r>
          </w:p>
        </w:tc>
        <w:tc>
          <w:tcPr>
            <w:tcW w:w="1220" w:type="dxa"/>
            <w:tcBorders>
              <w:top w:val="nil"/>
              <w:left w:val="nil"/>
              <w:bottom w:val="single" w:sz="4" w:space="0" w:color="auto"/>
              <w:right w:val="single" w:sz="4" w:space="0" w:color="auto"/>
            </w:tcBorders>
            <w:shd w:val="clear" w:color="000000" w:fill="FFFFFF"/>
            <w:noWrap/>
            <w:vAlign w:val="bottom"/>
            <w:hideMark/>
          </w:tcPr>
          <w:p w14:paraId="2740CFD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2.08</w:t>
            </w:r>
          </w:p>
        </w:tc>
      </w:tr>
      <w:tr w:rsidR="00526EC3" w:rsidRPr="005F45A3" w14:paraId="04369EB8"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F1DF17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94420</w:t>
            </w:r>
          </w:p>
        </w:tc>
        <w:tc>
          <w:tcPr>
            <w:tcW w:w="3220" w:type="dxa"/>
            <w:tcBorders>
              <w:top w:val="nil"/>
              <w:left w:val="nil"/>
              <w:bottom w:val="single" w:sz="4" w:space="0" w:color="auto"/>
              <w:right w:val="single" w:sz="4" w:space="0" w:color="auto"/>
            </w:tcBorders>
            <w:shd w:val="clear" w:color="000000" w:fill="FFFFFF"/>
            <w:noWrap/>
            <w:vAlign w:val="center"/>
            <w:hideMark/>
          </w:tcPr>
          <w:p w14:paraId="1AC54810" w14:textId="2A9FDABE"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Carrocerías Y Remolques</w:t>
            </w:r>
          </w:p>
        </w:tc>
        <w:tc>
          <w:tcPr>
            <w:tcW w:w="1140" w:type="dxa"/>
            <w:tcBorders>
              <w:top w:val="nil"/>
              <w:left w:val="nil"/>
              <w:bottom w:val="single" w:sz="4" w:space="0" w:color="auto"/>
              <w:right w:val="single" w:sz="4" w:space="0" w:color="auto"/>
            </w:tcBorders>
            <w:shd w:val="clear" w:color="000000" w:fill="FFFFFF"/>
            <w:noWrap/>
            <w:vAlign w:val="center"/>
            <w:hideMark/>
          </w:tcPr>
          <w:p w14:paraId="1D6A3B8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F7A2F8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5D7D986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64C326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24379AB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526EC3" w:rsidRPr="005F45A3" w14:paraId="2425E130"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E73BC9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94430</w:t>
            </w:r>
          </w:p>
        </w:tc>
        <w:tc>
          <w:tcPr>
            <w:tcW w:w="3220" w:type="dxa"/>
            <w:tcBorders>
              <w:top w:val="nil"/>
              <w:left w:val="nil"/>
              <w:bottom w:val="single" w:sz="4" w:space="0" w:color="auto"/>
              <w:right w:val="single" w:sz="4" w:space="0" w:color="auto"/>
            </w:tcBorders>
            <w:shd w:val="clear" w:color="000000" w:fill="FFFFFF"/>
            <w:noWrap/>
            <w:vAlign w:val="center"/>
            <w:hideMark/>
          </w:tcPr>
          <w:p w14:paraId="79165B6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Aeroespacial</w:t>
            </w:r>
          </w:p>
        </w:tc>
        <w:tc>
          <w:tcPr>
            <w:tcW w:w="1140" w:type="dxa"/>
            <w:tcBorders>
              <w:top w:val="nil"/>
              <w:left w:val="nil"/>
              <w:bottom w:val="single" w:sz="4" w:space="0" w:color="auto"/>
              <w:right w:val="single" w:sz="4" w:space="0" w:color="auto"/>
            </w:tcBorders>
            <w:shd w:val="clear" w:color="000000" w:fill="FFFFFF"/>
            <w:noWrap/>
            <w:vAlign w:val="center"/>
            <w:hideMark/>
          </w:tcPr>
          <w:p w14:paraId="69BD258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855A55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28B54A7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DF63F6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7AEAFE2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526EC3" w:rsidRPr="005F45A3" w14:paraId="45979573"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C3CA40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94440</w:t>
            </w:r>
          </w:p>
        </w:tc>
        <w:tc>
          <w:tcPr>
            <w:tcW w:w="3220" w:type="dxa"/>
            <w:tcBorders>
              <w:top w:val="nil"/>
              <w:left w:val="nil"/>
              <w:bottom w:val="single" w:sz="4" w:space="0" w:color="auto"/>
              <w:right w:val="single" w:sz="4" w:space="0" w:color="auto"/>
            </w:tcBorders>
            <w:shd w:val="clear" w:color="000000" w:fill="FFFFFF"/>
            <w:noWrap/>
            <w:vAlign w:val="center"/>
            <w:hideMark/>
          </w:tcPr>
          <w:p w14:paraId="1D6CDC10"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Ferroviario</w:t>
            </w:r>
          </w:p>
        </w:tc>
        <w:tc>
          <w:tcPr>
            <w:tcW w:w="1140" w:type="dxa"/>
            <w:tcBorders>
              <w:top w:val="nil"/>
              <w:left w:val="nil"/>
              <w:bottom w:val="single" w:sz="4" w:space="0" w:color="auto"/>
              <w:right w:val="single" w:sz="4" w:space="0" w:color="auto"/>
            </w:tcBorders>
            <w:shd w:val="clear" w:color="000000" w:fill="FFFFFF"/>
            <w:noWrap/>
            <w:vAlign w:val="center"/>
            <w:hideMark/>
          </w:tcPr>
          <w:p w14:paraId="7443048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A11FAD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2ED1331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AA1040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7E23FC6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360582A9"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34D2AE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94450</w:t>
            </w:r>
          </w:p>
        </w:tc>
        <w:tc>
          <w:tcPr>
            <w:tcW w:w="3220" w:type="dxa"/>
            <w:tcBorders>
              <w:top w:val="nil"/>
              <w:left w:val="nil"/>
              <w:bottom w:val="single" w:sz="4" w:space="0" w:color="auto"/>
              <w:right w:val="single" w:sz="4" w:space="0" w:color="auto"/>
            </w:tcBorders>
            <w:shd w:val="clear" w:color="000000" w:fill="FFFFFF"/>
            <w:noWrap/>
            <w:vAlign w:val="center"/>
            <w:hideMark/>
          </w:tcPr>
          <w:p w14:paraId="2274B13F"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Embarcaciones</w:t>
            </w:r>
          </w:p>
        </w:tc>
        <w:tc>
          <w:tcPr>
            <w:tcW w:w="1140" w:type="dxa"/>
            <w:tcBorders>
              <w:top w:val="nil"/>
              <w:left w:val="nil"/>
              <w:bottom w:val="single" w:sz="4" w:space="0" w:color="auto"/>
              <w:right w:val="single" w:sz="4" w:space="0" w:color="auto"/>
            </w:tcBorders>
            <w:shd w:val="clear" w:color="000000" w:fill="FFFFFF"/>
            <w:noWrap/>
            <w:vAlign w:val="center"/>
            <w:hideMark/>
          </w:tcPr>
          <w:p w14:paraId="71C08DF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313DD0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2C143A2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F06C7E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622EBC9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526EC3" w:rsidRPr="005F45A3" w14:paraId="7FB5D9F0"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C7261C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94490</w:t>
            </w:r>
          </w:p>
        </w:tc>
        <w:tc>
          <w:tcPr>
            <w:tcW w:w="3220" w:type="dxa"/>
            <w:tcBorders>
              <w:top w:val="nil"/>
              <w:left w:val="nil"/>
              <w:bottom w:val="single" w:sz="4" w:space="0" w:color="auto"/>
              <w:right w:val="single" w:sz="4" w:space="0" w:color="auto"/>
            </w:tcBorders>
            <w:shd w:val="clear" w:color="000000" w:fill="FFFFFF"/>
            <w:noWrap/>
            <w:vAlign w:val="center"/>
            <w:hideMark/>
          </w:tcPr>
          <w:p w14:paraId="1B1D63E9"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Otros Equipos De Transporte</w:t>
            </w:r>
          </w:p>
        </w:tc>
        <w:tc>
          <w:tcPr>
            <w:tcW w:w="1140" w:type="dxa"/>
            <w:tcBorders>
              <w:top w:val="nil"/>
              <w:left w:val="nil"/>
              <w:bottom w:val="single" w:sz="4" w:space="0" w:color="auto"/>
              <w:right w:val="single" w:sz="4" w:space="0" w:color="auto"/>
            </w:tcBorders>
            <w:shd w:val="clear" w:color="000000" w:fill="FFFFFF"/>
            <w:noWrap/>
            <w:vAlign w:val="center"/>
            <w:hideMark/>
          </w:tcPr>
          <w:p w14:paraId="518EB4F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AC140F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12E650C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8B4836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302111D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2A4C465D"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E76C9E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94500</w:t>
            </w:r>
          </w:p>
        </w:tc>
        <w:tc>
          <w:tcPr>
            <w:tcW w:w="3220" w:type="dxa"/>
            <w:tcBorders>
              <w:top w:val="nil"/>
              <w:left w:val="nil"/>
              <w:bottom w:val="single" w:sz="4" w:space="0" w:color="auto"/>
              <w:right w:val="single" w:sz="4" w:space="0" w:color="auto"/>
            </w:tcBorders>
            <w:shd w:val="clear" w:color="000000" w:fill="FFFFFF"/>
            <w:noWrap/>
            <w:vAlign w:val="center"/>
            <w:hideMark/>
          </w:tcPr>
          <w:p w14:paraId="2E2D0E6B"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De Seguridad Publica</w:t>
            </w:r>
          </w:p>
        </w:tc>
        <w:tc>
          <w:tcPr>
            <w:tcW w:w="1140" w:type="dxa"/>
            <w:tcBorders>
              <w:top w:val="nil"/>
              <w:left w:val="nil"/>
              <w:bottom w:val="single" w:sz="4" w:space="0" w:color="auto"/>
              <w:right w:val="single" w:sz="4" w:space="0" w:color="auto"/>
            </w:tcBorders>
            <w:shd w:val="clear" w:color="000000" w:fill="FFFFFF"/>
            <w:noWrap/>
            <w:vAlign w:val="center"/>
            <w:hideMark/>
          </w:tcPr>
          <w:p w14:paraId="118EF4D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452B68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w:t>
            </w:r>
          </w:p>
        </w:tc>
        <w:tc>
          <w:tcPr>
            <w:tcW w:w="1180" w:type="dxa"/>
            <w:tcBorders>
              <w:top w:val="nil"/>
              <w:left w:val="nil"/>
              <w:bottom w:val="single" w:sz="4" w:space="0" w:color="auto"/>
              <w:right w:val="single" w:sz="4" w:space="0" w:color="auto"/>
            </w:tcBorders>
            <w:shd w:val="clear" w:color="000000" w:fill="FFFFFF"/>
            <w:noWrap/>
            <w:vAlign w:val="center"/>
            <w:hideMark/>
          </w:tcPr>
          <w:p w14:paraId="6430AF7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AC7FC9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25.00</w:t>
            </w:r>
          </w:p>
        </w:tc>
        <w:tc>
          <w:tcPr>
            <w:tcW w:w="1220" w:type="dxa"/>
            <w:tcBorders>
              <w:top w:val="nil"/>
              <w:left w:val="nil"/>
              <w:bottom w:val="single" w:sz="4" w:space="0" w:color="auto"/>
              <w:right w:val="single" w:sz="4" w:space="0" w:color="auto"/>
            </w:tcBorders>
            <w:shd w:val="clear" w:color="000000" w:fill="FFFFFF"/>
            <w:noWrap/>
            <w:vAlign w:val="bottom"/>
            <w:hideMark/>
          </w:tcPr>
          <w:p w14:paraId="2532D61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2.08</w:t>
            </w:r>
          </w:p>
        </w:tc>
      </w:tr>
      <w:tr w:rsidR="00526EC3" w:rsidRPr="005F45A3" w14:paraId="353E2D87"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B3429F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94610</w:t>
            </w:r>
          </w:p>
        </w:tc>
        <w:tc>
          <w:tcPr>
            <w:tcW w:w="3220" w:type="dxa"/>
            <w:tcBorders>
              <w:top w:val="nil"/>
              <w:left w:val="nil"/>
              <w:bottom w:val="single" w:sz="4" w:space="0" w:color="auto"/>
              <w:right w:val="single" w:sz="4" w:space="0" w:color="auto"/>
            </w:tcBorders>
            <w:shd w:val="clear" w:color="000000" w:fill="FFFFFF"/>
            <w:noWrap/>
            <w:vAlign w:val="center"/>
            <w:hideMark/>
          </w:tcPr>
          <w:p w14:paraId="2B3B9E56"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Maquinaria Y Equipo Agropecuario</w:t>
            </w:r>
          </w:p>
        </w:tc>
        <w:tc>
          <w:tcPr>
            <w:tcW w:w="1140" w:type="dxa"/>
            <w:tcBorders>
              <w:top w:val="nil"/>
              <w:left w:val="nil"/>
              <w:bottom w:val="single" w:sz="4" w:space="0" w:color="auto"/>
              <w:right w:val="single" w:sz="4" w:space="0" w:color="auto"/>
            </w:tcBorders>
            <w:shd w:val="clear" w:color="000000" w:fill="FFFFFF"/>
            <w:noWrap/>
            <w:vAlign w:val="center"/>
            <w:hideMark/>
          </w:tcPr>
          <w:p w14:paraId="2936116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A464CD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15FDFB2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B99632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567DDAC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7E836652"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D6560D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94620</w:t>
            </w:r>
          </w:p>
        </w:tc>
        <w:tc>
          <w:tcPr>
            <w:tcW w:w="3220" w:type="dxa"/>
            <w:tcBorders>
              <w:top w:val="nil"/>
              <w:left w:val="nil"/>
              <w:bottom w:val="single" w:sz="4" w:space="0" w:color="auto"/>
              <w:right w:val="single" w:sz="4" w:space="0" w:color="auto"/>
            </w:tcBorders>
            <w:shd w:val="clear" w:color="000000" w:fill="FFFFFF"/>
            <w:noWrap/>
            <w:vAlign w:val="center"/>
            <w:hideMark/>
          </w:tcPr>
          <w:p w14:paraId="25411F47"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Maquinaria Y Equipo Industrial</w:t>
            </w:r>
          </w:p>
        </w:tc>
        <w:tc>
          <w:tcPr>
            <w:tcW w:w="1140" w:type="dxa"/>
            <w:tcBorders>
              <w:top w:val="nil"/>
              <w:left w:val="nil"/>
              <w:bottom w:val="single" w:sz="4" w:space="0" w:color="auto"/>
              <w:right w:val="single" w:sz="4" w:space="0" w:color="auto"/>
            </w:tcBorders>
            <w:shd w:val="clear" w:color="000000" w:fill="FFFFFF"/>
            <w:noWrap/>
            <w:vAlign w:val="center"/>
            <w:hideMark/>
          </w:tcPr>
          <w:p w14:paraId="4E59B45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2686DB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5B46900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D0F2D8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0A51C87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5495CAC6"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1F95EB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94630</w:t>
            </w:r>
          </w:p>
        </w:tc>
        <w:tc>
          <w:tcPr>
            <w:tcW w:w="3220" w:type="dxa"/>
            <w:tcBorders>
              <w:top w:val="nil"/>
              <w:left w:val="nil"/>
              <w:bottom w:val="single" w:sz="4" w:space="0" w:color="auto"/>
              <w:right w:val="single" w:sz="4" w:space="0" w:color="auto"/>
            </w:tcBorders>
            <w:shd w:val="clear" w:color="000000" w:fill="FFFFFF"/>
            <w:noWrap/>
            <w:vAlign w:val="center"/>
            <w:hideMark/>
          </w:tcPr>
          <w:p w14:paraId="26B43162" w14:textId="389254D8"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Maquinaria Y Equipo De Construcción</w:t>
            </w:r>
          </w:p>
        </w:tc>
        <w:tc>
          <w:tcPr>
            <w:tcW w:w="1140" w:type="dxa"/>
            <w:tcBorders>
              <w:top w:val="nil"/>
              <w:left w:val="nil"/>
              <w:bottom w:val="single" w:sz="4" w:space="0" w:color="auto"/>
              <w:right w:val="single" w:sz="4" w:space="0" w:color="auto"/>
            </w:tcBorders>
            <w:shd w:val="clear" w:color="000000" w:fill="FFFFFF"/>
            <w:noWrap/>
            <w:vAlign w:val="center"/>
            <w:hideMark/>
          </w:tcPr>
          <w:p w14:paraId="69D7435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23EFFB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7</w:t>
            </w:r>
          </w:p>
        </w:tc>
        <w:tc>
          <w:tcPr>
            <w:tcW w:w="1180" w:type="dxa"/>
            <w:tcBorders>
              <w:top w:val="nil"/>
              <w:left w:val="nil"/>
              <w:bottom w:val="single" w:sz="4" w:space="0" w:color="auto"/>
              <w:right w:val="single" w:sz="4" w:space="0" w:color="auto"/>
            </w:tcBorders>
            <w:shd w:val="clear" w:color="000000" w:fill="FFFFFF"/>
            <w:noWrap/>
            <w:vAlign w:val="center"/>
            <w:hideMark/>
          </w:tcPr>
          <w:p w14:paraId="45E45E7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509501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14.29</w:t>
            </w:r>
          </w:p>
        </w:tc>
        <w:tc>
          <w:tcPr>
            <w:tcW w:w="1220" w:type="dxa"/>
            <w:tcBorders>
              <w:top w:val="nil"/>
              <w:left w:val="nil"/>
              <w:bottom w:val="single" w:sz="4" w:space="0" w:color="auto"/>
              <w:right w:val="single" w:sz="4" w:space="0" w:color="auto"/>
            </w:tcBorders>
            <w:shd w:val="clear" w:color="000000" w:fill="FFFFFF"/>
            <w:noWrap/>
            <w:vAlign w:val="bottom"/>
            <w:hideMark/>
          </w:tcPr>
          <w:p w14:paraId="3152E7D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1.19</w:t>
            </w:r>
          </w:p>
        </w:tc>
      </w:tr>
      <w:tr w:rsidR="00526EC3" w:rsidRPr="005F45A3" w14:paraId="06C2B6A1"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190DE5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94640</w:t>
            </w:r>
          </w:p>
        </w:tc>
        <w:tc>
          <w:tcPr>
            <w:tcW w:w="3220" w:type="dxa"/>
            <w:tcBorders>
              <w:top w:val="nil"/>
              <w:left w:val="nil"/>
              <w:bottom w:val="single" w:sz="4" w:space="0" w:color="auto"/>
              <w:right w:val="single" w:sz="4" w:space="0" w:color="auto"/>
            </w:tcBorders>
            <w:shd w:val="clear" w:color="000000" w:fill="FFFFFF"/>
            <w:noWrap/>
            <w:vAlign w:val="center"/>
            <w:hideMark/>
          </w:tcPr>
          <w:p w14:paraId="7DAE1288"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De Aire Acondicionado</w:t>
            </w:r>
          </w:p>
        </w:tc>
        <w:tc>
          <w:tcPr>
            <w:tcW w:w="1140" w:type="dxa"/>
            <w:tcBorders>
              <w:top w:val="nil"/>
              <w:left w:val="nil"/>
              <w:bottom w:val="single" w:sz="4" w:space="0" w:color="auto"/>
              <w:right w:val="single" w:sz="4" w:space="0" w:color="auto"/>
            </w:tcBorders>
            <w:shd w:val="clear" w:color="000000" w:fill="FFFFFF"/>
            <w:noWrap/>
            <w:vAlign w:val="center"/>
            <w:hideMark/>
          </w:tcPr>
          <w:p w14:paraId="1A09D95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6E330F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54DAA8E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38EAE1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73B8773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02F48859"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6E4E7C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94650</w:t>
            </w:r>
          </w:p>
        </w:tc>
        <w:tc>
          <w:tcPr>
            <w:tcW w:w="3220" w:type="dxa"/>
            <w:tcBorders>
              <w:top w:val="nil"/>
              <w:left w:val="nil"/>
              <w:bottom w:val="single" w:sz="4" w:space="0" w:color="auto"/>
              <w:right w:val="single" w:sz="4" w:space="0" w:color="auto"/>
            </w:tcBorders>
            <w:shd w:val="clear" w:color="000000" w:fill="FFFFFF"/>
            <w:noWrap/>
            <w:vAlign w:val="center"/>
            <w:hideMark/>
          </w:tcPr>
          <w:p w14:paraId="469C73F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De Comunicaciones Y Telecomunicac</w:t>
            </w:r>
          </w:p>
        </w:tc>
        <w:tc>
          <w:tcPr>
            <w:tcW w:w="1140" w:type="dxa"/>
            <w:tcBorders>
              <w:top w:val="nil"/>
              <w:left w:val="nil"/>
              <w:bottom w:val="single" w:sz="4" w:space="0" w:color="auto"/>
              <w:right w:val="single" w:sz="4" w:space="0" w:color="auto"/>
            </w:tcBorders>
            <w:shd w:val="clear" w:color="000000" w:fill="FFFFFF"/>
            <w:noWrap/>
            <w:vAlign w:val="center"/>
            <w:hideMark/>
          </w:tcPr>
          <w:p w14:paraId="7B1AA1D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7BF119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w:t>
            </w:r>
          </w:p>
        </w:tc>
        <w:tc>
          <w:tcPr>
            <w:tcW w:w="1180" w:type="dxa"/>
            <w:tcBorders>
              <w:top w:val="nil"/>
              <w:left w:val="nil"/>
              <w:bottom w:val="single" w:sz="4" w:space="0" w:color="auto"/>
              <w:right w:val="single" w:sz="4" w:space="0" w:color="auto"/>
            </w:tcBorders>
            <w:shd w:val="clear" w:color="000000" w:fill="FFFFFF"/>
            <w:noWrap/>
            <w:vAlign w:val="center"/>
            <w:hideMark/>
          </w:tcPr>
          <w:p w14:paraId="0812A41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E2E2F8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8.33</w:t>
            </w:r>
          </w:p>
        </w:tc>
        <w:tc>
          <w:tcPr>
            <w:tcW w:w="1220" w:type="dxa"/>
            <w:tcBorders>
              <w:top w:val="nil"/>
              <w:left w:val="nil"/>
              <w:bottom w:val="single" w:sz="4" w:space="0" w:color="auto"/>
              <w:right w:val="single" w:sz="4" w:space="0" w:color="auto"/>
            </w:tcBorders>
            <w:shd w:val="clear" w:color="000000" w:fill="FFFFFF"/>
            <w:noWrap/>
            <w:vAlign w:val="bottom"/>
            <w:hideMark/>
          </w:tcPr>
          <w:p w14:paraId="5CE2C6E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0.69</w:t>
            </w:r>
          </w:p>
        </w:tc>
      </w:tr>
      <w:tr w:rsidR="00526EC3" w:rsidRPr="005F45A3" w14:paraId="389C7450"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A1F734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94660</w:t>
            </w:r>
          </w:p>
        </w:tc>
        <w:tc>
          <w:tcPr>
            <w:tcW w:w="3220" w:type="dxa"/>
            <w:tcBorders>
              <w:top w:val="nil"/>
              <w:left w:val="nil"/>
              <w:bottom w:val="single" w:sz="4" w:space="0" w:color="auto"/>
              <w:right w:val="single" w:sz="4" w:space="0" w:color="auto"/>
            </w:tcBorders>
            <w:shd w:val="clear" w:color="000000" w:fill="FFFFFF"/>
            <w:noWrap/>
            <w:vAlign w:val="center"/>
            <w:hideMark/>
          </w:tcPr>
          <w:p w14:paraId="2397614A" w14:textId="4D680F45"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Eq.De Generacion Eléctrica, Aparatos Y A</w:t>
            </w:r>
          </w:p>
        </w:tc>
        <w:tc>
          <w:tcPr>
            <w:tcW w:w="1140" w:type="dxa"/>
            <w:tcBorders>
              <w:top w:val="nil"/>
              <w:left w:val="nil"/>
              <w:bottom w:val="single" w:sz="4" w:space="0" w:color="auto"/>
              <w:right w:val="single" w:sz="4" w:space="0" w:color="auto"/>
            </w:tcBorders>
            <w:shd w:val="clear" w:color="000000" w:fill="FFFFFF"/>
            <w:noWrap/>
            <w:vAlign w:val="center"/>
            <w:hideMark/>
          </w:tcPr>
          <w:p w14:paraId="017C184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0BCC8D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3572BB6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D8C19B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52C3B24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6195CF89"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527055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94670</w:t>
            </w:r>
          </w:p>
        </w:tc>
        <w:tc>
          <w:tcPr>
            <w:tcW w:w="3220" w:type="dxa"/>
            <w:tcBorders>
              <w:top w:val="nil"/>
              <w:left w:val="nil"/>
              <w:bottom w:val="single" w:sz="4" w:space="0" w:color="auto"/>
              <w:right w:val="single" w:sz="4" w:space="0" w:color="auto"/>
            </w:tcBorders>
            <w:shd w:val="clear" w:color="000000" w:fill="FFFFFF"/>
            <w:noWrap/>
            <w:vAlign w:val="center"/>
            <w:hideMark/>
          </w:tcPr>
          <w:p w14:paraId="2503CF9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Herramientas Y Máquinas-Herramienta</w:t>
            </w:r>
          </w:p>
        </w:tc>
        <w:tc>
          <w:tcPr>
            <w:tcW w:w="1140" w:type="dxa"/>
            <w:tcBorders>
              <w:top w:val="nil"/>
              <w:left w:val="nil"/>
              <w:bottom w:val="single" w:sz="4" w:space="0" w:color="auto"/>
              <w:right w:val="single" w:sz="4" w:space="0" w:color="auto"/>
            </w:tcBorders>
            <w:shd w:val="clear" w:color="000000" w:fill="FFFFFF"/>
            <w:noWrap/>
            <w:vAlign w:val="center"/>
            <w:hideMark/>
          </w:tcPr>
          <w:p w14:paraId="1E40960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EC9264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75CF069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23C34D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7AC48E5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526EC3" w:rsidRPr="005F45A3" w14:paraId="4B19BAD4"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B47A77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94690</w:t>
            </w:r>
          </w:p>
        </w:tc>
        <w:tc>
          <w:tcPr>
            <w:tcW w:w="3220" w:type="dxa"/>
            <w:tcBorders>
              <w:top w:val="nil"/>
              <w:left w:val="nil"/>
              <w:bottom w:val="single" w:sz="4" w:space="0" w:color="auto"/>
              <w:right w:val="single" w:sz="4" w:space="0" w:color="auto"/>
            </w:tcBorders>
            <w:shd w:val="clear" w:color="000000" w:fill="FFFFFF"/>
            <w:noWrap/>
            <w:vAlign w:val="center"/>
            <w:hideMark/>
          </w:tcPr>
          <w:p w14:paraId="16F155C2" w14:textId="306B76F8"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De Medición</w:t>
            </w:r>
          </w:p>
        </w:tc>
        <w:tc>
          <w:tcPr>
            <w:tcW w:w="1140" w:type="dxa"/>
            <w:tcBorders>
              <w:top w:val="nil"/>
              <w:left w:val="nil"/>
              <w:bottom w:val="single" w:sz="4" w:space="0" w:color="auto"/>
              <w:right w:val="single" w:sz="4" w:space="0" w:color="auto"/>
            </w:tcBorders>
            <w:shd w:val="clear" w:color="000000" w:fill="FFFFFF"/>
            <w:noWrap/>
            <w:vAlign w:val="center"/>
            <w:hideMark/>
          </w:tcPr>
          <w:p w14:paraId="4373A3C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65FF5B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7</w:t>
            </w:r>
          </w:p>
        </w:tc>
        <w:tc>
          <w:tcPr>
            <w:tcW w:w="1180" w:type="dxa"/>
            <w:tcBorders>
              <w:top w:val="nil"/>
              <w:left w:val="nil"/>
              <w:bottom w:val="single" w:sz="4" w:space="0" w:color="auto"/>
              <w:right w:val="single" w:sz="4" w:space="0" w:color="auto"/>
            </w:tcBorders>
            <w:shd w:val="clear" w:color="000000" w:fill="FFFFFF"/>
            <w:noWrap/>
            <w:vAlign w:val="center"/>
            <w:hideMark/>
          </w:tcPr>
          <w:p w14:paraId="6A63670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274F5D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14.29</w:t>
            </w:r>
          </w:p>
        </w:tc>
        <w:tc>
          <w:tcPr>
            <w:tcW w:w="1220" w:type="dxa"/>
            <w:tcBorders>
              <w:top w:val="nil"/>
              <w:left w:val="nil"/>
              <w:bottom w:val="single" w:sz="4" w:space="0" w:color="auto"/>
              <w:right w:val="single" w:sz="4" w:space="0" w:color="auto"/>
            </w:tcBorders>
            <w:shd w:val="clear" w:color="000000" w:fill="FFFFFF"/>
            <w:noWrap/>
            <w:vAlign w:val="bottom"/>
            <w:hideMark/>
          </w:tcPr>
          <w:p w14:paraId="5C08726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1.19</w:t>
            </w:r>
          </w:p>
        </w:tc>
      </w:tr>
      <w:tr w:rsidR="00526EC3" w:rsidRPr="005F45A3" w14:paraId="48D939E8"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521269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94710</w:t>
            </w:r>
          </w:p>
        </w:tc>
        <w:tc>
          <w:tcPr>
            <w:tcW w:w="3220" w:type="dxa"/>
            <w:tcBorders>
              <w:top w:val="nil"/>
              <w:left w:val="nil"/>
              <w:bottom w:val="single" w:sz="4" w:space="0" w:color="auto"/>
              <w:right w:val="single" w:sz="4" w:space="0" w:color="auto"/>
            </w:tcBorders>
            <w:shd w:val="clear" w:color="000000" w:fill="FFFFFF"/>
            <w:noWrap/>
            <w:vAlign w:val="center"/>
            <w:hideMark/>
          </w:tcPr>
          <w:p w14:paraId="53D244F2" w14:textId="234D2429"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Bienes Artísticos, Culturales Y Científica</w:t>
            </w:r>
          </w:p>
        </w:tc>
        <w:tc>
          <w:tcPr>
            <w:tcW w:w="1140" w:type="dxa"/>
            <w:tcBorders>
              <w:top w:val="nil"/>
              <w:left w:val="nil"/>
              <w:bottom w:val="single" w:sz="4" w:space="0" w:color="auto"/>
              <w:right w:val="single" w:sz="4" w:space="0" w:color="auto"/>
            </w:tcBorders>
            <w:shd w:val="clear" w:color="000000" w:fill="FFFFFF"/>
            <w:noWrap/>
            <w:vAlign w:val="center"/>
            <w:hideMark/>
          </w:tcPr>
          <w:p w14:paraId="44ABECC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2A85C1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FE20CF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E17359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B6EE87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45E80A68"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08F4BD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94720</w:t>
            </w:r>
          </w:p>
        </w:tc>
        <w:tc>
          <w:tcPr>
            <w:tcW w:w="3220" w:type="dxa"/>
            <w:tcBorders>
              <w:top w:val="nil"/>
              <w:left w:val="nil"/>
              <w:bottom w:val="single" w:sz="4" w:space="0" w:color="auto"/>
              <w:right w:val="single" w:sz="4" w:space="0" w:color="auto"/>
            </w:tcBorders>
            <w:shd w:val="clear" w:color="000000" w:fill="FFFFFF"/>
            <w:noWrap/>
            <w:vAlign w:val="center"/>
            <w:hideMark/>
          </w:tcPr>
          <w:p w14:paraId="245DCA7B"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Objetos De Valor</w:t>
            </w:r>
          </w:p>
        </w:tc>
        <w:tc>
          <w:tcPr>
            <w:tcW w:w="1140" w:type="dxa"/>
            <w:tcBorders>
              <w:top w:val="nil"/>
              <w:left w:val="nil"/>
              <w:bottom w:val="single" w:sz="4" w:space="0" w:color="auto"/>
              <w:right w:val="single" w:sz="4" w:space="0" w:color="auto"/>
            </w:tcBorders>
            <w:shd w:val="clear" w:color="000000" w:fill="FFFFFF"/>
            <w:noWrap/>
            <w:vAlign w:val="center"/>
            <w:hideMark/>
          </w:tcPr>
          <w:p w14:paraId="3D2D93D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88CAF8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837093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26952C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3D99874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7B2B5F20"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1E4208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94810</w:t>
            </w:r>
          </w:p>
        </w:tc>
        <w:tc>
          <w:tcPr>
            <w:tcW w:w="3220" w:type="dxa"/>
            <w:tcBorders>
              <w:top w:val="nil"/>
              <w:left w:val="nil"/>
              <w:bottom w:val="single" w:sz="4" w:space="0" w:color="auto"/>
              <w:right w:val="single" w:sz="4" w:space="0" w:color="auto"/>
            </w:tcBorders>
            <w:shd w:val="clear" w:color="000000" w:fill="FFFFFF"/>
            <w:noWrap/>
            <w:vAlign w:val="center"/>
            <w:hideMark/>
          </w:tcPr>
          <w:p w14:paraId="57C0D8B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Bovinos</w:t>
            </w:r>
          </w:p>
        </w:tc>
        <w:tc>
          <w:tcPr>
            <w:tcW w:w="1140" w:type="dxa"/>
            <w:tcBorders>
              <w:top w:val="nil"/>
              <w:left w:val="nil"/>
              <w:bottom w:val="single" w:sz="4" w:space="0" w:color="auto"/>
              <w:right w:val="single" w:sz="4" w:space="0" w:color="auto"/>
            </w:tcBorders>
            <w:shd w:val="clear" w:color="000000" w:fill="FFFFFF"/>
            <w:noWrap/>
            <w:vAlign w:val="center"/>
            <w:hideMark/>
          </w:tcPr>
          <w:p w14:paraId="1C46160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47C803E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F4B7ED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E4D5BC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28C726E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113D5DB8"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9ED433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94820</w:t>
            </w:r>
          </w:p>
        </w:tc>
        <w:tc>
          <w:tcPr>
            <w:tcW w:w="3220" w:type="dxa"/>
            <w:tcBorders>
              <w:top w:val="nil"/>
              <w:left w:val="nil"/>
              <w:bottom w:val="single" w:sz="4" w:space="0" w:color="auto"/>
              <w:right w:val="single" w:sz="4" w:space="0" w:color="auto"/>
            </w:tcBorders>
            <w:shd w:val="clear" w:color="000000" w:fill="FFFFFF"/>
            <w:noWrap/>
            <w:vAlign w:val="center"/>
            <w:hideMark/>
          </w:tcPr>
          <w:p w14:paraId="2E3860BC"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Porcinos</w:t>
            </w:r>
          </w:p>
        </w:tc>
        <w:tc>
          <w:tcPr>
            <w:tcW w:w="1140" w:type="dxa"/>
            <w:tcBorders>
              <w:top w:val="nil"/>
              <w:left w:val="nil"/>
              <w:bottom w:val="single" w:sz="4" w:space="0" w:color="auto"/>
              <w:right w:val="single" w:sz="4" w:space="0" w:color="auto"/>
            </w:tcBorders>
            <w:shd w:val="clear" w:color="000000" w:fill="FFFFFF"/>
            <w:noWrap/>
            <w:vAlign w:val="center"/>
            <w:hideMark/>
          </w:tcPr>
          <w:p w14:paraId="43E3D84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6ECD65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6E68F9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61F1CC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29FA30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2D1E75" w:rsidRPr="00295AC0" w14:paraId="64EB9F17" w14:textId="77777777" w:rsidTr="00204583">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5F9BBB57" w14:textId="77777777" w:rsidR="002D1E75" w:rsidRPr="00295AC0" w:rsidRDefault="002D1E75" w:rsidP="0020458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CLASE</w:t>
            </w:r>
          </w:p>
        </w:tc>
        <w:tc>
          <w:tcPr>
            <w:tcW w:w="3220" w:type="dxa"/>
            <w:tcBorders>
              <w:top w:val="single" w:sz="4" w:space="0" w:color="auto"/>
              <w:left w:val="nil"/>
              <w:bottom w:val="single" w:sz="4" w:space="0" w:color="auto"/>
              <w:right w:val="single" w:sz="4" w:space="0" w:color="auto"/>
            </w:tcBorders>
            <w:shd w:val="clear" w:color="auto" w:fill="AB0033"/>
            <w:vAlign w:val="center"/>
            <w:hideMark/>
          </w:tcPr>
          <w:p w14:paraId="746EDD15" w14:textId="77777777" w:rsidR="002D1E75" w:rsidRPr="00295AC0" w:rsidRDefault="002D1E75" w:rsidP="00204583">
            <w:pPr>
              <w:spacing w:after="0" w:line="240" w:lineRule="auto"/>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 </w:t>
            </w:r>
          </w:p>
        </w:tc>
        <w:tc>
          <w:tcPr>
            <w:tcW w:w="1140" w:type="dxa"/>
            <w:tcBorders>
              <w:top w:val="single" w:sz="4" w:space="0" w:color="auto"/>
              <w:left w:val="nil"/>
              <w:bottom w:val="single" w:sz="4" w:space="0" w:color="auto"/>
              <w:right w:val="single" w:sz="4" w:space="0" w:color="auto"/>
            </w:tcBorders>
            <w:shd w:val="clear" w:color="auto" w:fill="AB0033"/>
            <w:vAlign w:val="center"/>
            <w:hideMark/>
          </w:tcPr>
          <w:p w14:paraId="5C245EB8" w14:textId="77777777" w:rsidR="002D1E75" w:rsidRPr="00295AC0" w:rsidRDefault="002D1E75" w:rsidP="0020458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MÉTODO DE DEPRECIACIÓN</w:t>
            </w:r>
          </w:p>
        </w:tc>
        <w:tc>
          <w:tcPr>
            <w:tcW w:w="920" w:type="dxa"/>
            <w:tcBorders>
              <w:top w:val="single" w:sz="4" w:space="0" w:color="auto"/>
              <w:left w:val="nil"/>
              <w:bottom w:val="single" w:sz="4" w:space="0" w:color="auto"/>
              <w:right w:val="single" w:sz="4" w:space="0" w:color="auto"/>
            </w:tcBorders>
            <w:shd w:val="clear" w:color="auto" w:fill="AB0033"/>
            <w:vAlign w:val="center"/>
            <w:hideMark/>
          </w:tcPr>
          <w:p w14:paraId="7A52AEDA" w14:textId="77777777" w:rsidR="002D1E75" w:rsidRPr="00295AC0" w:rsidRDefault="002D1E75" w:rsidP="0020458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VIDA UTIL EN AÑOS</w:t>
            </w:r>
          </w:p>
        </w:tc>
        <w:tc>
          <w:tcPr>
            <w:tcW w:w="1180" w:type="dxa"/>
            <w:tcBorders>
              <w:top w:val="single" w:sz="4" w:space="0" w:color="auto"/>
              <w:left w:val="nil"/>
              <w:bottom w:val="single" w:sz="4" w:space="0" w:color="auto"/>
              <w:right w:val="single" w:sz="4" w:space="0" w:color="auto"/>
            </w:tcBorders>
            <w:shd w:val="clear" w:color="auto" w:fill="AB0033"/>
            <w:vAlign w:val="center"/>
            <w:hideMark/>
          </w:tcPr>
          <w:p w14:paraId="510AE49E" w14:textId="77777777" w:rsidR="002D1E75" w:rsidRPr="00295AC0" w:rsidRDefault="002D1E75" w:rsidP="0020458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VALOR RESIDUAL (%)</w:t>
            </w:r>
          </w:p>
        </w:tc>
        <w:tc>
          <w:tcPr>
            <w:tcW w:w="1020" w:type="dxa"/>
            <w:tcBorders>
              <w:top w:val="single" w:sz="4" w:space="0" w:color="auto"/>
              <w:left w:val="nil"/>
              <w:bottom w:val="single" w:sz="4" w:space="0" w:color="auto"/>
              <w:right w:val="single" w:sz="4" w:space="0" w:color="auto"/>
            </w:tcBorders>
            <w:shd w:val="clear" w:color="auto" w:fill="AB0033"/>
            <w:vAlign w:val="center"/>
            <w:hideMark/>
          </w:tcPr>
          <w:p w14:paraId="29F17251" w14:textId="77777777" w:rsidR="002D1E75" w:rsidRPr="00295AC0" w:rsidRDefault="002D1E75" w:rsidP="0020458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DEP. ANUAL (%)</w:t>
            </w:r>
          </w:p>
        </w:tc>
        <w:tc>
          <w:tcPr>
            <w:tcW w:w="1220" w:type="dxa"/>
            <w:tcBorders>
              <w:top w:val="single" w:sz="4" w:space="0" w:color="auto"/>
              <w:left w:val="nil"/>
              <w:bottom w:val="single" w:sz="4" w:space="0" w:color="auto"/>
              <w:right w:val="single" w:sz="4" w:space="0" w:color="auto"/>
            </w:tcBorders>
            <w:shd w:val="clear" w:color="auto" w:fill="AB0033"/>
            <w:vAlign w:val="center"/>
            <w:hideMark/>
          </w:tcPr>
          <w:p w14:paraId="2EBB5D00" w14:textId="77777777" w:rsidR="002D1E75" w:rsidRPr="00295AC0" w:rsidRDefault="002D1E75" w:rsidP="0020458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DEP.MENSUAL (%)</w:t>
            </w:r>
          </w:p>
        </w:tc>
      </w:tr>
      <w:tr w:rsidR="00526EC3" w:rsidRPr="005F45A3" w14:paraId="1C1E031F"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A41151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94830</w:t>
            </w:r>
          </w:p>
        </w:tc>
        <w:tc>
          <w:tcPr>
            <w:tcW w:w="3220" w:type="dxa"/>
            <w:tcBorders>
              <w:top w:val="nil"/>
              <w:left w:val="nil"/>
              <w:bottom w:val="single" w:sz="4" w:space="0" w:color="auto"/>
              <w:right w:val="single" w:sz="4" w:space="0" w:color="auto"/>
            </w:tcBorders>
            <w:shd w:val="clear" w:color="000000" w:fill="FFFFFF"/>
            <w:noWrap/>
            <w:vAlign w:val="center"/>
            <w:hideMark/>
          </w:tcPr>
          <w:p w14:paraId="2DD2E48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 Aves</w:t>
            </w:r>
          </w:p>
        </w:tc>
        <w:tc>
          <w:tcPr>
            <w:tcW w:w="1140" w:type="dxa"/>
            <w:tcBorders>
              <w:top w:val="nil"/>
              <w:left w:val="nil"/>
              <w:bottom w:val="single" w:sz="4" w:space="0" w:color="auto"/>
              <w:right w:val="single" w:sz="4" w:space="0" w:color="auto"/>
            </w:tcBorders>
            <w:shd w:val="clear" w:color="000000" w:fill="FFFFFF"/>
            <w:noWrap/>
            <w:vAlign w:val="center"/>
            <w:hideMark/>
          </w:tcPr>
          <w:p w14:paraId="0E94F7E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03F797B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4C82FFF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8A1CBE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218CA8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20E494A"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66A759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94840</w:t>
            </w:r>
          </w:p>
        </w:tc>
        <w:tc>
          <w:tcPr>
            <w:tcW w:w="3220" w:type="dxa"/>
            <w:tcBorders>
              <w:top w:val="nil"/>
              <w:left w:val="nil"/>
              <w:bottom w:val="single" w:sz="4" w:space="0" w:color="auto"/>
              <w:right w:val="single" w:sz="4" w:space="0" w:color="auto"/>
            </w:tcBorders>
            <w:shd w:val="clear" w:color="000000" w:fill="FFFFFF"/>
            <w:noWrap/>
            <w:vAlign w:val="center"/>
            <w:hideMark/>
          </w:tcPr>
          <w:p w14:paraId="7D2DAD3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Ovinos Y Caprinos</w:t>
            </w:r>
          </w:p>
        </w:tc>
        <w:tc>
          <w:tcPr>
            <w:tcW w:w="1140" w:type="dxa"/>
            <w:tcBorders>
              <w:top w:val="nil"/>
              <w:left w:val="nil"/>
              <w:bottom w:val="single" w:sz="4" w:space="0" w:color="auto"/>
              <w:right w:val="single" w:sz="4" w:space="0" w:color="auto"/>
            </w:tcBorders>
            <w:shd w:val="clear" w:color="000000" w:fill="FFFFFF"/>
            <w:noWrap/>
            <w:vAlign w:val="center"/>
            <w:hideMark/>
          </w:tcPr>
          <w:p w14:paraId="5C5C14B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5394822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035311A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4D8FF9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33D15DF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52664389"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91E41B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94850</w:t>
            </w:r>
          </w:p>
        </w:tc>
        <w:tc>
          <w:tcPr>
            <w:tcW w:w="3220" w:type="dxa"/>
            <w:tcBorders>
              <w:top w:val="nil"/>
              <w:left w:val="nil"/>
              <w:bottom w:val="single" w:sz="4" w:space="0" w:color="auto"/>
              <w:right w:val="single" w:sz="4" w:space="0" w:color="auto"/>
            </w:tcBorders>
            <w:shd w:val="clear" w:color="000000" w:fill="FFFFFF"/>
            <w:noWrap/>
            <w:vAlign w:val="center"/>
            <w:hideMark/>
          </w:tcPr>
          <w:p w14:paraId="18CC25A3"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Peces Y Acuicultura</w:t>
            </w:r>
          </w:p>
        </w:tc>
        <w:tc>
          <w:tcPr>
            <w:tcW w:w="1140" w:type="dxa"/>
            <w:tcBorders>
              <w:top w:val="nil"/>
              <w:left w:val="nil"/>
              <w:bottom w:val="single" w:sz="4" w:space="0" w:color="auto"/>
              <w:right w:val="single" w:sz="4" w:space="0" w:color="auto"/>
            </w:tcBorders>
            <w:shd w:val="clear" w:color="000000" w:fill="FFFFFF"/>
            <w:noWrap/>
            <w:vAlign w:val="center"/>
            <w:hideMark/>
          </w:tcPr>
          <w:p w14:paraId="6ACC971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45CCFBA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3DF661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C5DAA6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05EDD8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485EE78F"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839CC6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94860</w:t>
            </w:r>
          </w:p>
        </w:tc>
        <w:tc>
          <w:tcPr>
            <w:tcW w:w="3220" w:type="dxa"/>
            <w:tcBorders>
              <w:top w:val="nil"/>
              <w:left w:val="nil"/>
              <w:bottom w:val="single" w:sz="4" w:space="0" w:color="auto"/>
              <w:right w:val="single" w:sz="4" w:space="0" w:color="auto"/>
            </w:tcBorders>
            <w:shd w:val="clear" w:color="000000" w:fill="FFFFFF"/>
            <w:noWrap/>
            <w:vAlign w:val="center"/>
            <w:hideMark/>
          </w:tcPr>
          <w:p w14:paraId="1C62F697"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Equinos</w:t>
            </w:r>
          </w:p>
        </w:tc>
        <w:tc>
          <w:tcPr>
            <w:tcW w:w="1140" w:type="dxa"/>
            <w:tcBorders>
              <w:top w:val="nil"/>
              <w:left w:val="nil"/>
              <w:bottom w:val="single" w:sz="4" w:space="0" w:color="auto"/>
              <w:right w:val="single" w:sz="4" w:space="0" w:color="auto"/>
            </w:tcBorders>
            <w:shd w:val="clear" w:color="000000" w:fill="FFFFFF"/>
            <w:noWrap/>
            <w:vAlign w:val="center"/>
            <w:hideMark/>
          </w:tcPr>
          <w:p w14:paraId="1B9AC5A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B9DD73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1550A6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67CF39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299264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57EBB8EA"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BE62A6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94870</w:t>
            </w:r>
          </w:p>
        </w:tc>
        <w:tc>
          <w:tcPr>
            <w:tcW w:w="3220" w:type="dxa"/>
            <w:tcBorders>
              <w:top w:val="nil"/>
              <w:left w:val="nil"/>
              <w:bottom w:val="single" w:sz="4" w:space="0" w:color="auto"/>
              <w:right w:val="single" w:sz="4" w:space="0" w:color="auto"/>
            </w:tcBorders>
            <w:shd w:val="clear" w:color="000000" w:fill="FFFFFF"/>
            <w:noWrap/>
            <w:vAlign w:val="center"/>
            <w:hideMark/>
          </w:tcPr>
          <w:p w14:paraId="47F5668B" w14:textId="48F432F6"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Especies Menores Y De Zoológico</w:t>
            </w:r>
          </w:p>
        </w:tc>
        <w:tc>
          <w:tcPr>
            <w:tcW w:w="1140" w:type="dxa"/>
            <w:tcBorders>
              <w:top w:val="nil"/>
              <w:left w:val="nil"/>
              <w:bottom w:val="single" w:sz="4" w:space="0" w:color="auto"/>
              <w:right w:val="single" w:sz="4" w:space="0" w:color="auto"/>
            </w:tcBorders>
            <w:shd w:val="clear" w:color="000000" w:fill="FFFFFF"/>
            <w:noWrap/>
            <w:vAlign w:val="center"/>
            <w:hideMark/>
          </w:tcPr>
          <w:p w14:paraId="2C6BB41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3AE8CF2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05F6A6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782A2F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29B3205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13161F1C"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921BBA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94880</w:t>
            </w:r>
          </w:p>
        </w:tc>
        <w:tc>
          <w:tcPr>
            <w:tcW w:w="3220" w:type="dxa"/>
            <w:tcBorders>
              <w:top w:val="nil"/>
              <w:left w:val="nil"/>
              <w:bottom w:val="single" w:sz="4" w:space="0" w:color="auto"/>
              <w:right w:val="single" w:sz="4" w:space="0" w:color="auto"/>
            </w:tcBorders>
            <w:shd w:val="clear" w:color="000000" w:fill="FFFFFF"/>
            <w:noWrap/>
            <w:vAlign w:val="center"/>
            <w:hideMark/>
          </w:tcPr>
          <w:p w14:paraId="6E28DCEB"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Arboles Y Plantas</w:t>
            </w:r>
          </w:p>
        </w:tc>
        <w:tc>
          <w:tcPr>
            <w:tcW w:w="1140" w:type="dxa"/>
            <w:tcBorders>
              <w:top w:val="nil"/>
              <w:left w:val="nil"/>
              <w:bottom w:val="single" w:sz="4" w:space="0" w:color="auto"/>
              <w:right w:val="single" w:sz="4" w:space="0" w:color="auto"/>
            </w:tcBorders>
            <w:shd w:val="clear" w:color="000000" w:fill="FFFFFF"/>
            <w:noWrap/>
            <w:vAlign w:val="center"/>
            <w:hideMark/>
          </w:tcPr>
          <w:p w14:paraId="30B008C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C4C7E7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4D9BCD4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D2006C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0B0A0D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AFF245A"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2B43CF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94890</w:t>
            </w:r>
          </w:p>
        </w:tc>
        <w:tc>
          <w:tcPr>
            <w:tcW w:w="3220" w:type="dxa"/>
            <w:tcBorders>
              <w:top w:val="nil"/>
              <w:left w:val="nil"/>
              <w:bottom w:val="single" w:sz="4" w:space="0" w:color="auto"/>
              <w:right w:val="single" w:sz="4" w:space="0" w:color="auto"/>
            </w:tcBorders>
            <w:shd w:val="clear" w:color="000000" w:fill="FFFFFF"/>
            <w:noWrap/>
            <w:vAlign w:val="center"/>
            <w:hideMark/>
          </w:tcPr>
          <w:p w14:paraId="6793426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Otros Activos Biológicos Flora Y Fauna</w:t>
            </w:r>
          </w:p>
        </w:tc>
        <w:tc>
          <w:tcPr>
            <w:tcW w:w="1140" w:type="dxa"/>
            <w:tcBorders>
              <w:top w:val="nil"/>
              <w:left w:val="nil"/>
              <w:bottom w:val="single" w:sz="4" w:space="0" w:color="auto"/>
              <w:right w:val="single" w:sz="4" w:space="0" w:color="auto"/>
            </w:tcBorders>
            <w:shd w:val="clear" w:color="000000" w:fill="FFFFFF"/>
            <w:noWrap/>
            <w:vAlign w:val="center"/>
            <w:hideMark/>
          </w:tcPr>
          <w:p w14:paraId="176859C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9488BF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0F2D914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22B9D9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3E48D42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6615279C"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92237C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95100</w:t>
            </w:r>
          </w:p>
        </w:tc>
        <w:tc>
          <w:tcPr>
            <w:tcW w:w="3220" w:type="dxa"/>
            <w:tcBorders>
              <w:top w:val="nil"/>
              <w:left w:val="nil"/>
              <w:bottom w:val="single" w:sz="4" w:space="0" w:color="auto"/>
              <w:right w:val="single" w:sz="4" w:space="0" w:color="auto"/>
            </w:tcBorders>
            <w:shd w:val="clear" w:color="000000" w:fill="FFFFFF"/>
            <w:noWrap/>
            <w:vAlign w:val="center"/>
            <w:hideMark/>
          </w:tcPr>
          <w:p w14:paraId="30C3D2FF"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Software</w:t>
            </w:r>
          </w:p>
        </w:tc>
        <w:tc>
          <w:tcPr>
            <w:tcW w:w="1140" w:type="dxa"/>
            <w:tcBorders>
              <w:top w:val="nil"/>
              <w:left w:val="nil"/>
              <w:bottom w:val="single" w:sz="4" w:space="0" w:color="auto"/>
              <w:right w:val="single" w:sz="4" w:space="0" w:color="auto"/>
            </w:tcBorders>
            <w:shd w:val="clear" w:color="000000" w:fill="FFFFFF"/>
            <w:noWrap/>
            <w:vAlign w:val="center"/>
            <w:hideMark/>
          </w:tcPr>
          <w:p w14:paraId="63824F8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9321EE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32D744A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770926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100.00</w:t>
            </w:r>
          </w:p>
        </w:tc>
        <w:tc>
          <w:tcPr>
            <w:tcW w:w="1220" w:type="dxa"/>
            <w:tcBorders>
              <w:top w:val="nil"/>
              <w:left w:val="nil"/>
              <w:bottom w:val="single" w:sz="4" w:space="0" w:color="auto"/>
              <w:right w:val="single" w:sz="4" w:space="0" w:color="auto"/>
            </w:tcBorders>
            <w:shd w:val="clear" w:color="000000" w:fill="FFFFFF"/>
            <w:noWrap/>
            <w:vAlign w:val="bottom"/>
            <w:hideMark/>
          </w:tcPr>
          <w:p w14:paraId="04AC6E6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8.33</w:t>
            </w:r>
          </w:p>
        </w:tc>
      </w:tr>
      <w:tr w:rsidR="00526EC3" w:rsidRPr="005F45A3" w14:paraId="4F6997D1"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49D679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95210</w:t>
            </w:r>
          </w:p>
        </w:tc>
        <w:tc>
          <w:tcPr>
            <w:tcW w:w="3220" w:type="dxa"/>
            <w:tcBorders>
              <w:top w:val="nil"/>
              <w:left w:val="nil"/>
              <w:bottom w:val="single" w:sz="4" w:space="0" w:color="auto"/>
              <w:right w:val="single" w:sz="4" w:space="0" w:color="auto"/>
            </w:tcBorders>
            <w:shd w:val="clear" w:color="000000" w:fill="FFFFFF"/>
            <w:noWrap/>
            <w:vAlign w:val="center"/>
            <w:hideMark/>
          </w:tcPr>
          <w:p w14:paraId="359CA0A4"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Patentes</w:t>
            </w:r>
          </w:p>
        </w:tc>
        <w:tc>
          <w:tcPr>
            <w:tcW w:w="1140" w:type="dxa"/>
            <w:tcBorders>
              <w:top w:val="nil"/>
              <w:left w:val="nil"/>
              <w:bottom w:val="single" w:sz="4" w:space="0" w:color="auto"/>
              <w:right w:val="single" w:sz="4" w:space="0" w:color="auto"/>
            </w:tcBorders>
            <w:shd w:val="clear" w:color="000000" w:fill="FFFFFF"/>
            <w:noWrap/>
            <w:vAlign w:val="center"/>
            <w:hideMark/>
          </w:tcPr>
          <w:p w14:paraId="54CB8CA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FE054D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C2371F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6D874A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6900668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4A495BC9"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0F1F9C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95220</w:t>
            </w:r>
          </w:p>
        </w:tc>
        <w:tc>
          <w:tcPr>
            <w:tcW w:w="3220" w:type="dxa"/>
            <w:tcBorders>
              <w:top w:val="nil"/>
              <w:left w:val="nil"/>
              <w:bottom w:val="single" w:sz="4" w:space="0" w:color="auto"/>
              <w:right w:val="single" w:sz="4" w:space="0" w:color="auto"/>
            </w:tcBorders>
            <w:shd w:val="clear" w:color="000000" w:fill="FFFFFF"/>
            <w:noWrap/>
            <w:vAlign w:val="center"/>
            <w:hideMark/>
          </w:tcPr>
          <w:p w14:paraId="7E09153F"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Marcas</w:t>
            </w:r>
          </w:p>
        </w:tc>
        <w:tc>
          <w:tcPr>
            <w:tcW w:w="1140" w:type="dxa"/>
            <w:tcBorders>
              <w:top w:val="nil"/>
              <w:left w:val="nil"/>
              <w:bottom w:val="single" w:sz="4" w:space="0" w:color="auto"/>
              <w:right w:val="single" w:sz="4" w:space="0" w:color="auto"/>
            </w:tcBorders>
            <w:shd w:val="clear" w:color="000000" w:fill="FFFFFF"/>
            <w:noWrap/>
            <w:vAlign w:val="center"/>
            <w:hideMark/>
          </w:tcPr>
          <w:p w14:paraId="3D8101A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92A4A5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067325E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A80F1A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FC316A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21F1850F"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B531AA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95230</w:t>
            </w:r>
          </w:p>
        </w:tc>
        <w:tc>
          <w:tcPr>
            <w:tcW w:w="3220" w:type="dxa"/>
            <w:tcBorders>
              <w:top w:val="nil"/>
              <w:left w:val="nil"/>
              <w:bottom w:val="single" w:sz="4" w:space="0" w:color="auto"/>
              <w:right w:val="single" w:sz="4" w:space="0" w:color="auto"/>
            </w:tcBorders>
            <w:shd w:val="clear" w:color="000000" w:fill="FFFFFF"/>
            <w:noWrap/>
            <w:vAlign w:val="center"/>
            <w:hideMark/>
          </w:tcPr>
          <w:p w14:paraId="3E32D42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Derechos</w:t>
            </w:r>
          </w:p>
        </w:tc>
        <w:tc>
          <w:tcPr>
            <w:tcW w:w="1140" w:type="dxa"/>
            <w:tcBorders>
              <w:top w:val="nil"/>
              <w:left w:val="nil"/>
              <w:bottom w:val="single" w:sz="4" w:space="0" w:color="auto"/>
              <w:right w:val="single" w:sz="4" w:space="0" w:color="auto"/>
            </w:tcBorders>
            <w:shd w:val="clear" w:color="000000" w:fill="FFFFFF"/>
            <w:noWrap/>
            <w:vAlign w:val="center"/>
            <w:hideMark/>
          </w:tcPr>
          <w:p w14:paraId="3F00F73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319C5A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2EC0D0D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617B56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696CAD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27F38C73"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98A653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95310</w:t>
            </w:r>
          </w:p>
        </w:tc>
        <w:tc>
          <w:tcPr>
            <w:tcW w:w="3220" w:type="dxa"/>
            <w:tcBorders>
              <w:top w:val="nil"/>
              <w:left w:val="nil"/>
              <w:bottom w:val="single" w:sz="4" w:space="0" w:color="auto"/>
              <w:right w:val="single" w:sz="4" w:space="0" w:color="auto"/>
            </w:tcBorders>
            <w:shd w:val="clear" w:color="000000" w:fill="FFFFFF"/>
            <w:noWrap/>
            <w:vAlign w:val="center"/>
            <w:hideMark/>
          </w:tcPr>
          <w:p w14:paraId="5D58F359"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Concesiones</w:t>
            </w:r>
          </w:p>
        </w:tc>
        <w:tc>
          <w:tcPr>
            <w:tcW w:w="1140" w:type="dxa"/>
            <w:tcBorders>
              <w:top w:val="nil"/>
              <w:left w:val="nil"/>
              <w:bottom w:val="single" w:sz="4" w:space="0" w:color="auto"/>
              <w:right w:val="single" w:sz="4" w:space="0" w:color="auto"/>
            </w:tcBorders>
            <w:shd w:val="clear" w:color="000000" w:fill="FFFFFF"/>
            <w:noWrap/>
            <w:vAlign w:val="center"/>
            <w:hideMark/>
          </w:tcPr>
          <w:p w14:paraId="387C826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BA3D14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69FA60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5B0EDD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FA27F1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1F343B35"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55FD67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95320</w:t>
            </w:r>
          </w:p>
        </w:tc>
        <w:tc>
          <w:tcPr>
            <w:tcW w:w="3220" w:type="dxa"/>
            <w:tcBorders>
              <w:top w:val="nil"/>
              <w:left w:val="nil"/>
              <w:bottom w:val="single" w:sz="4" w:space="0" w:color="auto"/>
              <w:right w:val="single" w:sz="4" w:space="0" w:color="auto"/>
            </w:tcBorders>
            <w:shd w:val="clear" w:color="000000" w:fill="FFFFFF"/>
            <w:noWrap/>
            <w:vAlign w:val="center"/>
            <w:hideMark/>
          </w:tcPr>
          <w:p w14:paraId="08B47AE4"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Franquicias</w:t>
            </w:r>
          </w:p>
        </w:tc>
        <w:tc>
          <w:tcPr>
            <w:tcW w:w="1140" w:type="dxa"/>
            <w:tcBorders>
              <w:top w:val="nil"/>
              <w:left w:val="nil"/>
              <w:bottom w:val="single" w:sz="4" w:space="0" w:color="auto"/>
              <w:right w:val="single" w:sz="4" w:space="0" w:color="auto"/>
            </w:tcBorders>
            <w:shd w:val="clear" w:color="000000" w:fill="FFFFFF"/>
            <w:noWrap/>
            <w:vAlign w:val="center"/>
            <w:hideMark/>
          </w:tcPr>
          <w:p w14:paraId="0EDB2B8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920FA4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12E971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368102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A4048C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426EC470"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1D015F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95410</w:t>
            </w:r>
          </w:p>
        </w:tc>
        <w:tc>
          <w:tcPr>
            <w:tcW w:w="3220" w:type="dxa"/>
            <w:tcBorders>
              <w:top w:val="nil"/>
              <w:left w:val="nil"/>
              <w:bottom w:val="single" w:sz="4" w:space="0" w:color="auto"/>
              <w:right w:val="single" w:sz="4" w:space="0" w:color="auto"/>
            </w:tcBorders>
            <w:shd w:val="clear" w:color="000000" w:fill="FFFFFF"/>
            <w:noWrap/>
            <w:vAlign w:val="center"/>
            <w:hideMark/>
          </w:tcPr>
          <w:p w14:paraId="16E7FABA"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Licencias Informáticas E Intelectuales</w:t>
            </w:r>
          </w:p>
        </w:tc>
        <w:tc>
          <w:tcPr>
            <w:tcW w:w="1140" w:type="dxa"/>
            <w:tcBorders>
              <w:top w:val="nil"/>
              <w:left w:val="nil"/>
              <w:bottom w:val="single" w:sz="4" w:space="0" w:color="auto"/>
              <w:right w:val="single" w:sz="4" w:space="0" w:color="auto"/>
            </w:tcBorders>
            <w:shd w:val="clear" w:color="000000" w:fill="FFFFFF"/>
            <w:noWrap/>
            <w:vAlign w:val="center"/>
            <w:hideMark/>
          </w:tcPr>
          <w:p w14:paraId="5C8A826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8BA1C5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26DDE47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991645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100.00</w:t>
            </w:r>
          </w:p>
        </w:tc>
        <w:tc>
          <w:tcPr>
            <w:tcW w:w="1220" w:type="dxa"/>
            <w:tcBorders>
              <w:top w:val="nil"/>
              <w:left w:val="nil"/>
              <w:bottom w:val="single" w:sz="4" w:space="0" w:color="auto"/>
              <w:right w:val="single" w:sz="4" w:space="0" w:color="auto"/>
            </w:tcBorders>
            <w:shd w:val="clear" w:color="000000" w:fill="FFFFFF"/>
            <w:noWrap/>
            <w:vAlign w:val="bottom"/>
            <w:hideMark/>
          </w:tcPr>
          <w:p w14:paraId="49C26A2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8.33</w:t>
            </w:r>
          </w:p>
        </w:tc>
      </w:tr>
      <w:tr w:rsidR="00526EC3" w:rsidRPr="005F45A3" w14:paraId="283990B8"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E72E2F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95420</w:t>
            </w:r>
          </w:p>
        </w:tc>
        <w:tc>
          <w:tcPr>
            <w:tcW w:w="3220" w:type="dxa"/>
            <w:tcBorders>
              <w:top w:val="nil"/>
              <w:left w:val="nil"/>
              <w:bottom w:val="single" w:sz="4" w:space="0" w:color="auto"/>
              <w:right w:val="single" w:sz="4" w:space="0" w:color="auto"/>
            </w:tcBorders>
            <w:shd w:val="clear" w:color="000000" w:fill="FFFFFF"/>
            <w:noWrap/>
            <w:vAlign w:val="center"/>
            <w:hideMark/>
          </w:tcPr>
          <w:p w14:paraId="0879F540"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Licencias Industriales, Comerciales Y Ot</w:t>
            </w:r>
          </w:p>
        </w:tc>
        <w:tc>
          <w:tcPr>
            <w:tcW w:w="1140" w:type="dxa"/>
            <w:tcBorders>
              <w:top w:val="nil"/>
              <w:left w:val="nil"/>
              <w:bottom w:val="single" w:sz="4" w:space="0" w:color="auto"/>
              <w:right w:val="single" w:sz="4" w:space="0" w:color="auto"/>
            </w:tcBorders>
            <w:shd w:val="clear" w:color="000000" w:fill="FFFFFF"/>
            <w:noWrap/>
            <w:vAlign w:val="center"/>
            <w:hideMark/>
          </w:tcPr>
          <w:p w14:paraId="49C251B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EC5E5E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49116B2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C49167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AEF451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3E16B9F7" w14:textId="77777777" w:rsidTr="002808A4">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37199C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95900</w:t>
            </w:r>
          </w:p>
        </w:tc>
        <w:tc>
          <w:tcPr>
            <w:tcW w:w="3220" w:type="dxa"/>
            <w:tcBorders>
              <w:top w:val="nil"/>
              <w:left w:val="nil"/>
              <w:bottom w:val="single" w:sz="4" w:space="0" w:color="auto"/>
              <w:right w:val="single" w:sz="4" w:space="0" w:color="auto"/>
            </w:tcBorders>
            <w:shd w:val="clear" w:color="000000" w:fill="FFFFFF"/>
            <w:noWrap/>
            <w:vAlign w:val="center"/>
            <w:hideMark/>
          </w:tcPr>
          <w:p w14:paraId="7824D38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Otros Activos Intangibles</w:t>
            </w:r>
          </w:p>
        </w:tc>
        <w:tc>
          <w:tcPr>
            <w:tcW w:w="1140" w:type="dxa"/>
            <w:tcBorders>
              <w:top w:val="nil"/>
              <w:left w:val="nil"/>
              <w:bottom w:val="single" w:sz="4" w:space="0" w:color="auto"/>
              <w:right w:val="single" w:sz="4" w:space="0" w:color="auto"/>
            </w:tcBorders>
            <w:shd w:val="clear" w:color="000000" w:fill="FFFFFF"/>
            <w:noWrap/>
            <w:vAlign w:val="center"/>
            <w:hideMark/>
          </w:tcPr>
          <w:p w14:paraId="37D3243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A21A49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37B4987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64AC68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DAE2D9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bl>
    <w:p w14:paraId="22865AAE" w14:textId="77777777" w:rsidR="00526EC3" w:rsidRPr="005F45A3" w:rsidRDefault="00526EC3" w:rsidP="00CB7DAA">
      <w:pPr>
        <w:pStyle w:val="INCISO"/>
        <w:spacing w:after="0" w:line="240" w:lineRule="exact"/>
        <w:rPr>
          <w:rFonts w:asciiTheme="minorHAnsi" w:hAnsiTheme="minorHAnsi" w:cstheme="minorHAnsi"/>
        </w:rPr>
      </w:pPr>
    </w:p>
    <w:p w14:paraId="1751917E" w14:textId="1986FDD6" w:rsidR="00526EC3" w:rsidRDefault="00526EC3" w:rsidP="00CB7DAA">
      <w:pPr>
        <w:pStyle w:val="INCISO"/>
        <w:spacing w:after="0" w:line="240" w:lineRule="exact"/>
        <w:rPr>
          <w:rFonts w:asciiTheme="minorHAnsi" w:hAnsiTheme="minorHAnsi" w:cstheme="minorHAnsi"/>
        </w:rPr>
      </w:pPr>
    </w:p>
    <w:p w14:paraId="78DD4D9D" w14:textId="1D608541" w:rsidR="00AA7087" w:rsidRPr="005F45A3" w:rsidRDefault="00AA7087" w:rsidP="00FD47EF">
      <w:pPr>
        <w:pStyle w:val="INCISO"/>
        <w:numPr>
          <w:ilvl w:val="0"/>
          <w:numId w:val="2"/>
        </w:numPr>
        <w:spacing w:after="0" w:line="240" w:lineRule="exact"/>
        <w:rPr>
          <w:rFonts w:asciiTheme="minorHAnsi" w:hAnsiTheme="minorHAnsi" w:cstheme="minorHAnsi"/>
          <w:szCs w:val="20"/>
        </w:rPr>
      </w:pPr>
      <w:r w:rsidRPr="005F45A3">
        <w:rPr>
          <w:rFonts w:asciiTheme="minorHAnsi" w:hAnsiTheme="minorHAnsi" w:cstheme="minorHAnsi"/>
          <w:szCs w:val="20"/>
        </w:rPr>
        <w:t>Cambios en el porcentaje de Depreciación o Valor Residual de los Activos.</w:t>
      </w:r>
      <w:r w:rsidR="009325D7">
        <w:rPr>
          <w:rFonts w:asciiTheme="minorHAnsi" w:hAnsiTheme="minorHAnsi" w:cstheme="minorHAnsi"/>
          <w:szCs w:val="20"/>
        </w:rPr>
        <w:t xml:space="preserve"> </w:t>
      </w:r>
      <w:r w:rsidRPr="005F45A3">
        <w:rPr>
          <w:rFonts w:asciiTheme="minorHAnsi" w:hAnsiTheme="minorHAnsi" w:cstheme="minorHAnsi"/>
          <w:szCs w:val="20"/>
        </w:rPr>
        <w:t xml:space="preserve"> </w:t>
      </w:r>
      <w:r w:rsidR="00F46E2A" w:rsidRPr="002808A4">
        <w:rPr>
          <w:rFonts w:asciiTheme="minorHAnsi" w:hAnsiTheme="minorHAnsi" w:cstheme="minorHAnsi"/>
          <w:b/>
        </w:rPr>
        <w:t>N</w:t>
      </w:r>
      <w:r w:rsidR="00F46E2A">
        <w:rPr>
          <w:rFonts w:asciiTheme="minorHAnsi" w:hAnsiTheme="minorHAnsi" w:cstheme="minorHAnsi"/>
          <w:b/>
        </w:rPr>
        <w:t xml:space="preserve">o </w:t>
      </w:r>
      <w:r w:rsidR="00F46E2A" w:rsidRPr="002808A4">
        <w:rPr>
          <w:rFonts w:asciiTheme="minorHAnsi" w:hAnsiTheme="minorHAnsi" w:cstheme="minorHAnsi"/>
          <w:b/>
        </w:rPr>
        <w:t>A</w:t>
      </w:r>
      <w:r w:rsidR="00F46E2A">
        <w:rPr>
          <w:rFonts w:asciiTheme="minorHAnsi" w:hAnsiTheme="minorHAnsi" w:cstheme="minorHAnsi"/>
          <w:b/>
        </w:rPr>
        <w:t>plica</w:t>
      </w:r>
      <w:r w:rsidRPr="009325D7">
        <w:rPr>
          <w:rFonts w:asciiTheme="minorHAnsi" w:hAnsiTheme="minorHAnsi" w:cstheme="minorHAnsi"/>
          <w:b/>
          <w:szCs w:val="20"/>
        </w:rPr>
        <w:t>.</w:t>
      </w:r>
    </w:p>
    <w:p w14:paraId="5CF77466" w14:textId="77777777" w:rsidR="00AA7087" w:rsidRPr="005F45A3" w:rsidRDefault="00AA7087" w:rsidP="00AA7087">
      <w:pPr>
        <w:pStyle w:val="INCISO"/>
        <w:spacing w:after="0" w:line="240" w:lineRule="exact"/>
        <w:ind w:left="648" w:firstLine="0"/>
        <w:rPr>
          <w:rFonts w:asciiTheme="minorHAnsi" w:hAnsiTheme="minorHAnsi" w:cstheme="minorHAnsi"/>
        </w:rPr>
      </w:pPr>
    </w:p>
    <w:p w14:paraId="1C394A58" w14:textId="6084AD96" w:rsidR="00AA7087" w:rsidRPr="009325D7" w:rsidRDefault="00AA7087" w:rsidP="00FD47EF">
      <w:pPr>
        <w:pStyle w:val="INCISO"/>
        <w:numPr>
          <w:ilvl w:val="0"/>
          <w:numId w:val="2"/>
        </w:numPr>
        <w:spacing w:after="0" w:line="240" w:lineRule="exact"/>
        <w:jc w:val="left"/>
        <w:rPr>
          <w:rFonts w:asciiTheme="minorHAnsi" w:hAnsiTheme="minorHAnsi" w:cstheme="minorHAnsi"/>
          <w:b/>
        </w:rPr>
      </w:pPr>
      <w:r w:rsidRPr="005F45A3">
        <w:rPr>
          <w:rFonts w:asciiTheme="minorHAnsi" w:hAnsiTheme="minorHAnsi" w:cstheme="minorHAnsi"/>
        </w:rPr>
        <w:t>Importe de los gastos capitalizados en el ejercicio, tanto Financieros como de Investigación y Desarrollo.</w:t>
      </w:r>
      <w:r w:rsidR="009325D7">
        <w:rPr>
          <w:rFonts w:asciiTheme="minorHAnsi" w:hAnsiTheme="minorHAnsi" w:cstheme="minorHAnsi"/>
        </w:rPr>
        <w:t xml:space="preserve"> </w:t>
      </w:r>
      <w:r w:rsidRPr="005F45A3">
        <w:rPr>
          <w:rFonts w:asciiTheme="minorHAnsi" w:hAnsiTheme="minorHAnsi" w:cstheme="minorHAnsi"/>
        </w:rPr>
        <w:t xml:space="preserve"> </w:t>
      </w:r>
      <w:r w:rsidR="00F46E2A" w:rsidRPr="002808A4">
        <w:rPr>
          <w:rFonts w:asciiTheme="minorHAnsi" w:hAnsiTheme="minorHAnsi" w:cstheme="minorHAnsi"/>
          <w:b/>
        </w:rPr>
        <w:t>N</w:t>
      </w:r>
      <w:r w:rsidR="00F46E2A">
        <w:rPr>
          <w:rFonts w:asciiTheme="minorHAnsi" w:hAnsiTheme="minorHAnsi" w:cstheme="minorHAnsi"/>
          <w:b/>
        </w:rPr>
        <w:t xml:space="preserve">o </w:t>
      </w:r>
      <w:r w:rsidR="00F46E2A" w:rsidRPr="002808A4">
        <w:rPr>
          <w:rFonts w:asciiTheme="minorHAnsi" w:hAnsiTheme="minorHAnsi" w:cstheme="minorHAnsi"/>
          <w:b/>
        </w:rPr>
        <w:t>A</w:t>
      </w:r>
      <w:r w:rsidR="00F46E2A">
        <w:rPr>
          <w:rFonts w:asciiTheme="minorHAnsi" w:hAnsiTheme="minorHAnsi" w:cstheme="minorHAnsi"/>
          <w:b/>
        </w:rPr>
        <w:t>plica</w:t>
      </w:r>
      <w:r w:rsidRPr="009325D7">
        <w:rPr>
          <w:rFonts w:asciiTheme="minorHAnsi" w:hAnsiTheme="minorHAnsi" w:cstheme="minorHAnsi"/>
          <w:b/>
        </w:rPr>
        <w:t>.</w:t>
      </w:r>
    </w:p>
    <w:p w14:paraId="5CE5CAEA" w14:textId="77777777" w:rsidR="00100166" w:rsidRPr="005F45A3" w:rsidRDefault="00100166" w:rsidP="00100166">
      <w:pPr>
        <w:pStyle w:val="INCISO"/>
        <w:spacing w:after="0" w:line="240" w:lineRule="exact"/>
        <w:ind w:left="786" w:firstLine="0"/>
        <w:jc w:val="left"/>
        <w:rPr>
          <w:rFonts w:asciiTheme="minorHAnsi" w:hAnsiTheme="minorHAnsi" w:cstheme="minorHAnsi"/>
        </w:rPr>
      </w:pPr>
    </w:p>
    <w:p w14:paraId="76A64EA4" w14:textId="4A944ADA" w:rsidR="00AA7087" w:rsidRPr="005F45A3" w:rsidRDefault="00AA7087" w:rsidP="00FD47EF">
      <w:pPr>
        <w:pStyle w:val="INCISO"/>
        <w:numPr>
          <w:ilvl w:val="0"/>
          <w:numId w:val="2"/>
        </w:numPr>
        <w:spacing w:after="0" w:line="240" w:lineRule="exact"/>
        <w:rPr>
          <w:rFonts w:asciiTheme="minorHAnsi" w:hAnsiTheme="minorHAnsi" w:cstheme="minorHAnsi"/>
        </w:rPr>
      </w:pPr>
      <w:r w:rsidRPr="005F45A3">
        <w:rPr>
          <w:rFonts w:asciiTheme="minorHAnsi" w:hAnsiTheme="minorHAnsi" w:cstheme="minorHAnsi"/>
        </w:rPr>
        <w:t xml:space="preserve">Riesgos por tipo de cambio o tipo de interés de las Inversiones Financieras. </w:t>
      </w:r>
      <w:r w:rsidR="009325D7">
        <w:rPr>
          <w:rFonts w:asciiTheme="minorHAnsi" w:hAnsiTheme="minorHAnsi" w:cstheme="minorHAnsi"/>
        </w:rPr>
        <w:t xml:space="preserve"> </w:t>
      </w:r>
      <w:r w:rsidR="00F46E2A" w:rsidRPr="002808A4">
        <w:rPr>
          <w:rFonts w:asciiTheme="minorHAnsi" w:hAnsiTheme="minorHAnsi" w:cstheme="minorHAnsi"/>
          <w:b/>
        </w:rPr>
        <w:t>N</w:t>
      </w:r>
      <w:r w:rsidR="00F46E2A">
        <w:rPr>
          <w:rFonts w:asciiTheme="minorHAnsi" w:hAnsiTheme="minorHAnsi" w:cstheme="minorHAnsi"/>
          <w:b/>
        </w:rPr>
        <w:t xml:space="preserve">o </w:t>
      </w:r>
      <w:r w:rsidR="00F46E2A" w:rsidRPr="002808A4">
        <w:rPr>
          <w:rFonts w:asciiTheme="minorHAnsi" w:hAnsiTheme="minorHAnsi" w:cstheme="minorHAnsi"/>
          <w:b/>
        </w:rPr>
        <w:t>A</w:t>
      </w:r>
      <w:r w:rsidR="00F46E2A">
        <w:rPr>
          <w:rFonts w:asciiTheme="minorHAnsi" w:hAnsiTheme="minorHAnsi" w:cstheme="minorHAnsi"/>
          <w:b/>
        </w:rPr>
        <w:t>plica</w:t>
      </w:r>
      <w:r w:rsidRPr="009325D7">
        <w:rPr>
          <w:rFonts w:asciiTheme="minorHAnsi" w:hAnsiTheme="minorHAnsi" w:cstheme="minorHAnsi"/>
          <w:b/>
        </w:rPr>
        <w:t>.</w:t>
      </w:r>
    </w:p>
    <w:p w14:paraId="6523EF66" w14:textId="77777777" w:rsidR="00AA7087" w:rsidRPr="005F45A3" w:rsidRDefault="00AA7087" w:rsidP="00AA7087">
      <w:pPr>
        <w:pStyle w:val="INCISO"/>
        <w:spacing w:after="0" w:line="240" w:lineRule="exact"/>
        <w:ind w:left="648" w:firstLine="0"/>
        <w:rPr>
          <w:rFonts w:asciiTheme="minorHAnsi" w:hAnsiTheme="minorHAnsi" w:cstheme="minorHAnsi"/>
        </w:rPr>
      </w:pPr>
    </w:p>
    <w:p w14:paraId="2EA405C8" w14:textId="4A9DC111" w:rsidR="00AA7087" w:rsidRPr="005F45A3" w:rsidRDefault="00AA7087" w:rsidP="00FD47EF">
      <w:pPr>
        <w:pStyle w:val="INCISO"/>
        <w:numPr>
          <w:ilvl w:val="0"/>
          <w:numId w:val="2"/>
        </w:numPr>
        <w:spacing w:after="0" w:line="240" w:lineRule="exact"/>
        <w:rPr>
          <w:rFonts w:asciiTheme="minorHAnsi" w:hAnsiTheme="minorHAnsi" w:cstheme="minorHAnsi"/>
        </w:rPr>
      </w:pPr>
      <w:r w:rsidRPr="005F45A3">
        <w:rPr>
          <w:rFonts w:asciiTheme="minorHAnsi" w:hAnsiTheme="minorHAnsi" w:cstheme="minorHAnsi"/>
        </w:rPr>
        <w:t xml:space="preserve">Valor activado en el ejercicio de los Bienes construidos por la entidad. </w:t>
      </w:r>
      <w:r w:rsidR="009325D7">
        <w:rPr>
          <w:rFonts w:asciiTheme="minorHAnsi" w:hAnsiTheme="minorHAnsi" w:cstheme="minorHAnsi"/>
        </w:rPr>
        <w:t xml:space="preserve"> </w:t>
      </w:r>
      <w:r w:rsidR="00F46E2A" w:rsidRPr="002808A4">
        <w:rPr>
          <w:rFonts w:asciiTheme="minorHAnsi" w:hAnsiTheme="minorHAnsi" w:cstheme="minorHAnsi"/>
          <w:b/>
        </w:rPr>
        <w:t>N</w:t>
      </w:r>
      <w:r w:rsidR="00F46E2A">
        <w:rPr>
          <w:rFonts w:asciiTheme="minorHAnsi" w:hAnsiTheme="minorHAnsi" w:cstheme="minorHAnsi"/>
          <w:b/>
        </w:rPr>
        <w:t xml:space="preserve">o </w:t>
      </w:r>
      <w:r w:rsidR="00F46E2A" w:rsidRPr="002808A4">
        <w:rPr>
          <w:rFonts w:asciiTheme="minorHAnsi" w:hAnsiTheme="minorHAnsi" w:cstheme="minorHAnsi"/>
          <w:b/>
        </w:rPr>
        <w:t>A</w:t>
      </w:r>
      <w:r w:rsidR="00F46E2A">
        <w:rPr>
          <w:rFonts w:asciiTheme="minorHAnsi" w:hAnsiTheme="minorHAnsi" w:cstheme="minorHAnsi"/>
          <w:b/>
        </w:rPr>
        <w:t>plica</w:t>
      </w:r>
      <w:r w:rsidRPr="009325D7">
        <w:rPr>
          <w:rFonts w:asciiTheme="minorHAnsi" w:hAnsiTheme="minorHAnsi" w:cstheme="minorHAnsi"/>
          <w:b/>
        </w:rPr>
        <w:t>.</w:t>
      </w:r>
    </w:p>
    <w:p w14:paraId="657E8872" w14:textId="77777777" w:rsidR="00AA7087" w:rsidRPr="005F45A3" w:rsidRDefault="00AA7087" w:rsidP="00AA7087">
      <w:pPr>
        <w:pStyle w:val="INCISO"/>
        <w:spacing w:after="0" w:line="240" w:lineRule="exact"/>
        <w:ind w:left="648" w:firstLine="0"/>
        <w:rPr>
          <w:rFonts w:asciiTheme="minorHAnsi" w:hAnsiTheme="minorHAnsi" w:cstheme="minorHAnsi"/>
        </w:rPr>
      </w:pPr>
    </w:p>
    <w:p w14:paraId="663E2C1B" w14:textId="37CD233B" w:rsidR="00B46FFA" w:rsidRPr="005F45A3" w:rsidRDefault="00AA7087" w:rsidP="00B46FFA">
      <w:pPr>
        <w:pStyle w:val="INCISO"/>
        <w:numPr>
          <w:ilvl w:val="0"/>
          <w:numId w:val="2"/>
        </w:numPr>
        <w:spacing w:after="0" w:line="240" w:lineRule="exact"/>
        <w:rPr>
          <w:rFonts w:asciiTheme="minorHAnsi" w:hAnsiTheme="minorHAnsi" w:cstheme="minorHAnsi"/>
        </w:rPr>
      </w:pPr>
      <w:r w:rsidRPr="005F45A3">
        <w:rPr>
          <w:rFonts w:asciiTheme="minorHAnsi" w:hAnsiTheme="minorHAnsi" w:cstheme="minorHAnsi"/>
        </w:rPr>
        <w:t xml:space="preserve">Otras circunstancias de carácter significativo que afecten el Activo, tales como Bienes en Garantía, señalados en embargos, Litigios, Títulos de Inversiones entregados en garantías, baja significativa del valor de Inversiones Financieras, etc. </w:t>
      </w:r>
      <w:r w:rsidR="00F46E2A" w:rsidRPr="002808A4">
        <w:rPr>
          <w:rFonts w:asciiTheme="minorHAnsi" w:hAnsiTheme="minorHAnsi" w:cstheme="minorHAnsi"/>
          <w:b/>
        </w:rPr>
        <w:t>N</w:t>
      </w:r>
      <w:r w:rsidR="00F46E2A">
        <w:rPr>
          <w:rFonts w:asciiTheme="minorHAnsi" w:hAnsiTheme="minorHAnsi" w:cstheme="minorHAnsi"/>
          <w:b/>
        </w:rPr>
        <w:t xml:space="preserve">o </w:t>
      </w:r>
      <w:r w:rsidR="00F46E2A" w:rsidRPr="002808A4">
        <w:rPr>
          <w:rFonts w:asciiTheme="minorHAnsi" w:hAnsiTheme="minorHAnsi" w:cstheme="minorHAnsi"/>
          <w:b/>
        </w:rPr>
        <w:t>A</w:t>
      </w:r>
      <w:r w:rsidR="00F46E2A">
        <w:rPr>
          <w:rFonts w:asciiTheme="minorHAnsi" w:hAnsiTheme="minorHAnsi" w:cstheme="minorHAnsi"/>
          <w:b/>
        </w:rPr>
        <w:t>plica</w:t>
      </w:r>
      <w:r w:rsidR="00B46FFA" w:rsidRPr="005F45A3">
        <w:rPr>
          <w:rFonts w:asciiTheme="minorHAnsi" w:hAnsiTheme="minorHAnsi" w:cstheme="minorHAnsi"/>
        </w:rPr>
        <w:t>.</w:t>
      </w:r>
    </w:p>
    <w:p w14:paraId="7A6D5C0E" w14:textId="77777777" w:rsidR="00100166" w:rsidRPr="005F45A3" w:rsidRDefault="00100166" w:rsidP="00B46FFA">
      <w:pPr>
        <w:pStyle w:val="INCISO"/>
        <w:spacing w:after="0" w:line="240" w:lineRule="exact"/>
        <w:ind w:left="0" w:firstLine="0"/>
        <w:rPr>
          <w:rFonts w:asciiTheme="minorHAnsi" w:hAnsiTheme="minorHAnsi" w:cstheme="minorHAnsi"/>
        </w:rPr>
      </w:pPr>
    </w:p>
    <w:p w14:paraId="50718BE2" w14:textId="4B946B00" w:rsidR="00AA7087" w:rsidRPr="005F45A3" w:rsidRDefault="00AA7087" w:rsidP="003F2281">
      <w:pPr>
        <w:pStyle w:val="INCISO"/>
        <w:numPr>
          <w:ilvl w:val="0"/>
          <w:numId w:val="2"/>
        </w:numPr>
        <w:spacing w:after="0" w:line="240" w:lineRule="exact"/>
        <w:rPr>
          <w:rFonts w:asciiTheme="minorHAnsi" w:hAnsiTheme="minorHAnsi" w:cstheme="minorHAnsi"/>
        </w:rPr>
      </w:pPr>
      <w:r w:rsidRPr="005F45A3">
        <w:rPr>
          <w:rFonts w:asciiTheme="minorHAnsi" w:hAnsiTheme="minorHAnsi" w:cstheme="minorHAnsi"/>
        </w:rPr>
        <w:t>Desmantelamiento de Activos, procedimientos, implicaciones, efectos contables</w:t>
      </w:r>
      <w:r w:rsidR="009325D7" w:rsidRPr="009325D7">
        <w:rPr>
          <w:rFonts w:asciiTheme="minorHAnsi" w:hAnsiTheme="minorHAnsi" w:cstheme="minorHAnsi"/>
          <w:b/>
        </w:rPr>
        <w:t xml:space="preserve">. </w:t>
      </w:r>
      <w:r w:rsidRPr="009325D7">
        <w:rPr>
          <w:rFonts w:asciiTheme="minorHAnsi" w:hAnsiTheme="minorHAnsi" w:cstheme="minorHAnsi"/>
          <w:b/>
        </w:rPr>
        <w:t xml:space="preserve"> </w:t>
      </w:r>
      <w:r w:rsidR="00F46E2A" w:rsidRPr="002808A4">
        <w:rPr>
          <w:rFonts w:asciiTheme="minorHAnsi" w:hAnsiTheme="minorHAnsi" w:cstheme="minorHAnsi"/>
          <w:b/>
        </w:rPr>
        <w:t>N</w:t>
      </w:r>
      <w:r w:rsidR="00F46E2A">
        <w:rPr>
          <w:rFonts w:asciiTheme="minorHAnsi" w:hAnsiTheme="minorHAnsi" w:cstheme="minorHAnsi"/>
          <w:b/>
        </w:rPr>
        <w:t xml:space="preserve">o </w:t>
      </w:r>
      <w:r w:rsidR="00F46E2A" w:rsidRPr="002808A4">
        <w:rPr>
          <w:rFonts w:asciiTheme="minorHAnsi" w:hAnsiTheme="minorHAnsi" w:cstheme="minorHAnsi"/>
          <w:b/>
        </w:rPr>
        <w:t>A</w:t>
      </w:r>
      <w:r w:rsidR="00F46E2A">
        <w:rPr>
          <w:rFonts w:asciiTheme="minorHAnsi" w:hAnsiTheme="minorHAnsi" w:cstheme="minorHAnsi"/>
          <w:b/>
        </w:rPr>
        <w:t>plica</w:t>
      </w:r>
      <w:r w:rsidRPr="005F45A3">
        <w:rPr>
          <w:rFonts w:asciiTheme="minorHAnsi" w:hAnsiTheme="minorHAnsi" w:cstheme="minorHAnsi"/>
        </w:rPr>
        <w:t>.</w:t>
      </w:r>
    </w:p>
    <w:p w14:paraId="2F102E40" w14:textId="77777777" w:rsidR="008901FE" w:rsidRPr="005F45A3" w:rsidRDefault="008901FE" w:rsidP="003F2281">
      <w:pPr>
        <w:pStyle w:val="Prrafodelista"/>
        <w:spacing w:after="0"/>
        <w:rPr>
          <w:rFonts w:asciiTheme="minorHAnsi" w:hAnsiTheme="minorHAnsi" w:cstheme="minorHAnsi"/>
          <w:sz w:val="8"/>
        </w:rPr>
      </w:pPr>
    </w:p>
    <w:p w14:paraId="1ACB1C3A" w14:textId="031963A1" w:rsidR="00AA7087" w:rsidRDefault="00AA7087" w:rsidP="00F46E2A">
      <w:pPr>
        <w:pStyle w:val="INCISO"/>
        <w:numPr>
          <w:ilvl w:val="0"/>
          <w:numId w:val="2"/>
        </w:numPr>
        <w:spacing w:after="0" w:line="240" w:lineRule="exact"/>
        <w:rPr>
          <w:rFonts w:asciiTheme="minorHAnsi" w:hAnsiTheme="minorHAnsi" w:cstheme="minorHAnsi"/>
        </w:rPr>
      </w:pPr>
      <w:r w:rsidRPr="005F45A3">
        <w:rPr>
          <w:rFonts w:asciiTheme="minorHAnsi" w:hAnsiTheme="minorHAnsi" w:cstheme="minorHAnsi"/>
        </w:rPr>
        <w:t xml:space="preserve">Administración de Activos; planeación con el objetivo de que el ente los utilice de manera más efectiva. </w:t>
      </w:r>
      <w:r w:rsidR="004056BA">
        <w:rPr>
          <w:rFonts w:asciiTheme="minorHAnsi" w:hAnsiTheme="minorHAnsi" w:cstheme="minorHAnsi"/>
        </w:rPr>
        <w:t xml:space="preserve">   </w:t>
      </w:r>
      <w:r w:rsidR="00F46E2A" w:rsidRPr="002808A4">
        <w:rPr>
          <w:rFonts w:asciiTheme="minorHAnsi" w:hAnsiTheme="minorHAnsi" w:cstheme="minorHAnsi"/>
          <w:b/>
        </w:rPr>
        <w:t>N</w:t>
      </w:r>
      <w:r w:rsidR="00F46E2A">
        <w:rPr>
          <w:rFonts w:asciiTheme="minorHAnsi" w:hAnsiTheme="minorHAnsi" w:cstheme="minorHAnsi"/>
          <w:b/>
        </w:rPr>
        <w:t xml:space="preserve">o </w:t>
      </w:r>
      <w:r w:rsidR="00F46E2A" w:rsidRPr="002808A4">
        <w:rPr>
          <w:rFonts w:asciiTheme="minorHAnsi" w:hAnsiTheme="minorHAnsi" w:cstheme="minorHAnsi"/>
          <w:b/>
        </w:rPr>
        <w:t>A</w:t>
      </w:r>
      <w:r w:rsidR="00F46E2A">
        <w:rPr>
          <w:rFonts w:asciiTheme="minorHAnsi" w:hAnsiTheme="minorHAnsi" w:cstheme="minorHAnsi"/>
          <w:b/>
        </w:rPr>
        <w:t>plica</w:t>
      </w:r>
    </w:p>
    <w:p w14:paraId="014ECD39" w14:textId="77777777" w:rsidR="004056BA" w:rsidRPr="003F2281" w:rsidRDefault="004056BA" w:rsidP="003F2281">
      <w:pPr>
        <w:pStyle w:val="Prrafodelista"/>
        <w:spacing w:after="0"/>
        <w:rPr>
          <w:rFonts w:asciiTheme="minorHAnsi" w:hAnsiTheme="minorHAnsi" w:cstheme="minorHAnsi"/>
          <w:sz w:val="18"/>
        </w:rPr>
      </w:pPr>
    </w:p>
    <w:p w14:paraId="229F22F5" w14:textId="77777777" w:rsidR="00952D5F" w:rsidRDefault="00952D5F" w:rsidP="003F2281">
      <w:pPr>
        <w:pStyle w:val="Texto"/>
        <w:spacing w:after="0" w:line="240" w:lineRule="exact"/>
        <w:ind w:left="360" w:firstLine="0"/>
        <w:rPr>
          <w:rFonts w:asciiTheme="minorHAnsi" w:hAnsiTheme="minorHAnsi" w:cstheme="minorHAnsi"/>
          <w:b/>
          <w:szCs w:val="18"/>
        </w:rPr>
      </w:pPr>
    </w:p>
    <w:p w14:paraId="02793ECA" w14:textId="191A5798" w:rsidR="00AA7087" w:rsidRPr="00C57D3B" w:rsidRDefault="00AA7087" w:rsidP="003F2281">
      <w:pPr>
        <w:pStyle w:val="Texto"/>
        <w:spacing w:after="0" w:line="240" w:lineRule="exact"/>
        <w:ind w:left="360" w:firstLine="0"/>
        <w:rPr>
          <w:rFonts w:asciiTheme="minorHAnsi" w:hAnsiTheme="minorHAnsi" w:cstheme="minorHAnsi"/>
          <w:b/>
          <w:sz w:val="20"/>
          <w:szCs w:val="18"/>
        </w:rPr>
      </w:pPr>
      <w:r w:rsidRPr="00C57D3B">
        <w:rPr>
          <w:rFonts w:asciiTheme="minorHAnsi" w:hAnsiTheme="minorHAnsi" w:cstheme="minorHAnsi"/>
          <w:b/>
          <w:sz w:val="20"/>
          <w:szCs w:val="18"/>
        </w:rPr>
        <w:t>Principales variaciones en el Activo.</w:t>
      </w:r>
    </w:p>
    <w:p w14:paraId="006A89A7" w14:textId="77777777" w:rsidR="00AA7087" w:rsidRPr="005F45A3" w:rsidRDefault="00AA7087" w:rsidP="00AA7087">
      <w:pPr>
        <w:pStyle w:val="Texto"/>
        <w:spacing w:after="0" w:line="240" w:lineRule="exact"/>
        <w:ind w:firstLine="0"/>
        <w:rPr>
          <w:rFonts w:asciiTheme="minorHAnsi" w:hAnsiTheme="minorHAnsi" w:cstheme="minorHAnsi"/>
          <w:szCs w:val="18"/>
        </w:rPr>
      </w:pPr>
    </w:p>
    <w:p w14:paraId="122F7CFA" w14:textId="0F5976F9" w:rsidR="00AA7087" w:rsidRPr="005F45A3" w:rsidRDefault="00AA7087" w:rsidP="00F46E2A">
      <w:pPr>
        <w:pStyle w:val="Texto"/>
        <w:numPr>
          <w:ilvl w:val="0"/>
          <w:numId w:val="7"/>
        </w:numPr>
        <w:spacing w:after="0" w:line="240" w:lineRule="exact"/>
        <w:ind w:firstLine="66"/>
        <w:rPr>
          <w:rFonts w:asciiTheme="minorHAnsi" w:hAnsiTheme="minorHAnsi" w:cstheme="minorHAnsi"/>
        </w:rPr>
      </w:pPr>
      <w:r w:rsidRPr="005F45A3">
        <w:rPr>
          <w:rFonts w:asciiTheme="minorHAnsi" w:hAnsiTheme="minorHAnsi" w:cstheme="minorHAnsi"/>
        </w:rPr>
        <w:t xml:space="preserve">Inversiones en valores. </w:t>
      </w:r>
      <w:r w:rsidR="00F46E2A" w:rsidRPr="002808A4">
        <w:rPr>
          <w:rFonts w:asciiTheme="minorHAnsi" w:hAnsiTheme="minorHAnsi" w:cstheme="minorHAnsi"/>
          <w:b/>
        </w:rPr>
        <w:t>N</w:t>
      </w:r>
      <w:r w:rsidR="00F46E2A">
        <w:rPr>
          <w:rFonts w:asciiTheme="minorHAnsi" w:hAnsiTheme="minorHAnsi" w:cstheme="minorHAnsi"/>
          <w:b/>
        </w:rPr>
        <w:t xml:space="preserve">o </w:t>
      </w:r>
      <w:r w:rsidR="00F46E2A" w:rsidRPr="002808A4">
        <w:rPr>
          <w:rFonts w:asciiTheme="minorHAnsi" w:hAnsiTheme="minorHAnsi" w:cstheme="minorHAnsi"/>
          <w:b/>
        </w:rPr>
        <w:t>A</w:t>
      </w:r>
      <w:r w:rsidR="00F46E2A">
        <w:rPr>
          <w:rFonts w:asciiTheme="minorHAnsi" w:hAnsiTheme="minorHAnsi" w:cstheme="minorHAnsi"/>
          <w:b/>
        </w:rPr>
        <w:t>plica</w:t>
      </w:r>
    </w:p>
    <w:p w14:paraId="42DA3ADC" w14:textId="77777777" w:rsidR="00AA7087" w:rsidRPr="005F45A3" w:rsidRDefault="00AA7087" w:rsidP="00AA7087">
      <w:pPr>
        <w:pStyle w:val="Texto"/>
        <w:spacing w:after="0" w:line="240" w:lineRule="exact"/>
        <w:ind w:left="426" w:firstLine="0"/>
        <w:rPr>
          <w:rFonts w:asciiTheme="minorHAnsi" w:hAnsiTheme="minorHAnsi" w:cstheme="minorHAnsi"/>
        </w:rPr>
      </w:pPr>
    </w:p>
    <w:p w14:paraId="4910F1E7" w14:textId="77777777" w:rsidR="00AA7087" w:rsidRPr="005F45A3" w:rsidRDefault="00AA7087" w:rsidP="00C57D3B">
      <w:pPr>
        <w:pStyle w:val="Texto"/>
        <w:numPr>
          <w:ilvl w:val="0"/>
          <w:numId w:val="7"/>
        </w:numPr>
        <w:spacing w:after="0" w:line="240" w:lineRule="exact"/>
        <w:ind w:left="709" w:hanging="283"/>
        <w:rPr>
          <w:rFonts w:asciiTheme="minorHAnsi" w:hAnsiTheme="minorHAnsi" w:cstheme="minorHAnsi"/>
        </w:rPr>
      </w:pPr>
      <w:r w:rsidRPr="005F45A3">
        <w:rPr>
          <w:rFonts w:asciiTheme="minorHAnsi" w:hAnsiTheme="minorHAnsi" w:cstheme="minorHAnsi"/>
        </w:rPr>
        <w:t xml:space="preserve">Patrimonio de organismos descentralizados. </w:t>
      </w:r>
      <w:r w:rsidR="00C23F15" w:rsidRPr="005F45A3">
        <w:rPr>
          <w:rFonts w:asciiTheme="minorHAnsi" w:hAnsiTheme="minorHAnsi" w:cstheme="minorHAnsi"/>
        </w:rPr>
        <w:t>La información detallada del patrimonio se encuentra desglosada en cada uno de los estados financieros de los organismos descentralizados.</w:t>
      </w:r>
    </w:p>
    <w:p w14:paraId="2A1D111F" w14:textId="77777777" w:rsidR="00AA7087" w:rsidRPr="005F45A3" w:rsidRDefault="00AA7087" w:rsidP="00AA7087">
      <w:pPr>
        <w:pStyle w:val="Texto"/>
        <w:spacing w:after="0" w:line="240" w:lineRule="exact"/>
        <w:ind w:left="426" w:firstLine="0"/>
        <w:rPr>
          <w:rFonts w:asciiTheme="minorHAnsi" w:hAnsiTheme="minorHAnsi" w:cstheme="minorHAnsi"/>
        </w:rPr>
      </w:pPr>
    </w:p>
    <w:p w14:paraId="3826A2CF" w14:textId="77777777" w:rsidR="00AA7087" w:rsidRPr="005F45A3" w:rsidRDefault="00AA7087" w:rsidP="00FD47EF">
      <w:pPr>
        <w:pStyle w:val="Texto"/>
        <w:numPr>
          <w:ilvl w:val="0"/>
          <w:numId w:val="7"/>
        </w:numPr>
        <w:spacing w:after="0" w:line="240" w:lineRule="exact"/>
        <w:ind w:firstLine="66"/>
        <w:rPr>
          <w:rFonts w:asciiTheme="minorHAnsi" w:hAnsiTheme="minorHAnsi" w:cstheme="minorHAnsi"/>
        </w:rPr>
      </w:pPr>
      <w:r w:rsidRPr="005F45A3">
        <w:rPr>
          <w:rFonts w:asciiTheme="minorHAnsi" w:hAnsiTheme="minorHAnsi" w:cstheme="minorHAnsi"/>
        </w:rPr>
        <w:t xml:space="preserve">Inversiones en empresas de participación mayoritaria. </w:t>
      </w:r>
    </w:p>
    <w:p w14:paraId="3D40C327" w14:textId="77777777" w:rsidR="00AA7087" w:rsidRPr="005F45A3" w:rsidRDefault="00AA7087" w:rsidP="00AA7087">
      <w:pPr>
        <w:pStyle w:val="Prrafodelista"/>
        <w:rPr>
          <w:rFonts w:asciiTheme="minorHAnsi" w:hAnsiTheme="minorHAnsi" w:cstheme="minorHAnsi"/>
          <w:sz w:val="18"/>
          <w:szCs w:val="20"/>
        </w:rPr>
      </w:pPr>
      <w:r w:rsidRPr="005F45A3">
        <w:rPr>
          <w:rFonts w:asciiTheme="minorHAnsi" w:hAnsiTheme="minorHAnsi" w:cstheme="minorHAnsi"/>
          <w:sz w:val="18"/>
          <w:szCs w:val="20"/>
        </w:rPr>
        <w:t>Se encuentran en los puntos 6 y 7 de las Notas de Desglose.</w:t>
      </w:r>
    </w:p>
    <w:p w14:paraId="788B94D8" w14:textId="7E191A8E" w:rsidR="00AA7087" w:rsidRPr="005F45A3" w:rsidRDefault="00AA7087" w:rsidP="00FD47EF">
      <w:pPr>
        <w:pStyle w:val="Texto"/>
        <w:numPr>
          <w:ilvl w:val="0"/>
          <w:numId w:val="7"/>
        </w:numPr>
        <w:spacing w:after="0" w:line="240" w:lineRule="exact"/>
        <w:ind w:firstLine="66"/>
        <w:rPr>
          <w:rFonts w:asciiTheme="minorHAnsi" w:hAnsiTheme="minorHAnsi" w:cstheme="minorHAnsi"/>
        </w:rPr>
      </w:pPr>
      <w:r w:rsidRPr="005F45A3">
        <w:rPr>
          <w:rFonts w:asciiTheme="minorHAnsi" w:hAnsiTheme="minorHAnsi" w:cstheme="minorHAnsi"/>
        </w:rPr>
        <w:t xml:space="preserve">Inversiones en empresas de participación minoritaria. </w:t>
      </w:r>
      <w:r w:rsidRPr="002808A4">
        <w:rPr>
          <w:rFonts w:asciiTheme="minorHAnsi" w:hAnsiTheme="minorHAnsi" w:cstheme="minorHAnsi"/>
          <w:b/>
        </w:rPr>
        <w:t>N</w:t>
      </w:r>
      <w:r w:rsidR="00F46E2A">
        <w:rPr>
          <w:rFonts w:asciiTheme="minorHAnsi" w:hAnsiTheme="minorHAnsi" w:cstheme="minorHAnsi"/>
          <w:b/>
        </w:rPr>
        <w:t xml:space="preserve">o </w:t>
      </w:r>
      <w:r w:rsidRPr="002808A4">
        <w:rPr>
          <w:rFonts w:asciiTheme="minorHAnsi" w:hAnsiTheme="minorHAnsi" w:cstheme="minorHAnsi"/>
          <w:b/>
        </w:rPr>
        <w:t>A</w:t>
      </w:r>
      <w:r w:rsidR="00F46E2A">
        <w:rPr>
          <w:rFonts w:asciiTheme="minorHAnsi" w:hAnsiTheme="minorHAnsi" w:cstheme="minorHAnsi"/>
          <w:b/>
        </w:rPr>
        <w:t xml:space="preserve">plica </w:t>
      </w:r>
    </w:p>
    <w:p w14:paraId="1DDA0EF8" w14:textId="77777777" w:rsidR="00AA7087" w:rsidRPr="005F45A3" w:rsidRDefault="00AA7087" w:rsidP="00AA7087">
      <w:pPr>
        <w:pStyle w:val="INCISO"/>
        <w:spacing w:after="0" w:line="240" w:lineRule="exact"/>
        <w:ind w:left="360"/>
        <w:rPr>
          <w:rFonts w:asciiTheme="minorHAnsi" w:hAnsiTheme="minorHAnsi" w:cstheme="minorHAnsi"/>
          <w:szCs w:val="20"/>
        </w:rPr>
      </w:pPr>
    </w:p>
    <w:p w14:paraId="517CF42B" w14:textId="6C722F3B" w:rsidR="00AA7087" w:rsidRPr="00952D5F" w:rsidRDefault="00AA7087" w:rsidP="00F46E2A">
      <w:pPr>
        <w:pStyle w:val="INCISO"/>
        <w:numPr>
          <w:ilvl w:val="0"/>
          <w:numId w:val="7"/>
        </w:numPr>
        <w:spacing w:after="0" w:line="240" w:lineRule="exact"/>
        <w:ind w:left="709" w:hanging="283"/>
        <w:rPr>
          <w:rFonts w:asciiTheme="minorHAnsi" w:hAnsiTheme="minorHAnsi" w:cstheme="minorHAnsi"/>
          <w:szCs w:val="20"/>
        </w:rPr>
      </w:pPr>
      <w:r w:rsidRPr="005F45A3">
        <w:rPr>
          <w:rFonts w:asciiTheme="minorHAnsi" w:hAnsiTheme="minorHAnsi" w:cstheme="minorHAnsi"/>
          <w:szCs w:val="20"/>
        </w:rPr>
        <w:t xml:space="preserve">Patrimonio de organismos descentralizados de control presupuestario directo, según corresponda. </w:t>
      </w:r>
      <w:r w:rsidR="00F46E2A" w:rsidRPr="002808A4">
        <w:rPr>
          <w:rFonts w:asciiTheme="minorHAnsi" w:hAnsiTheme="minorHAnsi" w:cstheme="minorHAnsi"/>
          <w:b/>
        </w:rPr>
        <w:t>N</w:t>
      </w:r>
      <w:r w:rsidR="00F46E2A">
        <w:rPr>
          <w:rFonts w:asciiTheme="minorHAnsi" w:hAnsiTheme="minorHAnsi" w:cstheme="minorHAnsi"/>
          <w:b/>
        </w:rPr>
        <w:t xml:space="preserve">o </w:t>
      </w:r>
      <w:r w:rsidR="00F46E2A" w:rsidRPr="002808A4">
        <w:rPr>
          <w:rFonts w:asciiTheme="minorHAnsi" w:hAnsiTheme="minorHAnsi" w:cstheme="minorHAnsi"/>
          <w:b/>
        </w:rPr>
        <w:t>A</w:t>
      </w:r>
      <w:r w:rsidR="00F46E2A">
        <w:rPr>
          <w:rFonts w:asciiTheme="minorHAnsi" w:hAnsiTheme="minorHAnsi" w:cstheme="minorHAnsi"/>
          <w:b/>
        </w:rPr>
        <w:t>plica</w:t>
      </w:r>
    </w:p>
    <w:p w14:paraId="1E9279E5" w14:textId="778AE3F8" w:rsidR="00952D5F" w:rsidRDefault="00952D5F" w:rsidP="00952D5F">
      <w:pPr>
        <w:pStyle w:val="INCISO"/>
        <w:spacing w:after="0" w:line="240" w:lineRule="exact"/>
        <w:rPr>
          <w:rFonts w:asciiTheme="minorHAnsi" w:hAnsiTheme="minorHAnsi" w:cstheme="minorHAnsi"/>
          <w:szCs w:val="20"/>
        </w:rPr>
      </w:pPr>
    </w:p>
    <w:p w14:paraId="4C72204A" w14:textId="77777777" w:rsidR="002808A4" w:rsidRPr="003F2281" w:rsidRDefault="002808A4" w:rsidP="004056BA">
      <w:pPr>
        <w:pStyle w:val="Prrafodelista"/>
        <w:rPr>
          <w:rFonts w:asciiTheme="minorHAnsi" w:hAnsiTheme="minorHAnsi" w:cstheme="minorHAnsi"/>
          <w:sz w:val="16"/>
          <w:szCs w:val="20"/>
        </w:rPr>
      </w:pPr>
    </w:p>
    <w:p w14:paraId="16E3E3A3" w14:textId="77777777" w:rsidR="00AA7087" w:rsidRPr="00D93ED6" w:rsidRDefault="00AA7087" w:rsidP="00B46FFA">
      <w:pPr>
        <w:pStyle w:val="Prrafodelista"/>
        <w:numPr>
          <w:ilvl w:val="0"/>
          <w:numId w:val="23"/>
        </w:numPr>
        <w:spacing w:after="0" w:line="240" w:lineRule="exact"/>
        <w:jc w:val="both"/>
        <w:rPr>
          <w:rFonts w:asciiTheme="minorHAnsi" w:eastAsia="Times New Roman" w:hAnsiTheme="minorHAnsi" w:cstheme="minorHAnsi"/>
          <w:b/>
          <w:sz w:val="20"/>
          <w:szCs w:val="18"/>
          <w:lang w:eastAsia="es-ES"/>
        </w:rPr>
      </w:pPr>
      <w:r w:rsidRPr="00D93ED6">
        <w:rPr>
          <w:rFonts w:asciiTheme="minorHAnsi" w:eastAsia="Times New Roman" w:hAnsiTheme="minorHAnsi" w:cstheme="minorHAnsi"/>
          <w:b/>
          <w:sz w:val="20"/>
          <w:szCs w:val="18"/>
          <w:lang w:eastAsia="es-ES"/>
        </w:rPr>
        <w:t>Fideicomisos, Mandatos y Análogos</w:t>
      </w:r>
    </w:p>
    <w:p w14:paraId="3FA08F13" w14:textId="77777777" w:rsidR="00C51F6E" w:rsidRPr="005F45A3" w:rsidRDefault="00C51F6E" w:rsidP="00C51F6E">
      <w:pPr>
        <w:pStyle w:val="Prrafodelista"/>
        <w:spacing w:after="0" w:line="240" w:lineRule="exact"/>
        <w:ind w:left="360"/>
        <w:jc w:val="both"/>
        <w:rPr>
          <w:rFonts w:asciiTheme="minorHAnsi" w:eastAsia="Times New Roman" w:hAnsiTheme="minorHAnsi" w:cstheme="minorHAnsi"/>
          <w:b/>
          <w:sz w:val="18"/>
          <w:szCs w:val="18"/>
          <w:lang w:eastAsia="es-ES"/>
        </w:rPr>
      </w:pPr>
    </w:p>
    <w:p w14:paraId="0D9DA1D9" w14:textId="4723C26C" w:rsidR="00AA7087" w:rsidRDefault="00AA7087" w:rsidP="00FD47EF">
      <w:pPr>
        <w:pStyle w:val="Prrafodelista"/>
        <w:numPr>
          <w:ilvl w:val="0"/>
          <w:numId w:val="12"/>
        </w:numPr>
        <w:spacing w:after="0" w:line="240" w:lineRule="exact"/>
        <w:jc w:val="both"/>
        <w:rPr>
          <w:rFonts w:asciiTheme="minorHAnsi" w:eastAsia="Times New Roman" w:hAnsiTheme="minorHAnsi" w:cstheme="minorHAnsi"/>
          <w:sz w:val="20"/>
          <w:szCs w:val="20"/>
          <w:lang w:eastAsia="es-ES"/>
        </w:rPr>
      </w:pPr>
      <w:r w:rsidRPr="004056BA">
        <w:rPr>
          <w:rFonts w:asciiTheme="minorHAnsi" w:eastAsia="Times New Roman" w:hAnsiTheme="minorHAnsi" w:cstheme="minorHAnsi"/>
          <w:sz w:val="20"/>
          <w:szCs w:val="20"/>
          <w:lang w:eastAsia="es-ES"/>
        </w:rPr>
        <w:t>Ramo a Unidad Administrativa que los reporta.</w:t>
      </w:r>
    </w:p>
    <w:p w14:paraId="41E68459" w14:textId="77777777" w:rsidR="004056BA" w:rsidRPr="004056BA" w:rsidRDefault="004056BA" w:rsidP="004056BA">
      <w:pPr>
        <w:pStyle w:val="Prrafodelista"/>
        <w:spacing w:after="0" w:line="240" w:lineRule="exact"/>
        <w:jc w:val="both"/>
        <w:rPr>
          <w:rFonts w:asciiTheme="minorHAnsi" w:eastAsia="Times New Roman" w:hAnsiTheme="minorHAnsi" w:cstheme="minorHAnsi"/>
          <w:sz w:val="20"/>
          <w:szCs w:val="20"/>
          <w:lang w:eastAsia="es-ES"/>
        </w:rPr>
      </w:pPr>
    </w:p>
    <w:tbl>
      <w:tblPr>
        <w:tblW w:w="10202" w:type="dxa"/>
        <w:tblInd w:w="-142" w:type="dxa"/>
        <w:tblCellMar>
          <w:left w:w="70" w:type="dxa"/>
          <w:right w:w="70" w:type="dxa"/>
        </w:tblCellMar>
        <w:tblLook w:val="04A0" w:firstRow="1" w:lastRow="0" w:firstColumn="1" w:lastColumn="0" w:noHBand="0" w:noVBand="1"/>
      </w:tblPr>
      <w:tblGrid>
        <w:gridCol w:w="10202"/>
      </w:tblGrid>
      <w:tr w:rsidR="009A3001" w:rsidRPr="00D93ED6" w14:paraId="1BD79DD8" w14:textId="77777777" w:rsidTr="00295AC0">
        <w:trPr>
          <w:trHeight w:val="300"/>
        </w:trPr>
        <w:tc>
          <w:tcPr>
            <w:tcW w:w="10202" w:type="dxa"/>
            <w:tcBorders>
              <w:top w:val="nil"/>
              <w:left w:val="nil"/>
              <w:bottom w:val="nil"/>
              <w:right w:val="nil"/>
            </w:tcBorders>
            <w:shd w:val="clear" w:color="auto" w:fill="auto"/>
            <w:noWrap/>
            <w:vAlign w:val="center"/>
            <w:hideMark/>
          </w:tcPr>
          <w:p w14:paraId="626D72BD" w14:textId="77777777" w:rsidR="009A3001" w:rsidRPr="00D93ED6" w:rsidRDefault="009A3001" w:rsidP="009A3001">
            <w:pPr>
              <w:spacing w:after="0" w:line="240" w:lineRule="auto"/>
              <w:jc w:val="both"/>
              <w:rPr>
                <w:rFonts w:asciiTheme="minorHAnsi" w:eastAsia="Times New Roman" w:hAnsiTheme="minorHAnsi" w:cstheme="minorHAnsi"/>
                <w:b/>
                <w:bCs/>
                <w:color w:val="000000"/>
                <w:sz w:val="20"/>
                <w:szCs w:val="18"/>
                <w:lang w:eastAsia="es-MX"/>
              </w:rPr>
            </w:pPr>
            <w:r w:rsidRPr="00D93ED6">
              <w:rPr>
                <w:rFonts w:asciiTheme="minorHAnsi" w:eastAsia="Times New Roman" w:hAnsiTheme="minorHAnsi" w:cstheme="minorHAnsi"/>
                <w:b/>
                <w:bCs/>
                <w:color w:val="000000"/>
                <w:sz w:val="20"/>
                <w:szCs w:val="18"/>
                <w:lang w:eastAsia="es-MX"/>
              </w:rPr>
              <w:t>SECRETARÍA GENERAL DE GOBIERNO</w:t>
            </w:r>
          </w:p>
        </w:tc>
      </w:tr>
      <w:tr w:rsidR="009A3001" w:rsidRPr="005F45A3" w14:paraId="5CAAC0A8" w14:textId="77777777" w:rsidTr="00295AC0">
        <w:trPr>
          <w:trHeight w:val="300"/>
        </w:trPr>
        <w:tc>
          <w:tcPr>
            <w:tcW w:w="10202" w:type="dxa"/>
            <w:tcBorders>
              <w:top w:val="nil"/>
              <w:left w:val="nil"/>
              <w:bottom w:val="nil"/>
              <w:right w:val="nil"/>
            </w:tcBorders>
            <w:shd w:val="clear" w:color="auto" w:fill="auto"/>
            <w:noWrap/>
            <w:vAlign w:val="center"/>
            <w:hideMark/>
          </w:tcPr>
          <w:p w14:paraId="39CF3180" w14:textId="4D316A37" w:rsidR="009A3001" w:rsidRPr="005F45A3" w:rsidRDefault="008830F2" w:rsidP="00254643">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 xml:space="preserve">1.   </w:t>
            </w:r>
            <w:r w:rsidR="00254643">
              <w:rPr>
                <w:rFonts w:asciiTheme="minorHAnsi" w:eastAsia="Times New Roman" w:hAnsiTheme="minorHAnsi" w:cstheme="minorHAnsi"/>
                <w:color w:val="000000"/>
                <w:sz w:val="18"/>
                <w:szCs w:val="18"/>
                <w:lang w:eastAsia="es-MX"/>
              </w:rPr>
              <w:t xml:space="preserve"> </w:t>
            </w:r>
            <w:r w:rsidRPr="005F45A3">
              <w:rPr>
                <w:rFonts w:asciiTheme="minorHAnsi" w:eastAsia="Times New Roman" w:hAnsiTheme="minorHAnsi" w:cstheme="minorHAnsi"/>
                <w:color w:val="000000"/>
                <w:sz w:val="18"/>
                <w:szCs w:val="18"/>
                <w:lang w:eastAsia="es-MX"/>
              </w:rPr>
              <w:t xml:space="preserve"> Fideicomiso  Fondo de Desastres Naturales del Estado de Tamaulipas</w:t>
            </w:r>
          </w:p>
        </w:tc>
      </w:tr>
      <w:tr w:rsidR="009A3001" w:rsidRPr="005F45A3" w14:paraId="7DAF42FB" w14:textId="77777777" w:rsidTr="00295AC0">
        <w:trPr>
          <w:trHeight w:val="300"/>
        </w:trPr>
        <w:tc>
          <w:tcPr>
            <w:tcW w:w="10202" w:type="dxa"/>
            <w:tcBorders>
              <w:top w:val="nil"/>
              <w:left w:val="nil"/>
              <w:bottom w:val="nil"/>
              <w:right w:val="nil"/>
            </w:tcBorders>
            <w:shd w:val="clear" w:color="auto" w:fill="auto"/>
            <w:noWrap/>
            <w:vAlign w:val="center"/>
            <w:hideMark/>
          </w:tcPr>
          <w:p w14:paraId="26113872" w14:textId="77777777" w:rsidR="009A3001" w:rsidRPr="003F2281" w:rsidRDefault="009A3001" w:rsidP="009A3001">
            <w:pPr>
              <w:spacing w:after="0" w:line="240" w:lineRule="auto"/>
              <w:jc w:val="both"/>
              <w:rPr>
                <w:rFonts w:asciiTheme="minorHAnsi" w:eastAsia="Times New Roman" w:hAnsiTheme="minorHAnsi" w:cstheme="minorHAnsi"/>
                <w:color w:val="000000"/>
                <w:sz w:val="14"/>
                <w:szCs w:val="18"/>
                <w:lang w:eastAsia="es-MX"/>
              </w:rPr>
            </w:pPr>
          </w:p>
        </w:tc>
      </w:tr>
      <w:tr w:rsidR="009A3001" w:rsidRPr="00D93ED6" w14:paraId="4CDFE837" w14:textId="77777777" w:rsidTr="00295AC0">
        <w:trPr>
          <w:trHeight w:val="300"/>
        </w:trPr>
        <w:tc>
          <w:tcPr>
            <w:tcW w:w="10202" w:type="dxa"/>
            <w:tcBorders>
              <w:top w:val="nil"/>
              <w:left w:val="nil"/>
              <w:bottom w:val="nil"/>
              <w:right w:val="nil"/>
            </w:tcBorders>
            <w:shd w:val="clear" w:color="auto" w:fill="auto"/>
            <w:noWrap/>
            <w:vAlign w:val="center"/>
            <w:hideMark/>
          </w:tcPr>
          <w:p w14:paraId="47A981A8" w14:textId="77777777" w:rsidR="009A3001" w:rsidRPr="00D93ED6" w:rsidRDefault="009A3001" w:rsidP="009A3001">
            <w:pPr>
              <w:spacing w:after="0" w:line="240" w:lineRule="auto"/>
              <w:jc w:val="both"/>
              <w:rPr>
                <w:rFonts w:asciiTheme="minorHAnsi" w:eastAsia="Times New Roman" w:hAnsiTheme="minorHAnsi" w:cstheme="minorHAnsi"/>
                <w:b/>
                <w:bCs/>
                <w:color w:val="000000"/>
                <w:sz w:val="20"/>
                <w:szCs w:val="18"/>
                <w:lang w:eastAsia="es-MX"/>
              </w:rPr>
            </w:pPr>
            <w:r w:rsidRPr="00D93ED6">
              <w:rPr>
                <w:rFonts w:asciiTheme="minorHAnsi" w:eastAsia="Times New Roman" w:hAnsiTheme="minorHAnsi" w:cstheme="minorHAnsi"/>
                <w:b/>
                <w:bCs/>
                <w:color w:val="000000"/>
                <w:sz w:val="20"/>
                <w:szCs w:val="18"/>
                <w:lang w:eastAsia="es-MX"/>
              </w:rPr>
              <w:t>SECRETARÍA DE FINANZAS</w:t>
            </w:r>
          </w:p>
        </w:tc>
      </w:tr>
      <w:tr w:rsidR="009A3001" w:rsidRPr="005F45A3" w14:paraId="572F179F" w14:textId="77777777" w:rsidTr="00295AC0">
        <w:trPr>
          <w:trHeight w:val="300"/>
        </w:trPr>
        <w:tc>
          <w:tcPr>
            <w:tcW w:w="10202" w:type="dxa"/>
            <w:tcBorders>
              <w:top w:val="nil"/>
              <w:left w:val="nil"/>
              <w:bottom w:val="nil"/>
              <w:right w:val="nil"/>
            </w:tcBorders>
            <w:shd w:val="clear" w:color="auto" w:fill="auto"/>
            <w:noWrap/>
            <w:vAlign w:val="center"/>
            <w:hideMark/>
          </w:tcPr>
          <w:p w14:paraId="44DC6C2F" w14:textId="21F0D254"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para el Pago de Créditos del Estado de Tamaulipas (Fipac)</w:t>
            </w:r>
          </w:p>
        </w:tc>
      </w:tr>
      <w:tr w:rsidR="009A3001" w:rsidRPr="005F45A3" w14:paraId="4B9CDC28" w14:textId="77777777" w:rsidTr="00295AC0">
        <w:trPr>
          <w:trHeight w:val="300"/>
        </w:trPr>
        <w:tc>
          <w:tcPr>
            <w:tcW w:w="10202" w:type="dxa"/>
            <w:tcBorders>
              <w:top w:val="nil"/>
              <w:left w:val="nil"/>
              <w:bottom w:val="nil"/>
              <w:right w:val="nil"/>
            </w:tcBorders>
            <w:shd w:val="clear" w:color="auto" w:fill="auto"/>
            <w:noWrap/>
            <w:vAlign w:val="center"/>
            <w:hideMark/>
          </w:tcPr>
          <w:p w14:paraId="44AA12B7" w14:textId="56A1830D"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3</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Puente Internacional Nuevo Laredo III</w:t>
            </w:r>
          </w:p>
        </w:tc>
      </w:tr>
      <w:tr w:rsidR="009A3001" w:rsidRPr="005F45A3" w14:paraId="106401FC" w14:textId="77777777" w:rsidTr="00295AC0">
        <w:trPr>
          <w:trHeight w:val="300"/>
        </w:trPr>
        <w:tc>
          <w:tcPr>
            <w:tcW w:w="10202" w:type="dxa"/>
            <w:tcBorders>
              <w:top w:val="nil"/>
              <w:left w:val="nil"/>
              <w:bottom w:val="nil"/>
              <w:right w:val="nil"/>
            </w:tcBorders>
            <w:shd w:val="clear" w:color="auto" w:fill="auto"/>
            <w:noWrap/>
            <w:vAlign w:val="center"/>
            <w:hideMark/>
          </w:tcPr>
          <w:p w14:paraId="5BB6D707" w14:textId="24455AF9"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4</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Irrevocable de Administración y Fuente de Pago (Banregio)</w:t>
            </w:r>
          </w:p>
        </w:tc>
      </w:tr>
      <w:tr w:rsidR="009A3001" w:rsidRPr="005F45A3" w14:paraId="6DB04BF1" w14:textId="77777777" w:rsidTr="00295AC0">
        <w:trPr>
          <w:trHeight w:val="300"/>
        </w:trPr>
        <w:tc>
          <w:tcPr>
            <w:tcW w:w="10202" w:type="dxa"/>
            <w:tcBorders>
              <w:top w:val="nil"/>
              <w:left w:val="nil"/>
              <w:bottom w:val="nil"/>
              <w:right w:val="nil"/>
            </w:tcBorders>
            <w:shd w:val="clear" w:color="auto" w:fill="auto"/>
            <w:noWrap/>
            <w:vAlign w:val="center"/>
            <w:hideMark/>
          </w:tcPr>
          <w:p w14:paraId="67ACDD3D" w14:textId="40EF12BE"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5</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Irrevocable de Administración y Fuente de Pago Número (Santander)</w:t>
            </w:r>
          </w:p>
        </w:tc>
      </w:tr>
      <w:tr w:rsidR="009A3001" w:rsidRPr="005F45A3" w14:paraId="00CE98A9" w14:textId="77777777" w:rsidTr="00295AC0">
        <w:trPr>
          <w:trHeight w:val="300"/>
        </w:trPr>
        <w:tc>
          <w:tcPr>
            <w:tcW w:w="10202" w:type="dxa"/>
            <w:tcBorders>
              <w:top w:val="nil"/>
              <w:left w:val="nil"/>
              <w:bottom w:val="nil"/>
              <w:right w:val="nil"/>
            </w:tcBorders>
            <w:shd w:val="clear" w:color="auto" w:fill="auto"/>
            <w:noWrap/>
            <w:vAlign w:val="center"/>
            <w:hideMark/>
          </w:tcPr>
          <w:p w14:paraId="1F5E5423" w14:textId="026D9DB7" w:rsidR="009A3001" w:rsidRPr="005F45A3" w:rsidRDefault="00760A56" w:rsidP="008830F2">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6</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8830F2" w:rsidRPr="005F45A3">
              <w:rPr>
                <w:rFonts w:asciiTheme="minorHAnsi" w:eastAsia="Times New Roman" w:hAnsiTheme="minorHAnsi" w:cstheme="minorHAnsi"/>
                <w:color w:val="000000"/>
                <w:sz w:val="18"/>
                <w:szCs w:val="18"/>
                <w:lang w:eastAsia="es-MX"/>
              </w:rPr>
              <w:t>Fideicomiso Irrevocable de Administración y Fuente Alterna de Pago No. 3404/2019</w:t>
            </w:r>
          </w:p>
        </w:tc>
      </w:tr>
      <w:tr w:rsidR="009A3001" w:rsidRPr="005F45A3" w14:paraId="2F46CC0E" w14:textId="77777777" w:rsidTr="00295AC0">
        <w:trPr>
          <w:trHeight w:val="300"/>
        </w:trPr>
        <w:tc>
          <w:tcPr>
            <w:tcW w:w="10202" w:type="dxa"/>
            <w:tcBorders>
              <w:top w:val="nil"/>
              <w:left w:val="nil"/>
              <w:bottom w:val="nil"/>
              <w:right w:val="nil"/>
            </w:tcBorders>
            <w:shd w:val="clear" w:color="auto" w:fill="auto"/>
            <w:noWrap/>
            <w:vAlign w:val="center"/>
            <w:hideMark/>
          </w:tcPr>
          <w:p w14:paraId="10C34BFC" w14:textId="657D6EFF"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7</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Público, Sin Estructura, Maestro Irrevocable de Administración y Fuente de Pago F/1231</w:t>
            </w:r>
          </w:p>
        </w:tc>
      </w:tr>
      <w:tr w:rsidR="009A3001" w:rsidRPr="005F45A3" w14:paraId="3BCCBD97" w14:textId="77777777" w:rsidTr="00295AC0">
        <w:trPr>
          <w:trHeight w:val="300"/>
        </w:trPr>
        <w:tc>
          <w:tcPr>
            <w:tcW w:w="10202" w:type="dxa"/>
            <w:tcBorders>
              <w:top w:val="nil"/>
              <w:left w:val="nil"/>
              <w:bottom w:val="nil"/>
              <w:right w:val="nil"/>
            </w:tcBorders>
            <w:shd w:val="clear" w:color="auto" w:fill="auto"/>
            <w:noWrap/>
            <w:vAlign w:val="center"/>
            <w:hideMark/>
          </w:tcPr>
          <w:p w14:paraId="4A0EFB55" w14:textId="77777777" w:rsidR="009A3001" w:rsidRPr="005F45A3" w:rsidRDefault="009A3001" w:rsidP="009A3001">
            <w:pPr>
              <w:spacing w:after="0" w:line="240" w:lineRule="auto"/>
              <w:jc w:val="both"/>
              <w:rPr>
                <w:rFonts w:asciiTheme="minorHAnsi" w:eastAsia="Times New Roman" w:hAnsiTheme="minorHAnsi" w:cstheme="minorHAnsi"/>
                <w:color w:val="000000"/>
                <w:sz w:val="18"/>
                <w:szCs w:val="18"/>
                <w:lang w:eastAsia="es-MX"/>
              </w:rPr>
            </w:pPr>
          </w:p>
        </w:tc>
      </w:tr>
      <w:tr w:rsidR="009A3001" w:rsidRPr="00D93ED6" w14:paraId="57063124" w14:textId="77777777" w:rsidTr="00295AC0">
        <w:trPr>
          <w:trHeight w:val="300"/>
        </w:trPr>
        <w:tc>
          <w:tcPr>
            <w:tcW w:w="10202" w:type="dxa"/>
            <w:tcBorders>
              <w:top w:val="nil"/>
              <w:left w:val="nil"/>
              <w:bottom w:val="nil"/>
              <w:right w:val="nil"/>
            </w:tcBorders>
            <w:shd w:val="clear" w:color="auto" w:fill="auto"/>
            <w:noWrap/>
            <w:vAlign w:val="center"/>
            <w:hideMark/>
          </w:tcPr>
          <w:p w14:paraId="38921396" w14:textId="77777777" w:rsidR="009A3001" w:rsidRPr="00D93ED6" w:rsidRDefault="009A3001" w:rsidP="009A3001">
            <w:pPr>
              <w:spacing w:after="0" w:line="240" w:lineRule="auto"/>
              <w:jc w:val="both"/>
              <w:rPr>
                <w:rFonts w:asciiTheme="minorHAnsi" w:eastAsia="Times New Roman" w:hAnsiTheme="minorHAnsi" w:cstheme="minorHAnsi"/>
                <w:b/>
                <w:bCs/>
                <w:color w:val="000000"/>
                <w:sz w:val="20"/>
                <w:szCs w:val="18"/>
                <w:lang w:eastAsia="es-MX"/>
              </w:rPr>
            </w:pPr>
            <w:r w:rsidRPr="00D93ED6">
              <w:rPr>
                <w:rFonts w:asciiTheme="minorHAnsi" w:eastAsia="Times New Roman" w:hAnsiTheme="minorHAnsi" w:cstheme="minorHAnsi"/>
                <w:b/>
                <w:bCs/>
                <w:color w:val="000000"/>
                <w:sz w:val="20"/>
                <w:szCs w:val="18"/>
                <w:lang w:val="es-ES" w:eastAsia="es-MX"/>
              </w:rPr>
              <w:t>SECRETARÍA DE DESARROLLO ECONÓMICO</w:t>
            </w:r>
          </w:p>
        </w:tc>
      </w:tr>
      <w:tr w:rsidR="009A3001" w:rsidRPr="005F45A3" w14:paraId="1B89A27C" w14:textId="77777777" w:rsidTr="00295AC0">
        <w:trPr>
          <w:trHeight w:val="300"/>
        </w:trPr>
        <w:tc>
          <w:tcPr>
            <w:tcW w:w="10202" w:type="dxa"/>
            <w:tcBorders>
              <w:top w:val="nil"/>
              <w:left w:val="nil"/>
              <w:bottom w:val="nil"/>
              <w:right w:val="nil"/>
            </w:tcBorders>
            <w:shd w:val="clear" w:color="auto" w:fill="auto"/>
            <w:noWrap/>
            <w:vAlign w:val="center"/>
            <w:hideMark/>
          </w:tcPr>
          <w:p w14:paraId="23980F24" w14:textId="7BC63687" w:rsidR="009A3001" w:rsidRPr="005F45A3" w:rsidRDefault="00760A56" w:rsidP="00254643">
            <w:pPr>
              <w:spacing w:after="0" w:line="240" w:lineRule="auto"/>
              <w:ind w:left="217" w:hanging="217"/>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8</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25464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Fondo de Garantía y Fomento a la Microindustria del Estado de Tamaulipas (Fomicro)</w:t>
            </w:r>
          </w:p>
        </w:tc>
      </w:tr>
      <w:tr w:rsidR="009A3001" w:rsidRPr="005F45A3" w14:paraId="35F787E9" w14:textId="77777777" w:rsidTr="00295AC0">
        <w:trPr>
          <w:trHeight w:val="300"/>
        </w:trPr>
        <w:tc>
          <w:tcPr>
            <w:tcW w:w="10202" w:type="dxa"/>
            <w:tcBorders>
              <w:top w:val="nil"/>
              <w:left w:val="nil"/>
              <w:bottom w:val="nil"/>
              <w:right w:val="nil"/>
            </w:tcBorders>
            <w:shd w:val="clear" w:color="auto" w:fill="auto"/>
            <w:noWrap/>
            <w:vAlign w:val="center"/>
            <w:hideMark/>
          </w:tcPr>
          <w:p w14:paraId="0A2B30B0" w14:textId="4F51DC41"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9</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25464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Nuevo Santander</w:t>
            </w:r>
          </w:p>
        </w:tc>
      </w:tr>
      <w:tr w:rsidR="009A3001" w:rsidRPr="005F45A3" w14:paraId="67C6CE8A" w14:textId="77777777" w:rsidTr="00295AC0">
        <w:trPr>
          <w:trHeight w:val="300"/>
        </w:trPr>
        <w:tc>
          <w:tcPr>
            <w:tcW w:w="10202" w:type="dxa"/>
            <w:tcBorders>
              <w:top w:val="nil"/>
              <w:left w:val="nil"/>
              <w:bottom w:val="nil"/>
              <w:right w:val="nil"/>
            </w:tcBorders>
            <w:shd w:val="clear" w:color="auto" w:fill="auto"/>
            <w:noWrap/>
            <w:vAlign w:val="center"/>
            <w:hideMark/>
          </w:tcPr>
          <w:p w14:paraId="7425C36B" w14:textId="56B6728B"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10</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Desarrollo Urbano Lucio Blanco *</w:t>
            </w:r>
          </w:p>
        </w:tc>
      </w:tr>
      <w:tr w:rsidR="009A3001" w:rsidRPr="005F45A3" w14:paraId="653B983F" w14:textId="77777777" w:rsidTr="00295AC0">
        <w:trPr>
          <w:trHeight w:val="300"/>
        </w:trPr>
        <w:tc>
          <w:tcPr>
            <w:tcW w:w="10202" w:type="dxa"/>
            <w:tcBorders>
              <w:top w:val="nil"/>
              <w:left w:val="nil"/>
              <w:bottom w:val="nil"/>
              <w:right w:val="nil"/>
            </w:tcBorders>
            <w:shd w:val="clear" w:color="auto" w:fill="auto"/>
            <w:noWrap/>
            <w:vAlign w:val="center"/>
            <w:hideMark/>
          </w:tcPr>
          <w:p w14:paraId="50EE68E9" w14:textId="4ADB7531"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11</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para el Desarrollo Comercial Ignacio Zaragoza *</w:t>
            </w:r>
          </w:p>
        </w:tc>
      </w:tr>
      <w:tr w:rsidR="009A3001" w:rsidRPr="005F45A3" w14:paraId="26005712" w14:textId="77777777" w:rsidTr="00295AC0">
        <w:trPr>
          <w:trHeight w:val="300"/>
        </w:trPr>
        <w:tc>
          <w:tcPr>
            <w:tcW w:w="10202" w:type="dxa"/>
            <w:tcBorders>
              <w:top w:val="nil"/>
              <w:left w:val="nil"/>
              <w:bottom w:val="nil"/>
              <w:right w:val="nil"/>
            </w:tcBorders>
            <w:shd w:val="clear" w:color="auto" w:fill="auto"/>
            <w:noWrap/>
            <w:vAlign w:val="center"/>
            <w:hideMark/>
          </w:tcPr>
          <w:p w14:paraId="3A4C8E6A" w14:textId="77777777" w:rsidR="009A3001" w:rsidRPr="005F45A3" w:rsidRDefault="009A3001" w:rsidP="009A3001">
            <w:pPr>
              <w:spacing w:after="0" w:line="240" w:lineRule="auto"/>
              <w:jc w:val="both"/>
              <w:rPr>
                <w:rFonts w:asciiTheme="minorHAnsi" w:eastAsia="Times New Roman" w:hAnsiTheme="minorHAnsi" w:cstheme="minorHAnsi"/>
                <w:color w:val="000000"/>
                <w:sz w:val="18"/>
                <w:szCs w:val="18"/>
                <w:lang w:eastAsia="es-MX"/>
              </w:rPr>
            </w:pPr>
          </w:p>
        </w:tc>
      </w:tr>
      <w:tr w:rsidR="009A3001" w:rsidRPr="00D93ED6" w14:paraId="399BF8DD" w14:textId="77777777" w:rsidTr="00295AC0">
        <w:trPr>
          <w:trHeight w:val="300"/>
        </w:trPr>
        <w:tc>
          <w:tcPr>
            <w:tcW w:w="10202" w:type="dxa"/>
            <w:tcBorders>
              <w:top w:val="nil"/>
              <w:left w:val="nil"/>
              <w:bottom w:val="nil"/>
              <w:right w:val="nil"/>
            </w:tcBorders>
            <w:shd w:val="clear" w:color="auto" w:fill="auto"/>
            <w:noWrap/>
            <w:vAlign w:val="center"/>
            <w:hideMark/>
          </w:tcPr>
          <w:p w14:paraId="761909DA" w14:textId="77777777" w:rsidR="009A3001" w:rsidRPr="00D93ED6" w:rsidRDefault="009A3001" w:rsidP="009A3001">
            <w:pPr>
              <w:spacing w:after="0" w:line="240" w:lineRule="auto"/>
              <w:jc w:val="both"/>
              <w:rPr>
                <w:rFonts w:asciiTheme="minorHAnsi" w:eastAsia="Times New Roman" w:hAnsiTheme="minorHAnsi" w:cstheme="minorHAnsi"/>
                <w:b/>
                <w:bCs/>
                <w:color w:val="000000"/>
                <w:sz w:val="20"/>
                <w:szCs w:val="18"/>
                <w:lang w:eastAsia="es-MX"/>
              </w:rPr>
            </w:pPr>
            <w:r w:rsidRPr="00D93ED6">
              <w:rPr>
                <w:rFonts w:asciiTheme="minorHAnsi" w:eastAsia="Times New Roman" w:hAnsiTheme="minorHAnsi" w:cstheme="minorHAnsi"/>
                <w:b/>
                <w:bCs/>
                <w:color w:val="000000"/>
                <w:sz w:val="20"/>
                <w:szCs w:val="18"/>
                <w:lang w:eastAsia="es-MX"/>
              </w:rPr>
              <w:t>SECRETARÍA DE TURISMO</w:t>
            </w:r>
          </w:p>
        </w:tc>
      </w:tr>
      <w:tr w:rsidR="009A3001" w:rsidRPr="005F45A3" w14:paraId="38EE589B" w14:textId="77777777" w:rsidTr="00295AC0">
        <w:trPr>
          <w:trHeight w:val="300"/>
        </w:trPr>
        <w:tc>
          <w:tcPr>
            <w:tcW w:w="10202" w:type="dxa"/>
            <w:tcBorders>
              <w:top w:val="nil"/>
              <w:left w:val="nil"/>
              <w:bottom w:val="nil"/>
              <w:right w:val="nil"/>
            </w:tcBorders>
            <w:shd w:val="clear" w:color="auto" w:fill="auto"/>
            <w:noWrap/>
            <w:vAlign w:val="center"/>
            <w:hideMark/>
          </w:tcPr>
          <w:p w14:paraId="2FA71C1D" w14:textId="06A7D84E" w:rsidR="009A3001" w:rsidRPr="005F45A3" w:rsidRDefault="00760A56" w:rsidP="009A3001">
            <w:pPr>
              <w:spacing w:after="0" w:line="240" w:lineRule="auto"/>
              <w:jc w:val="both"/>
              <w:rPr>
                <w:rFonts w:asciiTheme="minorHAnsi" w:eastAsia="Times New Roman" w:hAnsiTheme="minorHAnsi" w:cstheme="minorHAnsi"/>
                <w:b/>
                <w:bCs/>
                <w:color w:val="000000"/>
                <w:sz w:val="18"/>
                <w:szCs w:val="18"/>
                <w:lang w:eastAsia="es-MX"/>
              </w:rPr>
            </w:pPr>
            <w:r w:rsidRPr="00597EEB">
              <w:rPr>
                <w:rFonts w:asciiTheme="minorHAnsi" w:eastAsia="Times New Roman" w:hAnsiTheme="minorHAnsi" w:cstheme="minorHAnsi"/>
                <w:bCs/>
                <w:color w:val="000000"/>
                <w:sz w:val="18"/>
                <w:szCs w:val="18"/>
                <w:lang w:eastAsia="es-MX"/>
              </w:rPr>
              <w:t>12</w:t>
            </w:r>
            <w:r w:rsidR="009A3001" w:rsidRPr="00597EEB">
              <w:rPr>
                <w:rFonts w:asciiTheme="minorHAnsi" w:eastAsia="Times New Roman" w:hAnsiTheme="minorHAnsi" w:cstheme="minorHAnsi"/>
                <w:bCs/>
                <w:color w:val="000000"/>
                <w:sz w:val="18"/>
                <w:szCs w:val="18"/>
                <w:lang w:eastAsia="es-MX"/>
              </w:rPr>
              <w:t>.</w:t>
            </w:r>
            <w:r w:rsidR="009A3001" w:rsidRPr="005F45A3">
              <w:rPr>
                <w:rFonts w:asciiTheme="minorHAnsi" w:eastAsia="Times New Roman" w:hAnsiTheme="minorHAnsi" w:cstheme="minorHAnsi"/>
                <w:b/>
                <w:bCs/>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de Administración e Inversión del Impuesto por Servicios de Hospedaje del Estado de Tamaulipas</w:t>
            </w:r>
          </w:p>
        </w:tc>
      </w:tr>
      <w:tr w:rsidR="009A3001" w:rsidRPr="005F45A3" w14:paraId="231BACAB" w14:textId="77777777" w:rsidTr="00295AC0">
        <w:trPr>
          <w:trHeight w:val="300"/>
        </w:trPr>
        <w:tc>
          <w:tcPr>
            <w:tcW w:w="10202" w:type="dxa"/>
            <w:tcBorders>
              <w:top w:val="nil"/>
              <w:left w:val="nil"/>
              <w:bottom w:val="nil"/>
              <w:right w:val="nil"/>
            </w:tcBorders>
            <w:shd w:val="clear" w:color="auto" w:fill="auto"/>
            <w:noWrap/>
            <w:vAlign w:val="center"/>
            <w:hideMark/>
          </w:tcPr>
          <w:p w14:paraId="2ACA0482" w14:textId="572C14C1" w:rsidR="009A3001" w:rsidRPr="005F45A3" w:rsidRDefault="009A3001" w:rsidP="009A3001">
            <w:pPr>
              <w:spacing w:after="0" w:line="240" w:lineRule="auto"/>
              <w:jc w:val="both"/>
              <w:rPr>
                <w:rFonts w:asciiTheme="minorHAnsi" w:eastAsia="Times New Roman" w:hAnsiTheme="minorHAnsi" w:cstheme="minorHAnsi"/>
                <w:color w:val="000000"/>
                <w:sz w:val="18"/>
                <w:szCs w:val="18"/>
                <w:lang w:eastAsia="es-MX"/>
              </w:rPr>
            </w:pPr>
          </w:p>
        </w:tc>
      </w:tr>
      <w:tr w:rsidR="009A3001" w:rsidRPr="00D93ED6" w14:paraId="6A703378" w14:textId="77777777" w:rsidTr="00295AC0">
        <w:trPr>
          <w:trHeight w:val="300"/>
        </w:trPr>
        <w:tc>
          <w:tcPr>
            <w:tcW w:w="10202" w:type="dxa"/>
            <w:tcBorders>
              <w:top w:val="nil"/>
              <w:left w:val="nil"/>
              <w:bottom w:val="nil"/>
              <w:right w:val="nil"/>
            </w:tcBorders>
            <w:shd w:val="clear" w:color="auto" w:fill="auto"/>
            <w:noWrap/>
            <w:vAlign w:val="center"/>
            <w:hideMark/>
          </w:tcPr>
          <w:p w14:paraId="5DD5B43B" w14:textId="77777777" w:rsidR="009A3001" w:rsidRPr="00D93ED6" w:rsidRDefault="009A3001" w:rsidP="009A3001">
            <w:pPr>
              <w:spacing w:after="0" w:line="240" w:lineRule="auto"/>
              <w:jc w:val="both"/>
              <w:rPr>
                <w:rFonts w:asciiTheme="minorHAnsi" w:eastAsia="Times New Roman" w:hAnsiTheme="minorHAnsi" w:cstheme="minorHAnsi"/>
                <w:b/>
                <w:bCs/>
                <w:color w:val="000000"/>
                <w:sz w:val="20"/>
                <w:szCs w:val="18"/>
                <w:lang w:eastAsia="es-MX"/>
              </w:rPr>
            </w:pPr>
            <w:r w:rsidRPr="00D93ED6">
              <w:rPr>
                <w:rFonts w:asciiTheme="minorHAnsi" w:eastAsia="Times New Roman" w:hAnsiTheme="minorHAnsi" w:cstheme="minorHAnsi"/>
                <w:b/>
                <w:bCs/>
                <w:color w:val="000000"/>
                <w:sz w:val="20"/>
                <w:szCs w:val="18"/>
                <w:lang w:eastAsia="es-MX"/>
              </w:rPr>
              <w:t>SECRETARÍA DE DESARROLLO RURAL</w:t>
            </w:r>
          </w:p>
        </w:tc>
      </w:tr>
      <w:tr w:rsidR="009A3001" w:rsidRPr="005F45A3" w14:paraId="7F546CFB" w14:textId="77777777" w:rsidTr="00295AC0">
        <w:trPr>
          <w:trHeight w:val="300"/>
        </w:trPr>
        <w:tc>
          <w:tcPr>
            <w:tcW w:w="10202" w:type="dxa"/>
            <w:tcBorders>
              <w:top w:val="nil"/>
              <w:left w:val="nil"/>
              <w:bottom w:val="nil"/>
              <w:right w:val="nil"/>
            </w:tcBorders>
            <w:shd w:val="clear" w:color="auto" w:fill="auto"/>
            <w:noWrap/>
            <w:vAlign w:val="center"/>
            <w:hideMark/>
          </w:tcPr>
          <w:p w14:paraId="6D736772" w14:textId="60E5EA9C"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13</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Fondo de Fomento Agropecuario del Estado de Tamaulipas (Fofaet)</w:t>
            </w:r>
          </w:p>
        </w:tc>
      </w:tr>
      <w:tr w:rsidR="009A3001" w:rsidRPr="005F45A3" w14:paraId="61F6AF85" w14:textId="77777777" w:rsidTr="00295AC0">
        <w:trPr>
          <w:trHeight w:val="300"/>
        </w:trPr>
        <w:tc>
          <w:tcPr>
            <w:tcW w:w="10202" w:type="dxa"/>
            <w:tcBorders>
              <w:top w:val="nil"/>
              <w:left w:val="nil"/>
              <w:bottom w:val="nil"/>
              <w:right w:val="nil"/>
            </w:tcBorders>
            <w:shd w:val="clear" w:color="auto" w:fill="auto"/>
            <w:noWrap/>
            <w:vAlign w:val="center"/>
            <w:hideMark/>
          </w:tcPr>
          <w:p w14:paraId="64E5E107" w14:textId="40883B20"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14</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de Garantía Líquida Solidaria del Estado de Tamaulipas (Fidegat)</w:t>
            </w:r>
          </w:p>
        </w:tc>
      </w:tr>
      <w:tr w:rsidR="009A3001" w:rsidRPr="005F45A3" w14:paraId="6FC7311B" w14:textId="77777777" w:rsidTr="00295AC0">
        <w:trPr>
          <w:trHeight w:val="300"/>
        </w:trPr>
        <w:tc>
          <w:tcPr>
            <w:tcW w:w="10202" w:type="dxa"/>
            <w:tcBorders>
              <w:top w:val="nil"/>
              <w:left w:val="nil"/>
              <w:bottom w:val="nil"/>
              <w:right w:val="nil"/>
            </w:tcBorders>
            <w:shd w:val="clear" w:color="auto" w:fill="auto"/>
            <w:noWrap/>
            <w:vAlign w:val="center"/>
            <w:hideMark/>
          </w:tcPr>
          <w:p w14:paraId="4FB86352" w14:textId="4FFB8863"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15</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para el Desarrollo Forestal Sustentable del Estado de Tamaulipas (Fidefoset)</w:t>
            </w:r>
          </w:p>
        </w:tc>
      </w:tr>
      <w:tr w:rsidR="009A3001" w:rsidRPr="005F45A3" w14:paraId="557469A2" w14:textId="77777777" w:rsidTr="00295AC0">
        <w:trPr>
          <w:trHeight w:val="300"/>
        </w:trPr>
        <w:tc>
          <w:tcPr>
            <w:tcW w:w="10202" w:type="dxa"/>
            <w:tcBorders>
              <w:top w:val="nil"/>
              <w:left w:val="nil"/>
              <w:bottom w:val="nil"/>
              <w:right w:val="nil"/>
            </w:tcBorders>
            <w:shd w:val="clear" w:color="auto" w:fill="auto"/>
            <w:noWrap/>
            <w:vAlign w:val="center"/>
            <w:hideMark/>
          </w:tcPr>
          <w:p w14:paraId="47B3BD5D" w14:textId="0ADD2BB2"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16</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Tamaulipas para Cobertura de Precios y Agricultura por Contrato (Fitam)</w:t>
            </w:r>
          </w:p>
        </w:tc>
      </w:tr>
      <w:tr w:rsidR="009A3001" w:rsidRPr="005F45A3" w14:paraId="5B41099E" w14:textId="77777777" w:rsidTr="00295AC0">
        <w:trPr>
          <w:trHeight w:val="300"/>
        </w:trPr>
        <w:tc>
          <w:tcPr>
            <w:tcW w:w="10202" w:type="dxa"/>
            <w:tcBorders>
              <w:top w:val="nil"/>
              <w:left w:val="nil"/>
              <w:bottom w:val="nil"/>
              <w:right w:val="nil"/>
            </w:tcBorders>
            <w:shd w:val="clear" w:color="auto" w:fill="auto"/>
            <w:noWrap/>
            <w:vAlign w:val="center"/>
            <w:hideMark/>
          </w:tcPr>
          <w:p w14:paraId="6E054550" w14:textId="3941B481"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17</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Fondo de Garantía Agropecuaria del Estado de Tamaulipas (Fogagro)</w:t>
            </w:r>
          </w:p>
        </w:tc>
      </w:tr>
      <w:tr w:rsidR="004056BA" w:rsidRPr="005F45A3" w14:paraId="1433046A" w14:textId="77777777" w:rsidTr="00295AC0">
        <w:trPr>
          <w:trHeight w:val="300"/>
        </w:trPr>
        <w:tc>
          <w:tcPr>
            <w:tcW w:w="10202" w:type="dxa"/>
            <w:tcBorders>
              <w:top w:val="nil"/>
              <w:left w:val="nil"/>
              <w:bottom w:val="nil"/>
              <w:right w:val="nil"/>
            </w:tcBorders>
            <w:shd w:val="clear" w:color="auto" w:fill="auto"/>
            <w:noWrap/>
            <w:vAlign w:val="center"/>
          </w:tcPr>
          <w:p w14:paraId="56DA6A76" w14:textId="77777777" w:rsidR="004056BA" w:rsidRDefault="004056BA" w:rsidP="009A3001">
            <w:pPr>
              <w:spacing w:after="0" w:line="240" w:lineRule="auto"/>
              <w:jc w:val="both"/>
              <w:rPr>
                <w:rFonts w:asciiTheme="minorHAnsi" w:eastAsia="Times New Roman" w:hAnsiTheme="minorHAnsi" w:cstheme="minorHAnsi"/>
                <w:color w:val="000000"/>
                <w:sz w:val="18"/>
                <w:szCs w:val="18"/>
                <w:lang w:eastAsia="es-MX"/>
              </w:rPr>
            </w:pPr>
          </w:p>
        </w:tc>
      </w:tr>
      <w:tr w:rsidR="009A3001" w:rsidRPr="00D93ED6" w14:paraId="0006778B" w14:textId="77777777" w:rsidTr="00295AC0">
        <w:trPr>
          <w:trHeight w:val="300"/>
        </w:trPr>
        <w:tc>
          <w:tcPr>
            <w:tcW w:w="10202" w:type="dxa"/>
            <w:tcBorders>
              <w:top w:val="nil"/>
              <w:left w:val="nil"/>
              <w:bottom w:val="nil"/>
              <w:right w:val="nil"/>
            </w:tcBorders>
            <w:shd w:val="clear" w:color="auto" w:fill="auto"/>
            <w:noWrap/>
            <w:vAlign w:val="center"/>
            <w:hideMark/>
          </w:tcPr>
          <w:p w14:paraId="056EA040" w14:textId="77777777" w:rsidR="009A3001" w:rsidRPr="00D93ED6" w:rsidRDefault="009A3001" w:rsidP="009A3001">
            <w:pPr>
              <w:spacing w:after="0" w:line="240" w:lineRule="auto"/>
              <w:jc w:val="both"/>
              <w:rPr>
                <w:rFonts w:asciiTheme="minorHAnsi" w:eastAsia="Times New Roman" w:hAnsiTheme="minorHAnsi" w:cstheme="minorHAnsi"/>
                <w:b/>
                <w:bCs/>
                <w:color w:val="000000"/>
                <w:sz w:val="20"/>
                <w:szCs w:val="18"/>
                <w:lang w:eastAsia="es-MX"/>
              </w:rPr>
            </w:pPr>
            <w:r w:rsidRPr="00D93ED6">
              <w:rPr>
                <w:rFonts w:asciiTheme="minorHAnsi" w:eastAsia="Times New Roman" w:hAnsiTheme="minorHAnsi" w:cstheme="minorHAnsi"/>
                <w:b/>
                <w:bCs/>
                <w:color w:val="000000"/>
                <w:sz w:val="20"/>
                <w:szCs w:val="18"/>
                <w:lang w:eastAsia="es-MX"/>
              </w:rPr>
              <w:t>SECRETARÍA DE EDUCACIÓN</w:t>
            </w:r>
          </w:p>
        </w:tc>
      </w:tr>
      <w:tr w:rsidR="009A3001" w:rsidRPr="005F45A3" w14:paraId="03786639" w14:textId="77777777" w:rsidTr="00295AC0">
        <w:trPr>
          <w:trHeight w:val="300"/>
        </w:trPr>
        <w:tc>
          <w:tcPr>
            <w:tcW w:w="10202" w:type="dxa"/>
            <w:tcBorders>
              <w:top w:val="nil"/>
              <w:left w:val="nil"/>
              <w:bottom w:val="nil"/>
              <w:right w:val="nil"/>
            </w:tcBorders>
            <w:shd w:val="clear" w:color="auto" w:fill="auto"/>
            <w:noWrap/>
            <w:vAlign w:val="center"/>
            <w:hideMark/>
          </w:tcPr>
          <w:p w14:paraId="1324BD21" w14:textId="7F7191B2"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18</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del Instituto Tamaulipeco de Becas, Estímulos y Créditos Educativos (Fitabec)</w:t>
            </w:r>
          </w:p>
        </w:tc>
      </w:tr>
      <w:tr w:rsidR="009A3001" w:rsidRPr="005F45A3" w14:paraId="3DBC4FCF" w14:textId="77777777" w:rsidTr="00295AC0">
        <w:trPr>
          <w:trHeight w:val="300"/>
        </w:trPr>
        <w:tc>
          <w:tcPr>
            <w:tcW w:w="10202" w:type="dxa"/>
            <w:tcBorders>
              <w:top w:val="nil"/>
              <w:left w:val="nil"/>
              <w:bottom w:val="nil"/>
              <w:right w:val="nil"/>
            </w:tcBorders>
            <w:shd w:val="clear" w:color="auto" w:fill="auto"/>
            <w:noWrap/>
            <w:vAlign w:val="center"/>
            <w:hideMark/>
          </w:tcPr>
          <w:p w14:paraId="3C08EEC2" w14:textId="7476DE76"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19</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de Apoyo de Tecnologías Educativas y de la Información para el Personal al Servicio de la Educación.</w:t>
            </w:r>
          </w:p>
        </w:tc>
      </w:tr>
      <w:tr w:rsidR="009A3001" w:rsidRPr="005F45A3" w14:paraId="6CD2607A" w14:textId="77777777" w:rsidTr="00295AC0">
        <w:trPr>
          <w:trHeight w:val="300"/>
        </w:trPr>
        <w:tc>
          <w:tcPr>
            <w:tcW w:w="10202" w:type="dxa"/>
            <w:tcBorders>
              <w:top w:val="nil"/>
              <w:left w:val="nil"/>
              <w:bottom w:val="nil"/>
              <w:right w:val="nil"/>
            </w:tcBorders>
            <w:shd w:val="clear" w:color="auto" w:fill="auto"/>
            <w:noWrap/>
            <w:vAlign w:val="center"/>
            <w:hideMark/>
          </w:tcPr>
          <w:p w14:paraId="7C4E8F0A" w14:textId="551F2B41"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20</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para el Programa Especial de Financiamiento a la Vivienda para el Magisterio del Estado de Tamaulipas (Fovimat) *</w:t>
            </w:r>
          </w:p>
        </w:tc>
      </w:tr>
      <w:tr w:rsidR="009A3001" w:rsidRPr="005F45A3" w14:paraId="78251D7F" w14:textId="77777777" w:rsidTr="00295AC0">
        <w:trPr>
          <w:trHeight w:val="300"/>
        </w:trPr>
        <w:tc>
          <w:tcPr>
            <w:tcW w:w="10202" w:type="dxa"/>
            <w:tcBorders>
              <w:top w:val="nil"/>
              <w:left w:val="nil"/>
              <w:bottom w:val="nil"/>
              <w:right w:val="nil"/>
            </w:tcBorders>
            <w:shd w:val="clear" w:color="auto" w:fill="auto"/>
            <w:noWrap/>
            <w:vAlign w:val="center"/>
            <w:hideMark/>
          </w:tcPr>
          <w:p w14:paraId="5DCC0D3F" w14:textId="38F4FD53"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21</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 xml:space="preserve">Fideicomiso del Centro de Capacitación de Altamira </w:t>
            </w:r>
          </w:p>
        </w:tc>
      </w:tr>
      <w:tr w:rsidR="009A3001" w:rsidRPr="005F45A3" w14:paraId="17091674" w14:textId="77777777" w:rsidTr="00295AC0">
        <w:trPr>
          <w:trHeight w:val="300"/>
        </w:trPr>
        <w:tc>
          <w:tcPr>
            <w:tcW w:w="10202" w:type="dxa"/>
            <w:tcBorders>
              <w:top w:val="nil"/>
              <w:left w:val="nil"/>
              <w:bottom w:val="nil"/>
              <w:right w:val="nil"/>
            </w:tcBorders>
            <w:shd w:val="clear" w:color="auto" w:fill="auto"/>
            <w:noWrap/>
            <w:vAlign w:val="center"/>
            <w:hideMark/>
          </w:tcPr>
          <w:p w14:paraId="42E99BC1" w14:textId="77777777" w:rsidR="009A3001" w:rsidRPr="005F45A3" w:rsidRDefault="009A3001" w:rsidP="009A3001">
            <w:pPr>
              <w:spacing w:after="0" w:line="240" w:lineRule="auto"/>
              <w:jc w:val="both"/>
              <w:rPr>
                <w:rFonts w:asciiTheme="minorHAnsi" w:eastAsia="Times New Roman" w:hAnsiTheme="minorHAnsi" w:cstheme="minorHAnsi"/>
                <w:color w:val="000000"/>
                <w:sz w:val="18"/>
                <w:szCs w:val="18"/>
                <w:lang w:eastAsia="es-MX"/>
              </w:rPr>
            </w:pPr>
          </w:p>
        </w:tc>
      </w:tr>
      <w:tr w:rsidR="009A3001" w:rsidRPr="00D93ED6" w14:paraId="23FA6A44" w14:textId="77777777" w:rsidTr="00295AC0">
        <w:trPr>
          <w:trHeight w:val="300"/>
        </w:trPr>
        <w:tc>
          <w:tcPr>
            <w:tcW w:w="10202" w:type="dxa"/>
            <w:tcBorders>
              <w:top w:val="nil"/>
              <w:left w:val="nil"/>
              <w:bottom w:val="nil"/>
              <w:right w:val="nil"/>
            </w:tcBorders>
            <w:shd w:val="clear" w:color="auto" w:fill="auto"/>
            <w:noWrap/>
            <w:vAlign w:val="center"/>
            <w:hideMark/>
          </w:tcPr>
          <w:p w14:paraId="52AF23BA" w14:textId="77777777" w:rsidR="009A3001" w:rsidRPr="00D93ED6" w:rsidRDefault="009A3001" w:rsidP="009A3001">
            <w:pPr>
              <w:spacing w:after="0" w:line="240" w:lineRule="auto"/>
              <w:jc w:val="both"/>
              <w:rPr>
                <w:rFonts w:asciiTheme="minorHAnsi" w:eastAsia="Times New Roman" w:hAnsiTheme="minorHAnsi" w:cstheme="minorHAnsi"/>
                <w:b/>
                <w:bCs/>
                <w:color w:val="000000"/>
                <w:sz w:val="20"/>
                <w:szCs w:val="18"/>
                <w:lang w:eastAsia="es-MX"/>
              </w:rPr>
            </w:pPr>
            <w:r w:rsidRPr="00D93ED6">
              <w:rPr>
                <w:rFonts w:asciiTheme="minorHAnsi" w:eastAsia="Times New Roman" w:hAnsiTheme="minorHAnsi" w:cstheme="minorHAnsi"/>
                <w:b/>
                <w:bCs/>
                <w:color w:val="000000"/>
                <w:sz w:val="20"/>
                <w:szCs w:val="18"/>
                <w:lang w:eastAsia="es-MX"/>
              </w:rPr>
              <w:t>SECRETARÍA DE DESARROLLO URBANO Y MEDIO AMBIENTE</w:t>
            </w:r>
          </w:p>
        </w:tc>
      </w:tr>
      <w:tr w:rsidR="009A3001" w:rsidRPr="005F45A3" w14:paraId="133D6949" w14:textId="77777777" w:rsidTr="00295AC0">
        <w:trPr>
          <w:trHeight w:val="300"/>
        </w:trPr>
        <w:tc>
          <w:tcPr>
            <w:tcW w:w="10202" w:type="dxa"/>
            <w:tcBorders>
              <w:top w:val="nil"/>
              <w:left w:val="nil"/>
              <w:bottom w:val="nil"/>
              <w:right w:val="nil"/>
            </w:tcBorders>
            <w:shd w:val="clear" w:color="auto" w:fill="auto"/>
            <w:noWrap/>
            <w:vAlign w:val="center"/>
            <w:hideMark/>
          </w:tcPr>
          <w:p w14:paraId="58CB886B" w14:textId="0BC409D3"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22</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del Centro Histórico de Tampico (Ficetam)</w:t>
            </w:r>
          </w:p>
        </w:tc>
      </w:tr>
      <w:tr w:rsidR="009A3001" w:rsidRPr="005F45A3" w14:paraId="5084C5D5" w14:textId="77777777" w:rsidTr="00295AC0">
        <w:trPr>
          <w:trHeight w:val="300"/>
        </w:trPr>
        <w:tc>
          <w:tcPr>
            <w:tcW w:w="10202" w:type="dxa"/>
            <w:tcBorders>
              <w:top w:val="nil"/>
              <w:left w:val="nil"/>
              <w:bottom w:val="nil"/>
              <w:right w:val="nil"/>
            </w:tcBorders>
            <w:shd w:val="clear" w:color="auto" w:fill="auto"/>
            <w:noWrap/>
            <w:vAlign w:val="center"/>
            <w:hideMark/>
          </w:tcPr>
          <w:p w14:paraId="3A861100" w14:textId="40994680" w:rsidR="00D15E87"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23</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del Centro Urbano Turístic</w:t>
            </w:r>
            <w:r w:rsidR="00383528">
              <w:rPr>
                <w:rFonts w:asciiTheme="minorHAnsi" w:eastAsia="Times New Roman" w:hAnsiTheme="minorHAnsi" w:cstheme="minorHAnsi"/>
                <w:color w:val="000000"/>
                <w:sz w:val="18"/>
                <w:szCs w:val="18"/>
                <w:lang w:eastAsia="es-MX"/>
              </w:rPr>
              <w:t>o de Ciudad Madero (Ficutmad) *</w:t>
            </w:r>
          </w:p>
          <w:p w14:paraId="5332694D" w14:textId="1B01DA38" w:rsidR="00383528" w:rsidRDefault="00383528"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24.  Fideicomiso Fondo de Cambio Climático para el Estado de Tamaulipas</w:t>
            </w:r>
          </w:p>
          <w:p w14:paraId="765FB3E1" w14:textId="66508834" w:rsidR="00295AC0" w:rsidRPr="005F45A3" w:rsidRDefault="00295AC0" w:rsidP="009A3001">
            <w:pPr>
              <w:spacing w:after="0" w:line="240" w:lineRule="auto"/>
              <w:jc w:val="both"/>
              <w:rPr>
                <w:rFonts w:asciiTheme="minorHAnsi" w:eastAsia="Times New Roman" w:hAnsiTheme="minorHAnsi" w:cstheme="minorHAnsi"/>
                <w:color w:val="000000"/>
                <w:sz w:val="18"/>
                <w:szCs w:val="18"/>
                <w:lang w:eastAsia="es-MX"/>
              </w:rPr>
            </w:pPr>
          </w:p>
        </w:tc>
      </w:tr>
      <w:tr w:rsidR="009A3001" w:rsidRPr="00D93ED6" w14:paraId="5B2652E8" w14:textId="77777777" w:rsidTr="00295AC0">
        <w:trPr>
          <w:trHeight w:val="300"/>
        </w:trPr>
        <w:tc>
          <w:tcPr>
            <w:tcW w:w="10202" w:type="dxa"/>
            <w:tcBorders>
              <w:top w:val="nil"/>
              <w:left w:val="nil"/>
              <w:bottom w:val="nil"/>
              <w:right w:val="nil"/>
            </w:tcBorders>
            <w:shd w:val="clear" w:color="auto" w:fill="auto"/>
            <w:noWrap/>
            <w:vAlign w:val="center"/>
            <w:hideMark/>
          </w:tcPr>
          <w:p w14:paraId="10A66967" w14:textId="77777777" w:rsidR="009A3001" w:rsidRPr="00D93ED6" w:rsidRDefault="009A3001" w:rsidP="009A3001">
            <w:pPr>
              <w:spacing w:after="0" w:line="240" w:lineRule="auto"/>
              <w:jc w:val="both"/>
              <w:rPr>
                <w:rFonts w:asciiTheme="minorHAnsi" w:eastAsia="Times New Roman" w:hAnsiTheme="minorHAnsi" w:cstheme="minorHAnsi"/>
                <w:b/>
                <w:bCs/>
                <w:color w:val="000000"/>
                <w:sz w:val="20"/>
                <w:szCs w:val="18"/>
                <w:lang w:eastAsia="es-MX"/>
              </w:rPr>
            </w:pPr>
            <w:r w:rsidRPr="00D93ED6">
              <w:rPr>
                <w:rFonts w:asciiTheme="minorHAnsi" w:eastAsia="Times New Roman" w:hAnsiTheme="minorHAnsi" w:cstheme="minorHAnsi"/>
                <w:b/>
                <w:bCs/>
                <w:color w:val="000000"/>
                <w:sz w:val="20"/>
                <w:szCs w:val="18"/>
                <w:lang w:eastAsia="es-MX"/>
              </w:rPr>
              <w:t>SECRETARÍA DE OBRAS PÚBLICAS</w:t>
            </w:r>
          </w:p>
        </w:tc>
      </w:tr>
      <w:tr w:rsidR="009A3001" w:rsidRPr="005F45A3" w14:paraId="1940DE9B" w14:textId="77777777" w:rsidTr="00295AC0">
        <w:trPr>
          <w:trHeight w:val="300"/>
        </w:trPr>
        <w:tc>
          <w:tcPr>
            <w:tcW w:w="10202" w:type="dxa"/>
            <w:tcBorders>
              <w:top w:val="nil"/>
              <w:left w:val="nil"/>
              <w:bottom w:val="nil"/>
              <w:right w:val="nil"/>
            </w:tcBorders>
            <w:shd w:val="clear" w:color="auto" w:fill="auto"/>
            <w:noWrap/>
            <w:vAlign w:val="center"/>
            <w:hideMark/>
          </w:tcPr>
          <w:p w14:paraId="68477ADA" w14:textId="4AD3F867" w:rsidR="009A3001" w:rsidRPr="005F45A3" w:rsidRDefault="00383528"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25</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Puente Internacional Río Bravo-Donna</w:t>
            </w:r>
          </w:p>
        </w:tc>
      </w:tr>
      <w:tr w:rsidR="009A3001" w:rsidRPr="005F45A3" w14:paraId="26FDCEE6" w14:textId="77777777" w:rsidTr="00295AC0">
        <w:trPr>
          <w:trHeight w:val="300"/>
        </w:trPr>
        <w:tc>
          <w:tcPr>
            <w:tcW w:w="10202" w:type="dxa"/>
            <w:tcBorders>
              <w:top w:val="nil"/>
              <w:left w:val="nil"/>
              <w:bottom w:val="nil"/>
              <w:right w:val="nil"/>
            </w:tcBorders>
            <w:shd w:val="clear" w:color="auto" w:fill="auto"/>
            <w:noWrap/>
            <w:vAlign w:val="center"/>
            <w:hideMark/>
          </w:tcPr>
          <w:p w14:paraId="68A898E1" w14:textId="6CBEDDE6" w:rsidR="009A3001" w:rsidRPr="005F45A3" w:rsidRDefault="00383528"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26</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Mante-Ocampo-Tula</w:t>
            </w:r>
          </w:p>
        </w:tc>
      </w:tr>
      <w:tr w:rsidR="009A3001" w:rsidRPr="005F45A3" w14:paraId="014CD162" w14:textId="77777777" w:rsidTr="00295AC0">
        <w:trPr>
          <w:trHeight w:val="300"/>
        </w:trPr>
        <w:tc>
          <w:tcPr>
            <w:tcW w:w="10202" w:type="dxa"/>
            <w:tcBorders>
              <w:top w:val="nil"/>
              <w:left w:val="nil"/>
              <w:bottom w:val="nil"/>
              <w:right w:val="nil"/>
            </w:tcBorders>
            <w:shd w:val="clear" w:color="auto" w:fill="auto"/>
            <w:noWrap/>
            <w:vAlign w:val="center"/>
            <w:hideMark/>
          </w:tcPr>
          <w:p w14:paraId="71F71B41" w14:textId="31427066" w:rsidR="009A3001" w:rsidRPr="005F45A3" w:rsidRDefault="00383528"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27</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del Corredor Económico del Norte</w:t>
            </w:r>
          </w:p>
          <w:p w14:paraId="2FDD7451" w14:textId="77777777" w:rsidR="00100166" w:rsidRPr="005F45A3" w:rsidRDefault="00100166" w:rsidP="009A3001">
            <w:pPr>
              <w:spacing w:after="0" w:line="240" w:lineRule="auto"/>
              <w:jc w:val="both"/>
              <w:rPr>
                <w:rFonts w:asciiTheme="minorHAnsi" w:eastAsia="Times New Roman" w:hAnsiTheme="minorHAnsi" w:cstheme="minorHAnsi"/>
                <w:color w:val="000000"/>
                <w:sz w:val="18"/>
                <w:szCs w:val="18"/>
                <w:lang w:eastAsia="es-MX"/>
              </w:rPr>
            </w:pPr>
          </w:p>
          <w:p w14:paraId="69316721" w14:textId="77777777" w:rsidR="00100166" w:rsidRPr="00D93ED6" w:rsidRDefault="00100166" w:rsidP="009A3001">
            <w:pPr>
              <w:spacing w:after="0" w:line="240" w:lineRule="auto"/>
              <w:jc w:val="both"/>
              <w:rPr>
                <w:rFonts w:asciiTheme="minorHAnsi" w:eastAsia="Times New Roman" w:hAnsiTheme="minorHAnsi" w:cstheme="minorHAnsi"/>
                <w:b/>
                <w:bCs/>
                <w:color w:val="000000"/>
                <w:sz w:val="20"/>
                <w:szCs w:val="18"/>
                <w:lang w:eastAsia="es-MX"/>
              </w:rPr>
            </w:pPr>
            <w:r w:rsidRPr="00D93ED6">
              <w:rPr>
                <w:rFonts w:asciiTheme="minorHAnsi" w:eastAsia="Times New Roman" w:hAnsiTheme="minorHAnsi" w:cstheme="minorHAnsi"/>
                <w:b/>
                <w:bCs/>
                <w:color w:val="000000"/>
                <w:sz w:val="20"/>
                <w:szCs w:val="18"/>
                <w:lang w:eastAsia="es-MX"/>
              </w:rPr>
              <w:t>SISTEMA DIF TAMAULIPAS</w:t>
            </w:r>
          </w:p>
          <w:p w14:paraId="0275856C" w14:textId="77777777" w:rsidR="00841211" w:rsidRPr="00597EEB" w:rsidRDefault="00841211" w:rsidP="009A3001">
            <w:pPr>
              <w:spacing w:after="0" w:line="240" w:lineRule="auto"/>
              <w:jc w:val="both"/>
              <w:rPr>
                <w:rFonts w:asciiTheme="minorHAnsi" w:eastAsia="Times New Roman" w:hAnsiTheme="minorHAnsi" w:cstheme="minorHAnsi"/>
                <w:b/>
                <w:bCs/>
                <w:color w:val="000000"/>
                <w:sz w:val="14"/>
                <w:szCs w:val="18"/>
                <w:lang w:eastAsia="es-MX"/>
              </w:rPr>
            </w:pPr>
          </w:p>
          <w:p w14:paraId="287E50D4" w14:textId="38DB2EDB" w:rsidR="00841211" w:rsidRDefault="00760A56" w:rsidP="00841211">
            <w:pPr>
              <w:spacing w:after="0" w:line="240" w:lineRule="auto"/>
              <w:jc w:val="both"/>
              <w:rPr>
                <w:rFonts w:asciiTheme="minorHAnsi" w:hAnsiTheme="minorHAnsi" w:cstheme="minorHAnsi"/>
                <w:sz w:val="18"/>
                <w:szCs w:val="18"/>
              </w:rPr>
            </w:pPr>
            <w:r>
              <w:rPr>
                <w:rFonts w:asciiTheme="minorHAnsi" w:eastAsia="Times New Roman" w:hAnsiTheme="minorHAnsi" w:cstheme="minorHAnsi"/>
                <w:color w:val="000000"/>
                <w:sz w:val="18"/>
                <w:szCs w:val="18"/>
                <w:lang w:eastAsia="es-MX"/>
              </w:rPr>
              <w:t>2</w:t>
            </w:r>
            <w:r w:rsidR="00383528">
              <w:rPr>
                <w:rFonts w:asciiTheme="minorHAnsi" w:eastAsia="Times New Roman" w:hAnsiTheme="minorHAnsi" w:cstheme="minorHAnsi"/>
                <w:color w:val="000000"/>
                <w:sz w:val="18"/>
                <w:szCs w:val="18"/>
                <w:lang w:eastAsia="es-MX"/>
              </w:rPr>
              <w:t>8</w:t>
            </w:r>
            <w:r w:rsidR="00841211" w:rsidRPr="005F45A3">
              <w:rPr>
                <w:rFonts w:asciiTheme="minorHAnsi" w:eastAsia="Times New Roman" w:hAnsiTheme="minorHAnsi" w:cstheme="minorHAnsi"/>
                <w:color w:val="000000"/>
                <w:sz w:val="18"/>
                <w:szCs w:val="18"/>
                <w:lang w:eastAsia="es-MX"/>
              </w:rPr>
              <w:t>.</w:t>
            </w:r>
            <w:r w:rsidR="00295AC0">
              <w:rPr>
                <w:rFonts w:asciiTheme="minorHAnsi" w:eastAsia="Times New Roman" w:hAnsiTheme="minorHAnsi" w:cstheme="minorHAnsi"/>
                <w:color w:val="000000"/>
                <w:sz w:val="18"/>
                <w:szCs w:val="18"/>
                <w:lang w:eastAsia="es-MX"/>
              </w:rPr>
              <w:t xml:space="preserve">  </w:t>
            </w:r>
            <w:r w:rsidR="00841211" w:rsidRPr="005F45A3">
              <w:rPr>
                <w:rFonts w:asciiTheme="minorHAnsi" w:eastAsia="Times New Roman" w:hAnsiTheme="minorHAnsi" w:cstheme="minorHAnsi"/>
                <w:color w:val="000000"/>
                <w:sz w:val="18"/>
                <w:szCs w:val="18"/>
                <w:lang w:eastAsia="es-MX"/>
              </w:rPr>
              <w:t>Fideicomiso de</w:t>
            </w:r>
            <w:r w:rsidR="00841211" w:rsidRPr="005F45A3">
              <w:rPr>
                <w:rFonts w:asciiTheme="minorHAnsi" w:hAnsiTheme="minorHAnsi" w:cstheme="minorHAnsi"/>
                <w:sz w:val="18"/>
                <w:szCs w:val="18"/>
              </w:rPr>
              <w:t xml:space="preserve"> Administración e Inversión para el Desarrollo del Programa “Nuestros Niños, Nuestro Futuro”</w:t>
            </w:r>
            <w:r w:rsidR="009325D7">
              <w:rPr>
                <w:rFonts w:asciiTheme="minorHAnsi" w:hAnsiTheme="minorHAnsi" w:cstheme="minorHAnsi"/>
                <w:sz w:val="18"/>
                <w:szCs w:val="18"/>
              </w:rPr>
              <w:t>.</w:t>
            </w:r>
            <w:r w:rsidR="00841211" w:rsidRPr="005F45A3">
              <w:rPr>
                <w:rFonts w:asciiTheme="minorHAnsi" w:hAnsiTheme="minorHAnsi" w:cstheme="minorHAnsi"/>
                <w:sz w:val="18"/>
                <w:szCs w:val="18"/>
              </w:rPr>
              <w:t xml:space="preserve"> </w:t>
            </w:r>
          </w:p>
          <w:p w14:paraId="2222E48D" w14:textId="77777777" w:rsidR="00383528" w:rsidRDefault="00383528" w:rsidP="00841211">
            <w:pPr>
              <w:spacing w:after="0" w:line="240" w:lineRule="auto"/>
              <w:jc w:val="both"/>
              <w:rPr>
                <w:rFonts w:asciiTheme="minorHAnsi" w:hAnsiTheme="minorHAnsi" w:cstheme="minorHAnsi"/>
                <w:sz w:val="18"/>
                <w:szCs w:val="18"/>
              </w:rPr>
            </w:pPr>
          </w:p>
          <w:p w14:paraId="4967AF3D" w14:textId="77777777" w:rsidR="00841211" w:rsidRPr="00D93ED6" w:rsidRDefault="00841211" w:rsidP="00D93ED6">
            <w:pPr>
              <w:pStyle w:val="Prrafodelista"/>
              <w:numPr>
                <w:ilvl w:val="0"/>
                <w:numId w:val="12"/>
              </w:numPr>
              <w:spacing w:after="0" w:line="240" w:lineRule="auto"/>
              <w:ind w:left="217" w:firstLine="142"/>
              <w:jc w:val="both"/>
              <w:rPr>
                <w:rFonts w:asciiTheme="minorHAnsi" w:eastAsia="Times New Roman" w:hAnsiTheme="minorHAnsi" w:cstheme="minorHAnsi"/>
                <w:color w:val="000000"/>
                <w:sz w:val="18"/>
                <w:szCs w:val="18"/>
                <w:lang w:eastAsia="es-MX"/>
              </w:rPr>
            </w:pPr>
            <w:r w:rsidRPr="00D93ED6">
              <w:rPr>
                <w:rFonts w:asciiTheme="minorHAnsi" w:hAnsiTheme="minorHAnsi" w:cstheme="minorHAnsi"/>
                <w:sz w:val="18"/>
                <w:szCs w:val="18"/>
              </w:rPr>
              <w:t>Se enlista los de mayor monto de disponibilidad, relacionando aquellos que conforman el 80% de disponibilidades.</w:t>
            </w:r>
          </w:p>
          <w:p w14:paraId="2231EA58" w14:textId="77777777" w:rsidR="00841211" w:rsidRPr="00597EEB" w:rsidRDefault="00841211" w:rsidP="009A3001">
            <w:pPr>
              <w:spacing w:after="0" w:line="240" w:lineRule="auto"/>
              <w:jc w:val="both"/>
              <w:rPr>
                <w:rFonts w:asciiTheme="minorHAnsi" w:eastAsia="Times New Roman" w:hAnsiTheme="minorHAnsi" w:cstheme="minorHAnsi"/>
                <w:b/>
                <w:bCs/>
                <w:color w:val="000000"/>
                <w:sz w:val="14"/>
                <w:szCs w:val="18"/>
                <w:lang w:eastAsia="es-MX"/>
              </w:rPr>
            </w:pPr>
          </w:p>
          <w:p w14:paraId="2D9CF7E9" w14:textId="5D7497BB" w:rsidR="00841211" w:rsidRPr="00597EEB" w:rsidRDefault="00841211" w:rsidP="009A3001">
            <w:pPr>
              <w:spacing w:after="0" w:line="240" w:lineRule="auto"/>
              <w:jc w:val="both"/>
              <w:rPr>
                <w:rFonts w:asciiTheme="minorHAnsi" w:eastAsia="Times New Roman" w:hAnsiTheme="minorHAnsi" w:cstheme="minorHAnsi"/>
                <w:b/>
                <w:bCs/>
                <w:color w:val="000000"/>
                <w:sz w:val="14"/>
                <w:szCs w:val="18"/>
                <w:lang w:eastAsia="es-MX"/>
              </w:rPr>
            </w:pPr>
          </w:p>
          <w:tbl>
            <w:tblPr>
              <w:tblW w:w="6159" w:type="dxa"/>
              <w:tblCellMar>
                <w:left w:w="70" w:type="dxa"/>
                <w:right w:w="70" w:type="dxa"/>
              </w:tblCellMar>
              <w:tblLook w:val="04A0" w:firstRow="1" w:lastRow="0" w:firstColumn="1" w:lastColumn="0" w:noHBand="0" w:noVBand="1"/>
            </w:tblPr>
            <w:tblGrid>
              <w:gridCol w:w="4514"/>
              <w:gridCol w:w="1645"/>
            </w:tblGrid>
            <w:tr w:rsidR="009B3320" w:rsidRPr="009B3320" w14:paraId="2079A8F9" w14:textId="77777777" w:rsidTr="003F2281">
              <w:trPr>
                <w:trHeight w:val="340"/>
              </w:trPr>
              <w:tc>
                <w:tcPr>
                  <w:tcW w:w="4514"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0AECF4EA" w14:textId="77777777" w:rsidR="009B3320" w:rsidRPr="009B3320" w:rsidRDefault="009B3320" w:rsidP="009B3320">
                  <w:pPr>
                    <w:spacing w:after="0" w:line="240" w:lineRule="auto"/>
                    <w:jc w:val="center"/>
                    <w:rPr>
                      <w:rFonts w:eastAsia="Times New Roman" w:cs="Calibri"/>
                      <w:b/>
                      <w:bCs/>
                      <w:color w:val="FFFFFF"/>
                      <w:sz w:val="16"/>
                      <w:szCs w:val="16"/>
                      <w:lang w:eastAsia="es-MX"/>
                    </w:rPr>
                  </w:pPr>
                  <w:r w:rsidRPr="009B3320">
                    <w:rPr>
                      <w:rFonts w:eastAsia="Times New Roman" w:cs="Calibri"/>
                      <w:b/>
                      <w:bCs/>
                      <w:color w:val="FFFFFF"/>
                      <w:sz w:val="16"/>
                      <w:szCs w:val="16"/>
                      <w:lang w:eastAsia="es-MX"/>
                    </w:rPr>
                    <w:t>Fideicomisos</w:t>
                  </w:r>
                </w:p>
              </w:tc>
              <w:tc>
                <w:tcPr>
                  <w:tcW w:w="1645" w:type="dxa"/>
                  <w:tcBorders>
                    <w:top w:val="single" w:sz="4" w:space="0" w:color="auto"/>
                    <w:left w:val="nil"/>
                    <w:bottom w:val="single" w:sz="4" w:space="0" w:color="auto"/>
                    <w:right w:val="single" w:sz="4" w:space="0" w:color="auto"/>
                  </w:tcBorders>
                  <w:shd w:val="clear" w:color="000000" w:fill="AB0033"/>
                  <w:vAlign w:val="center"/>
                  <w:hideMark/>
                </w:tcPr>
                <w:p w14:paraId="3F7C5946" w14:textId="77777777" w:rsidR="009B3320" w:rsidRPr="009B3320" w:rsidRDefault="009B3320" w:rsidP="009B3320">
                  <w:pPr>
                    <w:spacing w:after="0" w:line="240" w:lineRule="auto"/>
                    <w:jc w:val="center"/>
                    <w:rPr>
                      <w:rFonts w:eastAsia="Times New Roman" w:cs="Calibri"/>
                      <w:b/>
                      <w:bCs/>
                      <w:color w:val="FFFFFF"/>
                      <w:sz w:val="16"/>
                      <w:szCs w:val="16"/>
                      <w:lang w:eastAsia="es-MX"/>
                    </w:rPr>
                  </w:pPr>
                  <w:r w:rsidRPr="009B3320">
                    <w:rPr>
                      <w:rFonts w:eastAsia="Times New Roman" w:cs="Calibri"/>
                      <w:b/>
                      <w:bCs/>
                      <w:color w:val="FFFFFF"/>
                      <w:sz w:val="16"/>
                      <w:szCs w:val="16"/>
                      <w:lang w:eastAsia="es-MX"/>
                    </w:rPr>
                    <w:t>Importe</w:t>
                  </w:r>
                </w:p>
              </w:tc>
            </w:tr>
            <w:tr w:rsidR="009B3320" w:rsidRPr="009B3320" w14:paraId="2EE4B81A" w14:textId="77777777" w:rsidTr="009B3320">
              <w:trPr>
                <w:trHeight w:val="304"/>
              </w:trPr>
              <w:tc>
                <w:tcPr>
                  <w:tcW w:w="4514" w:type="dxa"/>
                  <w:tcBorders>
                    <w:top w:val="nil"/>
                    <w:left w:val="single" w:sz="4" w:space="0" w:color="auto"/>
                    <w:bottom w:val="single" w:sz="4" w:space="0" w:color="auto"/>
                    <w:right w:val="single" w:sz="4" w:space="0" w:color="auto"/>
                  </w:tcBorders>
                  <w:shd w:val="clear" w:color="auto" w:fill="auto"/>
                  <w:noWrap/>
                  <w:vAlign w:val="center"/>
                  <w:hideMark/>
                </w:tcPr>
                <w:p w14:paraId="76542A6D" w14:textId="77777777" w:rsidR="009B3320" w:rsidRPr="009B3320" w:rsidRDefault="009B3320" w:rsidP="009B3320">
                  <w:pPr>
                    <w:spacing w:after="0" w:line="240" w:lineRule="auto"/>
                    <w:rPr>
                      <w:rFonts w:eastAsia="Times New Roman" w:cs="Calibri"/>
                      <w:color w:val="000000"/>
                      <w:sz w:val="14"/>
                      <w:szCs w:val="14"/>
                      <w:lang w:eastAsia="es-MX"/>
                    </w:rPr>
                  </w:pPr>
                  <w:r w:rsidRPr="009B3320">
                    <w:rPr>
                      <w:rFonts w:eastAsia="Times New Roman" w:cs="Calibri"/>
                      <w:color w:val="000000"/>
                      <w:sz w:val="14"/>
                      <w:szCs w:val="14"/>
                      <w:lang w:eastAsia="es-MX"/>
                    </w:rPr>
                    <w:t>Fideicomiso Puente Internacional Nuevo Laredo III</w:t>
                  </w:r>
                </w:p>
              </w:tc>
              <w:tc>
                <w:tcPr>
                  <w:tcW w:w="1645" w:type="dxa"/>
                  <w:tcBorders>
                    <w:top w:val="nil"/>
                    <w:left w:val="nil"/>
                    <w:bottom w:val="single" w:sz="4" w:space="0" w:color="auto"/>
                    <w:right w:val="single" w:sz="4" w:space="0" w:color="auto"/>
                  </w:tcBorders>
                  <w:shd w:val="clear" w:color="auto" w:fill="auto"/>
                  <w:noWrap/>
                  <w:vAlign w:val="bottom"/>
                  <w:hideMark/>
                </w:tcPr>
                <w:p w14:paraId="15EC8CDD"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512,924,813</w:t>
                  </w:r>
                </w:p>
              </w:tc>
            </w:tr>
            <w:tr w:rsidR="009B3320" w:rsidRPr="009B3320" w14:paraId="0B413465" w14:textId="77777777" w:rsidTr="009B3320">
              <w:trPr>
                <w:trHeight w:val="304"/>
              </w:trPr>
              <w:tc>
                <w:tcPr>
                  <w:tcW w:w="4514" w:type="dxa"/>
                  <w:tcBorders>
                    <w:top w:val="nil"/>
                    <w:left w:val="single" w:sz="4" w:space="0" w:color="auto"/>
                    <w:bottom w:val="single" w:sz="4" w:space="0" w:color="auto"/>
                    <w:right w:val="single" w:sz="4" w:space="0" w:color="auto"/>
                  </w:tcBorders>
                  <w:shd w:val="clear" w:color="auto" w:fill="auto"/>
                  <w:noWrap/>
                  <w:vAlign w:val="center"/>
                  <w:hideMark/>
                </w:tcPr>
                <w:p w14:paraId="177791AB" w14:textId="77777777" w:rsidR="009B3320" w:rsidRPr="009B3320" w:rsidRDefault="009B3320" w:rsidP="009B3320">
                  <w:pPr>
                    <w:spacing w:after="0" w:line="240" w:lineRule="auto"/>
                    <w:rPr>
                      <w:rFonts w:eastAsia="Times New Roman" w:cs="Calibri"/>
                      <w:color w:val="000000"/>
                      <w:sz w:val="14"/>
                      <w:szCs w:val="14"/>
                      <w:lang w:eastAsia="es-MX"/>
                    </w:rPr>
                  </w:pPr>
                  <w:r w:rsidRPr="009B3320">
                    <w:rPr>
                      <w:rFonts w:eastAsia="Times New Roman" w:cs="Calibri"/>
                      <w:color w:val="000000"/>
                      <w:sz w:val="14"/>
                      <w:szCs w:val="14"/>
                      <w:lang w:eastAsia="es-MX"/>
                    </w:rPr>
                    <w:t>Fideicomiso Santander 200-3885 (CREDITOS)</w:t>
                  </w:r>
                </w:p>
              </w:tc>
              <w:tc>
                <w:tcPr>
                  <w:tcW w:w="1645" w:type="dxa"/>
                  <w:tcBorders>
                    <w:top w:val="nil"/>
                    <w:left w:val="nil"/>
                    <w:bottom w:val="single" w:sz="4" w:space="0" w:color="auto"/>
                    <w:right w:val="single" w:sz="4" w:space="0" w:color="auto"/>
                  </w:tcBorders>
                  <w:shd w:val="clear" w:color="auto" w:fill="auto"/>
                  <w:noWrap/>
                  <w:vAlign w:val="bottom"/>
                  <w:hideMark/>
                </w:tcPr>
                <w:p w14:paraId="611C06E4"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398,558,446</w:t>
                  </w:r>
                </w:p>
              </w:tc>
            </w:tr>
            <w:tr w:rsidR="009B3320" w:rsidRPr="009B3320" w14:paraId="10D5059B" w14:textId="77777777" w:rsidTr="009B3320">
              <w:trPr>
                <w:trHeight w:val="304"/>
              </w:trPr>
              <w:tc>
                <w:tcPr>
                  <w:tcW w:w="4514" w:type="dxa"/>
                  <w:tcBorders>
                    <w:top w:val="nil"/>
                    <w:left w:val="single" w:sz="4" w:space="0" w:color="auto"/>
                    <w:bottom w:val="single" w:sz="4" w:space="0" w:color="auto"/>
                    <w:right w:val="single" w:sz="4" w:space="0" w:color="auto"/>
                  </w:tcBorders>
                  <w:shd w:val="clear" w:color="auto" w:fill="auto"/>
                  <w:noWrap/>
                  <w:vAlign w:val="center"/>
                  <w:hideMark/>
                </w:tcPr>
                <w:p w14:paraId="5F83B8D1" w14:textId="77777777" w:rsidR="009B3320" w:rsidRPr="009B3320" w:rsidRDefault="009B3320" w:rsidP="009B3320">
                  <w:pPr>
                    <w:spacing w:after="0" w:line="240" w:lineRule="auto"/>
                    <w:rPr>
                      <w:rFonts w:eastAsia="Times New Roman" w:cs="Calibri"/>
                      <w:color w:val="000000"/>
                      <w:sz w:val="14"/>
                      <w:szCs w:val="14"/>
                      <w:lang w:eastAsia="es-MX"/>
                    </w:rPr>
                  </w:pPr>
                  <w:r w:rsidRPr="009B3320">
                    <w:rPr>
                      <w:rFonts w:eastAsia="Times New Roman" w:cs="Calibri"/>
                      <w:color w:val="000000"/>
                      <w:sz w:val="14"/>
                      <w:szCs w:val="14"/>
                      <w:lang w:eastAsia="es-MX"/>
                    </w:rPr>
                    <w:t>Fideicomiso de Admon. Y Fuente de Pago APP</w:t>
                  </w:r>
                </w:p>
              </w:tc>
              <w:tc>
                <w:tcPr>
                  <w:tcW w:w="1645" w:type="dxa"/>
                  <w:tcBorders>
                    <w:top w:val="nil"/>
                    <w:left w:val="nil"/>
                    <w:bottom w:val="single" w:sz="4" w:space="0" w:color="auto"/>
                    <w:right w:val="single" w:sz="4" w:space="0" w:color="auto"/>
                  </w:tcBorders>
                  <w:shd w:val="clear" w:color="auto" w:fill="auto"/>
                  <w:noWrap/>
                  <w:vAlign w:val="bottom"/>
                  <w:hideMark/>
                </w:tcPr>
                <w:p w14:paraId="5B56179F"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236,105,089</w:t>
                  </w:r>
                </w:p>
              </w:tc>
            </w:tr>
            <w:tr w:rsidR="009B3320" w:rsidRPr="009B3320" w14:paraId="64102E7F" w14:textId="77777777" w:rsidTr="009B3320">
              <w:trPr>
                <w:trHeight w:val="304"/>
              </w:trPr>
              <w:tc>
                <w:tcPr>
                  <w:tcW w:w="4514" w:type="dxa"/>
                  <w:tcBorders>
                    <w:top w:val="nil"/>
                    <w:left w:val="single" w:sz="4" w:space="0" w:color="auto"/>
                    <w:bottom w:val="single" w:sz="4" w:space="0" w:color="auto"/>
                    <w:right w:val="single" w:sz="4" w:space="0" w:color="auto"/>
                  </w:tcBorders>
                  <w:shd w:val="clear" w:color="auto" w:fill="auto"/>
                  <w:noWrap/>
                  <w:vAlign w:val="center"/>
                  <w:hideMark/>
                </w:tcPr>
                <w:p w14:paraId="5744D2CA" w14:textId="77777777" w:rsidR="009B3320" w:rsidRPr="009B3320" w:rsidRDefault="009B3320" w:rsidP="009B3320">
                  <w:pPr>
                    <w:spacing w:after="0" w:line="240" w:lineRule="auto"/>
                    <w:rPr>
                      <w:rFonts w:eastAsia="Times New Roman" w:cs="Calibri"/>
                      <w:color w:val="000000"/>
                      <w:sz w:val="14"/>
                      <w:szCs w:val="14"/>
                      <w:lang w:eastAsia="es-MX"/>
                    </w:rPr>
                  </w:pPr>
                  <w:r w:rsidRPr="009B3320">
                    <w:rPr>
                      <w:rFonts w:eastAsia="Times New Roman" w:cs="Calibri"/>
                      <w:color w:val="000000"/>
                      <w:sz w:val="14"/>
                      <w:szCs w:val="14"/>
                      <w:lang w:eastAsia="es-MX"/>
                    </w:rPr>
                    <w:t>Fideicomiso FOFAET</w:t>
                  </w:r>
                </w:p>
              </w:tc>
              <w:tc>
                <w:tcPr>
                  <w:tcW w:w="1645" w:type="dxa"/>
                  <w:tcBorders>
                    <w:top w:val="nil"/>
                    <w:left w:val="nil"/>
                    <w:bottom w:val="single" w:sz="4" w:space="0" w:color="auto"/>
                    <w:right w:val="single" w:sz="4" w:space="0" w:color="auto"/>
                  </w:tcBorders>
                  <w:shd w:val="clear" w:color="auto" w:fill="auto"/>
                  <w:noWrap/>
                  <w:vAlign w:val="bottom"/>
                  <w:hideMark/>
                </w:tcPr>
                <w:p w14:paraId="0657742A"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83,375,310</w:t>
                  </w:r>
                </w:p>
              </w:tc>
            </w:tr>
          </w:tbl>
          <w:p w14:paraId="44BC27BA" w14:textId="07504613" w:rsidR="00841211" w:rsidRPr="005F45A3" w:rsidRDefault="00841211" w:rsidP="009A3001">
            <w:pPr>
              <w:spacing w:after="0" w:line="240" w:lineRule="auto"/>
              <w:jc w:val="both"/>
              <w:rPr>
                <w:rFonts w:asciiTheme="minorHAnsi" w:eastAsia="Times New Roman" w:hAnsiTheme="minorHAnsi" w:cstheme="minorHAnsi"/>
                <w:color w:val="000000"/>
                <w:sz w:val="18"/>
                <w:szCs w:val="18"/>
                <w:lang w:eastAsia="es-MX"/>
              </w:rPr>
            </w:pPr>
          </w:p>
        </w:tc>
      </w:tr>
    </w:tbl>
    <w:p w14:paraId="790BC0C4" w14:textId="77777777" w:rsidR="003F2281" w:rsidRDefault="003F2281" w:rsidP="00295AC0">
      <w:pPr>
        <w:pStyle w:val="Prrafodelista"/>
        <w:spacing w:after="0" w:line="220" w:lineRule="exact"/>
        <w:ind w:left="-142"/>
        <w:jc w:val="both"/>
        <w:rPr>
          <w:rFonts w:asciiTheme="minorHAnsi" w:eastAsia="Times New Roman" w:hAnsiTheme="minorHAnsi" w:cstheme="minorHAnsi"/>
          <w:b/>
          <w:sz w:val="20"/>
          <w:szCs w:val="18"/>
          <w:lang w:eastAsia="es-ES"/>
        </w:rPr>
      </w:pPr>
    </w:p>
    <w:p w14:paraId="3868E3EB" w14:textId="77777777" w:rsidR="003F2281" w:rsidRDefault="003F2281" w:rsidP="00295AC0">
      <w:pPr>
        <w:pStyle w:val="Prrafodelista"/>
        <w:spacing w:after="0" w:line="220" w:lineRule="exact"/>
        <w:ind w:left="-142"/>
        <w:jc w:val="both"/>
        <w:rPr>
          <w:rFonts w:asciiTheme="minorHAnsi" w:eastAsia="Times New Roman" w:hAnsiTheme="minorHAnsi" w:cstheme="minorHAnsi"/>
          <w:b/>
          <w:sz w:val="20"/>
          <w:szCs w:val="18"/>
          <w:lang w:eastAsia="es-ES"/>
        </w:rPr>
      </w:pPr>
    </w:p>
    <w:p w14:paraId="57C29D66" w14:textId="0AC21FDF" w:rsidR="00AA7087" w:rsidRPr="005F45A3" w:rsidRDefault="002D1E75" w:rsidP="00295AC0">
      <w:pPr>
        <w:pStyle w:val="Prrafodelista"/>
        <w:spacing w:after="0" w:line="220" w:lineRule="exact"/>
        <w:ind w:left="-142"/>
        <w:jc w:val="both"/>
        <w:rPr>
          <w:rFonts w:asciiTheme="minorHAnsi" w:eastAsia="Times New Roman" w:hAnsiTheme="minorHAnsi" w:cstheme="minorHAnsi"/>
          <w:b/>
          <w:sz w:val="20"/>
          <w:szCs w:val="18"/>
          <w:lang w:eastAsia="es-ES"/>
        </w:rPr>
      </w:pPr>
      <w:r>
        <w:rPr>
          <w:rFonts w:asciiTheme="minorHAnsi" w:eastAsia="Times New Roman" w:hAnsiTheme="minorHAnsi" w:cstheme="minorHAnsi"/>
          <w:b/>
          <w:sz w:val="20"/>
          <w:szCs w:val="18"/>
          <w:lang w:eastAsia="es-ES"/>
        </w:rPr>
        <w:t xml:space="preserve">10. </w:t>
      </w:r>
      <w:r w:rsidR="00AA7087" w:rsidRPr="005F45A3">
        <w:rPr>
          <w:rFonts w:asciiTheme="minorHAnsi" w:eastAsia="Times New Roman" w:hAnsiTheme="minorHAnsi" w:cstheme="minorHAnsi"/>
          <w:b/>
          <w:sz w:val="20"/>
          <w:szCs w:val="18"/>
          <w:lang w:eastAsia="es-ES"/>
        </w:rPr>
        <w:t>Reporte de la Recaudación</w:t>
      </w:r>
    </w:p>
    <w:p w14:paraId="601D38A1" w14:textId="77777777" w:rsidR="00AA7087" w:rsidRPr="005F45A3" w:rsidRDefault="00AA7087" w:rsidP="005205C0">
      <w:pPr>
        <w:pStyle w:val="Prrafodelista"/>
        <w:spacing w:after="0" w:line="220" w:lineRule="exact"/>
        <w:ind w:left="357"/>
        <w:jc w:val="both"/>
        <w:rPr>
          <w:rFonts w:asciiTheme="minorHAnsi" w:eastAsia="Times New Roman" w:hAnsiTheme="minorHAnsi" w:cstheme="minorHAnsi"/>
          <w:b/>
          <w:sz w:val="18"/>
          <w:szCs w:val="18"/>
          <w:lang w:eastAsia="es-ES"/>
        </w:rPr>
      </w:pPr>
    </w:p>
    <w:p w14:paraId="5C126BE0" w14:textId="6179689A" w:rsidR="0052769C" w:rsidRDefault="00AA7087" w:rsidP="00295AC0">
      <w:pPr>
        <w:pStyle w:val="Prrafodelista"/>
        <w:numPr>
          <w:ilvl w:val="0"/>
          <w:numId w:val="13"/>
        </w:numPr>
        <w:spacing w:after="0" w:line="240" w:lineRule="exact"/>
        <w:ind w:left="284"/>
        <w:jc w:val="both"/>
        <w:rPr>
          <w:rFonts w:asciiTheme="minorHAnsi" w:eastAsia="Times New Roman" w:hAnsiTheme="minorHAnsi" w:cstheme="minorHAnsi"/>
          <w:sz w:val="18"/>
          <w:szCs w:val="16"/>
          <w:lang w:val="es-ES" w:eastAsia="es-ES"/>
        </w:rPr>
      </w:pPr>
      <w:r w:rsidRPr="005F45A3">
        <w:rPr>
          <w:rFonts w:asciiTheme="minorHAnsi" w:eastAsia="Times New Roman" w:hAnsiTheme="minorHAnsi" w:cstheme="minorHAnsi"/>
          <w:sz w:val="18"/>
          <w:szCs w:val="16"/>
          <w:lang w:eastAsia="es-ES"/>
        </w:rPr>
        <w:t xml:space="preserve">Análisis del comportamiento </w:t>
      </w:r>
      <w:r w:rsidRPr="005F45A3">
        <w:rPr>
          <w:rFonts w:asciiTheme="minorHAnsi" w:eastAsia="Times New Roman" w:hAnsiTheme="minorHAnsi" w:cstheme="minorHAnsi"/>
          <w:sz w:val="18"/>
          <w:szCs w:val="16"/>
          <w:lang w:val="es-ES" w:eastAsia="es-ES"/>
        </w:rPr>
        <w:t xml:space="preserve">de la Recaudación correspondiente al Ente Público o cualquier tipo de Ingreso, de forma separada los Ingresos locales de los </w:t>
      </w:r>
      <w:r w:rsidR="002F6DBD" w:rsidRPr="005F45A3">
        <w:rPr>
          <w:rFonts w:asciiTheme="minorHAnsi" w:eastAsia="Times New Roman" w:hAnsiTheme="minorHAnsi" w:cstheme="minorHAnsi"/>
          <w:sz w:val="18"/>
          <w:szCs w:val="16"/>
          <w:lang w:val="es-ES" w:eastAsia="es-ES"/>
        </w:rPr>
        <w:t>Federales.</w:t>
      </w:r>
      <w:r w:rsidR="00A05FDB" w:rsidRPr="005F45A3">
        <w:rPr>
          <w:rFonts w:asciiTheme="minorHAnsi" w:eastAsia="Times New Roman" w:hAnsiTheme="minorHAnsi" w:cstheme="minorHAnsi"/>
          <w:sz w:val="18"/>
          <w:szCs w:val="16"/>
          <w:lang w:val="es-ES" w:eastAsia="es-ES"/>
        </w:rPr>
        <w:t xml:space="preserve"> </w:t>
      </w:r>
    </w:p>
    <w:p w14:paraId="490A064A" w14:textId="77777777" w:rsidR="00E90627" w:rsidRDefault="00E90627" w:rsidP="00E90627">
      <w:pPr>
        <w:spacing w:after="0" w:line="240" w:lineRule="exact"/>
        <w:jc w:val="both"/>
        <w:rPr>
          <w:rFonts w:asciiTheme="minorHAnsi" w:eastAsia="Times New Roman" w:hAnsiTheme="minorHAnsi" w:cstheme="minorHAnsi"/>
          <w:sz w:val="18"/>
          <w:szCs w:val="16"/>
          <w:lang w:val="es-ES" w:eastAsia="es-ES"/>
        </w:rPr>
      </w:pPr>
    </w:p>
    <w:tbl>
      <w:tblPr>
        <w:tblW w:w="9417" w:type="dxa"/>
        <w:tblCellMar>
          <w:left w:w="70" w:type="dxa"/>
          <w:right w:w="70" w:type="dxa"/>
        </w:tblCellMar>
        <w:tblLook w:val="04A0" w:firstRow="1" w:lastRow="0" w:firstColumn="1" w:lastColumn="0" w:noHBand="0" w:noVBand="1"/>
      </w:tblPr>
      <w:tblGrid>
        <w:gridCol w:w="3539"/>
        <w:gridCol w:w="1701"/>
        <w:gridCol w:w="1560"/>
        <w:gridCol w:w="1417"/>
        <w:gridCol w:w="1200"/>
      </w:tblGrid>
      <w:tr w:rsidR="00E90627" w:rsidRPr="00E90627" w14:paraId="6A509305" w14:textId="77777777" w:rsidTr="002808A4">
        <w:trPr>
          <w:trHeight w:val="420"/>
        </w:trPr>
        <w:tc>
          <w:tcPr>
            <w:tcW w:w="3539"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776E00D6" w14:textId="77777777" w:rsidR="00E90627" w:rsidRPr="00E90627" w:rsidRDefault="00E90627" w:rsidP="00E90627">
            <w:pPr>
              <w:spacing w:after="0" w:line="240" w:lineRule="auto"/>
              <w:jc w:val="center"/>
              <w:rPr>
                <w:rFonts w:eastAsia="Times New Roman" w:cs="Calibri"/>
                <w:b/>
                <w:bCs/>
                <w:color w:val="FFFFFF"/>
                <w:sz w:val="16"/>
                <w:szCs w:val="16"/>
                <w:lang w:eastAsia="es-MX"/>
              </w:rPr>
            </w:pPr>
            <w:r w:rsidRPr="00E90627">
              <w:rPr>
                <w:rFonts w:eastAsia="Times New Roman" w:cs="Calibri"/>
                <w:b/>
                <w:bCs/>
                <w:color w:val="FFFFFF"/>
                <w:sz w:val="16"/>
                <w:szCs w:val="16"/>
                <w:lang w:eastAsia="es-MX"/>
              </w:rPr>
              <w:t>Concepto</w:t>
            </w:r>
          </w:p>
        </w:tc>
        <w:tc>
          <w:tcPr>
            <w:tcW w:w="1701" w:type="dxa"/>
            <w:tcBorders>
              <w:top w:val="single" w:sz="4" w:space="0" w:color="auto"/>
              <w:left w:val="nil"/>
              <w:bottom w:val="single" w:sz="4" w:space="0" w:color="auto"/>
              <w:right w:val="single" w:sz="4" w:space="0" w:color="auto"/>
            </w:tcBorders>
            <w:shd w:val="clear" w:color="000000" w:fill="AB0033"/>
            <w:vAlign w:val="center"/>
            <w:hideMark/>
          </w:tcPr>
          <w:p w14:paraId="52230E33" w14:textId="77777777" w:rsidR="00E90627" w:rsidRPr="00E90627" w:rsidRDefault="00E90627" w:rsidP="00E90627">
            <w:pPr>
              <w:spacing w:after="0" w:line="240" w:lineRule="auto"/>
              <w:jc w:val="center"/>
              <w:rPr>
                <w:rFonts w:eastAsia="Times New Roman" w:cs="Calibri"/>
                <w:b/>
                <w:bCs/>
                <w:color w:val="FFFFFF"/>
                <w:sz w:val="16"/>
                <w:szCs w:val="16"/>
                <w:lang w:eastAsia="es-MX"/>
              </w:rPr>
            </w:pPr>
            <w:r w:rsidRPr="00E90627">
              <w:rPr>
                <w:rFonts w:eastAsia="Times New Roman" w:cs="Calibri"/>
                <w:b/>
                <w:bCs/>
                <w:color w:val="FFFFFF"/>
                <w:sz w:val="16"/>
                <w:szCs w:val="16"/>
                <w:lang w:eastAsia="es-MX"/>
              </w:rPr>
              <w:t>Saldo al 31 de Diciembre 2022</w:t>
            </w:r>
          </w:p>
        </w:tc>
        <w:tc>
          <w:tcPr>
            <w:tcW w:w="1560" w:type="dxa"/>
            <w:tcBorders>
              <w:top w:val="single" w:sz="4" w:space="0" w:color="auto"/>
              <w:left w:val="nil"/>
              <w:bottom w:val="single" w:sz="4" w:space="0" w:color="auto"/>
              <w:right w:val="single" w:sz="4" w:space="0" w:color="auto"/>
            </w:tcBorders>
            <w:shd w:val="clear" w:color="000000" w:fill="AB0033"/>
            <w:vAlign w:val="center"/>
            <w:hideMark/>
          </w:tcPr>
          <w:p w14:paraId="25E48921" w14:textId="77777777" w:rsidR="00E90627" w:rsidRPr="00E90627" w:rsidRDefault="00E90627" w:rsidP="00E90627">
            <w:pPr>
              <w:spacing w:after="0" w:line="240" w:lineRule="auto"/>
              <w:jc w:val="center"/>
              <w:rPr>
                <w:rFonts w:eastAsia="Times New Roman" w:cs="Calibri"/>
                <w:b/>
                <w:bCs/>
                <w:color w:val="FFFFFF"/>
                <w:sz w:val="16"/>
                <w:szCs w:val="16"/>
                <w:lang w:eastAsia="es-MX"/>
              </w:rPr>
            </w:pPr>
            <w:r w:rsidRPr="00E90627">
              <w:rPr>
                <w:rFonts w:eastAsia="Times New Roman" w:cs="Calibri"/>
                <w:b/>
                <w:bCs/>
                <w:color w:val="FFFFFF"/>
                <w:sz w:val="16"/>
                <w:szCs w:val="16"/>
                <w:lang w:eastAsia="es-MX"/>
              </w:rPr>
              <w:t>Saldo al 31 de Diciembre 2021</w:t>
            </w:r>
          </w:p>
        </w:tc>
        <w:tc>
          <w:tcPr>
            <w:tcW w:w="1417" w:type="dxa"/>
            <w:tcBorders>
              <w:top w:val="single" w:sz="4" w:space="0" w:color="auto"/>
              <w:left w:val="nil"/>
              <w:bottom w:val="single" w:sz="4" w:space="0" w:color="auto"/>
              <w:right w:val="single" w:sz="4" w:space="0" w:color="auto"/>
            </w:tcBorders>
            <w:shd w:val="clear" w:color="000000" w:fill="AB0033"/>
            <w:vAlign w:val="center"/>
            <w:hideMark/>
          </w:tcPr>
          <w:p w14:paraId="4B6D7F38" w14:textId="77777777" w:rsidR="00E90627" w:rsidRPr="00E90627" w:rsidRDefault="00E90627" w:rsidP="00E90627">
            <w:pPr>
              <w:spacing w:after="0" w:line="240" w:lineRule="auto"/>
              <w:jc w:val="center"/>
              <w:rPr>
                <w:rFonts w:eastAsia="Times New Roman" w:cs="Calibri"/>
                <w:b/>
                <w:bCs/>
                <w:color w:val="FFFFFF"/>
                <w:sz w:val="16"/>
                <w:szCs w:val="16"/>
                <w:lang w:eastAsia="es-MX"/>
              </w:rPr>
            </w:pPr>
            <w:r w:rsidRPr="00E90627">
              <w:rPr>
                <w:rFonts w:eastAsia="Times New Roman" w:cs="Calibri"/>
                <w:b/>
                <w:bCs/>
                <w:color w:val="FFFFFF"/>
                <w:sz w:val="16"/>
                <w:szCs w:val="16"/>
                <w:lang w:eastAsia="es-MX"/>
              </w:rPr>
              <w:t>Variación</w:t>
            </w:r>
          </w:p>
        </w:tc>
        <w:tc>
          <w:tcPr>
            <w:tcW w:w="1200" w:type="dxa"/>
            <w:tcBorders>
              <w:top w:val="single" w:sz="4" w:space="0" w:color="auto"/>
              <w:left w:val="nil"/>
              <w:bottom w:val="single" w:sz="4" w:space="0" w:color="auto"/>
              <w:right w:val="single" w:sz="4" w:space="0" w:color="auto"/>
            </w:tcBorders>
            <w:shd w:val="clear" w:color="000000" w:fill="AB0033"/>
            <w:vAlign w:val="center"/>
            <w:hideMark/>
          </w:tcPr>
          <w:p w14:paraId="42B66514" w14:textId="77777777" w:rsidR="00E90627" w:rsidRPr="00E90627" w:rsidRDefault="00E90627" w:rsidP="00E90627">
            <w:pPr>
              <w:spacing w:after="0" w:line="240" w:lineRule="auto"/>
              <w:jc w:val="center"/>
              <w:rPr>
                <w:rFonts w:eastAsia="Times New Roman" w:cs="Calibri"/>
                <w:b/>
                <w:bCs/>
                <w:color w:val="FFFFFF"/>
                <w:sz w:val="16"/>
                <w:szCs w:val="16"/>
                <w:lang w:eastAsia="es-MX"/>
              </w:rPr>
            </w:pPr>
            <w:r w:rsidRPr="00E90627">
              <w:rPr>
                <w:rFonts w:eastAsia="Times New Roman" w:cs="Calibri"/>
                <w:b/>
                <w:bCs/>
                <w:color w:val="FFFFFF"/>
                <w:sz w:val="16"/>
                <w:szCs w:val="16"/>
                <w:lang w:eastAsia="es-MX"/>
              </w:rPr>
              <w:t>Porcentaje</w:t>
            </w:r>
          </w:p>
        </w:tc>
      </w:tr>
      <w:tr w:rsidR="00E90627" w:rsidRPr="00E90627" w14:paraId="78988700" w14:textId="77777777" w:rsidTr="002808A4">
        <w:trPr>
          <w:trHeight w:val="290"/>
        </w:trPr>
        <w:tc>
          <w:tcPr>
            <w:tcW w:w="3539" w:type="dxa"/>
            <w:tcBorders>
              <w:top w:val="nil"/>
              <w:left w:val="single" w:sz="4" w:space="0" w:color="auto"/>
              <w:bottom w:val="single" w:sz="4" w:space="0" w:color="auto"/>
              <w:right w:val="single" w:sz="4" w:space="0" w:color="auto"/>
            </w:tcBorders>
            <w:shd w:val="clear" w:color="000000" w:fill="D9D9D9"/>
            <w:noWrap/>
            <w:vAlign w:val="center"/>
            <w:hideMark/>
          </w:tcPr>
          <w:p w14:paraId="30251018" w14:textId="77777777" w:rsidR="00E90627" w:rsidRPr="00E90627" w:rsidRDefault="00E90627" w:rsidP="00E90627">
            <w:pPr>
              <w:spacing w:after="0" w:line="240" w:lineRule="auto"/>
              <w:rPr>
                <w:rFonts w:eastAsia="Times New Roman" w:cs="Calibri"/>
                <w:b/>
                <w:bCs/>
                <w:color w:val="000000"/>
                <w:sz w:val="16"/>
                <w:szCs w:val="16"/>
                <w:lang w:eastAsia="es-MX"/>
              </w:rPr>
            </w:pPr>
            <w:r w:rsidRPr="00E90627">
              <w:rPr>
                <w:rFonts w:eastAsia="Times New Roman" w:cs="Calibri"/>
                <w:b/>
                <w:bCs/>
                <w:color w:val="000000"/>
                <w:sz w:val="16"/>
                <w:szCs w:val="16"/>
                <w:lang w:eastAsia="es-MX"/>
              </w:rPr>
              <w:t xml:space="preserve"> Ingresos Propios </w:t>
            </w:r>
          </w:p>
        </w:tc>
        <w:tc>
          <w:tcPr>
            <w:tcW w:w="1701" w:type="dxa"/>
            <w:tcBorders>
              <w:top w:val="nil"/>
              <w:left w:val="nil"/>
              <w:bottom w:val="single" w:sz="4" w:space="0" w:color="auto"/>
              <w:right w:val="single" w:sz="4" w:space="0" w:color="auto"/>
            </w:tcBorders>
            <w:shd w:val="clear" w:color="000000" w:fill="D9D9D9"/>
            <w:noWrap/>
            <w:vAlign w:val="center"/>
            <w:hideMark/>
          </w:tcPr>
          <w:p w14:paraId="18E72411" w14:textId="23D98323" w:rsidR="00E90627" w:rsidRPr="00E90627" w:rsidRDefault="0070443B" w:rsidP="00E90627">
            <w:pPr>
              <w:spacing w:after="0" w:line="240" w:lineRule="auto"/>
              <w:jc w:val="right"/>
              <w:rPr>
                <w:rFonts w:eastAsia="Times New Roman" w:cs="Calibri"/>
                <w:b/>
                <w:bCs/>
                <w:color w:val="000000"/>
                <w:sz w:val="16"/>
                <w:szCs w:val="16"/>
                <w:lang w:eastAsia="es-MX"/>
              </w:rPr>
            </w:pPr>
            <w:r>
              <w:rPr>
                <w:rFonts w:eastAsia="Times New Roman" w:cs="Calibri"/>
                <w:b/>
                <w:bCs/>
                <w:color w:val="000000"/>
                <w:sz w:val="16"/>
                <w:szCs w:val="16"/>
                <w:lang w:eastAsia="es-MX"/>
              </w:rPr>
              <w:t>9,446,232,623</w:t>
            </w:r>
          </w:p>
        </w:tc>
        <w:tc>
          <w:tcPr>
            <w:tcW w:w="1560" w:type="dxa"/>
            <w:tcBorders>
              <w:top w:val="nil"/>
              <w:left w:val="nil"/>
              <w:bottom w:val="single" w:sz="4" w:space="0" w:color="auto"/>
              <w:right w:val="single" w:sz="4" w:space="0" w:color="auto"/>
            </w:tcBorders>
            <w:shd w:val="clear" w:color="000000" w:fill="D9D9D9"/>
            <w:noWrap/>
            <w:vAlign w:val="center"/>
            <w:hideMark/>
          </w:tcPr>
          <w:p w14:paraId="765F4E41" w14:textId="77777777" w:rsidR="00E90627" w:rsidRPr="00E90627" w:rsidRDefault="00E90627" w:rsidP="00E90627">
            <w:pPr>
              <w:spacing w:after="0" w:line="240" w:lineRule="auto"/>
              <w:jc w:val="right"/>
              <w:rPr>
                <w:rFonts w:eastAsia="Times New Roman" w:cs="Calibri"/>
                <w:b/>
                <w:bCs/>
                <w:color w:val="000000"/>
                <w:sz w:val="16"/>
                <w:szCs w:val="16"/>
                <w:lang w:eastAsia="es-MX"/>
              </w:rPr>
            </w:pPr>
            <w:r w:rsidRPr="00E90627">
              <w:rPr>
                <w:rFonts w:eastAsia="Times New Roman" w:cs="Calibri"/>
                <w:b/>
                <w:bCs/>
                <w:color w:val="000000"/>
                <w:sz w:val="16"/>
                <w:szCs w:val="16"/>
                <w:lang w:eastAsia="es-MX"/>
              </w:rPr>
              <w:t>7,996,036,000</w:t>
            </w:r>
          </w:p>
        </w:tc>
        <w:tc>
          <w:tcPr>
            <w:tcW w:w="1417" w:type="dxa"/>
            <w:tcBorders>
              <w:top w:val="nil"/>
              <w:left w:val="nil"/>
              <w:bottom w:val="single" w:sz="4" w:space="0" w:color="auto"/>
              <w:right w:val="single" w:sz="4" w:space="0" w:color="auto"/>
            </w:tcBorders>
            <w:shd w:val="clear" w:color="000000" w:fill="D9D9D9"/>
            <w:noWrap/>
            <w:vAlign w:val="center"/>
            <w:hideMark/>
          </w:tcPr>
          <w:p w14:paraId="414A08A7" w14:textId="77777777" w:rsidR="00E90627" w:rsidRPr="00E90627" w:rsidRDefault="00E90627" w:rsidP="00E90627">
            <w:pPr>
              <w:spacing w:after="0" w:line="240" w:lineRule="auto"/>
              <w:jc w:val="right"/>
              <w:rPr>
                <w:rFonts w:eastAsia="Times New Roman" w:cs="Calibri"/>
                <w:b/>
                <w:bCs/>
                <w:color w:val="000000"/>
                <w:sz w:val="16"/>
                <w:szCs w:val="16"/>
                <w:lang w:eastAsia="es-MX"/>
              </w:rPr>
            </w:pPr>
            <w:r w:rsidRPr="00E90627">
              <w:rPr>
                <w:rFonts w:eastAsia="Times New Roman" w:cs="Calibri"/>
                <w:b/>
                <w:bCs/>
                <w:color w:val="000000"/>
                <w:sz w:val="16"/>
                <w:szCs w:val="16"/>
                <w:lang w:eastAsia="es-MX"/>
              </w:rPr>
              <w:t>1,450,196,622</w:t>
            </w:r>
          </w:p>
        </w:tc>
        <w:tc>
          <w:tcPr>
            <w:tcW w:w="1200" w:type="dxa"/>
            <w:tcBorders>
              <w:top w:val="nil"/>
              <w:left w:val="nil"/>
              <w:bottom w:val="single" w:sz="4" w:space="0" w:color="auto"/>
              <w:right w:val="single" w:sz="4" w:space="0" w:color="auto"/>
            </w:tcBorders>
            <w:shd w:val="clear" w:color="000000" w:fill="D9D9D9"/>
            <w:noWrap/>
            <w:vAlign w:val="center"/>
            <w:hideMark/>
          </w:tcPr>
          <w:p w14:paraId="503ABE04" w14:textId="77777777" w:rsidR="00E90627" w:rsidRPr="00E90627" w:rsidRDefault="00E90627" w:rsidP="00E90627">
            <w:pPr>
              <w:spacing w:after="0" w:line="240" w:lineRule="auto"/>
              <w:jc w:val="right"/>
              <w:rPr>
                <w:rFonts w:eastAsia="Times New Roman" w:cs="Calibri"/>
                <w:b/>
                <w:bCs/>
                <w:color w:val="000000"/>
                <w:sz w:val="16"/>
                <w:szCs w:val="16"/>
                <w:lang w:eastAsia="es-MX"/>
              </w:rPr>
            </w:pPr>
            <w:r w:rsidRPr="00E90627">
              <w:rPr>
                <w:rFonts w:eastAsia="Times New Roman" w:cs="Calibri"/>
                <w:b/>
                <w:bCs/>
                <w:color w:val="000000"/>
                <w:sz w:val="16"/>
                <w:szCs w:val="16"/>
                <w:lang w:eastAsia="es-MX"/>
              </w:rPr>
              <w:t>18.14%</w:t>
            </w:r>
          </w:p>
        </w:tc>
      </w:tr>
      <w:tr w:rsidR="00E90627" w:rsidRPr="00E90627" w14:paraId="1FB1045B" w14:textId="77777777" w:rsidTr="002808A4">
        <w:trPr>
          <w:trHeight w:val="29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0E800C41" w14:textId="77777777" w:rsidR="00E90627" w:rsidRPr="00E90627" w:rsidRDefault="00E90627" w:rsidP="00E90627">
            <w:pPr>
              <w:spacing w:after="0" w:line="240" w:lineRule="auto"/>
              <w:rPr>
                <w:rFonts w:eastAsia="Times New Roman" w:cs="Calibri"/>
                <w:color w:val="000000"/>
                <w:sz w:val="14"/>
                <w:szCs w:val="14"/>
                <w:lang w:eastAsia="es-MX"/>
              </w:rPr>
            </w:pPr>
            <w:r w:rsidRPr="00E90627">
              <w:rPr>
                <w:rFonts w:eastAsia="Times New Roman" w:cs="Calibri"/>
                <w:color w:val="000000"/>
                <w:sz w:val="14"/>
                <w:szCs w:val="14"/>
                <w:lang w:eastAsia="es-MX"/>
              </w:rPr>
              <w:t xml:space="preserve"> Impuestos </w:t>
            </w:r>
          </w:p>
        </w:tc>
        <w:tc>
          <w:tcPr>
            <w:tcW w:w="1701" w:type="dxa"/>
            <w:tcBorders>
              <w:top w:val="nil"/>
              <w:left w:val="nil"/>
              <w:bottom w:val="single" w:sz="4" w:space="0" w:color="auto"/>
              <w:right w:val="single" w:sz="4" w:space="0" w:color="auto"/>
            </w:tcBorders>
            <w:shd w:val="clear" w:color="000000" w:fill="FFFFFF"/>
            <w:noWrap/>
            <w:vAlign w:val="center"/>
            <w:hideMark/>
          </w:tcPr>
          <w:p w14:paraId="6162D9D3"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5,630,159,075</w:t>
            </w:r>
          </w:p>
        </w:tc>
        <w:tc>
          <w:tcPr>
            <w:tcW w:w="1560" w:type="dxa"/>
            <w:tcBorders>
              <w:top w:val="nil"/>
              <w:left w:val="nil"/>
              <w:bottom w:val="single" w:sz="4" w:space="0" w:color="auto"/>
              <w:right w:val="single" w:sz="4" w:space="0" w:color="auto"/>
            </w:tcBorders>
            <w:shd w:val="clear" w:color="auto" w:fill="auto"/>
            <w:noWrap/>
            <w:vAlign w:val="center"/>
            <w:hideMark/>
          </w:tcPr>
          <w:p w14:paraId="284B670B"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5,025,761,088</w:t>
            </w:r>
          </w:p>
        </w:tc>
        <w:tc>
          <w:tcPr>
            <w:tcW w:w="1417" w:type="dxa"/>
            <w:tcBorders>
              <w:top w:val="nil"/>
              <w:left w:val="nil"/>
              <w:bottom w:val="single" w:sz="4" w:space="0" w:color="auto"/>
              <w:right w:val="single" w:sz="4" w:space="0" w:color="auto"/>
            </w:tcBorders>
            <w:shd w:val="clear" w:color="auto" w:fill="auto"/>
            <w:noWrap/>
            <w:vAlign w:val="center"/>
            <w:hideMark/>
          </w:tcPr>
          <w:p w14:paraId="6FBCE058"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604,397,987</w:t>
            </w:r>
          </w:p>
        </w:tc>
        <w:tc>
          <w:tcPr>
            <w:tcW w:w="1200" w:type="dxa"/>
            <w:tcBorders>
              <w:top w:val="nil"/>
              <w:left w:val="nil"/>
              <w:bottom w:val="single" w:sz="4" w:space="0" w:color="auto"/>
              <w:right w:val="single" w:sz="4" w:space="0" w:color="auto"/>
            </w:tcBorders>
            <w:shd w:val="clear" w:color="auto" w:fill="auto"/>
            <w:noWrap/>
            <w:vAlign w:val="center"/>
            <w:hideMark/>
          </w:tcPr>
          <w:p w14:paraId="3BF77785"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12.03%</w:t>
            </w:r>
          </w:p>
        </w:tc>
      </w:tr>
      <w:tr w:rsidR="00E90627" w:rsidRPr="00E90627" w14:paraId="4BC3B97E" w14:textId="77777777" w:rsidTr="002808A4">
        <w:trPr>
          <w:trHeight w:val="29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500E522" w14:textId="77777777" w:rsidR="00E90627" w:rsidRPr="00E90627" w:rsidRDefault="00E90627" w:rsidP="00E90627">
            <w:pPr>
              <w:spacing w:after="0" w:line="240" w:lineRule="auto"/>
              <w:rPr>
                <w:rFonts w:eastAsia="Times New Roman" w:cs="Calibri"/>
                <w:color w:val="000000"/>
                <w:sz w:val="14"/>
                <w:szCs w:val="14"/>
                <w:lang w:eastAsia="es-MX"/>
              </w:rPr>
            </w:pPr>
            <w:r w:rsidRPr="00E90627">
              <w:rPr>
                <w:rFonts w:eastAsia="Times New Roman" w:cs="Calibri"/>
                <w:color w:val="000000"/>
                <w:sz w:val="14"/>
                <w:szCs w:val="14"/>
                <w:lang w:eastAsia="es-MX"/>
              </w:rPr>
              <w:t xml:space="preserve"> Contribuciones y Aportaciones de Seguridad Social </w:t>
            </w:r>
          </w:p>
        </w:tc>
        <w:tc>
          <w:tcPr>
            <w:tcW w:w="1701" w:type="dxa"/>
            <w:tcBorders>
              <w:top w:val="nil"/>
              <w:left w:val="nil"/>
              <w:bottom w:val="single" w:sz="4" w:space="0" w:color="auto"/>
              <w:right w:val="single" w:sz="4" w:space="0" w:color="auto"/>
            </w:tcBorders>
            <w:shd w:val="clear" w:color="000000" w:fill="FFFFFF"/>
            <w:noWrap/>
            <w:vAlign w:val="center"/>
            <w:hideMark/>
          </w:tcPr>
          <w:p w14:paraId="6E632D87"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0</w:t>
            </w:r>
          </w:p>
        </w:tc>
        <w:tc>
          <w:tcPr>
            <w:tcW w:w="1560" w:type="dxa"/>
            <w:tcBorders>
              <w:top w:val="nil"/>
              <w:left w:val="nil"/>
              <w:bottom w:val="single" w:sz="4" w:space="0" w:color="auto"/>
              <w:right w:val="single" w:sz="4" w:space="0" w:color="auto"/>
            </w:tcBorders>
            <w:shd w:val="clear" w:color="auto" w:fill="auto"/>
            <w:noWrap/>
            <w:vAlign w:val="center"/>
            <w:hideMark/>
          </w:tcPr>
          <w:p w14:paraId="6DD68EA0"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0</w:t>
            </w:r>
          </w:p>
        </w:tc>
        <w:tc>
          <w:tcPr>
            <w:tcW w:w="1417" w:type="dxa"/>
            <w:tcBorders>
              <w:top w:val="nil"/>
              <w:left w:val="nil"/>
              <w:bottom w:val="single" w:sz="4" w:space="0" w:color="auto"/>
              <w:right w:val="single" w:sz="4" w:space="0" w:color="auto"/>
            </w:tcBorders>
            <w:shd w:val="clear" w:color="auto" w:fill="auto"/>
            <w:noWrap/>
            <w:vAlign w:val="center"/>
            <w:hideMark/>
          </w:tcPr>
          <w:p w14:paraId="5B2A7042"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14:paraId="06216F9E"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0.00%</w:t>
            </w:r>
          </w:p>
        </w:tc>
      </w:tr>
      <w:tr w:rsidR="00E90627" w:rsidRPr="00E90627" w14:paraId="168FA473" w14:textId="77777777" w:rsidTr="002808A4">
        <w:trPr>
          <w:trHeight w:val="29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EB00059" w14:textId="77777777" w:rsidR="00E90627" w:rsidRPr="00E90627" w:rsidRDefault="00E90627" w:rsidP="00E90627">
            <w:pPr>
              <w:spacing w:after="0" w:line="240" w:lineRule="auto"/>
              <w:rPr>
                <w:rFonts w:eastAsia="Times New Roman" w:cs="Calibri"/>
                <w:color w:val="000000"/>
                <w:sz w:val="14"/>
                <w:szCs w:val="14"/>
                <w:lang w:eastAsia="es-MX"/>
              </w:rPr>
            </w:pPr>
            <w:r w:rsidRPr="00E90627">
              <w:rPr>
                <w:rFonts w:eastAsia="Times New Roman" w:cs="Calibri"/>
                <w:color w:val="000000"/>
                <w:sz w:val="14"/>
                <w:szCs w:val="14"/>
                <w:lang w:eastAsia="es-MX"/>
              </w:rPr>
              <w:t>Contribuciones de Mejoras</w:t>
            </w:r>
          </w:p>
        </w:tc>
        <w:tc>
          <w:tcPr>
            <w:tcW w:w="1701" w:type="dxa"/>
            <w:tcBorders>
              <w:top w:val="nil"/>
              <w:left w:val="nil"/>
              <w:bottom w:val="single" w:sz="4" w:space="0" w:color="auto"/>
              <w:right w:val="single" w:sz="4" w:space="0" w:color="auto"/>
            </w:tcBorders>
            <w:shd w:val="clear" w:color="000000" w:fill="FFFFFF"/>
            <w:noWrap/>
            <w:vAlign w:val="center"/>
            <w:hideMark/>
          </w:tcPr>
          <w:p w14:paraId="310A2D8D"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0</w:t>
            </w:r>
          </w:p>
        </w:tc>
        <w:tc>
          <w:tcPr>
            <w:tcW w:w="1560" w:type="dxa"/>
            <w:tcBorders>
              <w:top w:val="nil"/>
              <w:left w:val="nil"/>
              <w:bottom w:val="single" w:sz="4" w:space="0" w:color="auto"/>
              <w:right w:val="single" w:sz="4" w:space="0" w:color="auto"/>
            </w:tcBorders>
            <w:shd w:val="clear" w:color="auto" w:fill="auto"/>
            <w:noWrap/>
            <w:vAlign w:val="center"/>
            <w:hideMark/>
          </w:tcPr>
          <w:p w14:paraId="6E823E2E"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0</w:t>
            </w:r>
          </w:p>
        </w:tc>
        <w:tc>
          <w:tcPr>
            <w:tcW w:w="1417" w:type="dxa"/>
            <w:tcBorders>
              <w:top w:val="nil"/>
              <w:left w:val="nil"/>
              <w:bottom w:val="single" w:sz="4" w:space="0" w:color="auto"/>
              <w:right w:val="single" w:sz="4" w:space="0" w:color="auto"/>
            </w:tcBorders>
            <w:shd w:val="clear" w:color="auto" w:fill="auto"/>
            <w:noWrap/>
            <w:vAlign w:val="center"/>
            <w:hideMark/>
          </w:tcPr>
          <w:p w14:paraId="15986140"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14:paraId="11D79584"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0.00%</w:t>
            </w:r>
          </w:p>
        </w:tc>
      </w:tr>
      <w:tr w:rsidR="00E90627" w:rsidRPr="00E90627" w14:paraId="6DCABF41" w14:textId="77777777" w:rsidTr="002808A4">
        <w:trPr>
          <w:trHeight w:val="29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FA48BCC" w14:textId="77777777" w:rsidR="00E90627" w:rsidRPr="00E90627" w:rsidRDefault="00E90627" w:rsidP="00E90627">
            <w:pPr>
              <w:spacing w:after="0" w:line="240" w:lineRule="auto"/>
              <w:rPr>
                <w:rFonts w:eastAsia="Times New Roman" w:cs="Calibri"/>
                <w:color w:val="000000"/>
                <w:sz w:val="14"/>
                <w:szCs w:val="14"/>
                <w:lang w:eastAsia="es-MX"/>
              </w:rPr>
            </w:pPr>
            <w:r w:rsidRPr="00E90627">
              <w:rPr>
                <w:rFonts w:eastAsia="Times New Roman" w:cs="Calibri"/>
                <w:color w:val="000000"/>
                <w:sz w:val="14"/>
                <w:szCs w:val="14"/>
                <w:lang w:eastAsia="es-MX"/>
              </w:rPr>
              <w:t xml:space="preserve"> Derechos </w:t>
            </w:r>
          </w:p>
        </w:tc>
        <w:tc>
          <w:tcPr>
            <w:tcW w:w="1701" w:type="dxa"/>
            <w:tcBorders>
              <w:top w:val="nil"/>
              <w:left w:val="nil"/>
              <w:bottom w:val="single" w:sz="4" w:space="0" w:color="auto"/>
              <w:right w:val="single" w:sz="4" w:space="0" w:color="auto"/>
            </w:tcBorders>
            <w:shd w:val="clear" w:color="000000" w:fill="FFFFFF"/>
            <w:noWrap/>
            <w:vAlign w:val="center"/>
            <w:hideMark/>
          </w:tcPr>
          <w:p w14:paraId="0693D78C"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2,967,740,859</w:t>
            </w:r>
          </w:p>
        </w:tc>
        <w:tc>
          <w:tcPr>
            <w:tcW w:w="1560" w:type="dxa"/>
            <w:tcBorders>
              <w:top w:val="nil"/>
              <w:left w:val="nil"/>
              <w:bottom w:val="single" w:sz="4" w:space="0" w:color="auto"/>
              <w:right w:val="single" w:sz="4" w:space="0" w:color="auto"/>
            </w:tcBorders>
            <w:shd w:val="clear" w:color="auto" w:fill="auto"/>
            <w:noWrap/>
            <w:vAlign w:val="center"/>
            <w:hideMark/>
          </w:tcPr>
          <w:p w14:paraId="70C0BF71"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2,285,320,112</w:t>
            </w:r>
          </w:p>
        </w:tc>
        <w:tc>
          <w:tcPr>
            <w:tcW w:w="1417" w:type="dxa"/>
            <w:tcBorders>
              <w:top w:val="nil"/>
              <w:left w:val="nil"/>
              <w:bottom w:val="single" w:sz="4" w:space="0" w:color="auto"/>
              <w:right w:val="single" w:sz="4" w:space="0" w:color="auto"/>
            </w:tcBorders>
            <w:shd w:val="clear" w:color="auto" w:fill="auto"/>
            <w:noWrap/>
            <w:vAlign w:val="center"/>
            <w:hideMark/>
          </w:tcPr>
          <w:p w14:paraId="2D7D4AFD"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682,420,747</w:t>
            </w:r>
          </w:p>
        </w:tc>
        <w:tc>
          <w:tcPr>
            <w:tcW w:w="1200" w:type="dxa"/>
            <w:tcBorders>
              <w:top w:val="nil"/>
              <w:left w:val="nil"/>
              <w:bottom w:val="single" w:sz="4" w:space="0" w:color="auto"/>
              <w:right w:val="single" w:sz="4" w:space="0" w:color="auto"/>
            </w:tcBorders>
            <w:shd w:val="clear" w:color="auto" w:fill="auto"/>
            <w:noWrap/>
            <w:vAlign w:val="center"/>
            <w:hideMark/>
          </w:tcPr>
          <w:p w14:paraId="3AB285FB"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29.86%</w:t>
            </w:r>
          </w:p>
        </w:tc>
      </w:tr>
      <w:tr w:rsidR="00E90627" w:rsidRPr="00E90627" w14:paraId="20687622" w14:textId="77777777" w:rsidTr="002808A4">
        <w:trPr>
          <w:trHeight w:val="29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6180EFC" w14:textId="77777777" w:rsidR="00E90627" w:rsidRPr="00E90627" w:rsidRDefault="00E90627" w:rsidP="00E90627">
            <w:pPr>
              <w:spacing w:after="0" w:line="240" w:lineRule="auto"/>
              <w:rPr>
                <w:rFonts w:eastAsia="Times New Roman" w:cs="Calibri"/>
                <w:color w:val="000000"/>
                <w:sz w:val="14"/>
                <w:szCs w:val="14"/>
                <w:lang w:eastAsia="es-MX"/>
              </w:rPr>
            </w:pPr>
            <w:r w:rsidRPr="00E90627">
              <w:rPr>
                <w:rFonts w:eastAsia="Times New Roman" w:cs="Calibri"/>
                <w:color w:val="000000"/>
                <w:sz w:val="14"/>
                <w:szCs w:val="14"/>
                <w:lang w:eastAsia="es-MX"/>
              </w:rPr>
              <w:t xml:space="preserve"> Productos </w:t>
            </w:r>
          </w:p>
        </w:tc>
        <w:tc>
          <w:tcPr>
            <w:tcW w:w="1701" w:type="dxa"/>
            <w:tcBorders>
              <w:top w:val="nil"/>
              <w:left w:val="nil"/>
              <w:bottom w:val="single" w:sz="4" w:space="0" w:color="auto"/>
              <w:right w:val="single" w:sz="4" w:space="0" w:color="auto"/>
            </w:tcBorders>
            <w:shd w:val="clear" w:color="000000" w:fill="FFFFFF"/>
            <w:noWrap/>
            <w:vAlign w:val="center"/>
            <w:hideMark/>
          </w:tcPr>
          <w:p w14:paraId="3403A274" w14:textId="30ABD0B5" w:rsidR="0070443B" w:rsidRPr="00E90627" w:rsidRDefault="0070443B" w:rsidP="0070443B">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240,527,604</w:t>
            </w:r>
          </w:p>
        </w:tc>
        <w:tc>
          <w:tcPr>
            <w:tcW w:w="1560" w:type="dxa"/>
            <w:tcBorders>
              <w:top w:val="nil"/>
              <w:left w:val="nil"/>
              <w:bottom w:val="single" w:sz="4" w:space="0" w:color="auto"/>
              <w:right w:val="single" w:sz="4" w:space="0" w:color="auto"/>
            </w:tcBorders>
            <w:shd w:val="clear" w:color="auto" w:fill="auto"/>
            <w:noWrap/>
            <w:vAlign w:val="center"/>
            <w:hideMark/>
          </w:tcPr>
          <w:p w14:paraId="0A7C0BDE"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247,094,179</w:t>
            </w:r>
          </w:p>
        </w:tc>
        <w:tc>
          <w:tcPr>
            <w:tcW w:w="1417" w:type="dxa"/>
            <w:tcBorders>
              <w:top w:val="nil"/>
              <w:left w:val="nil"/>
              <w:bottom w:val="single" w:sz="4" w:space="0" w:color="auto"/>
              <w:right w:val="single" w:sz="4" w:space="0" w:color="auto"/>
            </w:tcBorders>
            <w:shd w:val="clear" w:color="auto" w:fill="auto"/>
            <w:noWrap/>
            <w:vAlign w:val="center"/>
            <w:hideMark/>
          </w:tcPr>
          <w:p w14:paraId="53E00150"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-6,566,576</w:t>
            </w:r>
          </w:p>
        </w:tc>
        <w:tc>
          <w:tcPr>
            <w:tcW w:w="1200" w:type="dxa"/>
            <w:tcBorders>
              <w:top w:val="nil"/>
              <w:left w:val="nil"/>
              <w:bottom w:val="single" w:sz="4" w:space="0" w:color="auto"/>
              <w:right w:val="single" w:sz="4" w:space="0" w:color="auto"/>
            </w:tcBorders>
            <w:shd w:val="clear" w:color="auto" w:fill="auto"/>
            <w:noWrap/>
            <w:vAlign w:val="center"/>
            <w:hideMark/>
          </w:tcPr>
          <w:p w14:paraId="539F46B5"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-2.66%</w:t>
            </w:r>
          </w:p>
        </w:tc>
      </w:tr>
      <w:tr w:rsidR="00E90627" w:rsidRPr="00E90627" w14:paraId="61E2440D" w14:textId="77777777" w:rsidTr="002808A4">
        <w:trPr>
          <w:trHeight w:val="29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288AACD" w14:textId="77777777" w:rsidR="00E90627" w:rsidRPr="00E90627" w:rsidRDefault="00E90627" w:rsidP="00E90627">
            <w:pPr>
              <w:spacing w:after="0" w:line="240" w:lineRule="auto"/>
              <w:rPr>
                <w:rFonts w:eastAsia="Times New Roman" w:cs="Calibri"/>
                <w:color w:val="000000"/>
                <w:sz w:val="14"/>
                <w:szCs w:val="14"/>
                <w:lang w:eastAsia="es-MX"/>
              </w:rPr>
            </w:pPr>
            <w:r w:rsidRPr="00E90627">
              <w:rPr>
                <w:rFonts w:eastAsia="Times New Roman" w:cs="Calibri"/>
                <w:color w:val="000000"/>
                <w:sz w:val="14"/>
                <w:szCs w:val="14"/>
                <w:lang w:eastAsia="es-MX"/>
              </w:rPr>
              <w:t xml:space="preserve"> Aprovechamientos </w:t>
            </w:r>
          </w:p>
        </w:tc>
        <w:tc>
          <w:tcPr>
            <w:tcW w:w="1701" w:type="dxa"/>
            <w:tcBorders>
              <w:top w:val="nil"/>
              <w:left w:val="nil"/>
              <w:bottom w:val="single" w:sz="4" w:space="0" w:color="auto"/>
              <w:right w:val="single" w:sz="4" w:space="0" w:color="auto"/>
            </w:tcBorders>
            <w:shd w:val="clear" w:color="000000" w:fill="FFFFFF"/>
            <w:noWrap/>
            <w:vAlign w:val="center"/>
            <w:hideMark/>
          </w:tcPr>
          <w:p w14:paraId="300D5A02"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607,805,085</w:t>
            </w:r>
          </w:p>
        </w:tc>
        <w:tc>
          <w:tcPr>
            <w:tcW w:w="1560" w:type="dxa"/>
            <w:tcBorders>
              <w:top w:val="nil"/>
              <w:left w:val="nil"/>
              <w:bottom w:val="single" w:sz="4" w:space="0" w:color="auto"/>
              <w:right w:val="single" w:sz="4" w:space="0" w:color="auto"/>
            </w:tcBorders>
            <w:shd w:val="clear" w:color="auto" w:fill="auto"/>
            <w:noWrap/>
            <w:vAlign w:val="center"/>
            <w:hideMark/>
          </w:tcPr>
          <w:p w14:paraId="0B42C8E9"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437,860,621</w:t>
            </w:r>
          </w:p>
        </w:tc>
        <w:tc>
          <w:tcPr>
            <w:tcW w:w="1417" w:type="dxa"/>
            <w:tcBorders>
              <w:top w:val="nil"/>
              <w:left w:val="nil"/>
              <w:bottom w:val="single" w:sz="4" w:space="0" w:color="auto"/>
              <w:right w:val="single" w:sz="4" w:space="0" w:color="auto"/>
            </w:tcBorders>
            <w:shd w:val="clear" w:color="000000" w:fill="FFFFFF"/>
            <w:noWrap/>
            <w:vAlign w:val="center"/>
            <w:hideMark/>
          </w:tcPr>
          <w:p w14:paraId="1C223F61"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169,944,464</w:t>
            </w:r>
          </w:p>
        </w:tc>
        <w:tc>
          <w:tcPr>
            <w:tcW w:w="1200" w:type="dxa"/>
            <w:tcBorders>
              <w:top w:val="nil"/>
              <w:left w:val="nil"/>
              <w:bottom w:val="single" w:sz="4" w:space="0" w:color="auto"/>
              <w:right w:val="single" w:sz="4" w:space="0" w:color="auto"/>
            </w:tcBorders>
            <w:shd w:val="clear" w:color="auto" w:fill="auto"/>
            <w:noWrap/>
            <w:vAlign w:val="center"/>
            <w:hideMark/>
          </w:tcPr>
          <w:p w14:paraId="68E63092"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38.81%</w:t>
            </w:r>
          </w:p>
        </w:tc>
      </w:tr>
      <w:tr w:rsidR="00E90627" w:rsidRPr="00E90627" w14:paraId="1BE13C1E" w14:textId="77777777" w:rsidTr="002808A4">
        <w:trPr>
          <w:trHeight w:val="29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0599FF5" w14:textId="77777777" w:rsidR="00E90627" w:rsidRPr="00E90627" w:rsidRDefault="00E90627" w:rsidP="00E90627">
            <w:pPr>
              <w:spacing w:after="0" w:line="240" w:lineRule="auto"/>
              <w:rPr>
                <w:rFonts w:eastAsia="Times New Roman" w:cs="Calibri"/>
                <w:color w:val="000000"/>
                <w:sz w:val="20"/>
                <w:szCs w:val="20"/>
                <w:lang w:eastAsia="es-MX"/>
              </w:rPr>
            </w:pPr>
            <w:r w:rsidRPr="00E90627">
              <w:rPr>
                <w:rFonts w:eastAsia="Times New Roman" w:cs="Calibri"/>
                <w:color w:val="000000"/>
                <w:sz w:val="20"/>
                <w:szCs w:val="20"/>
                <w:lang w:eastAsia="es-MX"/>
              </w:rPr>
              <w:t> </w:t>
            </w:r>
          </w:p>
        </w:tc>
        <w:tc>
          <w:tcPr>
            <w:tcW w:w="1701" w:type="dxa"/>
            <w:tcBorders>
              <w:top w:val="nil"/>
              <w:left w:val="nil"/>
              <w:bottom w:val="single" w:sz="4" w:space="0" w:color="auto"/>
              <w:right w:val="single" w:sz="4" w:space="0" w:color="auto"/>
            </w:tcBorders>
            <w:shd w:val="clear" w:color="auto" w:fill="auto"/>
            <w:noWrap/>
            <w:vAlign w:val="center"/>
            <w:hideMark/>
          </w:tcPr>
          <w:p w14:paraId="495A4FCC" w14:textId="77777777" w:rsidR="00E90627" w:rsidRPr="00E90627" w:rsidRDefault="00E90627" w:rsidP="00E90627">
            <w:pPr>
              <w:spacing w:after="0" w:line="240" w:lineRule="auto"/>
              <w:rPr>
                <w:rFonts w:eastAsia="Times New Roman" w:cs="Calibri"/>
                <w:color w:val="000000"/>
                <w:sz w:val="20"/>
                <w:szCs w:val="20"/>
                <w:lang w:eastAsia="es-MX"/>
              </w:rPr>
            </w:pPr>
            <w:r w:rsidRPr="00E90627">
              <w:rPr>
                <w:rFonts w:eastAsia="Times New Roman" w:cs="Calibri"/>
                <w:color w:val="000000"/>
                <w:sz w:val="20"/>
                <w:szCs w:val="20"/>
                <w:lang w:eastAsia="es-MX"/>
              </w:rPr>
              <w:t> </w:t>
            </w:r>
          </w:p>
        </w:tc>
        <w:tc>
          <w:tcPr>
            <w:tcW w:w="1560" w:type="dxa"/>
            <w:tcBorders>
              <w:top w:val="nil"/>
              <w:left w:val="nil"/>
              <w:bottom w:val="single" w:sz="4" w:space="0" w:color="auto"/>
              <w:right w:val="single" w:sz="4" w:space="0" w:color="auto"/>
            </w:tcBorders>
            <w:shd w:val="clear" w:color="auto" w:fill="auto"/>
            <w:noWrap/>
            <w:vAlign w:val="center"/>
            <w:hideMark/>
          </w:tcPr>
          <w:p w14:paraId="28B41E20" w14:textId="77777777" w:rsidR="00E90627" w:rsidRPr="00E90627" w:rsidRDefault="00E90627" w:rsidP="00E90627">
            <w:pPr>
              <w:spacing w:after="0" w:line="240" w:lineRule="auto"/>
              <w:rPr>
                <w:rFonts w:eastAsia="Times New Roman" w:cs="Calibri"/>
                <w:color w:val="000000"/>
                <w:sz w:val="20"/>
                <w:szCs w:val="20"/>
                <w:lang w:eastAsia="es-MX"/>
              </w:rPr>
            </w:pPr>
            <w:r w:rsidRPr="00E90627">
              <w:rPr>
                <w:rFonts w:eastAsia="Times New Roman" w:cs="Calibri"/>
                <w:color w:val="000000"/>
                <w:sz w:val="20"/>
                <w:szCs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14:paraId="20F48360" w14:textId="77777777" w:rsidR="00E90627" w:rsidRPr="00E90627" w:rsidRDefault="00E90627" w:rsidP="00E90627">
            <w:pPr>
              <w:spacing w:after="0" w:line="240" w:lineRule="auto"/>
              <w:rPr>
                <w:rFonts w:eastAsia="Times New Roman" w:cs="Calibri"/>
                <w:color w:val="000000"/>
                <w:sz w:val="20"/>
                <w:szCs w:val="20"/>
                <w:lang w:eastAsia="es-MX"/>
              </w:rPr>
            </w:pPr>
            <w:r w:rsidRPr="00E90627">
              <w:rPr>
                <w:rFonts w:eastAsia="Times New Roman" w:cs="Calibri"/>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14:paraId="5F60B3DE" w14:textId="77777777" w:rsidR="00E90627" w:rsidRPr="00E90627" w:rsidRDefault="00E90627" w:rsidP="00E90627">
            <w:pPr>
              <w:spacing w:after="0" w:line="240" w:lineRule="auto"/>
              <w:rPr>
                <w:rFonts w:eastAsia="Times New Roman" w:cs="Calibri"/>
                <w:color w:val="000000"/>
                <w:sz w:val="20"/>
                <w:szCs w:val="20"/>
                <w:lang w:eastAsia="es-MX"/>
              </w:rPr>
            </w:pPr>
            <w:r w:rsidRPr="00E90627">
              <w:rPr>
                <w:rFonts w:eastAsia="Times New Roman" w:cs="Calibri"/>
                <w:color w:val="000000"/>
                <w:sz w:val="20"/>
                <w:szCs w:val="20"/>
                <w:lang w:eastAsia="es-MX"/>
              </w:rPr>
              <w:t> </w:t>
            </w:r>
          </w:p>
        </w:tc>
      </w:tr>
      <w:tr w:rsidR="00E90627" w:rsidRPr="00E90627" w14:paraId="7840A3D3" w14:textId="77777777" w:rsidTr="002808A4">
        <w:trPr>
          <w:trHeight w:val="290"/>
        </w:trPr>
        <w:tc>
          <w:tcPr>
            <w:tcW w:w="3539" w:type="dxa"/>
            <w:tcBorders>
              <w:top w:val="nil"/>
              <w:left w:val="single" w:sz="4" w:space="0" w:color="auto"/>
              <w:bottom w:val="single" w:sz="4" w:space="0" w:color="auto"/>
              <w:right w:val="single" w:sz="4" w:space="0" w:color="auto"/>
            </w:tcBorders>
            <w:shd w:val="clear" w:color="000000" w:fill="D9D9D9"/>
            <w:vAlign w:val="center"/>
            <w:hideMark/>
          </w:tcPr>
          <w:p w14:paraId="2ACC1707" w14:textId="77777777" w:rsidR="00E90627" w:rsidRPr="00E90627" w:rsidRDefault="00E90627" w:rsidP="00E90627">
            <w:pPr>
              <w:spacing w:after="0" w:line="240" w:lineRule="auto"/>
              <w:jc w:val="center"/>
              <w:rPr>
                <w:rFonts w:eastAsia="Times New Roman" w:cs="Calibri"/>
                <w:b/>
                <w:bCs/>
                <w:color w:val="000000"/>
                <w:sz w:val="14"/>
                <w:szCs w:val="14"/>
                <w:lang w:eastAsia="es-MX"/>
              </w:rPr>
            </w:pPr>
            <w:r w:rsidRPr="00E90627">
              <w:rPr>
                <w:rFonts w:eastAsia="Times New Roman" w:cs="Calibri"/>
                <w:b/>
                <w:bCs/>
                <w:color w:val="000000"/>
                <w:sz w:val="14"/>
                <w:szCs w:val="14"/>
                <w:lang w:eastAsia="es-MX"/>
              </w:rPr>
              <w:t xml:space="preserve"> Participaciones y Aportaciones </w:t>
            </w:r>
          </w:p>
        </w:tc>
        <w:tc>
          <w:tcPr>
            <w:tcW w:w="1701" w:type="dxa"/>
            <w:tcBorders>
              <w:top w:val="nil"/>
              <w:left w:val="nil"/>
              <w:bottom w:val="single" w:sz="4" w:space="0" w:color="auto"/>
              <w:right w:val="single" w:sz="4" w:space="0" w:color="auto"/>
            </w:tcBorders>
            <w:shd w:val="clear" w:color="000000" w:fill="D9D9D9"/>
            <w:vAlign w:val="center"/>
            <w:hideMark/>
          </w:tcPr>
          <w:p w14:paraId="729C2FFF" w14:textId="10B5B1AC" w:rsidR="00E90627" w:rsidRPr="00E90627" w:rsidRDefault="00E90627" w:rsidP="00E90627">
            <w:pPr>
              <w:spacing w:after="0" w:line="240" w:lineRule="auto"/>
              <w:jc w:val="right"/>
              <w:rPr>
                <w:rFonts w:eastAsia="Times New Roman" w:cs="Calibri"/>
                <w:b/>
                <w:bCs/>
                <w:color w:val="000000"/>
                <w:sz w:val="14"/>
                <w:szCs w:val="14"/>
                <w:lang w:eastAsia="es-MX"/>
              </w:rPr>
            </w:pPr>
            <w:r w:rsidRPr="00E90627">
              <w:rPr>
                <w:rFonts w:eastAsia="Times New Roman" w:cs="Calibri"/>
                <w:b/>
                <w:bCs/>
                <w:color w:val="000000"/>
                <w:sz w:val="14"/>
                <w:szCs w:val="14"/>
                <w:lang w:eastAsia="es-MX"/>
              </w:rPr>
              <w:t xml:space="preserve">           </w:t>
            </w:r>
            <w:r w:rsidR="0070443B">
              <w:rPr>
                <w:rFonts w:eastAsia="Times New Roman" w:cs="Calibri"/>
                <w:b/>
                <w:bCs/>
                <w:color w:val="000000"/>
                <w:sz w:val="14"/>
                <w:szCs w:val="14"/>
                <w:lang w:eastAsia="es-MX"/>
              </w:rPr>
              <w:t>60,566,568,803</w:t>
            </w:r>
            <w:r w:rsidRPr="00E90627">
              <w:rPr>
                <w:rFonts w:eastAsia="Times New Roman" w:cs="Calibri"/>
                <w:b/>
                <w:bCs/>
                <w:color w:val="000000"/>
                <w:sz w:val="14"/>
                <w:szCs w:val="14"/>
                <w:lang w:eastAsia="es-MX"/>
              </w:rPr>
              <w:t xml:space="preserve"> </w:t>
            </w:r>
          </w:p>
        </w:tc>
        <w:tc>
          <w:tcPr>
            <w:tcW w:w="1560" w:type="dxa"/>
            <w:tcBorders>
              <w:top w:val="nil"/>
              <w:left w:val="nil"/>
              <w:bottom w:val="single" w:sz="4" w:space="0" w:color="auto"/>
              <w:right w:val="single" w:sz="4" w:space="0" w:color="auto"/>
            </w:tcBorders>
            <w:shd w:val="clear" w:color="000000" w:fill="D9D9D9"/>
            <w:vAlign w:val="center"/>
            <w:hideMark/>
          </w:tcPr>
          <w:p w14:paraId="6CEA3C46" w14:textId="77777777" w:rsidR="00E90627" w:rsidRPr="00E90627" w:rsidRDefault="00E90627" w:rsidP="00E90627">
            <w:pPr>
              <w:spacing w:after="0" w:line="240" w:lineRule="auto"/>
              <w:jc w:val="right"/>
              <w:rPr>
                <w:rFonts w:eastAsia="Times New Roman" w:cs="Calibri"/>
                <w:b/>
                <w:bCs/>
                <w:color w:val="000000"/>
                <w:sz w:val="14"/>
                <w:szCs w:val="14"/>
                <w:lang w:eastAsia="es-MX"/>
              </w:rPr>
            </w:pPr>
            <w:r w:rsidRPr="00E90627">
              <w:rPr>
                <w:rFonts w:eastAsia="Times New Roman" w:cs="Calibri"/>
                <w:b/>
                <w:bCs/>
                <w:color w:val="000000"/>
                <w:sz w:val="14"/>
                <w:szCs w:val="14"/>
                <w:lang w:eastAsia="es-MX"/>
              </w:rPr>
              <w:t xml:space="preserve">             54,916,810,251 </w:t>
            </w:r>
          </w:p>
        </w:tc>
        <w:tc>
          <w:tcPr>
            <w:tcW w:w="1417" w:type="dxa"/>
            <w:tcBorders>
              <w:top w:val="nil"/>
              <w:left w:val="nil"/>
              <w:bottom w:val="single" w:sz="4" w:space="0" w:color="auto"/>
              <w:right w:val="single" w:sz="4" w:space="0" w:color="auto"/>
            </w:tcBorders>
            <w:shd w:val="clear" w:color="000000" w:fill="D9D9D9"/>
            <w:vAlign w:val="center"/>
            <w:hideMark/>
          </w:tcPr>
          <w:p w14:paraId="71174655" w14:textId="77777777" w:rsidR="00E90627" w:rsidRPr="00E90627" w:rsidRDefault="00E90627" w:rsidP="00E90627">
            <w:pPr>
              <w:spacing w:after="0" w:line="240" w:lineRule="auto"/>
              <w:jc w:val="center"/>
              <w:rPr>
                <w:rFonts w:eastAsia="Times New Roman" w:cs="Calibri"/>
                <w:b/>
                <w:bCs/>
                <w:color w:val="000000"/>
                <w:sz w:val="14"/>
                <w:szCs w:val="14"/>
                <w:lang w:eastAsia="es-MX"/>
              </w:rPr>
            </w:pPr>
            <w:r w:rsidRPr="00E90627">
              <w:rPr>
                <w:rFonts w:eastAsia="Times New Roman" w:cs="Calibri"/>
                <w:b/>
                <w:bCs/>
                <w:color w:val="000000"/>
                <w:sz w:val="14"/>
                <w:szCs w:val="14"/>
                <w:lang w:eastAsia="es-MX"/>
              </w:rPr>
              <w:t xml:space="preserve">         5,649,758,553 </w:t>
            </w:r>
          </w:p>
        </w:tc>
        <w:tc>
          <w:tcPr>
            <w:tcW w:w="1200" w:type="dxa"/>
            <w:tcBorders>
              <w:top w:val="nil"/>
              <w:left w:val="nil"/>
              <w:bottom w:val="single" w:sz="4" w:space="0" w:color="auto"/>
              <w:right w:val="single" w:sz="4" w:space="0" w:color="auto"/>
            </w:tcBorders>
            <w:shd w:val="clear" w:color="000000" w:fill="D9D9D9"/>
            <w:vAlign w:val="center"/>
            <w:hideMark/>
          </w:tcPr>
          <w:p w14:paraId="24F2234A" w14:textId="77777777" w:rsidR="00E90627" w:rsidRPr="00E90627" w:rsidRDefault="00E90627" w:rsidP="00E90627">
            <w:pPr>
              <w:spacing w:after="0" w:line="240" w:lineRule="auto"/>
              <w:jc w:val="right"/>
              <w:rPr>
                <w:rFonts w:eastAsia="Times New Roman" w:cs="Calibri"/>
                <w:b/>
                <w:bCs/>
                <w:color w:val="000000"/>
                <w:sz w:val="14"/>
                <w:szCs w:val="14"/>
                <w:lang w:eastAsia="es-MX"/>
              </w:rPr>
            </w:pPr>
            <w:r w:rsidRPr="00E90627">
              <w:rPr>
                <w:rFonts w:eastAsia="Times New Roman" w:cs="Calibri"/>
                <w:b/>
                <w:bCs/>
                <w:color w:val="000000"/>
                <w:sz w:val="14"/>
                <w:szCs w:val="14"/>
                <w:lang w:eastAsia="es-MX"/>
              </w:rPr>
              <w:t>10.29%</w:t>
            </w:r>
          </w:p>
        </w:tc>
      </w:tr>
      <w:tr w:rsidR="00E90627" w:rsidRPr="00E90627" w14:paraId="0E943FE5" w14:textId="77777777" w:rsidTr="002808A4">
        <w:trPr>
          <w:trHeight w:val="29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2D9BC9A" w14:textId="77777777" w:rsidR="00E90627" w:rsidRPr="00E90627" w:rsidRDefault="00E90627" w:rsidP="00E90627">
            <w:pPr>
              <w:spacing w:after="0" w:line="240" w:lineRule="auto"/>
              <w:rPr>
                <w:rFonts w:eastAsia="Times New Roman" w:cs="Calibri"/>
                <w:i/>
                <w:iCs/>
                <w:color w:val="333333"/>
                <w:sz w:val="14"/>
                <w:szCs w:val="14"/>
                <w:lang w:eastAsia="es-MX"/>
              </w:rPr>
            </w:pPr>
            <w:r w:rsidRPr="00E90627">
              <w:rPr>
                <w:rFonts w:eastAsia="Times New Roman" w:cs="Calibri"/>
                <w:i/>
                <w:iCs/>
                <w:color w:val="333333"/>
                <w:sz w:val="14"/>
                <w:szCs w:val="14"/>
                <w:lang w:eastAsia="es-MX"/>
              </w:rPr>
              <w:t xml:space="preserve">     Participaciones Federales </w:t>
            </w:r>
          </w:p>
        </w:tc>
        <w:tc>
          <w:tcPr>
            <w:tcW w:w="1701" w:type="dxa"/>
            <w:tcBorders>
              <w:top w:val="nil"/>
              <w:left w:val="nil"/>
              <w:bottom w:val="single" w:sz="4" w:space="0" w:color="auto"/>
              <w:right w:val="single" w:sz="4" w:space="0" w:color="auto"/>
            </w:tcBorders>
            <w:shd w:val="clear" w:color="000000" w:fill="FFFFFF"/>
            <w:noWrap/>
            <w:vAlign w:val="center"/>
            <w:hideMark/>
          </w:tcPr>
          <w:p w14:paraId="56254FF6"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27,529,625,268</w:t>
            </w:r>
          </w:p>
        </w:tc>
        <w:tc>
          <w:tcPr>
            <w:tcW w:w="1560" w:type="dxa"/>
            <w:tcBorders>
              <w:top w:val="nil"/>
              <w:left w:val="nil"/>
              <w:bottom w:val="single" w:sz="4" w:space="0" w:color="auto"/>
              <w:right w:val="single" w:sz="4" w:space="0" w:color="auto"/>
            </w:tcBorders>
            <w:shd w:val="clear" w:color="auto" w:fill="auto"/>
            <w:noWrap/>
            <w:vAlign w:val="center"/>
            <w:hideMark/>
          </w:tcPr>
          <w:p w14:paraId="70797F69"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24,440,843,888</w:t>
            </w:r>
          </w:p>
        </w:tc>
        <w:tc>
          <w:tcPr>
            <w:tcW w:w="1417" w:type="dxa"/>
            <w:tcBorders>
              <w:top w:val="nil"/>
              <w:left w:val="nil"/>
              <w:bottom w:val="single" w:sz="4" w:space="0" w:color="auto"/>
              <w:right w:val="single" w:sz="4" w:space="0" w:color="auto"/>
            </w:tcBorders>
            <w:shd w:val="clear" w:color="000000" w:fill="FFFFFF"/>
            <w:noWrap/>
            <w:vAlign w:val="center"/>
            <w:hideMark/>
          </w:tcPr>
          <w:p w14:paraId="0019C055"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3,088,781,380</w:t>
            </w:r>
          </w:p>
        </w:tc>
        <w:tc>
          <w:tcPr>
            <w:tcW w:w="1200" w:type="dxa"/>
            <w:tcBorders>
              <w:top w:val="nil"/>
              <w:left w:val="nil"/>
              <w:bottom w:val="single" w:sz="4" w:space="0" w:color="auto"/>
              <w:right w:val="single" w:sz="4" w:space="0" w:color="auto"/>
            </w:tcBorders>
            <w:shd w:val="clear" w:color="auto" w:fill="auto"/>
            <w:noWrap/>
            <w:vAlign w:val="center"/>
            <w:hideMark/>
          </w:tcPr>
          <w:p w14:paraId="76F4209E"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4.65%</w:t>
            </w:r>
          </w:p>
        </w:tc>
      </w:tr>
      <w:tr w:rsidR="00E90627" w:rsidRPr="00E90627" w14:paraId="2E0876CE" w14:textId="77777777" w:rsidTr="002808A4">
        <w:trPr>
          <w:trHeight w:val="29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863E412" w14:textId="77777777" w:rsidR="00E90627" w:rsidRPr="00E90627" w:rsidRDefault="00E90627" w:rsidP="00E90627">
            <w:pPr>
              <w:spacing w:after="0" w:line="240" w:lineRule="auto"/>
              <w:rPr>
                <w:rFonts w:eastAsia="Times New Roman" w:cs="Calibri"/>
                <w:i/>
                <w:iCs/>
                <w:color w:val="333333"/>
                <w:sz w:val="14"/>
                <w:szCs w:val="14"/>
                <w:lang w:eastAsia="es-MX"/>
              </w:rPr>
            </w:pPr>
            <w:r w:rsidRPr="00E90627">
              <w:rPr>
                <w:rFonts w:eastAsia="Times New Roman" w:cs="Calibri"/>
                <w:i/>
                <w:iCs/>
                <w:color w:val="333333"/>
                <w:sz w:val="14"/>
                <w:szCs w:val="14"/>
                <w:lang w:eastAsia="es-MX"/>
              </w:rPr>
              <w:t xml:space="preserve">     Aportaciones </w:t>
            </w:r>
          </w:p>
        </w:tc>
        <w:tc>
          <w:tcPr>
            <w:tcW w:w="1701" w:type="dxa"/>
            <w:tcBorders>
              <w:top w:val="nil"/>
              <w:left w:val="nil"/>
              <w:bottom w:val="single" w:sz="4" w:space="0" w:color="auto"/>
              <w:right w:val="single" w:sz="4" w:space="0" w:color="auto"/>
            </w:tcBorders>
            <w:shd w:val="clear" w:color="000000" w:fill="FFFFFF"/>
            <w:noWrap/>
            <w:vAlign w:val="center"/>
            <w:hideMark/>
          </w:tcPr>
          <w:p w14:paraId="5B316300"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25,005,593,058</w:t>
            </w:r>
          </w:p>
        </w:tc>
        <w:tc>
          <w:tcPr>
            <w:tcW w:w="1560" w:type="dxa"/>
            <w:tcBorders>
              <w:top w:val="nil"/>
              <w:left w:val="nil"/>
              <w:bottom w:val="single" w:sz="4" w:space="0" w:color="auto"/>
              <w:right w:val="single" w:sz="4" w:space="0" w:color="auto"/>
            </w:tcBorders>
            <w:shd w:val="clear" w:color="auto" w:fill="auto"/>
            <w:noWrap/>
            <w:vAlign w:val="center"/>
            <w:hideMark/>
          </w:tcPr>
          <w:p w14:paraId="10AFD663"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23,191,917,713</w:t>
            </w:r>
          </w:p>
        </w:tc>
        <w:tc>
          <w:tcPr>
            <w:tcW w:w="1417" w:type="dxa"/>
            <w:tcBorders>
              <w:top w:val="nil"/>
              <w:left w:val="nil"/>
              <w:bottom w:val="single" w:sz="4" w:space="0" w:color="auto"/>
              <w:right w:val="single" w:sz="4" w:space="0" w:color="auto"/>
            </w:tcBorders>
            <w:shd w:val="clear" w:color="000000" w:fill="FFFFFF"/>
            <w:noWrap/>
            <w:vAlign w:val="center"/>
            <w:hideMark/>
          </w:tcPr>
          <w:p w14:paraId="44C05035"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1,813,675,345</w:t>
            </w:r>
          </w:p>
        </w:tc>
        <w:tc>
          <w:tcPr>
            <w:tcW w:w="1200" w:type="dxa"/>
            <w:tcBorders>
              <w:top w:val="nil"/>
              <w:left w:val="nil"/>
              <w:bottom w:val="single" w:sz="4" w:space="0" w:color="auto"/>
              <w:right w:val="single" w:sz="4" w:space="0" w:color="auto"/>
            </w:tcBorders>
            <w:shd w:val="clear" w:color="auto" w:fill="auto"/>
            <w:noWrap/>
            <w:vAlign w:val="center"/>
            <w:hideMark/>
          </w:tcPr>
          <w:p w14:paraId="20D1DC98"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2.73%</w:t>
            </w:r>
          </w:p>
        </w:tc>
      </w:tr>
      <w:tr w:rsidR="00E90627" w:rsidRPr="00E90627" w14:paraId="0EFD10D7" w14:textId="77777777" w:rsidTr="002808A4">
        <w:trPr>
          <w:trHeight w:val="29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5C29089" w14:textId="77777777" w:rsidR="00E90627" w:rsidRPr="00E90627" w:rsidRDefault="00E90627" w:rsidP="00E90627">
            <w:pPr>
              <w:spacing w:after="0" w:line="240" w:lineRule="auto"/>
              <w:rPr>
                <w:rFonts w:eastAsia="Times New Roman" w:cs="Calibri"/>
                <w:i/>
                <w:iCs/>
                <w:color w:val="333333"/>
                <w:sz w:val="14"/>
                <w:szCs w:val="14"/>
                <w:lang w:eastAsia="es-MX"/>
              </w:rPr>
            </w:pPr>
            <w:r w:rsidRPr="00E90627">
              <w:rPr>
                <w:rFonts w:eastAsia="Times New Roman" w:cs="Calibri"/>
                <w:i/>
                <w:iCs/>
                <w:color w:val="333333"/>
                <w:sz w:val="14"/>
                <w:szCs w:val="14"/>
                <w:lang w:eastAsia="es-MX"/>
              </w:rPr>
              <w:t xml:space="preserve">     Convenios </w:t>
            </w:r>
          </w:p>
        </w:tc>
        <w:tc>
          <w:tcPr>
            <w:tcW w:w="1701" w:type="dxa"/>
            <w:tcBorders>
              <w:top w:val="nil"/>
              <w:left w:val="nil"/>
              <w:bottom w:val="single" w:sz="4" w:space="0" w:color="auto"/>
              <w:right w:val="single" w:sz="4" w:space="0" w:color="auto"/>
            </w:tcBorders>
            <w:shd w:val="clear" w:color="000000" w:fill="FFFFFF"/>
            <w:noWrap/>
            <w:vAlign w:val="center"/>
            <w:hideMark/>
          </w:tcPr>
          <w:p w14:paraId="642F871F"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5,341,148,146</w:t>
            </w:r>
          </w:p>
        </w:tc>
        <w:tc>
          <w:tcPr>
            <w:tcW w:w="1560" w:type="dxa"/>
            <w:tcBorders>
              <w:top w:val="nil"/>
              <w:left w:val="nil"/>
              <w:bottom w:val="single" w:sz="4" w:space="0" w:color="auto"/>
              <w:right w:val="single" w:sz="4" w:space="0" w:color="auto"/>
            </w:tcBorders>
            <w:shd w:val="clear" w:color="auto" w:fill="auto"/>
            <w:noWrap/>
            <w:vAlign w:val="center"/>
            <w:hideMark/>
          </w:tcPr>
          <w:p w14:paraId="0E5FA8AD"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4,888,873,004</w:t>
            </w:r>
          </w:p>
        </w:tc>
        <w:tc>
          <w:tcPr>
            <w:tcW w:w="1417" w:type="dxa"/>
            <w:tcBorders>
              <w:top w:val="nil"/>
              <w:left w:val="nil"/>
              <w:bottom w:val="single" w:sz="4" w:space="0" w:color="auto"/>
              <w:right w:val="single" w:sz="4" w:space="0" w:color="auto"/>
            </w:tcBorders>
            <w:shd w:val="clear" w:color="000000" w:fill="FFFFFF"/>
            <w:noWrap/>
            <w:vAlign w:val="center"/>
            <w:hideMark/>
          </w:tcPr>
          <w:p w14:paraId="06D6A45B"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452,275,142</w:t>
            </w:r>
          </w:p>
        </w:tc>
        <w:tc>
          <w:tcPr>
            <w:tcW w:w="1200" w:type="dxa"/>
            <w:tcBorders>
              <w:top w:val="nil"/>
              <w:left w:val="nil"/>
              <w:bottom w:val="single" w:sz="4" w:space="0" w:color="auto"/>
              <w:right w:val="single" w:sz="4" w:space="0" w:color="auto"/>
            </w:tcBorders>
            <w:shd w:val="clear" w:color="auto" w:fill="auto"/>
            <w:noWrap/>
            <w:vAlign w:val="center"/>
            <w:hideMark/>
          </w:tcPr>
          <w:p w14:paraId="736BF0AD"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0.68%</w:t>
            </w:r>
          </w:p>
        </w:tc>
      </w:tr>
      <w:tr w:rsidR="00E90627" w:rsidRPr="00E90627" w14:paraId="5FB01556" w14:textId="77777777" w:rsidTr="002808A4">
        <w:trPr>
          <w:trHeight w:val="29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D7BC27A" w14:textId="77777777" w:rsidR="00E90627" w:rsidRPr="00E90627" w:rsidRDefault="00E90627" w:rsidP="00E90627">
            <w:pPr>
              <w:spacing w:after="0" w:line="240" w:lineRule="auto"/>
              <w:rPr>
                <w:rFonts w:eastAsia="Times New Roman" w:cs="Calibri"/>
                <w:i/>
                <w:iCs/>
                <w:color w:val="333333"/>
                <w:sz w:val="14"/>
                <w:szCs w:val="14"/>
                <w:lang w:eastAsia="es-MX"/>
              </w:rPr>
            </w:pPr>
            <w:r w:rsidRPr="00E90627">
              <w:rPr>
                <w:rFonts w:eastAsia="Times New Roman" w:cs="Calibri"/>
                <w:i/>
                <w:iCs/>
                <w:color w:val="333333"/>
                <w:sz w:val="14"/>
                <w:szCs w:val="14"/>
                <w:lang w:eastAsia="es-MX"/>
              </w:rPr>
              <w:t>Incentivos Derivados de la Colaboración Fiscal</w:t>
            </w:r>
          </w:p>
        </w:tc>
        <w:tc>
          <w:tcPr>
            <w:tcW w:w="1701" w:type="dxa"/>
            <w:tcBorders>
              <w:top w:val="nil"/>
              <w:left w:val="nil"/>
              <w:bottom w:val="single" w:sz="4" w:space="0" w:color="auto"/>
              <w:right w:val="single" w:sz="4" w:space="0" w:color="auto"/>
            </w:tcBorders>
            <w:shd w:val="clear" w:color="000000" w:fill="FFFFFF"/>
            <w:noWrap/>
            <w:vAlign w:val="center"/>
            <w:hideMark/>
          </w:tcPr>
          <w:p w14:paraId="2FE088E7" w14:textId="1856712D" w:rsidR="00E90627" w:rsidRPr="00E90627" w:rsidRDefault="0070443B" w:rsidP="00E90627">
            <w:pPr>
              <w:spacing w:after="0" w:line="240" w:lineRule="auto"/>
              <w:jc w:val="right"/>
              <w:rPr>
                <w:rFonts w:eastAsia="Times New Roman" w:cs="Calibri"/>
                <w:color w:val="000000"/>
                <w:sz w:val="14"/>
                <w:szCs w:val="14"/>
                <w:lang w:eastAsia="es-MX"/>
              </w:rPr>
            </w:pPr>
            <w:r>
              <w:rPr>
                <w:rFonts w:eastAsia="Times New Roman" w:cs="Calibri"/>
                <w:color w:val="000000"/>
                <w:sz w:val="14"/>
                <w:szCs w:val="14"/>
                <w:lang w:eastAsia="es-MX"/>
              </w:rPr>
              <w:t>992,273,238</w:t>
            </w:r>
          </w:p>
        </w:tc>
        <w:tc>
          <w:tcPr>
            <w:tcW w:w="1560" w:type="dxa"/>
            <w:tcBorders>
              <w:top w:val="nil"/>
              <w:left w:val="nil"/>
              <w:bottom w:val="single" w:sz="4" w:space="0" w:color="auto"/>
              <w:right w:val="single" w:sz="4" w:space="0" w:color="auto"/>
            </w:tcBorders>
            <w:shd w:val="clear" w:color="auto" w:fill="auto"/>
            <w:noWrap/>
            <w:vAlign w:val="center"/>
            <w:hideMark/>
          </w:tcPr>
          <w:p w14:paraId="53F0E3CD"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880,047,098</w:t>
            </w:r>
          </w:p>
        </w:tc>
        <w:tc>
          <w:tcPr>
            <w:tcW w:w="1417" w:type="dxa"/>
            <w:tcBorders>
              <w:top w:val="nil"/>
              <w:left w:val="nil"/>
              <w:bottom w:val="single" w:sz="4" w:space="0" w:color="auto"/>
              <w:right w:val="single" w:sz="4" w:space="0" w:color="auto"/>
            </w:tcBorders>
            <w:shd w:val="clear" w:color="000000" w:fill="FFFFFF"/>
            <w:noWrap/>
            <w:vAlign w:val="center"/>
            <w:hideMark/>
          </w:tcPr>
          <w:p w14:paraId="5B60202A"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112,226,141</w:t>
            </w:r>
          </w:p>
        </w:tc>
        <w:tc>
          <w:tcPr>
            <w:tcW w:w="1200" w:type="dxa"/>
            <w:tcBorders>
              <w:top w:val="nil"/>
              <w:left w:val="nil"/>
              <w:bottom w:val="single" w:sz="4" w:space="0" w:color="auto"/>
              <w:right w:val="single" w:sz="4" w:space="0" w:color="auto"/>
            </w:tcBorders>
            <w:shd w:val="clear" w:color="auto" w:fill="auto"/>
            <w:noWrap/>
            <w:vAlign w:val="center"/>
            <w:hideMark/>
          </w:tcPr>
          <w:p w14:paraId="11BECC4B"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0.17%</w:t>
            </w:r>
          </w:p>
        </w:tc>
      </w:tr>
      <w:tr w:rsidR="00E90627" w:rsidRPr="00E90627" w14:paraId="0000F65C" w14:textId="77777777" w:rsidTr="002808A4">
        <w:trPr>
          <w:trHeight w:val="29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12F7803" w14:textId="77777777" w:rsidR="00E90627" w:rsidRPr="00E90627" w:rsidRDefault="00E90627" w:rsidP="00E90627">
            <w:pPr>
              <w:spacing w:after="0" w:line="240" w:lineRule="auto"/>
              <w:rPr>
                <w:rFonts w:eastAsia="Times New Roman" w:cs="Calibri"/>
                <w:i/>
                <w:iCs/>
                <w:color w:val="333333"/>
                <w:sz w:val="14"/>
                <w:szCs w:val="14"/>
                <w:lang w:eastAsia="es-MX"/>
              </w:rPr>
            </w:pPr>
            <w:r w:rsidRPr="00E90627">
              <w:rPr>
                <w:rFonts w:eastAsia="Times New Roman" w:cs="Calibri"/>
                <w:i/>
                <w:iCs/>
                <w:color w:val="333333"/>
                <w:sz w:val="14"/>
                <w:szCs w:val="14"/>
                <w:lang w:eastAsia="es-MX"/>
              </w:rPr>
              <w:t>Fondos Distintos de Aportaciones</w:t>
            </w:r>
          </w:p>
        </w:tc>
        <w:tc>
          <w:tcPr>
            <w:tcW w:w="1701" w:type="dxa"/>
            <w:tcBorders>
              <w:top w:val="nil"/>
              <w:left w:val="nil"/>
              <w:bottom w:val="single" w:sz="4" w:space="0" w:color="auto"/>
              <w:right w:val="single" w:sz="4" w:space="0" w:color="auto"/>
            </w:tcBorders>
            <w:shd w:val="clear" w:color="000000" w:fill="FFFFFF"/>
            <w:noWrap/>
            <w:vAlign w:val="center"/>
            <w:hideMark/>
          </w:tcPr>
          <w:p w14:paraId="151BB08F"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1,697,929,093</w:t>
            </w:r>
          </w:p>
        </w:tc>
        <w:tc>
          <w:tcPr>
            <w:tcW w:w="1560" w:type="dxa"/>
            <w:tcBorders>
              <w:top w:val="nil"/>
              <w:left w:val="nil"/>
              <w:bottom w:val="single" w:sz="4" w:space="0" w:color="auto"/>
              <w:right w:val="single" w:sz="4" w:space="0" w:color="auto"/>
            </w:tcBorders>
            <w:shd w:val="clear" w:color="auto" w:fill="auto"/>
            <w:noWrap/>
            <w:vAlign w:val="center"/>
            <w:hideMark/>
          </w:tcPr>
          <w:p w14:paraId="62510A88"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1,515,128,548</w:t>
            </w:r>
          </w:p>
        </w:tc>
        <w:tc>
          <w:tcPr>
            <w:tcW w:w="1417" w:type="dxa"/>
            <w:tcBorders>
              <w:top w:val="nil"/>
              <w:left w:val="nil"/>
              <w:bottom w:val="single" w:sz="4" w:space="0" w:color="auto"/>
              <w:right w:val="single" w:sz="4" w:space="0" w:color="auto"/>
            </w:tcBorders>
            <w:shd w:val="clear" w:color="000000" w:fill="FFFFFF"/>
            <w:noWrap/>
            <w:vAlign w:val="center"/>
            <w:hideMark/>
          </w:tcPr>
          <w:p w14:paraId="5A0DEBAB"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182,800,545</w:t>
            </w:r>
          </w:p>
        </w:tc>
        <w:tc>
          <w:tcPr>
            <w:tcW w:w="1200" w:type="dxa"/>
            <w:tcBorders>
              <w:top w:val="nil"/>
              <w:left w:val="nil"/>
              <w:bottom w:val="single" w:sz="4" w:space="0" w:color="auto"/>
              <w:right w:val="single" w:sz="4" w:space="0" w:color="auto"/>
            </w:tcBorders>
            <w:shd w:val="clear" w:color="auto" w:fill="auto"/>
            <w:noWrap/>
            <w:vAlign w:val="center"/>
            <w:hideMark/>
          </w:tcPr>
          <w:p w14:paraId="6316E2A0" w14:textId="77777777" w:rsidR="00E90627" w:rsidRPr="00E90627" w:rsidRDefault="00E90627" w:rsidP="00E90627">
            <w:pPr>
              <w:spacing w:after="0" w:line="240" w:lineRule="auto"/>
              <w:jc w:val="right"/>
              <w:rPr>
                <w:rFonts w:eastAsia="Times New Roman" w:cs="Calibri"/>
                <w:color w:val="000000"/>
                <w:sz w:val="14"/>
                <w:szCs w:val="14"/>
                <w:lang w:eastAsia="es-MX"/>
              </w:rPr>
            </w:pPr>
            <w:r w:rsidRPr="00E90627">
              <w:rPr>
                <w:rFonts w:eastAsia="Times New Roman" w:cs="Calibri"/>
                <w:color w:val="000000"/>
                <w:sz w:val="14"/>
                <w:szCs w:val="14"/>
                <w:lang w:eastAsia="es-MX"/>
              </w:rPr>
              <w:t>0.28%</w:t>
            </w:r>
          </w:p>
        </w:tc>
      </w:tr>
      <w:tr w:rsidR="00E90627" w:rsidRPr="002D1E75" w14:paraId="1A83ABFA" w14:textId="77777777" w:rsidTr="002808A4">
        <w:trPr>
          <w:trHeight w:val="290"/>
        </w:trPr>
        <w:tc>
          <w:tcPr>
            <w:tcW w:w="3539" w:type="dxa"/>
            <w:tcBorders>
              <w:top w:val="nil"/>
              <w:left w:val="single" w:sz="4" w:space="0" w:color="auto"/>
              <w:bottom w:val="single" w:sz="4" w:space="0" w:color="auto"/>
              <w:right w:val="single" w:sz="4" w:space="0" w:color="auto"/>
            </w:tcBorders>
            <w:shd w:val="clear" w:color="000000" w:fill="D9D9D9"/>
            <w:noWrap/>
            <w:vAlign w:val="center"/>
            <w:hideMark/>
          </w:tcPr>
          <w:p w14:paraId="3FF7DFEB" w14:textId="77777777" w:rsidR="00E90627" w:rsidRPr="002D1E75" w:rsidRDefault="00E90627" w:rsidP="00E90627">
            <w:pPr>
              <w:spacing w:after="0" w:line="240" w:lineRule="auto"/>
              <w:rPr>
                <w:rFonts w:eastAsia="Times New Roman" w:cs="Calibri"/>
                <w:b/>
                <w:bCs/>
                <w:color w:val="000000"/>
                <w:sz w:val="14"/>
                <w:szCs w:val="16"/>
                <w:lang w:eastAsia="es-MX"/>
              </w:rPr>
            </w:pPr>
            <w:r w:rsidRPr="002D1E75">
              <w:rPr>
                <w:rFonts w:eastAsia="Times New Roman" w:cs="Calibri"/>
                <w:b/>
                <w:bCs/>
                <w:color w:val="000000"/>
                <w:sz w:val="14"/>
                <w:szCs w:val="16"/>
                <w:lang w:eastAsia="es-MX"/>
              </w:rPr>
              <w:t>Ingresos por Financiamiento</w:t>
            </w:r>
          </w:p>
        </w:tc>
        <w:tc>
          <w:tcPr>
            <w:tcW w:w="1701" w:type="dxa"/>
            <w:tcBorders>
              <w:top w:val="nil"/>
              <w:left w:val="nil"/>
              <w:bottom w:val="single" w:sz="4" w:space="0" w:color="auto"/>
              <w:right w:val="single" w:sz="4" w:space="0" w:color="auto"/>
            </w:tcBorders>
            <w:shd w:val="clear" w:color="000000" w:fill="D9D9D9"/>
            <w:noWrap/>
            <w:vAlign w:val="center"/>
            <w:hideMark/>
          </w:tcPr>
          <w:p w14:paraId="23561291" w14:textId="77777777" w:rsidR="00E90627" w:rsidRPr="002D1E75" w:rsidRDefault="00E90627" w:rsidP="00E90627">
            <w:pPr>
              <w:spacing w:after="0" w:line="240" w:lineRule="auto"/>
              <w:jc w:val="right"/>
              <w:rPr>
                <w:rFonts w:eastAsia="Times New Roman" w:cs="Calibri"/>
                <w:b/>
                <w:bCs/>
                <w:color w:val="000000"/>
                <w:sz w:val="14"/>
                <w:szCs w:val="16"/>
                <w:lang w:eastAsia="es-MX"/>
              </w:rPr>
            </w:pPr>
            <w:r w:rsidRPr="002D1E75">
              <w:rPr>
                <w:rFonts w:eastAsia="Times New Roman" w:cs="Calibri"/>
                <w:b/>
                <w:bCs/>
                <w:color w:val="000000"/>
                <w:sz w:val="14"/>
                <w:szCs w:val="16"/>
                <w:lang w:eastAsia="es-MX"/>
              </w:rPr>
              <w:t>1,863,000,000</w:t>
            </w:r>
          </w:p>
        </w:tc>
        <w:tc>
          <w:tcPr>
            <w:tcW w:w="1560" w:type="dxa"/>
            <w:tcBorders>
              <w:top w:val="nil"/>
              <w:left w:val="nil"/>
              <w:bottom w:val="single" w:sz="4" w:space="0" w:color="auto"/>
              <w:right w:val="single" w:sz="4" w:space="0" w:color="auto"/>
            </w:tcBorders>
            <w:shd w:val="clear" w:color="000000" w:fill="D9D9D9"/>
            <w:noWrap/>
            <w:vAlign w:val="center"/>
            <w:hideMark/>
          </w:tcPr>
          <w:p w14:paraId="3812FDEC" w14:textId="77777777" w:rsidR="00E90627" w:rsidRPr="002D1E75" w:rsidRDefault="00E90627" w:rsidP="00E90627">
            <w:pPr>
              <w:spacing w:after="0" w:line="240" w:lineRule="auto"/>
              <w:jc w:val="right"/>
              <w:rPr>
                <w:rFonts w:eastAsia="Times New Roman" w:cs="Calibri"/>
                <w:b/>
                <w:bCs/>
                <w:color w:val="000000"/>
                <w:sz w:val="14"/>
                <w:szCs w:val="16"/>
                <w:lang w:eastAsia="es-MX"/>
              </w:rPr>
            </w:pPr>
            <w:r w:rsidRPr="002D1E75">
              <w:rPr>
                <w:rFonts w:eastAsia="Times New Roman" w:cs="Calibri"/>
                <w:b/>
                <w:bCs/>
                <w:color w:val="000000"/>
                <w:sz w:val="14"/>
                <w:szCs w:val="16"/>
                <w:lang w:eastAsia="es-MX"/>
              </w:rPr>
              <w:t>3,452,000,000</w:t>
            </w:r>
          </w:p>
        </w:tc>
        <w:tc>
          <w:tcPr>
            <w:tcW w:w="1417" w:type="dxa"/>
            <w:tcBorders>
              <w:top w:val="nil"/>
              <w:left w:val="nil"/>
              <w:bottom w:val="single" w:sz="4" w:space="0" w:color="auto"/>
              <w:right w:val="single" w:sz="4" w:space="0" w:color="auto"/>
            </w:tcBorders>
            <w:shd w:val="clear" w:color="000000" w:fill="D9D9D9"/>
            <w:noWrap/>
            <w:vAlign w:val="center"/>
            <w:hideMark/>
          </w:tcPr>
          <w:p w14:paraId="4BA417E2" w14:textId="77777777" w:rsidR="00E90627" w:rsidRPr="002D1E75" w:rsidRDefault="00E90627" w:rsidP="00E90627">
            <w:pPr>
              <w:spacing w:after="0" w:line="240" w:lineRule="auto"/>
              <w:jc w:val="right"/>
              <w:rPr>
                <w:rFonts w:eastAsia="Times New Roman" w:cs="Calibri"/>
                <w:color w:val="000000"/>
                <w:sz w:val="14"/>
                <w:szCs w:val="14"/>
                <w:lang w:eastAsia="es-MX"/>
              </w:rPr>
            </w:pPr>
            <w:r w:rsidRPr="002D1E75">
              <w:rPr>
                <w:rFonts w:eastAsia="Times New Roman" w:cs="Calibri"/>
                <w:color w:val="000000"/>
                <w:sz w:val="14"/>
                <w:szCs w:val="14"/>
                <w:lang w:eastAsia="es-MX"/>
              </w:rPr>
              <w:t> </w:t>
            </w:r>
          </w:p>
        </w:tc>
        <w:tc>
          <w:tcPr>
            <w:tcW w:w="1200" w:type="dxa"/>
            <w:tcBorders>
              <w:top w:val="nil"/>
              <w:left w:val="nil"/>
              <w:bottom w:val="single" w:sz="4" w:space="0" w:color="auto"/>
              <w:right w:val="single" w:sz="4" w:space="0" w:color="auto"/>
            </w:tcBorders>
            <w:shd w:val="clear" w:color="000000" w:fill="D9D9D9"/>
            <w:noWrap/>
            <w:vAlign w:val="center"/>
            <w:hideMark/>
          </w:tcPr>
          <w:p w14:paraId="71350813" w14:textId="77777777" w:rsidR="00E90627" w:rsidRPr="002D1E75" w:rsidRDefault="00E90627" w:rsidP="00E90627">
            <w:pPr>
              <w:spacing w:after="0" w:line="240" w:lineRule="auto"/>
              <w:jc w:val="right"/>
              <w:rPr>
                <w:rFonts w:eastAsia="Times New Roman" w:cs="Calibri"/>
                <w:color w:val="000000"/>
                <w:sz w:val="14"/>
                <w:szCs w:val="14"/>
                <w:lang w:eastAsia="es-MX"/>
              </w:rPr>
            </w:pPr>
            <w:r w:rsidRPr="002D1E75">
              <w:rPr>
                <w:rFonts w:eastAsia="Times New Roman" w:cs="Calibri"/>
                <w:color w:val="000000"/>
                <w:sz w:val="14"/>
                <w:szCs w:val="14"/>
                <w:lang w:eastAsia="es-MX"/>
              </w:rPr>
              <w:t> </w:t>
            </w:r>
          </w:p>
        </w:tc>
      </w:tr>
      <w:tr w:rsidR="00E90627" w:rsidRPr="002D1E75" w14:paraId="5A28823C" w14:textId="77777777" w:rsidTr="002808A4">
        <w:trPr>
          <w:trHeight w:val="300"/>
        </w:trPr>
        <w:tc>
          <w:tcPr>
            <w:tcW w:w="3539" w:type="dxa"/>
            <w:tcBorders>
              <w:top w:val="nil"/>
              <w:left w:val="single" w:sz="4" w:space="0" w:color="auto"/>
              <w:bottom w:val="single" w:sz="4" w:space="0" w:color="auto"/>
              <w:right w:val="single" w:sz="4" w:space="0" w:color="auto"/>
            </w:tcBorders>
            <w:shd w:val="clear" w:color="000000" w:fill="DDC9A3"/>
            <w:vAlign w:val="center"/>
            <w:hideMark/>
          </w:tcPr>
          <w:p w14:paraId="48695F06" w14:textId="77777777" w:rsidR="00E90627" w:rsidRPr="002D1E75" w:rsidRDefault="00E90627" w:rsidP="00E90627">
            <w:pPr>
              <w:spacing w:after="0" w:line="240" w:lineRule="auto"/>
              <w:jc w:val="center"/>
              <w:rPr>
                <w:rFonts w:eastAsia="Times New Roman" w:cs="Calibri"/>
                <w:b/>
                <w:bCs/>
                <w:color w:val="000000"/>
                <w:sz w:val="16"/>
                <w:szCs w:val="16"/>
                <w:lang w:eastAsia="es-MX"/>
              </w:rPr>
            </w:pPr>
            <w:r w:rsidRPr="002D1E75">
              <w:rPr>
                <w:rFonts w:eastAsia="Times New Roman" w:cs="Calibri"/>
                <w:b/>
                <w:bCs/>
                <w:color w:val="000000"/>
                <w:sz w:val="16"/>
                <w:szCs w:val="16"/>
                <w:lang w:eastAsia="es-MX"/>
              </w:rPr>
              <w:t>Total de Ingresos Presupuestarios</w:t>
            </w:r>
          </w:p>
        </w:tc>
        <w:tc>
          <w:tcPr>
            <w:tcW w:w="1701" w:type="dxa"/>
            <w:tcBorders>
              <w:top w:val="nil"/>
              <w:left w:val="nil"/>
              <w:bottom w:val="single" w:sz="4" w:space="0" w:color="auto"/>
              <w:right w:val="single" w:sz="4" w:space="0" w:color="auto"/>
            </w:tcBorders>
            <w:shd w:val="clear" w:color="000000" w:fill="DDC9A3"/>
            <w:vAlign w:val="center"/>
            <w:hideMark/>
          </w:tcPr>
          <w:p w14:paraId="0D6F54C8" w14:textId="77777777" w:rsidR="00E90627" w:rsidRPr="002D1E75" w:rsidRDefault="00E90627" w:rsidP="00E90627">
            <w:pPr>
              <w:spacing w:after="0" w:line="240" w:lineRule="auto"/>
              <w:jc w:val="right"/>
              <w:rPr>
                <w:rFonts w:eastAsia="Times New Roman" w:cs="Calibri"/>
                <w:b/>
                <w:bCs/>
                <w:color w:val="000000"/>
                <w:sz w:val="16"/>
                <w:szCs w:val="16"/>
                <w:lang w:eastAsia="es-MX"/>
              </w:rPr>
            </w:pPr>
            <w:r w:rsidRPr="002D1E75">
              <w:rPr>
                <w:rFonts w:eastAsia="Times New Roman" w:cs="Calibri"/>
                <w:b/>
                <w:bCs/>
                <w:color w:val="000000"/>
                <w:sz w:val="16"/>
                <w:szCs w:val="16"/>
                <w:lang w:eastAsia="es-MX"/>
              </w:rPr>
              <w:t>71,875,801,426</w:t>
            </w:r>
          </w:p>
        </w:tc>
        <w:tc>
          <w:tcPr>
            <w:tcW w:w="1560" w:type="dxa"/>
            <w:tcBorders>
              <w:top w:val="nil"/>
              <w:left w:val="nil"/>
              <w:bottom w:val="single" w:sz="4" w:space="0" w:color="auto"/>
              <w:right w:val="single" w:sz="4" w:space="0" w:color="auto"/>
            </w:tcBorders>
            <w:shd w:val="clear" w:color="000000" w:fill="DDC9A3"/>
            <w:vAlign w:val="center"/>
            <w:hideMark/>
          </w:tcPr>
          <w:p w14:paraId="031429D8" w14:textId="77777777" w:rsidR="00E90627" w:rsidRPr="002D1E75" w:rsidRDefault="00E90627" w:rsidP="00E90627">
            <w:pPr>
              <w:spacing w:after="0" w:line="240" w:lineRule="auto"/>
              <w:jc w:val="right"/>
              <w:rPr>
                <w:rFonts w:eastAsia="Times New Roman" w:cs="Calibri"/>
                <w:b/>
                <w:bCs/>
                <w:color w:val="000000"/>
                <w:sz w:val="16"/>
                <w:szCs w:val="16"/>
                <w:lang w:eastAsia="es-MX"/>
              </w:rPr>
            </w:pPr>
            <w:r w:rsidRPr="002D1E75">
              <w:rPr>
                <w:rFonts w:eastAsia="Times New Roman" w:cs="Calibri"/>
                <w:b/>
                <w:bCs/>
                <w:color w:val="000000"/>
                <w:sz w:val="16"/>
                <w:szCs w:val="16"/>
                <w:lang w:eastAsia="es-MX"/>
              </w:rPr>
              <w:t>66,364,846,251</w:t>
            </w:r>
          </w:p>
        </w:tc>
        <w:tc>
          <w:tcPr>
            <w:tcW w:w="1417" w:type="dxa"/>
            <w:tcBorders>
              <w:top w:val="nil"/>
              <w:left w:val="nil"/>
              <w:bottom w:val="single" w:sz="4" w:space="0" w:color="auto"/>
              <w:right w:val="single" w:sz="4" w:space="0" w:color="auto"/>
            </w:tcBorders>
            <w:shd w:val="clear" w:color="000000" w:fill="DDC9A3"/>
            <w:vAlign w:val="center"/>
            <w:hideMark/>
          </w:tcPr>
          <w:p w14:paraId="3795E4E3" w14:textId="77777777" w:rsidR="00E90627" w:rsidRPr="002D1E75" w:rsidRDefault="00E90627" w:rsidP="00E90627">
            <w:pPr>
              <w:spacing w:after="0" w:line="240" w:lineRule="auto"/>
              <w:jc w:val="right"/>
              <w:rPr>
                <w:rFonts w:eastAsia="Times New Roman" w:cs="Calibri"/>
                <w:b/>
                <w:bCs/>
                <w:color w:val="000000"/>
                <w:sz w:val="16"/>
                <w:szCs w:val="16"/>
                <w:lang w:eastAsia="es-MX"/>
              </w:rPr>
            </w:pPr>
            <w:r w:rsidRPr="002D1E75">
              <w:rPr>
                <w:rFonts w:eastAsia="Times New Roman" w:cs="Calibri"/>
                <w:b/>
                <w:bCs/>
                <w:color w:val="000000"/>
                <w:sz w:val="16"/>
                <w:szCs w:val="16"/>
                <w:lang w:eastAsia="es-MX"/>
              </w:rPr>
              <w:t>7,099,955,175</w:t>
            </w:r>
          </w:p>
        </w:tc>
        <w:tc>
          <w:tcPr>
            <w:tcW w:w="1200" w:type="dxa"/>
            <w:tcBorders>
              <w:top w:val="nil"/>
              <w:left w:val="nil"/>
              <w:bottom w:val="single" w:sz="4" w:space="0" w:color="auto"/>
              <w:right w:val="single" w:sz="4" w:space="0" w:color="auto"/>
            </w:tcBorders>
            <w:shd w:val="clear" w:color="000000" w:fill="DDC9A3"/>
            <w:noWrap/>
            <w:vAlign w:val="center"/>
            <w:hideMark/>
          </w:tcPr>
          <w:p w14:paraId="0C7AB2C2" w14:textId="77777777" w:rsidR="00E90627" w:rsidRPr="002D1E75" w:rsidRDefault="00E90627" w:rsidP="00E90627">
            <w:pPr>
              <w:spacing w:after="0" w:line="240" w:lineRule="auto"/>
              <w:jc w:val="right"/>
              <w:rPr>
                <w:rFonts w:eastAsia="Times New Roman" w:cs="Calibri"/>
                <w:b/>
                <w:bCs/>
                <w:color w:val="000000"/>
                <w:sz w:val="16"/>
                <w:szCs w:val="16"/>
                <w:lang w:eastAsia="es-MX"/>
              </w:rPr>
            </w:pPr>
            <w:r w:rsidRPr="002D1E75">
              <w:rPr>
                <w:rFonts w:eastAsia="Times New Roman" w:cs="Calibri"/>
                <w:b/>
                <w:bCs/>
                <w:color w:val="000000"/>
                <w:sz w:val="16"/>
                <w:szCs w:val="16"/>
                <w:lang w:eastAsia="es-MX"/>
              </w:rPr>
              <w:t>10.70%</w:t>
            </w:r>
          </w:p>
        </w:tc>
      </w:tr>
    </w:tbl>
    <w:p w14:paraId="0BAA767A" w14:textId="77777777" w:rsidR="00E90627" w:rsidRDefault="00E90627" w:rsidP="00E90627">
      <w:pPr>
        <w:spacing w:after="0" w:line="240" w:lineRule="exact"/>
        <w:jc w:val="both"/>
        <w:rPr>
          <w:rFonts w:asciiTheme="minorHAnsi" w:eastAsia="Times New Roman" w:hAnsiTheme="minorHAnsi" w:cstheme="minorHAnsi"/>
          <w:sz w:val="18"/>
          <w:szCs w:val="16"/>
          <w:lang w:val="es-ES" w:eastAsia="es-ES"/>
        </w:rPr>
      </w:pPr>
    </w:p>
    <w:p w14:paraId="76D0B40B" w14:textId="6FAE5132" w:rsidR="00B9489D" w:rsidRDefault="00A05FDB" w:rsidP="00B9489D">
      <w:pPr>
        <w:spacing w:after="0" w:line="240" w:lineRule="exact"/>
        <w:ind w:hanging="567"/>
        <w:jc w:val="both"/>
        <w:rPr>
          <w:rFonts w:asciiTheme="minorHAnsi" w:hAnsiTheme="minorHAnsi" w:cstheme="minorHAnsi"/>
          <w:sz w:val="18"/>
          <w:szCs w:val="18"/>
        </w:rPr>
      </w:pPr>
      <w:r w:rsidRPr="005F45A3">
        <w:rPr>
          <w:rFonts w:asciiTheme="minorHAnsi" w:eastAsia="Times New Roman" w:hAnsiTheme="minorHAnsi" w:cstheme="minorHAnsi"/>
          <w:sz w:val="18"/>
          <w:szCs w:val="16"/>
          <w:lang w:val="es-ES" w:eastAsia="es-ES"/>
        </w:rPr>
        <w:t xml:space="preserve">            </w:t>
      </w:r>
      <w:r w:rsidR="000C212D">
        <w:rPr>
          <w:rFonts w:asciiTheme="minorHAnsi" w:eastAsia="Times New Roman" w:hAnsiTheme="minorHAnsi" w:cstheme="minorHAnsi"/>
          <w:sz w:val="18"/>
          <w:szCs w:val="16"/>
          <w:lang w:val="es-ES" w:eastAsia="es-ES"/>
        </w:rPr>
        <w:t xml:space="preserve">  </w:t>
      </w:r>
      <w:r w:rsidR="0069250B" w:rsidRPr="005F45A3">
        <w:rPr>
          <w:rFonts w:asciiTheme="minorHAnsi" w:hAnsiTheme="minorHAnsi" w:cstheme="minorHAnsi"/>
          <w:sz w:val="18"/>
          <w:szCs w:val="18"/>
        </w:rPr>
        <w:t>Los ingresos</w:t>
      </w:r>
      <w:r w:rsidR="00920BEF" w:rsidRPr="005F45A3">
        <w:rPr>
          <w:rFonts w:asciiTheme="minorHAnsi" w:hAnsiTheme="minorHAnsi" w:cstheme="minorHAnsi"/>
          <w:sz w:val="18"/>
          <w:szCs w:val="18"/>
        </w:rPr>
        <w:t xml:space="preserve"> propios</w:t>
      </w:r>
      <w:r w:rsidR="0069250B" w:rsidRPr="005F45A3">
        <w:rPr>
          <w:rFonts w:asciiTheme="minorHAnsi" w:hAnsiTheme="minorHAnsi" w:cstheme="minorHAnsi"/>
          <w:sz w:val="18"/>
          <w:szCs w:val="18"/>
        </w:rPr>
        <w:t xml:space="preserve"> presupuestarios sin incluir los ingresos derivados de financiamiento representaron en forma global </w:t>
      </w:r>
      <w:r w:rsidR="005F61A0" w:rsidRPr="005F45A3">
        <w:rPr>
          <w:rFonts w:asciiTheme="minorHAnsi" w:hAnsiTheme="minorHAnsi" w:cstheme="minorHAnsi"/>
          <w:sz w:val="18"/>
          <w:szCs w:val="18"/>
        </w:rPr>
        <w:t xml:space="preserve">un incremento </w:t>
      </w:r>
      <w:r w:rsidR="00920BEF" w:rsidRPr="005F45A3">
        <w:rPr>
          <w:rFonts w:asciiTheme="minorHAnsi" w:hAnsiTheme="minorHAnsi" w:cstheme="minorHAnsi"/>
          <w:sz w:val="18"/>
          <w:szCs w:val="18"/>
        </w:rPr>
        <w:t xml:space="preserve">del </w:t>
      </w:r>
      <w:r w:rsidR="00B9489D">
        <w:rPr>
          <w:rFonts w:asciiTheme="minorHAnsi" w:hAnsiTheme="minorHAnsi" w:cstheme="minorHAnsi"/>
          <w:sz w:val="18"/>
          <w:szCs w:val="18"/>
        </w:rPr>
        <w:t>18.1</w:t>
      </w:r>
      <w:r w:rsidR="00E90627">
        <w:rPr>
          <w:rFonts w:asciiTheme="minorHAnsi" w:hAnsiTheme="minorHAnsi" w:cstheme="minorHAnsi"/>
          <w:sz w:val="18"/>
          <w:szCs w:val="18"/>
        </w:rPr>
        <w:t>4</w:t>
      </w:r>
      <w:r w:rsidR="00920BEF" w:rsidRPr="005F45A3">
        <w:rPr>
          <w:rFonts w:asciiTheme="minorHAnsi" w:hAnsiTheme="minorHAnsi" w:cstheme="minorHAnsi"/>
          <w:sz w:val="18"/>
          <w:szCs w:val="18"/>
        </w:rPr>
        <w:t xml:space="preserve"> %</w:t>
      </w:r>
      <w:r w:rsidR="0069250B" w:rsidRPr="005F45A3">
        <w:rPr>
          <w:rFonts w:asciiTheme="minorHAnsi" w:hAnsiTheme="minorHAnsi" w:cstheme="minorHAnsi"/>
          <w:sz w:val="18"/>
          <w:szCs w:val="18"/>
        </w:rPr>
        <w:t xml:space="preserve"> </w:t>
      </w:r>
      <w:r w:rsidR="00B07C73" w:rsidRPr="005F45A3">
        <w:rPr>
          <w:rFonts w:asciiTheme="minorHAnsi" w:hAnsiTheme="minorHAnsi" w:cstheme="minorHAnsi"/>
          <w:sz w:val="18"/>
          <w:szCs w:val="18"/>
        </w:rPr>
        <w:t>con respecto</w:t>
      </w:r>
      <w:r w:rsidR="0069250B" w:rsidRPr="005F45A3">
        <w:rPr>
          <w:rFonts w:asciiTheme="minorHAnsi" w:hAnsiTheme="minorHAnsi" w:cstheme="minorHAnsi"/>
          <w:sz w:val="18"/>
          <w:szCs w:val="18"/>
        </w:rPr>
        <w:t xml:space="preserve"> </w:t>
      </w:r>
      <w:r w:rsidR="00B9489D" w:rsidRPr="005F45A3">
        <w:rPr>
          <w:rFonts w:asciiTheme="minorHAnsi" w:hAnsiTheme="minorHAnsi" w:cstheme="minorHAnsi"/>
          <w:sz w:val="18"/>
          <w:szCs w:val="18"/>
        </w:rPr>
        <w:t xml:space="preserve">al </w:t>
      </w:r>
      <w:r w:rsidR="00E212C6">
        <w:rPr>
          <w:rFonts w:asciiTheme="minorHAnsi" w:hAnsiTheme="minorHAnsi" w:cstheme="minorHAnsi"/>
          <w:sz w:val="18"/>
          <w:szCs w:val="18"/>
        </w:rPr>
        <w:t>cierre de la Cuenta Pública 2021</w:t>
      </w:r>
      <w:r w:rsidR="00113935">
        <w:rPr>
          <w:rFonts w:asciiTheme="minorHAnsi" w:hAnsiTheme="minorHAnsi" w:cstheme="minorHAnsi"/>
          <w:sz w:val="18"/>
          <w:szCs w:val="18"/>
        </w:rPr>
        <w:t xml:space="preserve">, </w:t>
      </w:r>
      <w:r w:rsidR="0069250B" w:rsidRPr="005F45A3">
        <w:rPr>
          <w:rFonts w:asciiTheme="minorHAnsi" w:hAnsiTheme="minorHAnsi" w:cstheme="minorHAnsi"/>
          <w:sz w:val="18"/>
          <w:szCs w:val="18"/>
        </w:rPr>
        <w:t xml:space="preserve">por la </w:t>
      </w:r>
      <w:r w:rsidR="00B07C73" w:rsidRPr="005F45A3">
        <w:rPr>
          <w:rFonts w:asciiTheme="minorHAnsi" w:hAnsiTheme="minorHAnsi" w:cstheme="minorHAnsi"/>
          <w:sz w:val="18"/>
          <w:szCs w:val="18"/>
        </w:rPr>
        <w:t>cantidad de</w:t>
      </w:r>
      <w:r w:rsidR="0069250B" w:rsidRPr="005F45A3">
        <w:rPr>
          <w:rFonts w:asciiTheme="minorHAnsi" w:hAnsiTheme="minorHAnsi" w:cstheme="minorHAnsi"/>
          <w:sz w:val="18"/>
          <w:szCs w:val="18"/>
        </w:rPr>
        <w:t xml:space="preserve"> </w:t>
      </w:r>
      <w:r w:rsidR="009841F8" w:rsidRPr="005F45A3">
        <w:rPr>
          <w:rFonts w:asciiTheme="minorHAnsi" w:hAnsiTheme="minorHAnsi" w:cstheme="minorHAnsi"/>
          <w:sz w:val="18"/>
          <w:szCs w:val="18"/>
        </w:rPr>
        <w:t>$</w:t>
      </w:r>
      <w:r w:rsidR="00B9489D">
        <w:rPr>
          <w:rFonts w:asciiTheme="minorHAnsi" w:hAnsiTheme="minorHAnsi" w:cstheme="minorHAnsi"/>
          <w:sz w:val="18"/>
          <w:szCs w:val="18"/>
        </w:rPr>
        <w:t>1,</w:t>
      </w:r>
      <w:r w:rsidR="00E90627">
        <w:rPr>
          <w:rFonts w:asciiTheme="minorHAnsi" w:hAnsiTheme="minorHAnsi" w:cstheme="minorHAnsi"/>
          <w:sz w:val="18"/>
          <w:szCs w:val="18"/>
        </w:rPr>
        <w:t>450,196,622.</w:t>
      </w:r>
    </w:p>
    <w:p w14:paraId="0D6DEEE4" w14:textId="77777777" w:rsidR="00B038D8" w:rsidRDefault="00B038D8" w:rsidP="00B9489D">
      <w:pPr>
        <w:spacing w:after="0" w:line="240" w:lineRule="exact"/>
        <w:ind w:hanging="567"/>
        <w:jc w:val="both"/>
        <w:rPr>
          <w:rFonts w:asciiTheme="minorHAnsi" w:hAnsiTheme="minorHAnsi" w:cstheme="minorHAnsi"/>
          <w:sz w:val="18"/>
          <w:szCs w:val="18"/>
        </w:rPr>
      </w:pPr>
    </w:p>
    <w:p w14:paraId="44D50ED5" w14:textId="77777777" w:rsidR="00B9489D" w:rsidRPr="005F45A3" w:rsidRDefault="00B9489D" w:rsidP="00B9489D">
      <w:pPr>
        <w:spacing w:after="0" w:line="240" w:lineRule="exact"/>
        <w:ind w:hanging="567"/>
        <w:jc w:val="both"/>
        <w:rPr>
          <w:rFonts w:asciiTheme="minorHAnsi" w:hAnsiTheme="minorHAnsi" w:cstheme="minorHAnsi"/>
          <w:sz w:val="18"/>
          <w:szCs w:val="18"/>
        </w:rPr>
      </w:pPr>
    </w:p>
    <w:p w14:paraId="2D375DA2" w14:textId="6B5A3135" w:rsidR="00B07C73" w:rsidRPr="005F45A3" w:rsidRDefault="002D1E75" w:rsidP="00295AC0">
      <w:pPr>
        <w:pStyle w:val="Texto"/>
        <w:spacing w:after="0" w:line="200" w:lineRule="exact"/>
        <w:ind w:left="426" w:hanging="436"/>
        <w:rPr>
          <w:rFonts w:asciiTheme="minorHAnsi" w:hAnsiTheme="minorHAnsi" w:cstheme="minorHAnsi"/>
          <w:b/>
          <w:sz w:val="20"/>
          <w:szCs w:val="18"/>
          <w:lang w:val="es-MX"/>
        </w:rPr>
      </w:pPr>
      <w:r>
        <w:rPr>
          <w:rFonts w:asciiTheme="minorHAnsi" w:hAnsiTheme="minorHAnsi" w:cstheme="minorHAnsi"/>
          <w:b/>
          <w:sz w:val="20"/>
          <w:szCs w:val="18"/>
          <w:lang w:val="es-MX"/>
        </w:rPr>
        <w:t xml:space="preserve">11. </w:t>
      </w:r>
      <w:r w:rsidR="00B07C73" w:rsidRPr="005F45A3">
        <w:rPr>
          <w:rFonts w:asciiTheme="minorHAnsi" w:hAnsiTheme="minorHAnsi" w:cstheme="minorHAnsi"/>
          <w:b/>
          <w:sz w:val="20"/>
          <w:szCs w:val="18"/>
          <w:lang w:val="es-MX"/>
        </w:rPr>
        <w:t>Información sobre la Deuda y el Reporte Analítico de la Deuda</w:t>
      </w:r>
    </w:p>
    <w:p w14:paraId="6E028C77" w14:textId="77777777" w:rsidR="00A16AD3" w:rsidRPr="005F45A3" w:rsidRDefault="00A16AD3" w:rsidP="00A16AD3">
      <w:pPr>
        <w:pStyle w:val="Texto"/>
        <w:spacing w:after="0" w:line="200" w:lineRule="exact"/>
        <w:ind w:left="720" w:firstLine="0"/>
        <w:rPr>
          <w:rFonts w:asciiTheme="minorHAnsi" w:hAnsiTheme="minorHAnsi" w:cstheme="minorHAnsi"/>
          <w:b/>
          <w:sz w:val="20"/>
          <w:szCs w:val="18"/>
          <w:lang w:val="es-MX"/>
        </w:rPr>
      </w:pPr>
    </w:p>
    <w:p w14:paraId="7C285D17" w14:textId="62C84A67" w:rsidR="00B07C73" w:rsidRPr="005F45A3" w:rsidRDefault="00B07C73" w:rsidP="00295AC0">
      <w:pPr>
        <w:pStyle w:val="Texto"/>
        <w:numPr>
          <w:ilvl w:val="0"/>
          <w:numId w:val="4"/>
        </w:numPr>
        <w:spacing w:after="0" w:line="240" w:lineRule="exact"/>
        <w:ind w:left="284"/>
        <w:rPr>
          <w:rFonts w:asciiTheme="minorHAnsi" w:hAnsiTheme="minorHAnsi" w:cstheme="minorHAnsi"/>
          <w:szCs w:val="18"/>
          <w:lang w:val="es-MX"/>
        </w:rPr>
      </w:pPr>
      <w:r w:rsidRPr="005F45A3">
        <w:rPr>
          <w:rFonts w:asciiTheme="minorHAnsi" w:hAnsiTheme="minorHAnsi" w:cstheme="minorHAnsi"/>
          <w:szCs w:val="18"/>
          <w:lang w:val="es-MX"/>
        </w:rPr>
        <w:t>Deuda Respecto al PIB</w:t>
      </w:r>
      <w:r w:rsidR="009325D7">
        <w:rPr>
          <w:rFonts w:asciiTheme="minorHAnsi" w:hAnsiTheme="minorHAnsi" w:cstheme="minorHAnsi"/>
          <w:szCs w:val="18"/>
          <w:lang w:val="es-MX"/>
        </w:rPr>
        <w:t>.</w:t>
      </w:r>
    </w:p>
    <w:p w14:paraId="2B94638A" w14:textId="5356570C" w:rsidR="000C20BD" w:rsidRDefault="000C20BD" w:rsidP="000C20BD">
      <w:pPr>
        <w:pStyle w:val="Texto"/>
        <w:spacing w:after="0" w:line="240" w:lineRule="exact"/>
        <w:ind w:left="720" w:firstLine="0"/>
        <w:rPr>
          <w:rFonts w:asciiTheme="minorHAnsi" w:hAnsiTheme="minorHAnsi" w:cstheme="minorHAnsi"/>
          <w:szCs w:val="18"/>
          <w:lang w:val="es-MX"/>
        </w:rPr>
      </w:pPr>
    </w:p>
    <w:tbl>
      <w:tblPr>
        <w:tblW w:w="6946" w:type="dxa"/>
        <w:tblInd w:w="279" w:type="dxa"/>
        <w:tblCellMar>
          <w:left w:w="70" w:type="dxa"/>
          <w:right w:w="70" w:type="dxa"/>
        </w:tblCellMar>
        <w:tblLook w:val="04A0" w:firstRow="1" w:lastRow="0" w:firstColumn="1" w:lastColumn="0" w:noHBand="0" w:noVBand="1"/>
      </w:tblPr>
      <w:tblGrid>
        <w:gridCol w:w="1418"/>
        <w:gridCol w:w="1984"/>
        <w:gridCol w:w="1843"/>
        <w:gridCol w:w="1701"/>
      </w:tblGrid>
      <w:tr w:rsidR="002808A4" w:rsidRPr="002808A4" w14:paraId="3948DEBB" w14:textId="77777777" w:rsidTr="002D1E75">
        <w:trPr>
          <w:trHeight w:val="340"/>
        </w:trPr>
        <w:tc>
          <w:tcPr>
            <w:tcW w:w="6946" w:type="dxa"/>
            <w:gridSpan w:val="4"/>
            <w:tcBorders>
              <w:top w:val="single" w:sz="4" w:space="0" w:color="auto"/>
              <w:left w:val="single" w:sz="4" w:space="0" w:color="auto"/>
              <w:bottom w:val="single" w:sz="4" w:space="0" w:color="auto"/>
              <w:right w:val="single" w:sz="4" w:space="0" w:color="auto"/>
            </w:tcBorders>
            <w:shd w:val="clear" w:color="000000" w:fill="AB0033"/>
            <w:vAlign w:val="center"/>
            <w:hideMark/>
          </w:tcPr>
          <w:p w14:paraId="076B4529" w14:textId="77777777" w:rsidR="002808A4" w:rsidRPr="002808A4" w:rsidRDefault="002808A4" w:rsidP="002808A4">
            <w:pPr>
              <w:spacing w:after="0" w:line="240" w:lineRule="auto"/>
              <w:jc w:val="center"/>
              <w:rPr>
                <w:rFonts w:eastAsia="Times New Roman" w:cs="Calibri"/>
                <w:b/>
                <w:bCs/>
                <w:color w:val="FFFFFF"/>
                <w:sz w:val="16"/>
                <w:szCs w:val="16"/>
                <w:lang w:eastAsia="es-MX"/>
              </w:rPr>
            </w:pPr>
            <w:r w:rsidRPr="002808A4">
              <w:rPr>
                <w:rFonts w:eastAsia="Times New Roman" w:cs="Calibri"/>
                <w:b/>
                <w:bCs/>
                <w:color w:val="FFFFFF"/>
                <w:sz w:val="16"/>
                <w:szCs w:val="16"/>
                <w:lang w:eastAsia="es-MX"/>
              </w:rPr>
              <w:t>Indicador: Deuda Respecto al PIB</w:t>
            </w:r>
          </w:p>
        </w:tc>
      </w:tr>
      <w:tr w:rsidR="002808A4" w:rsidRPr="002808A4" w14:paraId="061C68FC" w14:textId="77777777" w:rsidTr="002D1E75">
        <w:trPr>
          <w:trHeight w:val="340"/>
        </w:trPr>
        <w:tc>
          <w:tcPr>
            <w:tcW w:w="1418" w:type="dxa"/>
            <w:tcBorders>
              <w:top w:val="nil"/>
              <w:left w:val="single" w:sz="4" w:space="0" w:color="auto"/>
              <w:bottom w:val="single" w:sz="4" w:space="0" w:color="auto"/>
              <w:right w:val="single" w:sz="4" w:space="0" w:color="auto"/>
            </w:tcBorders>
            <w:shd w:val="clear" w:color="000000" w:fill="D9D9D9"/>
            <w:noWrap/>
            <w:vAlign w:val="center"/>
            <w:hideMark/>
          </w:tcPr>
          <w:p w14:paraId="3B95858C" w14:textId="77777777" w:rsidR="002808A4" w:rsidRPr="002808A4" w:rsidRDefault="002808A4" w:rsidP="002808A4">
            <w:pPr>
              <w:spacing w:after="0" w:line="240" w:lineRule="auto"/>
              <w:jc w:val="center"/>
              <w:rPr>
                <w:rFonts w:eastAsia="Times New Roman" w:cs="Calibri"/>
                <w:b/>
                <w:bCs/>
                <w:color w:val="000000"/>
                <w:sz w:val="16"/>
                <w:szCs w:val="16"/>
                <w:lang w:eastAsia="es-MX"/>
              </w:rPr>
            </w:pPr>
            <w:r w:rsidRPr="002808A4">
              <w:rPr>
                <w:rFonts w:eastAsia="Times New Roman" w:cs="Calibri"/>
                <w:b/>
                <w:bCs/>
                <w:color w:val="000000"/>
                <w:sz w:val="16"/>
                <w:szCs w:val="16"/>
                <w:lang w:eastAsia="es-MX"/>
              </w:rPr>
              <w:t>Año</w:t>
            </w:r>
          </w:p>
        </w:tc>
        <w:tc>
          <w:tcPr>
            <w:tcW w:w="1984" w:type="dxa"/>
            <w:tcBorders>
              <w:top w:val="nil"/>
              <w:left w:val="nil"/>
              <w:bottom w:val="single" w:sz="4" w:space="0" w:color="auto"/>
              <w:right w:val="single" w:sz="4" w:space="0" w:color="auto"/>
            </w:tcBorders>
            <w:shd w:val="clear" w:color="000000" w:fill="D9D9D9"/>
            <w:vAlign w:val="center"/>
            <w:hideMark/>
          </w:tcPr>
          <w:p w14:paraId="72312EFD" w14:textId="77777777" w:rsidR="002808A4" w:rsidRPr="002808A4" w:rsidRDefault="002808A4" w:rsidP="002808A4">
            <w:pPr>
              <w:spacing w:after="0" w:line="240" w:lineRule="auto"/>
              <w:jc w:val="center"/>
              <w:rPr>
                <w:rFonts w:eastAsia="Times New Roman" w:cs="Calibri"/>
                <w:b/>
                <w:bCs/>
                <w:color w:val="000000"/>
                <w:sz w:val="16"/>
                <w:szCs w:val="16"/>
                <w:lang w:eastAsia="es-MX"/>
              </w:rPr>
            </w:pPr>
            <w:r w:rsidRPr="002808A4">
              <w:rPr>
                <w:rFonts w:eastAsia="Times New Roman" w:cs="Calibri"/>
                <w:b/>
                <w:bCs/>
                <w:color w:val="000000"/>
                <w:sz w:val="16"/>
                <w:szCs w:val="16"/>
                <w:lang w:eastAsia="es-MX"/>
              </w:rPr>
              <w:t>Saldo de la Deuda</w:t>
            </w:r>
          </w:p>
        </w:tc>
        <w:tc>
          <w:tcPr>
            <w:tcW w:w="1843" w:type="dxa"/>
            <w:tcBorders>
              <w:top w:val="nil"/>
              <w:left w:val="nil"/>
              <w:bottom w:val="single" w:sz="4" w:space="0" w:color="auto"/>
              <w:right w:val="single" w:sz="4" w:space="0" w:color="auto"/>
            </w:tcBorders>
            <w:shd w:val="clear" w:color="000000" w:fill="D9D9D9"/>
            <w:noWrap/>
            <w:vAlign w:val="center"/>
            <w:hideMark/>
          </w:tcPr>
          <w:p w14:paraId="63E485A9" w14:textId="77777777" w:rsidR="002808A4" w:rsidRPr="002808A4" w:rsidRDefault="002808A4" w:rsidP="002808A4">
            <w:pPr>
              <w:spacing w:after="0" w:line="240" w:lineRule="auto"/>
              <w:jc w:val="center"/>
              <w:rPr>
                <w:rFonts w:eastAsia="Times New Roman" w:cs="Calibri"/>
                <w:b/>
                <w:bCs/>
                <w:color w:val="000000"/>
                <w:sz w:val="16"/>
                <w:szCs w:val="16"/>
                <w:lang w:eastAsia="es-MX"/>
              </w:rPr>
            </w:pPr>
            <w:r w:rsidRPr="002808A4">
              <w:rPr>
                <w:rFonts w:eastAsia="Times New Roman" w:cs="Calibri"/>
                <w:b/>
                <w:bCs/>
                <w:color w:val="000000"/>
                <w:sz w:val="16"/>
                <w:szCs w:val="16"/>
                <w:lang w:eastAsia="es-MX"/>
              </w:rPr>
              <w:t>PIB</w:t>
            </w:r>
          </w:p>
        </w:tc>
        <w:tc>
          <w:tcPr>
            <w:tcW w:w="1701" w:type="dxa"/>
            <w:tcBorders>
              <w:top w:val="nil"/>
              <w:left w:val="nil"/>
              <w:bottom w:val="single" w:sz="4" w:space="0" w:color="auto"/>
              <w:right w:val="single" w:sz="4" w:space="0" w:color="auto"/>
            </w:tcBorders>
            <w:shd w:val="clear" w:color="000000" w:fill="D9D9D9"/>
            <w:noWrap/>
            <w:vAlign w:val="center"/>
            <w:hideMark/>
          </w:tcPr>
          <w:p w14:paraId="50E89802" w14:textId="77777777" w:rsidR="002808A4" w:rsidRPr="002808A4" w:rsidRDefault="002808A4" w:rsidP="002808A4">
            <w:pPr>
              <w:spacing w:after="0" w:line="240" w:lineRule="auto"/>
              <w:jc w:val="right"/>
              <w:rPr>
                <w:rFonts w:eastAsia="Times New Roman" w:cs="Calibri"/>
                <w:b/>
                <w:bCs/>
                <w:color w:val="000000"/>
                <w:sz w:val="16"/>
                <w:szCs w:val="16"/>
                <w:lang w:eastAsia="es-MX"/>
              </w:rPr>
            </w:pPr>
            <w:r w:rsidRPr="002808A4">
              <w:rPr>
                <w:rFonts w:eastAsia="Times New Roman" w:cs="Calibri"/>
                <w:b/>
                <w:bCs/>
                <w:color w:val="000000"/>
                <w:sz w:val="16"/>
                <w:szCs w:val="16"/>
                <w:lang w:eastAsia="es-MX"/>
              </w:rPr>
              <w:t>Indicador</w:t>
            </w:r>
          </w:p>
        </w:tc>
      </w:tr>
      <w:tr w:rsidR="002808A4" w:rsidRPr="002808A4" w14:paraId="4226513D" w14:textId="77777777" w:rsidTr="002D1E75">
        <w:trPr>
          <w:trHeight w:val="405"/>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0AF44060" w14:textId="77777777" w:rsidR="002808A4" w:rsidRPr="002808A4" w:rsidRDefault="002808A4" w:rsidP="002808A4">
            <w:pPr>
              <w:spacing w:after="0" w:line="240" w:lineRule="auto"/>
              <w:jc w:val="center"/>
              <w:rPr>
                <w:rFonts w:eastAsia="Times New Roman" w:cs="Calibri"/>
                <w:color w:val="000000"/>
                <w:sz w:val="14"/>
                <w:szCs w:val="14"/>
                <w:lang w:eastAsia="es-MX"/>
              </w:rPr>
            </w:pPr>
            <w:r w:rsidRPr="002808A4">
              <w:rPr>
                <w:rFonts w:eastAsia="Times New Roman" w:cs="Calibri"/>
                <w:color w:val="000000"/>
                <w:sz w:val="14"/>
                <w:szCs w:val="14"/>
                <w:lang w:eastAsia="es-MX"/>
              </w:rPr>
              <w:t>2015</w:t>
            </w:r>
          </w:p>
        </w:tc>
        <w:tc>
          <w:tcPr>
            <w:tcW w:w="1984" w:type="dxa"/>
            <w:tcBorders>
              <w:top w:val="nil"/>
              <w:left w:val="nil"/>
              <w:bottom w:val="single" w:sz="4" w:space="0" w:color="auto"/>
              <w:right w:val="single" w:sz="4" w:space="0" w:color="auto"/>
            </w:tcBorders>
            <w:shd w:val="clear" w:color="000000" w:fill="FFFFFF"/>
            <w:noWrap/>
            <w:vAlign w:val="center"/>
            <w:hideMark/>
          </w:tcPr>
          <w:p w14:paraId="57565886" w14:textId="77777777" w:rsidR="002808A4" w:rsidRPr="002808A4" w:rsidRDefault="002808A4" w:rsidP="002808A4">
            <w:pPr>
              <w:spacing w:after="0" w:line="240" w:lineRule="auto"/>
              <w:jc w:val="right"/>
              <w:rPr>
                <w:rFonts w:eastAsia="Times New Roman" w:cs="Calibri"/>
                <w:color w:val="000000"/>
                <w:sz w:val="14"/>
                <w:szCs w:val="14"/>
                <w:lang w:eastAsia="es-MX"/>
              </w:rPr>
            </w:pPr>
            <w:r w:rsidRPr="002808A4">
              <w:rPr>
                <w:rFonts w:eastAsia="Times New Roman" w:cs="Calibri"/>
                <w:color w:val="000000"/>
                <w:sz w:val="14"/>
                <w:szCs w:val="14"/>
                <w:lang w:eastAsia="es-MX"/>
              </w:rPr>
              <w:t>11,337,341,446</w:t>
            </w:r>
          </w:p>
        </w:tc>
        <w:tc>
          <w:tcPr>
            <w:tcW w:w="1843" w:type="dxa"/>
            <w:tcBorders>
              <w:top w:val="nil"/>
              <w:left w:val="nil"/>
              <w:bottom w:val="single" w:sz="4" w:space="0" w:color="auto"/>
              <w:right w:val="single" w:sz="4" w:space="0" w:color="auto"/>
            </w:tcBorders>
            <w:shd w:val="clear" w:color="000000" w:fill="FFFFFF"/>
            <w:noWrap/>
            <w:vAlign w:val="center"/>
            <w:hideMark/>
          </w:tcPr>
          <w:p w14:paraId="268EE89E" w14:textId="77777777" w:rsidR="002808A4" w:rsidRPr="002808A4" w:rsidRDefault="002808A4" w:rsidP="002808A4">
            <w:pPr>
              <w:spacing w:after="0" w:line="240" w:lineRule="auto"/>
              <w:jc w:val="right"/>
              <w:rPr>
                <w:rFonts w:eastAsia="Times New Roman" w:cs="Calibri"/>
                <w:color w:val="000000"/>
                <w:sz w:val="14"/>
                <w:szCs w:val="14"/>
                <w:lang w:eastAsia="es-MX"/>
              </w:rPr>
            </w:pPr>
            <w:r w:rsidRPr="002808A4">
              <w:rPr>
                <w:rFonts w:eastAsia="Times New Roman" w:cs="Calibri"/>
                <w:color w:val="000000"/>
                <w:sz w:val="14"/>
                <w:szCs w:val="14"/>
                <w:lang w:eastAsia="es-MX"/>
              </w:rPr>
              <w:t xml:space="preserve"> 413,829,000,000  </w:t>
            </w:r>
          </w:p>
        </w:tc>
        <w:tc>
          <w:tcPr>
            <w:tcW w:w="1701" w:type="dxa"/>
            <w:tcBorders>
              <w:top w:val="nil"/>
              <w:left w:val="nil"/>
              <w:bottom w:val="single" w:sz="4" w:space="0" w:color="auto"/>
              <w:right w:val="single" w:sz="4" w:space="0" w:color="auto"/>
            </w:tcBorders>
            <w:shd w:val="clear" w:color="auto" w:fill="auto"/>
            <w:noWrap/>
            <w:vAlign w:val="center"/>
            <w:hideMark/>
          </w:tcPr>
          <w:p w14:paraId="537ECA5E" w14:textId="77777777" w:rsidR="002808A4" w:rsidRPr="002808A4" w:rsidRDefault="002808A4" w:rsidP="002808A4">
            <w:pPr>
              <w:spacing w:after="0" w:line="240" w:lineRule="auto"/>
              <w:jc w:val="right"/>
              <w:rPr>
                <w:rFonts w:eastAsia="Times New Roman" w:cs="Calibri"/>
                <w:color w:val="000000"/>
                <w:sz w:val="14"/>
                <w:szCs w:val="14"/>
                <w:lang w:eastAsia="es-MX"/>
              </w:rPr>
            </w:pPr>
            <w:r w:rsidRPr="002808A4">
              <w:rPr>
                <w:rFonts w:eastAsia="Times New Roman" w:cs="Calibri"/>
                <w:color w:val="000000"/>
                <w:sz w:val="14"/>
                <w:szCs w:val="14"/>
                <w:lang w:eastAsia="es-MX"/>
              </w:rPr>
              <w:t>0.0274</w:t>
            </w:r>
          </w:p>
        </w:tc>
      </w:tr>
      <w:tr w:rsidR="002808A4" w:rsidRPr="002808A4" w14:paraId="62030B29" w14:textId="77777777" w:rsidTr="002D1E75">
        <w:trPr>
          <w:trHeight w:val="405"/>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530769E0" w14:textId="77777777" w:rsidR="002808A4" w:rsidRPr="002808A4" w:rsidRDefault="002808A4" w:rsidP="002808A4">
            <w:pPr>
              <w:spacing w:after="0" w:line="240" w:lineRule="auto"/>
              <w:jc w:val="center"/>
              <w:rPr>
                <w:rFonts w:eastAsia="Times New Roman" w:cs="Calibri"/>
                <w:color w:val="000000"/>
                <w:sz w:val="14"/>
                <w:szCs w:val="14"/>
                <w:lang w:eastAsia="es-MX"/>
              </w:rPr>
            </w:pPr>
            <w:r w:rsidRPr="002808A4">
              <w:rPr>
                <w:rFonts w:eastAsia="Times New Roman" w:cs="Calibri"/>
                <w:color w:val="000000"/>
                <w:sz w:val="14"/>
                <w:szCs w:val="14"/>
                <w:lang w:eastAsia="es-MX"/>
              </w:rPr>
              <w:t>2016</w:t>
            </w:r>
          </w:p>
        </w:tc>
        <w:tc>
          <w:tcPr>
            <w:tcW w:w="1984" w:type="dxa"/>
            <w:tcBorders>
              <w:top w:val="nil"/>
              <w:left w:val="nil"/>
              <w:bottom w:val="single" w:sz="4" w:space="0" w:color="auto"/>
              <w:right w:val="single" w:sz="4" w:space="0" w:color="auto"/>
            </w:tcBorders>
            <w:shd w:val="clear" w:color="000000" w:fill="FFFFFF"/>
            <w:noWrap/>
            <w:vAlign w:val="center"/>
            <w:hideMark/>
          </w:tcPr>
          <w:p w14:paraId="5E75929C" w14:textId="77777777" w:rsidR="002808A4" w:rsidRPr="002808A4" w:rsidRDefault="002808A4" w:rsidP="002808A4">
            <w:pPr>
              <w:spacing w:after="0" w:line="240" w:lineRule="auto"/>
              <w:jc w:val="right"/>
              <w:rPr>
                <w:rFonts w:eastAsia="Times New Roman" w:cs="Calibri"/>
                <w:color w:val="000000"/>
                <w:sz w:val="14"/>
                <w:szCs w:val="14"/>
                <w:lang w:eastAsia="es-MX"/>
              </w:rPr>
            </w:pPr>
            <w:r w:rsidRPr="002808A4">
              <w:rPr>
                <w:rFonts w:eastAsia="Times New Roman" w:cs="Calibri"/>
                <w:color w:val="000000"/>
                <w:sz w:val="14"/>
                <w:szCs w:val="14"/>
                <w:lang w:eastAsia="es-MX"/>
              </w:rPr>
              <w:t>11,833,696,945</w:t>
            </w:r>
          </w:p>
        </w:tc>
        <w:tc>
          <w:tcPr>
            <w:tcW w:w="1843" w:type="dxa"/>
            <w:tcBorders>
              <w:top w:val="nil"/>
              <w:left w:val="nil"/>
              <w:bottom w:val="single" w:sz="4" w:space="0" w:color="auto"/>
              <w:right w:val="single" w:sz="4" w:space="0" w:color="auto"/>
            </w:tcBorders>
            <w:shd w:val="clear" w:color="000000" w:fill="FFFFFF"/>
            <w:noWrap/>
            <w:vAlign w:val="center"/>
            <w:hideMark/>
          </w:tcPr>
          <w:p w14:paraId="5F865B83" w14:textId="77777777" w:rsidR="002808A4" w:rsidRPr="002808A4" w:rsidRDefault="002808A4" w:rsidP="002808A4">
            <w:pPr>
              <w:spacing w:after="0" w:line="240" w:lineRule="auto"/>
              <w:jc w:val="right"/>
              <w:rPr>
                <w:rFonts w:eastAsia="Times New Roman" w:cs="Calibri"/>
                <w:color w:val="000000"/>
                <w:sz w:val="14"/>
                <w:szCs w:val="14"/>
                <w:lang w:eastAsia="es-MX"/>
              </w:rPr>
            </w:pPr>
            <w:r w:rsidRPr="002808A4">
              <w:rPr>
                <w:rFonts w:eastAsia="Times New Roman" w:cs="Calibri"/>
                <w:color w:val="000000"/>
                <w:sz w:val="14"/>
                <w:szCs w:val="14"/>
                <w:lang w:eastAsia="es-MX"/>
              </w:rPr>
              <w:t>423,214,900,000</w:t>
            </w:r>
          </w:p>
        </w:tc>
        <w:tc>
          <w:tcPr>
            <w:tcW w:w="1701" w:type="dxa"/>
            <w:tcBorders>
              <w:top w:val="nil"/>
              <w:left w:val="nil"/>
              <w:bottom w:val="single" w:sz="4" w:space="0" w:color="auto"/>
              <w:right w:val="single" w:sz="4" w:space="0" w:color="auto"/>
            </w:tcBorders>
            <w:shd w:val="clear" w:color="auto" w:fill="auto"/>
            <w:noWrap/>
            <w:vAlign w:val="center"/>
            <w:hideMark/>
          </w:tcPr>
          <w:p w14:paraId="40719F8F" w14:textId="77777777" w:rsidR="002808A4" w:rsidRPr="002808A4" w:rsidRDefault="002808A4" w:rsidP="002808A4">
            <w:pPr>
              <w:spacing w:after="0" w:line="240" w:lineRule="auto"/>
              <w:jc w:val="right"/>
              <w:rPr>
                <w:rFonts w:eastAsia="Times New Roman" w:cs="Calibri"/>
                <w:color w:val="000000"/>
                <w:sz w:val="14"/>
                <w:szCs w:val="14"/>
                <w:lang w:eastAsia="es-MX"/>
              </w:rPr>
            </w:pPr>
            <w:r w:rsidRPr="002808A4">
              <w:rPr>
                <w:rFonts w:eastAsia="Times New Roman" w:cs="Calibri"/>
                <w:color w:val="000000"/>
                <w:sz w:val="14"/>
                <w:szCs w:val="14"/>
                <w:lang w:eastAsia="es-MX"/>
              </w:rPr>
              <w:t>0.028</w:t>
            </w:r>
          </w:p>
        </w:tc>
      </w:tr>
      <w:tr w:rsidR="002808A4" w:rsidRPr="002808A4" w14:paraId="5F64988B" w14:textId="77777777" w:rsidTr="002D1E75">
        <w:trPr>
          <w:trHeight w:val="405"/>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29D01869" w14:textId="77777777" w:rsidR="002808A4" w:rsidRPr="002808A4" w:rsidRDefault="002808A4" w:rsidP="002808A4">
            <w:pPr>
              <w:spacing w:after="0" w:line="240" w:lineRule="auto"/>
              <w:jc w:val="center"/>
              <w:rPr>
                <w:rFonts w:eastAsia="Times New Roman" w:cs="Calibri"/>
                <w:color w:val="000000"/>
                <w:sz w:val="14"/>
                <w:szCs w:val="14"/>
                <w:lang w:eastAsia="es-MX"/>
              </w:rPr>
            </w:pPr>
            <w:r w:rsidRPr="002808A4">
              <w:rPr>
                <w:rFonts w:eastAsia="Times New Roman" w:cs="Calibri"/>
                <w:color w:val="000000"/>
                <w:sz w:val="14"/>
                <w:szCs w:val="14"/>
                <w:lang w:eastAsia="es-MX"/>
              </w:rPr>
              <w:t>2017</w:t>
            </w:r>
          </w:p>
        </w:tc>
        <w:tc>
          <w:tcPr>
            <w:tcW w:w="1984" w:type="dxa"/>
            <w:tcBorders>
              <w:top w:val="nil"/>
              <w:left w:val="nil"/>
              <w:bottom w:val="single" w:sz="4" w:space="0" w:color="auto"/>
              <w:right w:val="single" w:sz="4" w:space="0" w:color="auto"/>
            </w:tcBorders>
            <w:shd w:val="clear" w:color="000000" w:fill="FFFFFF"/>
            <w:noWrap/>
            <w:vAlign w:val="center"/>
            <w:hideMark/>
          </w:tcPr>
          <w:p w14:paraId="2F4538EE" w14:textId="77777777" w:rsidR="002808A4" w:rsidRPr="002808A4" w:rsidRDefault="002808A4" w:rsidP="002808A4">
            <w:pPr>
              <w:spacing w:after="0" w:line="240" w:lineRule="auto"/>
              <w:jc w:val="right"/>
              <w:rPr>
                <w:rFonts w:eastAsia="Times New Roman" w:cs="Calibri"/>
                <w:color w:val="000000"/>
                <w:sz w:val="14"/>
                <w:szCs w:val="14"/>
                <w:lang w:eastAsia="es-MX"/>
              </w:rPr>
            </w:pPr>
            <w:r w:rsidRPr="002808A4">
              <w:rPr>
                <w:rFonts w:eastAsia="Times New Roman" w:cs="Calibri"/>
                <w:color w:val="000000"/>
                <w:sz w:val="14"/>
                <w:szCs w:val="14"/>
                <w:lang w:eastAsia="es-MX"/>
              </w:rPr>
              <w:t>11,462,941,947</w:t>
            </w:r>
          </w:p>
        </w:tc>
        <w:tc>
          <w:tcPr>
            <w:tcW w:w="1843" w:type="dxa"/>
            <w:tcBorders>
              <w:top w:val="nil"/>
              <w:left w:val="nil"/>
              <w:bottom w:val="single" w:sz="4" w:space="0" w:color="auto"/>
              <w:right w:val="single" w:sz="4" w:space="0" w:color="auto"/>
            </w:tcBorders>
            <w:shd w:val="clear" w:color="000000" w:fill="FFFFFF"/>
            <w:noWrap/>
            <w:vAlign w:val="center"/>
            <w:hideMark/>
          </w:tcPr>
          <w:p w14:paraId="0DA5D290" w14:textId="77777777" w:rsidR="002808A4" w:rsidRPr="002808A4" w:rsidRDefault="002808A4" w:rsidP="002808A4">
            <w:pPr>
              <w:spacing w:after="0" w:line="240" w:lineRule="auto"/>
              <w:jc w:val="right"/>
              <w:rPr>
                <w:rFonts w:eastAsia="Times New Roman" w:cs="Calibri"/>
                <w:color w:val="000000"/>
                <w:sz w:val="14"/>
                <w:szCs w:val="14"/>
                <w:lang w:eastAsia="es-MX"/>
              </w:rPr>
            </w:pPr>
            <w:r w:rsidRPr="002808A4">
              <w:rPr>
                <w:rFonts w:eastAsia="Times New Roman" w:cs="Calibri"/>
                <w:color w:val="000000"/>
                <w:sz w:val="14"/>
                <w:szCs w:val="14"/>
                <w:lang w:eastAsia="es-MX"/>
              </w:rPr>
              <w:t>557,763,000,000</w:t>
            </w:r>
          </w:p>
        </w:tc>
        <w:tc>
          <w:tcPr>
            <w:tcW w:w="1701" w:type="dxa"/>
            <w:tcBorders>
              <w:top w:val="nil"/>
              <w:left w:val="nil"/>
              <w:bottom w:val="single" w:sz="4" w:space="0" w:color="auto"/>
              <w:right w:val="single" w:sz="4" w:space="0" w:color="auto"/>
            </w:tcBorders>
            <w:shd w:val="clear" w:color="auto" w:fill="auto"/>
            <w:noWrap/>
            <w:vAlign w:val="center"/>
            <w:hideMark/>
          </w:tcPr>
          <w:p w14:paraId="2D8B9875" w14:textId="77777777" w:rsidR="002808A4" w:rsidRPr="002808A4" w:rsidRDefault="002808A4" w:rsidP="002808A4">
            <w:pPr>
              <w:spacing w:after="0" w:line="240" w:lineRule="auto"/>
              <w:jc w:val="right"/>
              <w:rPr>
                <w:rFonts w:eastAsia="Times New Roman" w:cs="Calibri"/>
                <w:color w:val="000000"/>
                <w:sz w:val="14"/>
                <w:szCs w:val="14"/>
                <w:lang w:eastAsia="es-MX"/>
              </w:rPr>
            </w:pPr>
            <w:r w:rsidRPr="002808A4">
              <w:rPr>
                <w:rFonts w:eastAsia="Times New Roman" w:cs="Calibri"/>
                <w:color w:val="000000"/>
                <w:sz w:val="14"/>
                <w:szCs w:val="14"/>
                <w:lang w:eastAsia="es-MX"/>
              </w:rPr>
              <w:t>0.0206</w:t>
            </w:r>
          </w:p>
        </w:tc>
      </w:tr>
      <w:tr w:rsidR="002808A4" w:rsidRPr="002808A4" w14:paraId="051132B9" w14:textId="77777777" w:rsidTr="002D1E75">
        <w:trPr>
          <w:trHeight w:val="405"/>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313CF6BF" w14:textId="77777777" w:rsidR="002808A4" w:rsidRPr="002808A4" w:rsidRDefault="002808A4" w:rsidP="002808A4">
            <w:pPr>
              <w:spacing w:after="0" w:line="240" w:lineRule="auto"/>
              <w:jc w:val="center"/>
              <w:rPr>
                <w:rFonts w:eastAsia="Times New Roman" w:cs="Calibri"/>
                <w:color w:val="000000"/>
                <w:sz w:val="14"/>
                <w:szCs w:val="14"/>
                <w:lang w:eastAsia="es-MX"/>
              </w:rPr>
            </w:pPr>
            <w:r w:rsidRPr="002808A4">
              <w:rPr>
                <w:rFonts w:eastAsia="Times New Roman" w:cs="Calibri"/>
                <w:color w:val="000000"/>
                <w:sz w:val="14"/>
                <w:szCs w:val="14"/>
                <w:lang w:eastAsia="es-MX"/>
              </w:rPr>
              <w:t>2018</w:t>
            </w:r>
          </w:p>
        </w:tc>
        <w:tc>
          <w:tcPr>
            <w:tcW w:w="1984" w:type="dxa"/>
            <w:tcBorders>
              <w:top w:val="nil"/>
              <w:left w:val="nil"/>
              <w:bottom w:val="single" w:sz="4" w:space="0" w:color="auto"/>
              <w:right w:val="single" w:sz="4" w:space="0" w:color="auto"/>
            </w:tcBorders>
            <w:shd w:val="clear" w:color="000000" w:fill="FFFFFF"/>
            <w:noWrap/>
            <w:vAlign w:val="center"/>
            <w:hideMark/>
          </w:tcPr>
          <w:p w14:paraId="0AD2C698" w14:textId="77777777" w:rsidR="002808A4" w:rsidRPr="002808A4" w:rsidRDefault="002808A4" w:rsidP="002808A4">
            <w:pPr>
              <w:spacing w:after="0" w:line="240" w:lineRule="auto"/>
              <w:jc w:val="right"/>
              <w:rPr>
                <w:rFonts w:eastAsia="Times New Roman" w:cs="Calibri"/>
                <w:color w:val="000000"/>
                <w:sz w:val="14"/>
                <w:szCs w:val="14"/>
                <w:lang w:eastAsia="es-MX"/>
              </w:rPr>
            </w:pPr>
            <w:r w:rsidRPr="002808A4">
              <w:rPr>
                <w:rFonts w:eastAsia="Times New Roman" w:cs="Calibri"/>
                <w:color w:val="000000"/>
                <w:sz w:val="14"/>
                <w:szCs w:val="14"/>
                <w:lang w:eastAsia="es-MX"/>
              </w:rPr>
              <w:t>11,582,032,979</w:t>
            </w:r>
          </w:p>
        </w:tc>
        <w:tc>
          <w:tcPr>
            <w:tcW w:w="1843" w:type="dxa"/>
            <w:tcBorders>
              <w:top w:val="nil"/>
              <w:left w:val="nil"/>
              <w:bottom w:val="single" w:sz="4" w:space="0" w:color="auto"/>
              <w:right w:val="single" w:sz="4" w:space="0" w:color="auto"/>
            </w:tcBorders>
            <w:shd w:val="clear" w:color="000000" w:fill="FFFFFF"/>
            <w:noWrap/>
            <w:vAlign w:val="center"/>
            <w:hideMark/>
          </w:tcPr>
          <w:p w14:paraId="53197A74" w14:textId="77777777" w:rsidR="002808A4" w:rsidRPr="002808A4" w:rsidRDefault="002808A4" w:rsidP="002808A4">
            <w:pPr>
              <w:spacing w:after="0" w:line="240" w:lineRule="auto"/>
              <w:jc w:val="right"/>
              <w:rPr>
                <w:rFonts w:eastAsia="Times New Roman" w:cs="Calibri"/>
                <w:color w:val="000000"/>
                <w:sz w:val="14"/>
                <w:szCs w:val="14"/>
                <w:lang w:eastAsia="es-MX"/>
              </w:rPr>
            </w:pPr>
            <w:r w:rsidRPr="002808A4">
              <w:rPr>
                <w:rFonts w:eastAsia="Times New Roman" w:cs="Calibri"/>
                <w:color w:val="000000"/>
                <w:sz w:val="14"/>
                <w:szCs w:val="14"/>
                <w:lang w:eastAsia="es-MX"/>
              </w:rPr>
              <w:t>607,890,000,000</w:t>
            </w:r>
          </w:p>
        </w:tc>
        <w:tc>
          <w:tcPr>
            <w:tcW w:w="1701" w:type="dxa"/>
            <w:tcBorders>
              <w:top w:val="nil"/>
              <w:left w:val="nil"/>
              <w:bottom w:val="single" w:sz="4" w:space="0" w:color="auto"/>
              <w:right w:val="single" w:sz="4" w:space="0" w:color="auto"/>
            </w:tcBorders>
            <w:shd w:val="clear" w:color="auto" w:fill="auto"/>
            <w:noWrap/>
            <w:vAlign w:val="center"/>
            <w:hideMark/>
          </w:tcPr>
          <w:p w14:paraId="137B87B0" w14:textId="77777777" w:rsidR="002808A4" w:rsidRPr="002808A4" w:rsidRDefault="002808A4" w:rsidP="002808A4">
            <w:pPr>
              <w:spacing w:after="0" w:line="240" w:lineRule="auto"/>
              <w:jc w:val="right"/>
              <w:rPr>
                <w:rFonts w:eastAsia="Times New Roman" w:cs="Calibri"/>
                <w:color w:val="000000"/>
                <w:sz w:val="14"/>
                <w:szCs w:val="14"/>
                <w:lang w:eastAsia="es-MX"/>
              </w:rPr>
            </w:pPr>
            <w:r w:rsidRPr="002808A4">
              <w:rPr>
                <w:rFonts w:eastAsia="Times New Roman" w:cs="Calibri"/>
                <w:color w:val="000000"/>
                <w:sz w:val="14"/>
                <w:szCs w:val="14"/>
                <w:lang w:eastAsia="es-MX"/>
              </w:rPr>
              <w:t>0.0191</w:t>
            </w:r>
          </w:p>
        </w:tc>
      </w:tr>
      <w:tr w:rsidR="002808A4" w:rsidRPr="002808A4" w14:paraId="5ADAA8A7" w14:textId="77777777" w:rsidTr="002D1E7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7FD39721" w14:textId="77777777" w:rsidR="002808A4" w:rsidRPr="002808A4" w:rsidRDefault="002808A4" w:rsidP="002808A4">
            <w:pPr>
              <w:spacing w:after="0" w:line="240" w:lineRule="auto"/>
              <w:jc w:val="center"/>
              <w:rPr>
                <w:rFonts w:eastAsia="Times New Roman" w:cs="Calibri"/>
                <w:color w:val="000000"/>
                <w:sz w:val="14"/>
                <w:szCs w:val="14"/>
                <w:lang w:eastAsia="es-MX"/>
              </w:rPr>
            </w:pPr>
            <w:r w:rsidRPr="002808A4">
              <w:rPr>
                <w:rFonts w:eastAsia="Times New Roman" w:cs="Calibri"/>
                <w:color w:val="000000"/>
                <w:sz w:val="14"/>
                <w:szCs w:val="14"/>
                <w:lang w:eastAsia="es-MX"/>
              </w:rPr>
              <w:t>2019</w:t>
            </w:r>
          </w:p>
        </w:tc>
        <w:tc>
          <w:tcPr>
            <w:tcW w:w="1984" w:type="dxa"/>
            <w:tcBorders>
              <w:top w:val="nil"/>
              <w:left w:val="nil"/>
              <w:bottom w:val="single" w:sz="4" w:space="0" w:color="auto"/>
              <w:right w:val="single" w:sz="4" w:space="0" w:color="auto"/>
            </w:tcBorders>
            <w:shd w:val="clear" w:color="000000" w:fill="FFFFFF"/>
            <w:noWrap/>
            <w:vAlign w:val="center"/>
            <w:hideMark/>
          </w:tcPr>
          <w:p w14:paraId="7359C878" w14:textId="77777777" w:rsidR="002808A4" w:rsidRPr="002808A4" w:rsidRDefault="002808A4" w:rsidP="002808A4">
            <w:pPr>
              <w:spacing w:after="0" w:line="240" w:lineRule="auto"/>
              <w:jc w:val="right"/>
              <w:rPr>
                <w:rFonts w:eastAsia="Times New Roman" w:cs="Calibri"/>
                <w:color w:val="000000"/>
                <w:sz w:val="14"/>
                <w:szCs w:val="14"/>
                <w:lang w:eastAsia="es-MX"/>
              </w:rPr>
            </w:pPr>
            <w:r w:rsidRPr="002808A4">
              <w:rPr>
                <w:rFonts w:eastAsia="Times New Roman" w:cs="Calibri"/>
                <w:color w:val="000000"/>
                <w:sz w:val="14"/>
                <w:szCs w:val="14"/>
                <w:lang w:eastAsia="es-MX"/>
              </w:rPr>
              <w:t>14,416,115,884</w:t>
            </w:r>
          </w:p>
        </w:tc>
        <w:tc>
          <w:tcPr>
            <w:tcW w:w="1843" w:type="dxa"/>
            <w:tcBorders>
              <w:top w:val="nil"/>
              <w:left w:val="nil"/>
              <w:bottom w:val="single" w:sz="4" w:space="0" w:color="auto"/>
              <w:right w:val="single" w:sz="4" w:space="0" w:color="auto"/>
            </w:tcBorders>
            <w:shd w:val="clear" w:color="000000" w:fill="FFFFFF"/>
            <w:noWrap/>
            <w:vAlign w:val="center"/>
            <w:hideMark/>
          </w:tcPr>
          <w:p w14:paraId="566C8A9E" w14:textId="77777777" w:rsidR="002808A4" w:rsidRPr="002808A4" w:rsidRDefault="002808A4" w:rsidP="002808A4">
            <w:pPr>
              <w:spacing w:after="0" w:line="240" w:lineRule="auto"/>
              <w:jc w:val="right"/>
              <w:rPr>
                <w:rFonts w:eastAsia="Times New Roman" w:cs="Calibri"/>
                <w:color w:val="000000"/>
                <w:sz w:val="14"/>
                <w:szCs w:val="14"/>
                <w:lang w:eastAsia="es-MX"/>
              </w:rPr>
            </w:pPr>
            <w:r w:rsidRPr="002808A4">
              <w:rPr>
                <w:rFonts w:eastAsia="Times New Roman" w:cs="Calibri"/>
                <w:color w:val="000000"/>
                <w:sz w:val="14"/>
                <w:szCs w:val="14"/>
                <w:lang w:eastAsia="es-MX"/>
              </w:rPr>
              <w:t>651,864,000,000</w:t>
            </w:r>
          </w:p>
        </w:tc>
        <w:tc>
          <w:tcPr>
            <w:tcW w:w="1701" w:type="dxa"/>
            <w:tcBorders>
              <w:top w:val="nil"/>
              <w:left w:val="nil"/>
              <w:bottom w:val="single" w:sz="4" w:space="0" w:color="auto"/>
              <w:right w:val="single" w:sz="4" w:space="0" w:color="auto"/>
            </w:tcBorders>
            <w:shd w:val="clear" w:color="auto" w:fill="auto"/>
            <w:noWrap/>
            <w:vAlign w:val="center"/>
            <w:hideMark/>
          </w:tcPr>
          <w:p w14:paraId="1D0EC650" w14:textId="77777777" w:rsidR="002808A4" w:rsidRPr="002808A4" w:rsidRDefault="002808A4" w:rsidP="002808A4">
            <w:pPr>
              <w:spacing w:after="0" w:line="240" w:lineRule="auto"/>
              <w:jc w:val="right"/>
              <w:rPr>
                <w:rFonts w:eastAsia="Times New Roman" w:cs="Calibri"/>
                <w:color w:val="000000"/>
                <w:sz w:val="14"/>
                <w:szCs w:val="14"/>
                <w:lang w:eastAsia="es-MX"/>
              </w:rPr>
            </w:pPr>
            <w:r w:rsidRPr="002808A4">
              <w:rPr>
                <w:rFonts w:eastAsia="Times New Roman" w:cs="Calibri"/>
                <w:color w:val="000000"/>
                <w:sz w:val="14"/>
                <w:szCs w:val="14"/>
                <w:lang w:eastAsia="es-MX"/>
              </w:rPr>
              <w:t>0.0221</w:t>
            </w:r>
          </w:p>
        </w:tc>
      </w:tr>
      <w:tr w:rsidR="002808A4" w:rsidRPr="002808A4" w14:paraId="7FE75B21" w14:textId="77777777" w:rsidTr="002D1E7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1184F459" w14:textId="77777777" w:rsidR="002808A4" w:rsidRPr="002808A4" w:rsidRDefault="002808A4" w:rsidP="002808A4">
            <w:pPr>
              <w:spacing w:after="0" w:line="240" w:lineRule="auto"/>
              <w:jc w:val="center"/>
              <w:rPr>
                <w:rFonts w:eastAsia="Times New Roman" w:cs="Calibri"/>
                <w:color w:val="000000"/>
                <w:sz w:val="14"/>
                <w:szCs w:val="14"/>
                <w:lang w:eastAsia="es-MX"/>
              </w:rPr>
            </w:pPr>
            <w:r w:rsidRPr="002808A4">
              <w:rPr>
                <w:rFonts w:eastAsia="Times New Roman" w:cs="Calibri"/>
                <w:color w:val="000000"/>
                <w:sz w:val="14"/>
                <w:szCs w:val="14"/>
                <w:lang w:eastAsia="es-MX"/>
              </w:rPr>
              <w:t>2020</w:t>
            </w:r>
          </w:p>
        </w:tc>
        <w:tc>
          <w:tcPr>
            <w:tcW w:w="1984" w:type="dxa"/>
            <w:tcBorders>
              <w:top w:val="nil"/>
              <w:left w:val="nil"/>
              <w:bottom w:val="single" w:sz="4" w:space="0" w:color="auto"/>
              <w:right w:val="single" w:sz="4" w:space="0" w:color="auto"/>
            </w:tcBorders>
            <w:shd w:val="clear" w:color="000000" w:fill="FFFFFF"/>
            <w:noWrap/>
            <w:vAlign w:val="center"/>
            <w:hideMark/>
          </w:tcPr>
          <w:p w14:paraId="349EC077" w14:textId="77777777" w:rsidR="002808A4" w:rsidRPr="002808A4" w:rsidRDefault="002808A4" w:rsidP="002808A4">
            <w:pPr>
              <w:spacing w:after="0" w:line="240" w:lineRule="auto"/>
              <w:jc w:val="right"/>
              <w:rPr>
                <w:rFonts w:eastAsia="Times New Roman" w:cs="Calibri"/>
                <w:color w:val="000000"/>
                <w:sz w:val="14"/>
                <w:szCs w:val="14"/>
                <w:lang w:eastAsia="es-MX"/>
              </w:rPr>
            </w:pPr>
            <w:r w:rsidRPr="002808A4">
              <w:rPr>
                <w:rFonts w:eastAsia="Times New Roman" w:cs="Calibri"/>
                <w:color w:val="000000"/>
                <w:sz w:val="14"/>
                <w:szCs w:val="14"/>
                <w:lang w:eastAsia="es-MX"/>
              </w:rPr>
              <w:t>14,020,190,971</w:t>
            </w:r>
          </w:p>
        </w:tc>
        <w:tc>
          <w:tcPr>
            <w:tcW w:w="1843" w:type="dxa"/>
            <w:tcBorders>
              <w:top w:val="nil"/>
              <w:left w:val="nil"/>
              <w:bottom w:val="single" w:sz="4" w:space="0" w:color="auto"/>
              <w:right w:val="single" w:sz="4" w:space="0" w:color="auto"/>
            </w:tcBorders>
            <w:shd w:val="clear" w:color="000000" w:fill="FFFFFF"/>
            <w:noWrap/>
            <w:vAlign w:val="center"/>
            <w:hideMark/>
          </w:tcPr>
          <w:p w14:paraId="494A6FAB" w14:textId="77777777" w:rsidR="002808A4" w:rsidRPr="002808A4" w:rsidRDefault="002808A4" w:rsidP="002808A4">
            <w:pPr>
              <w:spacing w:after="0" w:line="240" w:lineRule="auto"/>
              <w:jc w:val="right"/>
              <w:rPr>
                <w:rFonts w:eastAsia="Times New Roman" w:cs="Calibri"/>
                <w:color w:val="000000"/>
                <w:sz w:val="14"/>
                <w:szCs w:val="14"/>
                <w:lang w:eastAsia="es-MX"/>
              </w:rPr>
            </w:pPr>
            <w:r w:rsidRPr="002808A4">
              <w:rPr>
                <w:rFonts w:eastAsia="Times New Roman" w:cs="Calibri"/>
                <w:color w:val="000000"/>
                <w:sz w:val="14"/>
                <w:szCs w:val="14"/>
                <w:lang w:eastAsia="es-MX"/>
              </w:rPr>
              <w:t>709,991,000,000</w:t>
            </w:r>
          </w:p>
        </w:tc>
        <w:tc>
          <w:tcPr>
            <w:tcW w:w="1701" w:type="dxa"/>
            <w:tcBorders>
              <w:top w:val="nil"/>
              <w:left w:val="nil"/>
              <w:bottom w:val="single" w:sz="4" w:space="0" w:color="auto"/>
              <w:right w:val="single" w:sz="4" w:space="0" w:color="auto"/>
            </w:tcBorders>
            <w:shd w:val="clear" w:color="auto" w:fill="auto"/>
            <w:noWrap/>
            <w:vAlign w:val="center"/>
            <w:hideMark/>
          </w:tcPr>
          <w:p w14:paraId="47AAD62D" w14:textId="77777777" w:rsidR="002808A4" w:rsidRPr="002808A4" w:rsidRDefault="002808A4" w:rsidP="002808A4">
            <w:pPr>
              <w:spacing w:after="0" w:line="240" w:lineRule="auto"/>
              <w:jc w:val="right"/>
              <w:rPr>
                <w:rFonts w:eastAsia="Times New Roman" w:cs="Calibri"/>
                <w:color w:val="000000"/>
                <w:sz w:val="14"/>
                <w:szCs w:val="14"/>
                <w:lang w:eastAsia="es-MX"/>
              </w:rPr>
            </w:pPr>
            <w:r w:rsidRPr="002808A4">
              <w:rPr>
                <w:rFonts w:eastAsia="Times New Roman" w:cs="Calibri"/>
                <w:color w:val="000000"/>
                <w:sz w:val="14"/>
                <w:szCs w:val="14"/>
                <w:lang w:eastAsia="es-MX"/>
              </w:rPr>
              <w:t>0.0197</w:t>
            </w:r>
          </w:p>
        </w:tc>
      </w:tr>
      <w:tr w:rsidR="002808A4" w:rsidRPr="002808A4" w14:paraId="18CF3F45" w14:textId="77777777" w:rsidTr="002D1E7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699FF892" w14:textId="77777777" w:rsidR="002808A4" w:rsidRPr="002808A4" w:rsidRDefault="002808A4" w:rsidP="002808A4">
            <w:pPr>
              <w:spacing w:after="0" w:line="240" w:lineRule="auto"/>
              <w:jc w:val="center"/>
              <w:rPr>
                <w:rFonts w:eastAsia="Times New Roman" w:cs="Calibri"/>
                <w:color w:val="000000"/>
                <w:sz w:val="14"/>
                <w:szCs w:val="14"/>
                <w:lang w:eastAsia="es-MX"/>
              </w:rPr>
            </w:pPr>
            <w:r w:rsidRPr="002808A4">
              <w:rPr>
                <w:rFonts w:eastAsia="Times New Roman" w:cs="Calibri"/>
                <w:color w:val="000000"/>
                <w:sz w:val="14"/>
                <w:szCs w:val="14"/>
                <w:lang w:eastAsia="es-MX"/>
              </w:rPr>
              <w:t>2021</w:t>
            </w:r>
          </w:p>
        </w:tc>
        <w:tc>
          <w:tcPr>
            <w:tcW w:w="1984" w:type="dxa"/>
            <w:tcBorders>
              <w:top w:val="nil"/>
              <w:left w:val="nil"/>
              <w:bottom w:val="single" w:sz="4" w:space="0" w:color="auto"/>
              <w:right w:val="single" w:sz="4" w:space="0" w:color="auto"/>
            </w:tcBorders>
            <w:shd w:val="clear" w:color="000000" w:fill="FFFFFF"/>
            <w:noWrap/>
            <w:vAlign w:val="center"/>
            <w:hideMark/>
          </w:tcPr>
          <w:p w14:paraId="390FF559" w14:textId="77777777" w:rsidR="002808A4" w:rsidRPr="002808A4" w:rsidRDefault="002808A4" w:rsidP="002808A4">
            <w:pPr>
              <w:spacing w:after="0" w:line="240" w:lineRule="auto"/>
              <w:jc w:val="right"/>
              <w:rPr>
                <w:rFonts w:eastAsia="Times New Roman" w:cs="Calibri"/>
                <w:color w:val="000000"/>
                <w:sz w:val="14"/>
                <w:szCs w:val="14"/>
                <w:lang w:eastAsia="es-MX"/>
              </w:rPr>
            </w:pPr>
            <w:r w:rsidRPr="002808A4">
              <w:rPr>
                <w:rFonts w:eastAsia="Times New Roman" w:cs="Calibri"/>
                <w:color w:val="000000"/>
                <w:sz w:val="14"/>
                <w:szCs w:val="14"/>
                <w:lang w:eastAsia="es-MX"/>
              </w:rPr>
              <w:t>15,552,312,266</w:t>
            </w:r>
          </w:p>
        </w:tc>
        <w:tc>
          <w:tcPr>
            <w:tcW w:w="1843" w:type="dxa"/>
            <w:tcBorders>
              <w:top w:val="nil"/>
              <w:left w:val="nil"/>
              <w:bottom w:val="single" w:sz="4" w:space="0" w:color="auto"/>
              <w:right w:val="single" w:sz="4" w:space="0" w:color="auto"/>
            </w:tcBorders>
            <w:shd w:val="clear" w:color="000000" w:fill="FFFFFF"/>
            <w:noWrap/>
            <w:vAlign w:val="center"/>
            <w:hideMark/>
          </w:tcPr>
          <w:p w14:paraId="344417EC" w14:textId="77777777" w:rsidR="002808A4" w:rsidRPr="002808A4" w:rsidRDefault="002808A4" w:rsidP="002808A4">
            <w:pPr>
              <w:spacing w:after="0" w:line="240" w:lineRule="auto"/>
              <w:jc w:val="right"/>
              <w:rPr>
                <w:rFonts w:eastAsia="Times New Roman" w:cs="Calibri"/>
                <w:color w:val="000000"/>
                <w:sz w:val="14"/>
                <w:szCs w:val="14"/>
                <w:lang w:eastAsia="es-MX"/>
              </w:rPr>
            </w:pPr>
            <w:r w:rsidRPr="002808A4">
              <w:rPr>
                <w:rFonts w:eastAsia="Times New Roman" w:cs="Calibri"/>
                <w:color w:val="000000"/>
                <w:sz w:val="14"/>
                <w:szCs w:val="14"/>
                <w:lang w:eastAsia="es-MX"/>
              </w:rPr>
              <w:t>674,741,000,000</w:t>
            </w:r>
          </w:p>
        </w:tc>
        <w:tc>
          <w:tcPr>
            <w:tcW w:w="1701" w:type="dxa"/>
            <w:tcBorders>
              <w:top w:val="nil"/>
              <w:left w:val="nil"/>
              <w:bottom w:val="single" w:sz="4" w:space="0" w:color="auto"/>
              <w:right w:val="single" w:sz="4" w:space="0" w:color="auto"/>
            </w:tcBorders>
            <w:shd w:val="clear" w:color="auto" w:fill="auto"/>
            <w:noWrap/>
            <w:vAlign w:val="center"/>
            <w:hideMark/>
          </w:tcPr>
          <w:p w14:paraId="3356823D" w14:textId="77777777" w:rsidR="002808A4" w:rsidRPr="002808A4" w:rsidRDefault="002808A4" w:rsidP="002808A4">
            <w:pPr>
              <w:spacing w:after="0" w:line="240" w:lineRule="auto"/>
              <w:jc w:val="right"/>
              <w:rPr>
                <w:rFonts w:eastAsia="Times New Roman" w:cs="Calibri"/>
                <w:color w:val="000000"/>
                <w:sz w:val="14"/>
                <w:szCs w:val="14"/>
                <w:lang w:eastAsia="es-MX"/>
              </w:rPr>
            </w:pPr>
            <w:r w:rsidRPr="002808A4">
              <w:rPr>
                <w:rFonts w:eastAsia="Times New Roman" w:cs="Calibri"/>
                <w:color w:val="000000"/>
                <w:sz w:val="14"/>
                <w:szCs w:val="14"/>
                <w:lang w:eastAsia="es-MX"/>
              </w:rPr>
              <w:t>0.023</w:t>
            </w:r>
          </w:p>
        </w:tc>
      </w:tr>
      <w:tr w:rsidR="002808A4" w:rsidRPr="002808A4" w14:paraId="011226EF" w14:textId="77777777" w:rsidTr="002D1E75">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61BAFD20" w14:textId="77777777" w:rsidR="002808A4" w:rsidRPr="002808A4" w:rsidRDefault="002808A4" w:rsidP="002808A4">
            <w:pPr>
              <w:spacing w:after="0" w:line="240" w:lineRule="auto"/>
              <w:jc w:val="center"/>
              <w:rPr>
                <w:rFonts w:eastAsia="Times New Roman" w:cs="Calibri"/>
                <w:color w:val="000000"/>
                <w:sz w:val="14"/>
                <w:szCs w:val="14"/>
                <w:lang w:eastAsia="es-MX"/>
              </w:rPr>
            </w:pPr>
            <w:r w:rsidRPr="002808A4">
              <w:rPr>
                <w:rFonts w:eastAsia="Times New Roman" w:cs="Calibri"/>
                <w:color w:val="000000"/>
                <w:sz w:val="14"/>
                <w:szCs w:val="14"/>
                <w:lang w:eastAsia="es-MX"/>
              </w:rPr>
              <w:t>2022</w:t>
            </w:r>
          </w:p>
        </w:tc>
        <w:tc>
          <w:tcPr>
            <w:tcW w:w="1984" w:type="dxa"/>
            <w:tcBorders>
              <w:top w:val="nil"/>
              <w:left w:val="nil"/>
              <w:bottom w:val="single" w:sz="4" w:space="0" w:color="auto"/>
              <w:right w:val="single" w:sz="4" w:space="0" w:color="auto"/>
            </w:tcBorders>
            <w:shd w:val="clear" w:color="000000" w:fill="FFFFFF"/>
            <w:noWrap/>
            <w:vAlign w:val="center"/>
            <w:hideMark/>
          </w:tcPr>
          <w:p w14:paraId="5D8DA444" w14:textId="77777777" w:rsidR="002808A4" w:rsidRPr="002808A4" w:rsidRDefault="002808A4" w:rsidP="002808A4">
            <w:pPr>
              <w:spacing w:after="0" w:line="240" w:lineRule="auto"/>
              <w:jc w:val="right"/>
              <w:rPr>
                <w:rFonts w:eastAsia="Times New Roman" w:cs="Calibri"/>
                <w:color w:val="000000"/>
                <w:sz w:val="14"/>
                <w:szCs w:val="14"/>
                <w:lang w:eastAsia="es-MX"/>
              </w:rPr>
            </w:pPr>
            <w:r w:rsidRPr="002808A4">
              <w:rPr>
                <w:rFonts w:eastAsia="Times New Roman" w:cs="Calibri"/>
                <w:color w:val="000000"/>
                <w:sz w:val="14"/>
                <w:szCs w:val="14"/>
                <w:lang w:eastAsia="es-MX"/>
              </w:rPr>
              <w:t>15,833,324,062</w:t>
            </w:r>
          </w:p>
        </w:tc>
        <w:tc>
          <w:tcPr>
            <w:tcW w:w="1843" w:type="dxa"/>
            <w:tcBorders>
              <w:top w:val="nil"/>
              <w:left w:val="nil"/>
              <w:bottom w:val="single" w:sz="4" w:space="0" w:color="auto"/>
              <w:right w:val="single" w:sz="4" w:space="0" w:color="auto"/>
            </w:tcBorders>
            <w:shd w:val="clear" w:color="000000" w:fill="FFFFFF"/>
            <w:noWrap/>
            <w:vAlign w:val="center"/>
            <w:hideMark/>
          </w:tcPr>
          <w:p w14:paraId="1DE3B745" w14:textId="77777777" w:rsidR="002808A4" w:rsidRPr="002808A4" w:rsidRDefault="002808A4" w:rsidP="002808A4">
            <w:pPr>
              <w:spacing w:after="0" w:line="240" w:lineRule="auto"/>
              <w:jc w:val="right"/>
              <w:rPr>
                <w:rFonts w:eastAsia="Times New Roman" w:cs="Calibri"/>
                <w:color w:val="000000"/>
                <w:sz w:val="14"/>
                <w:szCs w:val="14"/>
                <w:lang w:eastAsia="es-MX"/>
              </w:rPr>
            </w:pPr>
            <w:r w:rsidRPr="002808A4">
              <w:rPr>
                <w:rFonts w:eastAsia="Times New Roman" w:cs="Calibri"/>
                <w:color w:val="000000"/>
                <w:sz w:val="14"/>
                <w:szCs w:val="14"/>
                <w:lang w:eastAsia="es-MX"/>
              </w:rPr>
              <w:t>717,585,000,000</w:t>
            </w:r>
          </w:p>
        </w:tc>
        <w:tc>
          <w:tcPr>
            <w:tcW w:w="1701" w:type="dxa"/>
            <w:tcBorders>
              <w:top w:val="nil"/>
              <w:left w:val="nil"/>
              <w:bottom w:val="single" w:sz="4" w:space="0" w:color="auto"/>
              <w:right w:val="single" w:sz="4" w:space="0" w:color="auto"/>
            </w:tcBorders>
            <w:shd w:val="clear" w:color="auto" w:fill="auto"/>
            <w:noWrap/>
            <w:vAlign w:val="center"/>
            <w:hideMark/>
          </w:tcPr>
          <w:p w14:paraId="43FAA17E" w14:textId="77777777" w:rsidR="002808A4" w:rsidRPr="002808A4" w:rsidRDefault="002808A4" w:rsidP="002808A4">
            <w:pPr>
              <w:spacing w:after="0" w:line="240" w:lineRule="auto"/>
              <w:jc w:val="right"/>
              <w:rPr>
                <w:rFonts w:eastAsia="Times New Roman" w:cs="Calibri"/>
                <w:color w:val="000000"/>
                <w:sz w:val="14"/>
                <w:szCs w:val="14"/>
                <w:lang w:eastAsia="es-MX"/>
              </w:rPr>
            </w:pPr>
            <w:r w:rsidRPr="002808A4">
              <w:rPr>
                <w:rFonts w:eastAsia="Times New Roman" w:cs="Calibri"/>
                <w:color w:val="000000"/>
                <w:sz w:val="14"/>
                <w:szCs w:val="14"/>
                <w:lang w:eastAsia="es-MX"/>
              </w:rPr>
              <w:t>0.0221</w:t>
            </w:r>
          </w:p>
        </w:tc>
      </w:tr>
    </w:tbl>
    <w:p w14:paraId="325648EB" w14:textId="640F2433" w:rsidR="002808A4" w:rsidRDefault="002808A4" w:rsidP="000C20BD">
      <w:pPr>
        <w:pStyle w:val="Texto"/>
        <w:spacing w:after="0" w:line="240" w:lineRule="exact"/>
        <w:ind w:left="720" w:firstLine="0"/>
        <w:rPr>
          <w:rFonts w:asciiTheme="minorHAnsi" w:hAnsiTheme="minorHAnsi" w:cstheme="minorHAnsi"/>
          <w:szCs w:val="18"/>
          <w:lang w:val="es-MX"/>
        </w:rPr>
      </w:pPr>
    </w:p>
    <w:p w14:paraId="33EC96A3" w14:textId="182CDC7D" w:rsidR="00B038D8" w:rsidRDefault="00B038D8" w:rsidP="000C20BD">
      <w:pPr>
        <w:pStyle w:val="Texto"/>
        <w:spacing w:after="0" w:line="240" w:lineRule="exact"/>
        <w:ind w:left="720" w:firstLine="0"/>
        <w:rPr>
          <w:rFonts w:asciiTheme="minorHAnsi" w:hAnsiTheme="minorHAnsi" w:cstheme="minorHAnsi"/>
          <w:szCs w:val="18"/>
          <w:lang w:val="es-MX"/>
        </w:rPr>
      </w:pPr>
    </w:p>
    <w:p w14:paraId="0C1370FE" w14:textId="77777777" w:rsidR="0002552E" w:rsidRDefault="0002552E" w:rsidP="000C20BD">
      <w:pPr>
        <w:pStyle w:val="Texto"/>
        <w:spacing w:after="0" w:line="240" w:lineRule="exact"/>
        <w:ind w:left="720" w:firstLine="0"/>
        <w:rPr>
          <w:rFonts w:asciiTheme="minorHAnsi" w:hAnsiTheme="minorHAnsi" w:cstheme="minorHAnsi"/>
          <w:szCs w:val="18"/>
          <w:lang w:val="es-MX"/>
        </w:rPr>
      </w:pPr>
    </w:p>
    <w:p w14:paraId="33754C16" w14:textId="77777777" w:rsidR="00A9460E" w:rsidRPr="005F45A3" w:rsidRDefault="00A9460E" w:rsidP="00295AC0">
      <w:pPr>
        <w:pStyle w:val="Texto"/>
        <w:numPr>
          <w:ilvl w:val="0"/>
          <w:numId w:val="4"/>
        </w:numPr>
        <w:spacing w:after="0" w:line="240" w:lineRule="exact"/>
        <w:ind w:left="284"/>
        <w:rPr>
          <w:rFonts w:asciiTheme="minorHAnsi" w:hAnsiTheme="minorHAnsi" w:cstheme="minorHAnsi"/>
          <w:szCs w:val="18"/>
        </w:rPr>
      </w:pPr>
      <w:r w:rsidRPr="005F45A3">
        <w:rPr>
          <w:rFonts w:asciiTheme="minorHAnsi" w:hAnsiTheme="minorHAnsi" w:cstheme="minorHAnsi"/>
          <w:szCs w:val="18"/>
        </w:rPr>
        <w:t>Deuda Respecto a la Recaudación</w:t>
      </w:r>
    </w:p>
    <w:p w14:paraId="76EA490E" w14:textId="77777777" w:rsidR="00A9460E" w:rsidRPr="005F45A3" w:rsidRDefault="00A9460E" w:rsidP="000C20BD">
      <w:pPr>
        <w:pStyle w:val="Texto"/>
        <w:spacing w:after="0" w:line="240" w:lineRule="exact"/>
        <w:ind w:left="720" w:firstLine="0"/>
        <w:rPr>
          <w:rFonts w:asciiTheme="minorHAnsi" w:hAnsiTheme="minorHAnsi" w:cstheme="minorHAnsi"/>
          <w:szCs w:val="18"/>
          <w:lang w:val="es-MX"/>
        </w:rPr>
      </w:pPr>
    </w:p>
    <w:tbl>
      <w:tblPr>
        <w:tblW w:w="6941" w:type="dxa"/>
        <w:tblInd w:w="279" w:type="dxa"/>
        <w:tblCellMar>
          <w:left w:w="70" w:type="dxa"/>
          <w:right w:w="70" w:type="dxa"/>
        </w:tblCellMar>
        <w:tblLook w:val="04A0" w:firstRow="1" w:lastRow="0" w:firstColumn="1" w:lastColumn="0" w:noHBand="0" w:noVBand="1"/>
      </w:tblPr>
      <w:tblGrid>
        <w:gridCol w:w="1413"/>
        <w:gridCol w:w="2268"/>
        <w:gridCol w:w="1701"/>
        <w:gridCol w:w="1559"/>
      </w:tblGrid>
      <w:tr w:rsidR="002472D3" w:rsidRPr="002472D3" w14:paraId="388948F9" w14:textId="77777777" w:rsidTr="002D1E75">
        <w:trPr>
          <w:trHeight w:val="300"/>
        </w:trPr>
        <w:tc>
          <w:tcPr>
            <w:tcW w:w="6941" w:type="dxa"/>
            <w:gridSpan w:val="4"/>
            <w:tcBorders>
              <w:top w:val="single" w:sz="4" w:space="0" w:color="auto"/>
              <w:left w:val="single" w:sz="4" w:space="0" w:color="auto"/>
              <w:bottom w:val="single" w:sz="4" w:space="0" w:color="auto"/>
              <w:right w:val="single" w:sz="4" w:space="0" w:color="000000"/>
            </w:tcBorders>
            <w:shd w:val="clear" w:color="auto" w:fill="AB0033"/>
            <w:vAlign w:val="center"/>
            <w:hideMark/>
          </w:tcPr>
          <w:p w14:paraId="2DF559F8" w14:textId="77777777" w:rsidR="002472D3" w:rsidRPr="002472D3" w:rsidRDefault="002472D3" w:rsidP="002472D3">
            <w:pPr>
              <w:spacing w:after="0" w:line="240" w:lineRule="auto"/>
              <w:jc w:val="center"/>
              <w:rPr>
                <w:rFonts w:eastAsia="Times New Roman" w:cs="Calibri"/>
                <w:b/>
                <w:bCs/>
                <w:color w:val="FFFFFF"/>
                <w:sz w:val="16"/>
                <w:szCs w:val="16"/>
                <w:lang w:eastAsia="es-MX"/>
              </w:rPr>
            </w:pPr>
            <w:r w:rsidRPr="002472D3">
              <w:rPr>
                <w:rFonts w:eastAsia="Times New Roman" w:cs="Calibri"/>
                <w:b/>
                <w:bCs/>
                <w:color w:val="FFFFFF"/>
                <w:sz w:val="16"/>
                <w:szCs w:val="16"/>
                <w:lang w:eastAsia="es-MX"/>
              </w:rPr>
              <w:t>Indicador: Deuda Respecto a la Recaudación</w:t>
            </w:r>
          </w:p>
        </w:tc>
      </w:tr>
      <w:tr w:rsidR="002472D3" w:rsidRPr="002472D3" w14:paraId="762F2331" w14:textId="77777777" w:rsidTr="002D1E75">
        <w:trPr>
          <w:trHeight w:val="290"/>
        </w:trPr>
        <w:tc>
          <w:tcPr>
            <w:tcW w:w="1413" w:type="dxa"/>
            <w:tcBorders>
              <w:top w:val="nil"/>
              <w:left w:val="single" w:sz="4" w:space="0" w:color="auto"/>
              <w:bottom w:val="single" w:sz="4" w:space="0" w:color="auto"/>
              <w:right w:val="single" w:sz="4" w:space="0" w:color="auto"/>
            </w:tcBorders>
            <w:shd w:val="clear" w:color="000000" w:fill="D9D9D9"/>
            <w:noWrap/>
            <w:vAlign w:val="center"/>
            <w:hideMark/>
          </w:tcPr>
          <w:p w14:paraId="05C1560C" w14:textId="77777777" w:rsidR="002472D3" w:rsidRPr="002472D3" w:rsidRDefault="002472D3" w:rsidP="002472D3">
            <w:pPr>
              <w:spacing w:after="0" w:line="240" w:lineRule="auto"/>
              <w:jc w:val="center"/>
              <w:rPr>
                <w:rFonts w:eastAsia="Times New Roman" w:cs="Calibri"/>
                <w:b/>
                <w:bCs/>
                <w:color w:val="000000"/>
                <w:sz w:val="16"/>
                <w:szCs w:val="16"/>
                <w:lang w:eastAsia="es-MX"/>
              </w:rPr>
            </w:pPr>
            <w:r w:rsidRPr="002472D3">
              <w:rPr>
                <w:rFonts w:eastAsia="Times New Roman" w:cs="Calibri"/>
                <w:b/>
                <w:bCs/>
                <w:color w:val="000000"/>
                <w:sz w:val="16"/>
                <w:szCs w:val="16"/>
                <w:lang w:eastAsia="es-MX"/>
              </w:rPr>
              <w:t>Año</w:t>
            </w:r>
          </w:p>
        </w:tc>
        <w:tc>
          <w:tcPr>
            <w:tcW w:w="2268" w:type="dxa"/>
            <w:tcBorders>
              <w:top w:val="nil"/>
              <w:left w:val="nil"/>
              <w:bottom w:val="single" w:sz="4" w:space="0" w:color="auto"/>
              <w:right w:val="single" w:sz="4" w:space="0" w:color="auto"/>
            </w:tcBorders>
            <w:shd w:val="clear" w:color="000000" w:fill="D9D9D9"/>
            <w:vAlign w:val="center"/>
            <w:hideMark/>
          </w:tcPr>
          <w:p w14:paraId="650EB8D0" w14:textId="77777777" w:rsidR="002472D3" w:rsidRPr="002472D3" w:rsidRDefault="002472D3" w:rsidP="002472D3">
            <w:pPr>
              <w:spacing w:after="0" w:line="240" w:lineRule="auto"/>
              <w:jc w:val="center"/>
              <w:rPr>
                <w:rFonts w:eastAsia="Times New Roman" w:cs="Calibri"/>
                <w:b/>
                <w:bCs/>
                <w:color w:val="000000"/>
                <w:sz w:val="16"/>
                <w:szCs w:val="16"/>
                <w:lang w:eastAsia="es-MX"/>
              </w:rPr>
            </w:pPr>
            <w:r w:rsidRPr="002472D3">
              <w:rPr>
                <w:rFonts w:eastAsia="Times New Roman" w:cs="Calibri"/>
                <w:b/>
                <w:bCs/>
                <w:color w:val="000000"/>
                <w:sz w:val="16"/>
                <w:szCs w:val="16"/>
                <w:lang w:eastAsia="es-MX"/>
              </w:rPr>
              <w:t>Saldo de la Deuda</w:t>
            </w:r>
          </w:p>
        </w:tc>
        <w:tc>
          <w:tcPr>
            <w:tcW w:w="1701" w:type="dxa"/>
            <w:tcBorders>
              <w:top w:val="nil"/>
              <w:left w:val="nil"/>
              <w:bottom w:val="single" w:sz="4" w:space="0" w:color="auto"/>
              <w:right w:val="single" w:sz="4" w:space="0" w:color="auto"/>
            </w:tcBorders>
            <w:shd w:val="clear" w:color="000000" w:fill="D9D9D9"/>
            <w:noWrap/>
            <w:vAlign w:val="center"/>
            <w:hideMark/>
          </w:tcPr>
          <w:p w14:paraId="00D4F515" w14:textId="77777777" w:rsidR="002472D3" w:rsidRPr="002472D3" w:rsidRDefault="002472D3" w:rsidP="002472D3">
            <w:pPr>
              <w:spacing w:after="0" w:line="240" w:lineRule="auto"/>
              <w:jc w:val="center"/>
              <w:rPr>
                <w:rFonts w:eastAsia="Times New Roman" w:cs="Calibri"/>
                <w:b/>
                <w:bCs/>
                <w:color w:val="000000"/>
                <w:sz w:val="16"/>
                <w:szCs w:val="16"/>
                <w:lang w:eastAsia="es-MX"/>
              </w:rPr>
            </w:pPr>
            <w:r w:rsidRPr="002472D3">
              <w:rPr>
                <w:rFonts w:eastAsia="Times New Roman" w:cs="Calibri"/>
                <w:b/>
                <w:bCs/>
                <w:color w:val="000000"/>
                <w:sz w:val="16"/>
                <w:szCs w:val="16"/>
                <w:lang w:eastAsia="es-MX"/>
              </w:rPr>
              <w:t xml:space="preserve">Recaudación </w:t>
            </w:r>
          </w:p>
        </w:tc>
        <w:tc>
          <w:tcPr>
            <w:tcW w:w="1559" w:type="dxa"/>
            <w:tcBorders>
              <w:top w:val="nil"/>
              <w:left w:val="nil"/>
              <w:bottom w:val="single" w:sz="4" w:space="0" w:color="auto"/>
              <w:right w:val="single" w:sz="4" w:space="0" w:color="auto"/>
            </w:tcBorders>
            <w:shd w:val="clear" w:color="000000" w:fill="D9D9D9"/>
            <w:noWrap/>
            <w:vAlign w:val="center"/>
            <w:hideMark/>
          </w:tcPr>
          <w:p w14:paraId="04CAE13A" w14:textId="77777777" w:rsidR="002472D3" w:rsidRPr="002472D3" w:rsidRDefault="002472D3" w:rsidP="002472D3">
            <w:pPr>
              <w:spacing w:after="0" w:line="240" w:lineRule="auto"/>
              <w:jc w:val="center"/>
              <w:rPr>
                <w:rFonts w:eastAsia="Times New Roman" w:cs="Calibri"/>
                <w:b/>
                <w:bCs/>
                <w:color w:val="000000"/>
                <w:sz w:val="16"/>
                <w:szCs w:val="16"/>
                <w:lang w:eastAsia="es-MX"/>
              </w:rPr>
            </w:pPr>
            <w:r w:rsidRPr="002472D3">
              <w:rPr>
                <w:rFonts w:eastAsia="Times New Roman" w:cs="Calibri"/>
                <w:b/>
                <w:bCs/>
                <w:color w:val="000000"/>
                <w:sz w:val="16"/>
                <w:szCs w:val="16"/>
                <w:lang w:eastAsia="es-MX"/>
              </w:rPr>
              <w:t xml:space="preserve">    Indicador</w:t>
            </w:r>
          </w:p>
        </w:tc>
      </w:tr>
      <w:tr w:rsidR="002472D3" w:rsidRPr="002472D3" w14:paraId="47A1824D" w14:textId="77777777" w:rsidTr="002D1E75">
        <w:trPr>
          <w:trHeight w:val="290"/>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14:paraId="09661230" w14:textId="77777777" w:rsidR="002472D3" w:rsidRPr="002472D3" w:rsidRDefault="002472D3" w:rsidP="002472D3">
            <w:pPr>
              <w:spacing w:after="0" w:line="240" w:lineRule="auto"/>
              <w:jc w:val="center"/>
              <w:rPr>
                <w:rFonts w:eastAsia="Times New Roman" w:cs="Calibri"/>
                <w:color w:val="000000"/>
                <w:sz w:val="14"/>
                <w:szCs w:val="14"/>
                <w:lang w:eastAsia="es-MX"/>
              </w:rPr>
            </w:pPr>
            <w:r w:rsidRPr="002472D3">
              <w:rPr>
                <w:rFonts w:eastAsia="Times New Roman" w:cs="Calibri"/>
                <w:color w:val="000000"/>
                <w:sz w:val="14"/>
                <w:szCs w:val="14"/>
                <w:lang w:eastAsia="es-MX"/>
              </w:rPr>
              <w:t>2015</w:t>
            </w:r>
          </w:p>
        </w:tc>
        <w:tc>
          <w:tcPr>
            <w:tcW w:w="2268" w:type="dxa"/>
            <w:tcBorders>
              <w:top w:val="nil"/>
              <w:left w:val="nil"/>
              <w:bottom w:val="single" w:sz="4" w:space="0" w:color="auto"/>
              <w:right w:val="single" w:sz="4" w:space="0" w:color="auto"/>
            </w:tcBorders>
            <w:shd w:val="clear" w:color="000000" w:fill="FFFFFF"/>
            <w:noWrap/>
            <w:vAlign w:val="center"/>
            <w:hideMark/>
          </w:tcPr>
          <w:p w14:paraId="2BD46792"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11,337,341,446</w:t>
            </w:r>
          </w:p>
        </w:tc>
        <w:tc>
          <w:tcPr>
            <w:tcW w:w="1701" w:type="dxa"/>
            <w:tcBorders>
              <w:top w:val="nil"/>
              <w:left w:val="nil"/>
              <w:bottom w:val="single" w:sz="4" w:space="0" w:color="auto"/>
              <w:right w:val="single" w:sz="4" w:space="0" w:color="auto"/>
            </w:tcBorders>
            <w:shd w:val="clear" w:color="000000" w:fill="FFFFFF"/>
            <w:noWrap/>
            <w:vAlign w:val="center"/>
            <w:hideMark/>
          </w:tcPr>
          <w:p w14:paraId="0E96255B"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5,332,511,930</w:t>
            </w:r>
          </w:p>
        </w:tc>
        <w:tc>
          <w:tcPr>
            <w:tcW w:w="1559" w:type="dxa"/>
            <w:tcBorders>
              <w:top w:val="nil"/>
              <w:left w:val="nil"/>
              <w:bottom w:val="single" w:sz="4" w:space="0" w:color="auto"/>
              <w:right w:val="single" w:sz="4" w:space="0" w:color="auto"/>
            </w:tcBorders>
            <w:shd w:val="clear" w:color="000000" w:fill="FFFFFF"/>
            <w:noWrap/>
            <w:vAlign w:val="center"/>
            <w:hideMark/>
          </w:tcPr>
          <w:p w14:paraId="3123DB51"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2.126</w:t>
            </w:r>
          </w:p>
        </w:tc>
      </w:tr>
      <w:tr w:rsidR="002472D3" w:rsidRPr="002472D3" w14:paraId="4E03FD67" w14:textId="77777777" w:rsidTr="002D1E75">
        <w:trPr>
          <w:trHeight w:val="290"/>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14:paraId="1A108F94" w14:textId="77777777" w:rsidR="002472D3" w:rsidRPr="002472D3" w:rsidRDefault="002472D3" w:rsidP="002472D3">
            <w:pPr>
              <w:spacing w:after="0" w:line="240" w:lineRule="auto"/>
              <w:jc w:val="center"/>
              <w:rPr>
                <w:rFonts w:eastAsia="Times New Roman" w:cs="Calibri"/>
                <w:color w:val="000000"/>
                <w:sz w:val="14"/>
                <w:szCs w:val="14"/>
                <w:lang w:eastAsia="es-MX"/>
              </w:rPr>
            </w:pPr>
            <w:r w:rsidRPr="002472D3">
              <w:rPr>
                <w:rFonts w:eastAsia="Times New Roman" w:cs="Calibri"/>
                <w:color w:val="000000"/>
                <w:sz w:val="14"/>
                <w:szCs w:val="14"/>
                <w:lang w:eastAsia="es-MX"/>
              </w:rPr>
              <w:t>2016</w:t>
            </w:r>
          </w:p>
        </w:tc>
        <w:tc>
          <w:tcPr>
            <w:tcW w:w="2268" w:type="dxa"/>
            <w:tcBorders>
              <w:top w:val="nil"/>
              <w:left w:val="nil"/>
              <w:bottom w:val="single" w:sz="4" w:space="0" w:color="auto"/>
              <w:right w:val="single" w:sz="4" w:space="0" w:color="auto"/>
            </w:tcBorders>
            <w:shd w:val="clear" w:color="000000" w:fill="FFFFFF"/>
            <w:noWrap/>
            <w:vAlign w:val="center"/>
            <w:hideMark/>
          </w:tcPr>
          <w:p w14:paraId="0860DECF"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11,833,696,945</w:t>
            </w:r>
          </w:p>
        </w:tc>
        <w:tc>
          <w:tcPr>
            <w:tcW w:w="1701" w:type="dxa"/>
            <w:tcBorders>
              <w:top w:val="nil"/>
              <w:left w:val="nil"/>
              <w:bottom w:val="single" w:sz="4" w:space="0" w:color="auto"/>
              <w:right w:val="single" w:sz="4" w:space="0" w:color="auto"/>
            </w:tcBorders>
            <w:shd w:val="clear" w:color="000000" w:fill="FFFFFF"/>
            <w:noWrap/>
            <w:vAlign w:val="center"/>
            <w:hideMark/>
          </w:tcPr>
          <w:p w14:paraId="07506DF7"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5,695,607,997</w:t>
            </w:r>
          </w:p>
        </w:tc>
        <w:tc>
          <w:tcPr>
            <w:tcW w:w="1559" w:type="dxa"/>
            <w:tcBorders>
              <w:top w:val="nil"/>
              <w:left w:val="nil"/>
              <w:bottom w:val="single" w:sz="4" w:space="0" w:color="auto"/>
              <w:right w:val="single" w:sz="4" w:space="0" w:color="auto"/>
            </w:tcBorders>
            <w:shd w:val="clear" w:color="000000" w:fill="FFFFFF"/>
            <w:noWrap/>
            <w:vAlign w:val="center"/>
            <w:hideMark/>
          </w:tcPr>
          <w:p w14:paraId="33974A23"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2.078</w:t>
            </w:r>
          </w:p>
        </w:tc>
      </w:tr>
      <w:tr w:rsidR="002472D3" w:rsidRPr="002472D3" w14:paraId="1CBD20EA" w14:textId="77777777" w:rsidTr="002D1E75">
        <w:trPr>
          <w:trHeight w:val="290"/>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14:paraId="0A1D2659" w14:textId="77777777" w:rsidR="002472D3" w:rsidRPr="002472D3" w:rsidRDefault="002472D3" w:rsidP="002472D3">
            <w:pPr>
              <w:spacing w:after="0" w:line="240" w:lineRule="auto"/>
              <w:jc w:val="center"/>
              <w:rPr>
                <w:rFonts w:eastAsia="Times New Roman" w:cs="Calibri"/>
                <w:color w:val="000000"/>
                <w:sz w:val="14"/>
                <w:szCs w:val="14"/>
                <w:lang w:eastAsia="es-MX"/>
              </w:rPr>
            </w:pPr>
            <w:r w:rsidRPr="002472D3">
              <w:rPr>
                <w:rFonts w:eastAsia="Times New Roman" w:cs="Calibri"/>
                <w:color w:val="000000"/>
                <w:sz w:val="14"/>
                <w:szCs w:val="14"/>
                <w:lang w:eastAsia="es-MX"/>
              </w:rPr>
              <w:t>2017</w:t>
            </w:r>
          </w:p>
        </w:tc>
        <w:tc>
          <w:tcPr>
            <w:tcW w:w="2268" w:type="dxa"/>
            <w:tcBorders>
              <w:top w:val="nil"/>
              <w:left w:val="nil"/>
              <w:bottom w:val="single" w:sz="4" w:space="0" w:color="auto"/>
              <w:right w:val="single" w:sz="4" w:space="0" w:color="auto"/>
            </w:tcBorders>
            <w:shd w:val="clear" w:color="000000" w:fill="FFFFFF"/>
            <w:noWrap/>
            <w:vAlign w:val="center"/>
            <w:hideMark/>
          </w:tcPr>
          <w:p w14:paraId="1B54D437"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11,462,941,947</w:t>
            </w:r>
          </w:p>
        </w:tc>
        <w:tc>
          <w:tcPr>
            <w:tcW w:w="1701" w:type="dxa"/>
            <w:tcBorders>
              <w:top w:val="nil"/>
              <w:left w:val="nil"/>
              <w:bottom w:val="single" w:sz="4" w:space="0" w:color="auto"/>
              <w:right w:val="single" w:sz="4" w:space="0" w:color="auto"/>
            </w:tcBorders>
            <w:shd w:val="clear" w:color="000000" w:fill="FFFFFF"/>
            <w:noWrap/>
            <w:vAlign w:val="center"/>
            <w:hideMark/>
          </w:tcPr>
          <w:p w14:paraId="205DF815"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7,005,654,094</w:t>
            </w:r>
          </w:p>
        </w:tc>
        <w:tc>
          <w:tcPr>
            <w:tcW w:w="1559" w:type="dxa"/>
            <w:tcBorders>
              <w:top w:val="nil"/>
              <w:left w:val="nil"/>
              <w:bottom w:val="single" w:sz="4" w:space="0" w:color="auto"/>
              <w:right w:val="single" w:sz="4" w:space="0" w:color="auto"/>
            </w:tcBorders>
            <w:shd w:val="clear" w:color="000000" w:fill="FFFFFF"/>
            <w:noWrap/>
            <w:vAlign w:val="center"/>
            <w:hideMark/>
          </w:tcPr>
          <w:p w14:paraId="5002F6A6"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1.636</w:t>
            </w:r>
          </w:p>
        </w:tc>
      </w:tr>
      <w:tr w:rsidR="002472D3" w:rsidRPr="002472D3" w14:paraId="3B090F50" w14:textId="77777777" w:rsidTr="002D1E75">
        <w:trPr>
          <w:trHeight w:val="290"/>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14:paraId="1EA465FC" w14:textId="77777777" w:rsidR="002472D3" w:rsidRPr="002472D3" w:rsidRDefault="002472D3" w:rsidP="002472D3">
            <w:pPr>
              <w:spacing w:after="0" w:line="240" w:lineRule="auto"/>
              <w:jc w:val="center"/>
              <w:rPr>
                <w:rFonts w:eastAsia="Times New Roman" w:cs="Calibri"/>
                <w:color w:val="000000"/>
                <w:sz w:val="14"/>
                <w:szCs w:val="14"/>
                <w:lang w:eastAsia="es-MX"/>
              </w:rPr>
            </w:pPr>
            <w:r w:rsidRPr="002472D3">
              <w:rPr>
                <w:rFonts w:eastAsia="Times New Roman" w:cs="Calibri"/>
                <w:color w:val="000000"/>
                <w:sz w:val="14"/>
                <w:szCs w:val="14"/>
                <w:lang w:eastAsia="es-MX"/>
              </w:rPr>
              <w:t>2018</w:t>
            </w:r>
          </w:p>
        </w:tc>
        <w:tc>
          <w:tcPr>
            <w:tcW w:w="2268" w:type="dxa"/>
            <w:tcBorders>
              <w:top w:val="nil"/>
              <w:left w:val="nil"/>
              <w:bottom w:val="single" w:sz="4" w:space="0" w:color="auto"/>
              <w:right w:val="single" w:sz="4" w:space="0" w:color="auto"/>
            </w:tcBorders>
            <w:shd w:val="clear" w:color="000000" w:fill="FFFFFF"/>
            <w:noWrap/>
            <w:vAlign w:val="center"/>
            <w:hideMark/>
          </w:tcPr>
          <w:p w14:paraId="23E93822"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11,582,032,979</w:t>
            </w:r>
          </w:p>
        </w:tc>
        <w:tc>
          <w:tcPr>
            <w:tcW w:w="1701" w:type="dxa"/>
            <w:tcBorders>
              <w:top w:val="nil"/>
              <w:left w:val="nil"/>
              <w:bottom w:val="single" w:sz="4" w:space="0" w:color="auto"/>
              <w:right w:val="single" w:sz="4" w:space="0" w:color="auto"/>
            </w:tcBorders>
            <w:shd w:val="clear" w:color="000000" w:fill="FFFFFF"/>
            <w:noWrap/>
            <w:vAlign w:val="center"/>
            <w:hideMark/>
          </w:tcPr>
          <w:p w14:paraId="451B440C"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6,693,584,312</w:t>
            </w:r>
          </w:p>
        </w:tc>
        <w:tc>
          <w:tcPr>
            <w:tcW w:w="1559" w:type="dxa"/>
            <w:tcBorders>
              <w:top w:val="nil"/>
              <w:left w:val="nil"/>
              <w:bottom w:val="single" w:sz="4" w:space="0" w:color="auto"/>
              <w:right w:val="single" w:sz="4" w:space="0" w:color="auto"/>
            </w:tcBorders>
            <w:shd w:val="clear" w:color="000000" w:fill="FFFFFF"/>
            <w:noWrap/>
            <w:vAlign w:val="center"/>
            <w:hideMark/>
          </w:tcPr>
          <w:p w14:paraId="420E5614"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1.730</w:t>
            </w:r>
          </w:p>
        </w:tc>
      </w:tr>
      <w:tr w:rsidR="002472D3" w:rsidRPr="002472D3" w14:paraId="578CFEBB" w14:textId="77777777" w:rsidTr="002D1E75">
        <w:trPr>
          <w:trHeight w:val="290"/>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14:paraId="659D45EE" w14:textId="77777777" w:rsidR="002472D3" w:rsidRPr="002472D3" w:rsidRDefault="002472D3" w:rsidP="002472D3">
            <w:pPr>
              <w:spacing w:after="0" w:line="240" w:lineRule="auto"/>
              <w:jc w:val="center"/>
              <w:rPr>
                <w:rFonts w:eastAsia="Times New Roman" w:cs="Calibri"/>
                <w:color w:val="000000"/>
                <w:sz w:val="14"/>
                <w:szCs w:val="14"/>
                <w:lang w:eastAsia="es-MX"/>
              </w:rPr>
            </w:pPr>
            <w:r w:rsidRPr="002472D3">
              <w:rPr>
                <w:rFonts w:eastAsia="Times New Roman" w:cs="Calibri"/>
                <w:color w:val="000000"/>
                <w:sz w:val="14"/>
                <w:szCs w:val="14"/>
                <w:lang w:eastAsia="es-MX"/>
              </w:rPr>
              <w:t>2019</w:t>
            </w:r>
          </w:p>
        </w:tc>
        <w:tc>
          <w:tcPr>
            <w:tcW w:w="2268" w:type="dxa"/>
            <w:tcBorders>
              <w:top w:val="nil"/>
              <w:left w:val="nil"/>
              <w:bottom w:val="single" w:sz="4" w:space="0" w:color="auto"/>
              <w:right w:val="single" w:sz="4" w:space="0" w:color="auto"/>
            </w:tcBorders>
            <w:shd w:val="clear" w:color="000000" w:fill="FFFFFF"/>
            <w:noWrap/>
            <w:vAlign w:val="center"/>
            <w:hideMark/>
          </w:tcPr>
          <w:p w14:paraId="5D909B71"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14,416,115,884</w:t>
            </w:r>
          </w:p>
        </w:tc>
        <w:tc>
          <w:tcPr>
            <w:tcW w:w="1701" w:type="dxa"/>
            <w:tcBorders>
              <w:top w:val="nil"/>
              <w:left w:val="nil"/>
              <w:bottom w:val="single" w:sz="4" w:space="0" w:color="auto"/>
              <w:right w:val="single" w:sz="4" w:space="0" w:color="auto"/>
            </w:tcBorders>
            <w:shd w:val="clear" w:color="000000" w:fill="FFFFFF"/>
            <w:noWrap/>
            <w:vAlign w:val="center"/>
            <w:hideMark/>
          </w:tcPr>
          <w:p w14:paraId="0FA8320B"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8,303,604,964</w:t>
            </w:r>
          </w:p>
        </w:tc>
        <w:tc>
          <w:tcPr>
            <w:tcW w:w="1559" w:type="dxa"/>
            <w:tcBorders>
              <w:top w:val="nil"/>
              <w:left w:val="nil"/>
              <w:bottom w:val="single" w:sz="4" w:space="0" w:color="auto"/>
              <w:right w:val="single" w:sz="4" w:space="0" w:color="auto"/>
            </w:tcBorders>
            <w:shd w:val="clear" w:color="000000" w:fill="FFFFFF"/>
            <w:noWrap/>
            <w:vAlign w:val="center"/>
            <w:hideMark/>
          </w:tcPr>
          <w:p w14:paraId="42948A5E"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1.736</w:t>
            </w:r>
          </w:p>
        </w:tc>
      </w:tr>
      <w:tr w:rsidR="002472D3" w:rsidRPr="002472D3" w14:paraId="4C783D46" w14:textId="77777777" w:rsidTr="002D1E75">
        <w:trPr>
          <w:trHeight w:val="290"/>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14:paraId="571529D1" w14:textId="77777777" w:rsidR="002472D3" w:rsidRPr="002472D3" w:rsidRDefault="002472D3" w:rsidP="002472D3">
            <w:pPr>
              <w:spacing w:after="0" w:line="240" w:lineRule="auto"/>
              <w:jc w:val="center"/>
              <w:rPr>
                <w:rFonts w:eastAsia="Times New Roman" w:cs="Calibri"/>
                <w:color w:val="000000"/>
                <w:sz w:val="14"/>
                <w:szCs w:val="14"/>
                <w:lang w:eastAsia="es-MX"/>
              </w:rPr>
            </w:pPr>
            <w:r w:rsidRPr="002472D3">
              <w:rPr>
                <w:rFonts w:eastAsia="Times New Roman" w:cs="Calibri"/>
                <w:color w:val="000000"/>
                <w:sz w:val="14"/>
                <w:szCs w:val="14"/>
                <w:lang w:eastAsia="es-MX"/>
              </w:rPr>
              <w:t>2020</w:t>
            </w:r>
          </w:p>
        </w:tc>
        <w:tc>
          <w:tcPr>
            <w:tcW w:w="2268" w:type="dxa"/>
            <w:tcBorders>
              <w:top w:val="nil"/>
              <w:left w:val="nil"/>
              <w:bottom w:val="single" w:sz="4" w:space="0" w:color="auto"/>
              <w:right w:val="single" w:sz="4" w:space="0" w:color="auto"/>
            </w:tcBorders>
            <w:shd w:val="clear" w:color="000000" w:fill="FFFFFF"/>
            <w:noWrap/>
            <w:vAlign w:val="center"/>
            <w:hideMark/>
          </w:tcPr>
          <w:p w14:paraId="61F2279E"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14,020,190,971</w:t>
            </w:r>
          </w:p>
        </w:tc>
        <w:tc>
          <w:tcPr>
            <w:tcW w:w="1701" w:type="dxa"/>
            <w:tcBorders>
              <w:top w:val="nil"/>
              <w:left w:val="nil"/>
              <w:bottom w:val="single" w:sz="4" w:space="0" w:color="auto"/>
              <w:right w:val="single" w:sz="4" w:space="0" w:color="auto"/>
            </w:tcBorders>
            <w:shd w:val="clear" w:color="000000" w:fill="FFFFFF"/>
            <w:noWrap/>
            <w:vAlign w:val="center"/>
            <w:hideMark/>
          </w:tcPr>
          <w:p w14:paraId="21E6B96F"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7,486,430,886</w:t>
            </w:r>
          </w:p>
        </w:tc>
        <w:tc>
          <w:tcPr>
            <w:tcW w:w="1559" w:type="dxa"/>
            <w:tcBorders>
              <w:top w:val="nil"/>
              <w:left w:val="nil"/>
              <w:bottom w:val="single" w:sz="4" w:space="0" w:color="auto"/>
              <w:right w:val="single" w:sz="4" w:space="0" w:color="auto"/>
            </w:tcBorders>
            <w:shd w:val="clear" w:color="000000" w:fill="FFFFFF"/>
            <w:noWrap/>
            <w:vAlign w:val="center"/>
            <w:hideMark/>
          </w:tcPr>
          <w:p w14:paraId="2B64936B"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1.873</w:t>
            </w:r>
          </w:p>
        </w:tc>
      </w:tr>
      <w:tr w:rsidR="002472D3" w:rsidRPr="002472D3" w14:paraId="5C3E781A" w14:textId="77777777" w:rsidTr="002D1E75">
        <w:trPr>
          <w:trHeight w:val="290"/>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14:paraId="3BD37242" w14:textId="77777777" w:rsidR="002472D3" w:rsidRPr="002472D3" w:rsidRDefault="002472D3" w:rsidP="002472D3">
            <w:pPr>
              <w:spacing w:after="0" w:line="240" w:lineRule="auto"/>
              <w:jc w:val="center"/>
              <w:rPr>
                <w:rFonts w:eastAsia="Times New Roman" w:cs="Calibri"/>
                <w:color w:val="000000"/>
                <w:sz w:val="14"/>
                <w:szCs w:val="14"/>
                <w:lang w:eastAsia="es-MX"/>
              </w:rPr>
            </w:pPr>
            <w:r w:rsidRPr="002472D3">
              <w:rPr>
                <w:rFonts w:eastAsia="Times New Roman" w:cs="Calibri"/>
                <w:color w:val="000000"/>
                <w:sz w:val="14"/>
                <w:szCs w:val="14"/>
                <w:lang w:eastAsia="es-MX"/>
              </w:rPr>
              <w:t>2021</w:t>
            </w:r>
          </w:p>
        </w:tc>
        <w:tc>
          <w:tcPr>
            <w:tcW w:w="2268" w:type="dxa"/>
            <w:tcBorders>
              <w:top w:val="nil"/>
              <w:left w:val="nil"/>
              <w:bottom w:val="single" w:sz="4" w:space="0" w:color="auto"/>
              <w:right w:val="single" w:sz="4" w:space="0" w:color="auto"/>
            </w:tcBorders>
            <w:shd w:val="clear" w:color="000000" w:fill="FFFFFF"/>
            <w:noWrap/>
            <w:vAlign w:val="center"/>
            <w:hideMark/>
          </w:tcPr>
          <w:p w14:paraId="39D320EC"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15,552,312,266</w:t>
            </w:r>
          </w:p>
        </w:tc>
        <w:tc>
          <w:tcPr>
            <w:tcW w:w="1701" w:type="dxa"/>
            <w:tcBorders>
              <w:top w:val="nil"/>
              <w:left w:val="nil"/>
              <w:bottom w:val="single" w:sz="4" w:space="0" w:color="auto"/>
              <w:right w:val="single" w:sz="4" w:space="0" w:color="auto"/>
            </w:tcBorders>
            <w:shd w:val="clear" w:color="000000" w:fill="FFFFFF"/>
            <w:noWrap/>
            <w:vAlign w:val="center"/>
            <w:hideMark/>
          </w:tcPr>
          <w:p w14:paraId="73A2DA7E"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7,971,827,967</w:t>
            </w:r>
          </w:p>
        </w:tc>
        <w:tc>
          <w:tcPr>
            <w:tcW w:w="1559" w:type="dxa"/>
            <w:tcBorders>
              <w:top w:val="nil"/>
              <w:left w:val="nil"/>
              <w:bottom w:val="single" w:sz="4" w:space="0" w:color="auto"/>
              <w:right w:val="single" w:sz="4" w:space="0" w:color="auto"/>
            </w:tcBorders>
            <w:shd w:val="clear" w:color="000000" w:fill="FFFFFF"/>
            <w:noWrap/>
            <w:vAlign w:val="center"/>
            <w:hideMark/>
          </w:tcPr>
          <w:p w14:paraId="49A50F08"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1.951</w:t>
            </w:r>
          </w:p>
        </w:tc>
      </w:tr>
      <w:tr w:rsidR="002472D3" w:rsidRPr="002472D3" w14:paraId="231BDFD7" w14:textId="77777777" w:rsidTr="002D1E75">
        <w:trPr>
          <w:trHeight w:val="290"/>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14:paraId="6392613F" w14:textId="77777777" w:rsidR="002472D3" w:rsidRPr="002472D3" w:rsidRDefault="002472D3" w:rsidP="002472D3">
            <w:pPr>
              <w:spacing w:after="0" w:line="240" w:lineRule="auto"/>
              <w:jc w:val="center"/>
              <w:rPr>
                <w:rFonts w:eastAsia="Times New Roman" w:cs="Calibri"/>
                <w:color w:val="000000"/>
                <w:sz w:val="14"/>
                <w:szCs w:val="14"/>
                <w:lang w:eastAsia="es-MX"/>
              </w:rPr>
            </w:pPr>
            <w:r w:rsidRPr="002472D3">
              <w:rPr>
                <w:rFonts w:eastAsia="Times New Roman" w:cs="Calibri"/>
                <w:color w:val="000000"/>
                <w:sz w:val="14"/>
                <w:szCs w:val="14"/>
                <w:lang w:eastAsia="es-MX"/>
              </w:rPr>
              <w:t>2022</w:t>
            </w:r>
          </w:p>
        </w:tc>
        <w:tc>
          <w:tcPr>
            <w:tcW w:w="2268" w:type="dxa"/>
            <w:tcBorders>
              <w:top w:val="nil"/>
              <w:left w:val="nil"/>
              <w:bottom w:val="single" w:sz="4" w:space="0" w:color="auto"/>
              <w:right w:val="single" w:sz="4" w:space="0" w:color="auto"/>
            </w:tcBorders>
            <w:shd w:val="clear" w:color="000000" w:fill="FFFFFF"/>
            <w:noWrap/>
            <w:vAlign w:val="center"/>
            <w:hideMark/>
          </w:tcPr>
          <w:p w14:paraId="01A9ABFF"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15,833,324,062</w:t>
            </w:r>
          </w:p>
        </w:tc>
        <w:tc>
          <w:tcPr>
            <w:tcW w:w="1701" w:type="dxa"/>
            <w:tcBorders>
              <w:top w:val="nil"/>
              <w:left w:val="nil"/>
              <w:bottom w:val="single" w:sz="4" w:space="0" w:color="auto"/>
              <w:right w:val="single" w:sz="4" w:space="0" w:color="auto"/>
            </w:tcBorders>
            <w:shd w:val="clear" w:color="000000" w:fill="FFFFFF"/>
            <w:noWrap/>
            <w:vAlign w:val="center"/>
            <w:hideMark/>
          </w:tcPr>
          <w:p w14:paraId="6537FDA6"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9,445,961,212</w:t>
            </w:r>
          </w:p>
        </w:tc>
        <w:tc>
          <w:tcPr>
            <w:tcW w:w="1559" w:type="dxa"/>
            <w:tcBorders>
              <w:top w:val="nil"/>
              <w:left w:val="nil"/>
              <w:bottom w:val="single" w:sz="4" w:space="0" w:color="auto"/>
              <w:right w:val="single" w:sz="4" w:space="0" w:color="auto"/>
            </w:tcBorders>
            <w:shd w:val="clear" w:color="000000" w:fill="FFFFFF"/>
            <w:noWrap/>
            <w:vAlign w:val="center"/>
            <w:hideMark/>
          </w:tcPr>
          <w:p w14:paraId="300AA2FF"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1.676</w:t>
            </w:r>
          </w:p>
        </w:tc>
      </w:tr>
    </w:tbl>
    <w:p w14:paraId="11760E78" w14:textId="77777777" w:rsidR="000C20BD" w:rsidRPr="005F45A3" w:rsidRDefault="000C20BD" w:rsidP="000C20BD">
      <w:pPr>
        <w:pStyle w:val="Texto"/>
        <w:spacing w:after="0" w:line="240" w:lineRule="exact"/>
        <w:ind w:left="720" w:firstLine="0"/>
        <w:rPr>
          <w:rFonts w:asciiTheme="minorHAnsi" w:hAnsiTheme="minorHAnsi" w:cstheme="minorHAnsi"/>
          <w:szCs w:val="18"/>
          <w:lang w:val="es-MX"/>
        </w:rPr>
      </w:pPr>
    </w:p>
    <w:p w14:paraId="3E9E227A" w14:textId="737C4FB6" w:rsidR="001C6A89" w:rsidRDefault="001C6A89" w:rsidP="00B07C73">
      <w:pPr>
        <w:pStyle w:val="Texto"/>
        <w:spacing w:after="0" w:line="240" w:lineRule="exact"/>
        <w:rPr>
          <w:rFonts w:asciiTheme="minorHAnsi" w:hAnsiTheme="minorHAnsi" w:cstheme="minorHAnsi"/>
          <w:szCs w:val="18"/>
        </w:rPr>
      </w:pPr>
    </w:p>
    <w:p w14:paraId="030B0084" w14:textId="125F1F89" w:rsidR="00B46E68" w:rsidRDefault="00B46E68" w:rsidP="00B07C73">
      <w:pPr>
        <w:pStyle w:val="Texto"/>
        <w:spacing w:after="0" w:line="240" w:lineRule="exact"/>
        <w:rPr>
          <w:rFonts w:asciiTheme="minorHAnsi" w:hAnsiTheme="minorHAnsi" w:cstheme="minorHAnsi"/>
          <w:szCs w:val="18"/>
        </w:rPr>
      </w:pPr>
    </w:p>
    <w:p w14:paraId="6649836A" w14:textId="27280472" w:rsidR="00B038D8" w:rsidRDefault="00B038D8" w:rsidP="00B07C73">
      <w:pPr>
        <w:pStyle w:val="Texto"/>
        <w:spacing w:after="0" w:line="240" w:lineRule="exact"/>
        <w:rPr>
          <w:rFonts w:asciiTheme="minorHAnsi" w:hAnsiTheme="minorHAnsi" w:cstheme="minorHAnsi"/>
          <w:szCs w:val="18"/>
        </w:rPr>
      </w:pPr>
    </w:p>
    <w:p w14:paraId="453F498D" w14:textId="04102239" w:rsidR="00B038D8" w:rsidRDefault="00B038D8" w:rsidP="00B07C73">
      <w:pPr>
        <w:pStyle w:val="Texto"/>
        <w:spacing w:after="0" w:line="240" w:lineRule="exact"/>
        <w:rPr>
          <w:rFonts w:asciiTheme="minorHAnsi" w:hAnsiTheme="minorHAnsi" w:cstheme="minorHAnsi"/>
          <w:szCs w:val="18"/>
        </w:rPr>
      </w:pPr>
    </w:p>
    <w:p w14:paraId="79FD8A18" w14:textId="3647BC18" w:rsidR="00B038D8" w:rsidRDefault="00B038D8" w:rsidP="00B07C73">
      <w:pPr>
        <w:pStyle w:val="Texto"/>
        <w:spacing w:after="0" w:line="240" w:lineRule="exact"/>
        <w:rPr>
          <w:rFonts w:asciiTheme="minorHAnsi" w:hAnsiTheme="minorHAnsi" w:cstheme="minorHAnsi"/>
          <w:szCs w:val="18"/>
        </w:rPr>
      </w:pPr>
    </w:p>
    <w:p w14:paraId="246653A1" w14:textId="6561CE41" w:rsidR="00B038D8" w:rsidRDefault="00B038D8" w:rsidP="00B07C73">
      <w:pPr>
        <w:pStyle w:val="Texto"/>
        <w:spacing w:after="0" w:line="240" w:lineRule="exact"/>
        <w:rPr>
          <w:rFonts w:asciiTheme="minorHAnsi" w:hAnsiTheme="minorHAnsi" w:cstheme="minorHAnsi"/>
          <w:szCs w:val="18"/>
        </w:rPr>
      </w:pPr>
    </w:p>
    <w:p w14:paraId="74328115" w14:textId="2DA9EAE0" w:rsidR="00B038D8" w:rsidRDefault="00B038D8" w:rsidP="00B07C73">
      <w:pPr>
        <w:pStyle w:val="Texto"/>
        <w:spacing w:after="0" w:line="240" w:lineRule="exact"/>
        <w:rPr>
          <w:rFonts w:asciiTheme="minorHAnsi" w:hAnsiTheme="minorHAnsi" w:cstheme="minorHAnsi"/>
          <w:szCs w:val="18"/>
        </w:rPr>
      </w:pPr>
    </w:p>
    <w:p w14:paraId="6AA46306" w14:textId="1235480C" w:rsidR="00B038D8" w:rsidRDefault="00B038D8" w:rsidP="00B07C73">
      <w:pPr>
        <w:pStyle w:val="Texto"/>
        <w:spacing w:after="0" w:line="240" w:lineRule="exact"/>
        <w:rPr>
          <w:rFonts w:asciiTheme="minorHAnsi" w:hAnsiTheme="minorHAnsi" w:cstheme="minorHAnsi"/>
          <w:szCs w:val="18"/>
        </w:rPr>
      </w:pPr>
    </w:p>
    <w:p w14:paraId="2119BCAB" w14:textId="2243C988" w:rsidR="00B038D8" w:rsidRDefault="00B038D8" w:rsidP="00B07C73">
      <w:pPr>
        <w:pStyle w:val="Texto"/>
        <w:spacing w:after="0" w:line="240" w:lineRule="exact"/>
        <w:rPr>
          <w:rFonts w:asciiTheme="minorHAnsi" w:hAnsiTheme="minorHAnsi" w:cstheme="minorHAnsi"/>
          <w:szCs w:val="18"/>
        </w:rPr>
      </w:pPr>
    </w:p>
    <w:p w14:paraId="5BD38103" w14:textId="7CE37090" w:rsidR="00B07C73" w:rsidRDefault="00B07C73" w:rsidP="00295AC0">
      <w:pPr>
        <w:pStyle w:val="Texto"/>
        <w:numPr>
          <w:ilvl w:val="0"/>
          <w:numId w:val="4"/>
        </w:numPr>
        <w:tabs>
          <w:tab w:val="left" w:pos="360"/>
        </w:tabs>
        <w:spacing w:after="0" w:line="180" w:lineRule="exact"/>
        <w:ind w:hanging="720"/>
        <w:rPr>
          <w:rFonts w:asciiTheme="minorHAnsi" w:hAnsiTheme="minorHAnsi" w:cstheme="minorHAnsi"/>
          <w:szCs w:val="18"/>
        </w:rPr>
      </w:pPr>
      <w:r w:rsidRPr="005F45A3">
        <w:rPr>
          <w:rFonts w:asciiTheme="minorHAnsi" w:hAnsiTheme="minorHAnsi" w:cstheme="minorHAnsi"/>
          <w:szCs w:val="18"/>
        </w:rPr>
        <w:t>Acreedores, Registro y Autorizaciones de la Deuda Pública.</w:t>
      </w:r>
    </w:p>
    <w:p w14:paraId="6EB65DB0" w14:textId="77777777" w:rsidR="00526677" w:rsidRDefault="00526677" w:rsidP="00526677">
      <w:pPr>
        <w:pStyle w:val="Texto"/>
        <w:tabs>
          <w:tab w:val="left" w:pos="680"/>
        </w:tabs>
        <w:spacing w:after="0" w:line="180" w:lineRule="exact"/>
        <w:ind w:left="720" w:firstLine="0"/>
        <w:rPr>
          <w:rFonts w:asciiTheme="minorHAnsi" w:hAnsiTheme="minorHAnsi" w:cstheme="minorHAnsi"/>
          <w:szCs w:val="18"/>
        </w:rPr>
      </w:pPr>
    </w:p>
    <w:tbl>
      <w:tblPr>
        <w:tblW w:w="9987" w:type="dxa"/>
        <w:jc w:val="center"/>
        <w:tblCellMar>
          <w:left w:w="70" w:type="dxa"/>
          <w:right w:w="70" w:type="dxa"/>
        </w:tblCellMar>
        <w:tblLook w:val="04A0" w:firstRow="1" w:lastRow="0" w:firstColumn="1" w:lastColumn="0" w:noHBand="0" w:noVBand="1"/>
      </w:tblPr>
      <w:tblGrid>
        <w:gridCol w:w="988"/>
        <w:gridCol w:w="1214"/>
        <w:gridCol w:w="1129"/>
        <w:gridCol w:w="1108"/>
        <w:gridCol w:w="931"/>
        <w:gridCol w:w="989"/>
        <w:gridCol w:w="1156"/>
        <w:gridCol w:w="1161"/>
        <w:gridCol w:w="1318"/>
      </w:tblGrid>
      <w:tr w:rsidR="001E4416" w:rsidRPr="006C79AD" w14:paraId="7198A5EB" w14:textId="77777777" w:rsidTr="00B37954">
        <w:trPr>
          <w:trHeight w:val="936"/>
          <w:jc w:val="center"/>
        </w:trPr>
        <w:tc>
          <w:tcPr>
            <w:tcW w:w="988"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5A768F39" w14:textId="77777777" w:rsidR="001E4416" w:rsidRPr="006C79AD" w:rsidRDefault="001E4416" w:rsidP="001E4416">
            <w:pPr>
              <w:spacing w:after="0" w:line="240" w:lineRule="auto"/>
              <w:rPr>
                <w:rFonts w:asciiTheme="minorHAnsi" w:eastAsia="Times New Roman" w:hAnsiTheme="minorHAnsi" w:cstheme="minorHAnsi"/>
                <w:b/>
                <w:bCs/>
                <w:color w:val="FFFFFF"/>
                <w:sz w:val="14"/>
                <w:szCs w:val="16"/>
                <w:lang w:eastAsia="es-MX"/>
              </w:rPr>
            </w:pPr>
            <w:r w:rsidRPr="006C79AD">
              <w:rPr>
                <w:rFonts w:asciiTheme="minorHAnsi" w:eastAsia="Times New Roman" w:hAnsiTheme="minorHAnsi" w:cstheme="minorHAnsi"/>
                <w:b/>
                <w:bCs/>
                <w:color w:val="FFFFFF"/>
                <w:sz w:val="14"/>
                <w:szCs w:val="16"/>
                <w:lang w:eastAsia="es-MX"/>
              </w:rPr>
              <w:t>Acreedor</w:t>
            </w:r>
          </w:p>
        </w:tc>
        <w:tc>
          <w:tcPr>
            <w:tcW w:w="1214" w:type="dxa"/>
            <w:tcBorders>
              <w:top w:val="single" w:sz="4" w:space="0" w:color="auto"/>
              <w:left w:val="nil"/>
              <w:bottom w:val="single" w:sz="4" w:space="0" w:color="auto"/>
              <w:right w:val="single" w:sz="4" w:space="0" w:color="auto"/>
            </w:tcBorders>
            <w:shd w:val="clear" w:color="000000" w:fill="AB0033"/>
            <w:vAlign w:val="center"/>
            <w:hideMark/>
          </w:tcPr>
          <w:p w14:paraId="11615AB2" w14:textId="77777777" w:rsidR="001E4416" w:rsidRPr="006C79AD" w:rsidRDefault="001E4416" w:rsidP="001E4416">
            <w:pPr>
              <w:spacing w:after="0" w:line="240" w:lineRule="auto"/>
              <w:jc w:val="center"/>
              <w:rPr>
                <w:rFonts w:asciiTheme="minorHAnsi" w:eastAsia="Times New Roman" w:hAnsiTheme="minorHAnsi" w:cstheme="minorHAnsi"/>
                <w:b/>
                <w:bCs/>
                <w:color w:val="FFFFFF"/>
                <w:sz w:val="14"/>
                <w:szCs w:val="16"/>
                <w:lang w:eastAsia="es-MX"/>
              </w:rPr>
            </w:pPr>
            <w:r w:rsidRPr="006C79AD">
              <w:rPr>
                <w:rFonts w:asciiTheme="minorHAnsi" w:eastAsia="Times New Roman" w:hAnsiTheme="minorHAnsi" w:cstheme="minorHAnsi"/>
                <w:b/>
                <w:bCs/>
                <w:color w:val="FFFFFF"/>
                <w:sz w:val="14"/>
                <w:szCs w:val="16"/>
                <w:lang w:eastAsia="es-MX"/>
              </w:rPr>
              <w:t>Núm. Inscripción Registro de Empréstitos (SHCP Y SFG</w:t>
            </w:r>
          </w:p>
        </w:tc>
        <w:tc>
          <w:tcPr>
            <w:tcW w:w="1129" w:type="dxa"/>
            <w:tcBorders>
              <w:top w:val="single" w:sz="4" w:space="0" w:color="auto"/>
              <w:left w:val="nil"/>
              <w:bottom w:val="single" w:sz="4" w:space="0" w:color="auto"/>
              <w:right w:val="single" w:sz="4" w:space="0" w:color="auto"/>
            </w:tcBorders>
            <w:shd w:val="clear" w:color="000000" w:fill="AB0033"/>
            <w:vAlign w:val="center"/>
            <w:hideMark/>
          </w:tcPr>
          <w:p w14:paraId="5EE12219" w14:textId="77777777" w:rsidR="001E4416" w:rsidRPr="006C79AD" w:rsidRDefault="001E4416" w:rsidP="001E4416">
            <w:pPr>
              <w:spacing w:after="0" w:line="240" w:lineRule="auto"/>
              <w:jc w:val="center"/>
              <w:rPr>
                <w:rFonts w:asciiTheme="minorHAnsi" w:eastAsia="Times New Roman" w:hAnsiTheme="minorHAnsi" w:cstheme="minorHAnsi"/>
                <w:b/>
                <w:bCs/>
                <w:color w:val="FFFFFF"/>
                <w:sz w:val="14"/>
                <w:szCs w:val="16"/>
                <w:lang w:eastAsia="es-MX"/>
              </w:rPr>
            </w:pPr>
            <w:r w:rsidRPr="006C79AD">
              <w:rPr>
                <w:rFonts w:asciiTheme="minorHAnsi" w:eastAsia="Times New Roman" w:hAnsiTheme="minorHAnsi" w:cstheme="minorHAnsi"/>
                <w:b/>
                <w:bCs/>
                <w:color w:val="FFFFFF"/>
                <w:sz w:val="14"/>
                <w:szCs w:val="16"/>
                <w:lang w:eastAsia="es-MX"/>
              </w:rPr>
              <w:t>Fecha de  Inscripción Registro de Empréstitos (SHCP Y SFG</w:t>
            </w:r>
          </w:p>
        </w:tc>
        <w:tc>
          <w:tcPr>
            <w:tcW w:w="1108" w:type="dxa"/>
            <w:tcBorders>
              <w:top w:val="single" w:sz="4" w:space="0" w:color="auto"/>
              <w:left w:val="nil"/>
              <w:bottom w:val="single" w:sz="4" w:space="0" w:color="auto"/>
              <w:right w:val="single" w:sz="4" w:space="0" w:color="auto"/>
            </w:tcBorders>
            <w:shd w:val="clear" w:color="000000" w:fill="AB0033"/>
            <w:vAlign w:val="center"/>
            <w:hideMark/>
          </w:tcPr>
          <w:p w14:paraId="7DE60533" w14:textId="77777777" w:rsidR="001E4416" w:rsidRPr="006C79AD" w:rsidRDefault="001E4416" w:rsidP="001E4416">
            <w:pPr>
              <w:spacing w:after="0" w:line="240" w:lineRule="auto"/>
              <w:jc w:val="center"/>
              <w:rPr>
                <w:rFonts w:asciiTheme="minorHAnsi" w:eastAsia="Times New Roman" w:hAnsiTheme="minorHAnsi" w:cstheme="minorHAnsi"/>
                <w:b/>
                <w:bCs/>
                <w:color w:val="FFFFFF"/>
                <w:sz w:val="14"/>
                <w:szCs w:val="16"/>
                <w:lang w:eastAsia="es-MX"/>
              </w:rPr>
            </w:pPr>
            <w:r w:rsidRPr="006C79AD">
              <w:rPr>
                <w:rFonts w:asciiTheme="minorHAnsi" w:eastAsia="Times New Roman" w:hAnsiTheme="minorHAnsi" w:cstheme="minorHAnsi"/>
                <w:b/>
                <w:bCs/>
                <w:color w:val="FFFFFF"/>
                <w:sz w:val="14"/>
                <w:szCs w:val="16"/>
                <w:lang w:eastAsia="es-MX"/>
              </w:rPr>
              <w:t>Número del Decreto del H. Congreso del Estado</w:t>
            </w:r>
          </w:p>
        </w:tc>
        <w:tc>
          <w:tcPr>
            <w:tcW w:w="931" w:type="dxa"/>
            <w:tcBorders>
              <w:top w:val="single" w:sz="4" w:space="0" w:color="auto"/>
              <w:left w:val="nil"/>
              <w:bottom w:val="single" w:sz="4" w:space="0" w:color="auto"/>
              <w:right w:val="single" w:sz="4" w:space="0" w:color="auto"/>
            </w:tcBorders>
            <w:shd w:val="clear" w:color="000000" w:fill="AB0033"/>
            <w:vAlign w:val="center"/>
            <w:hideMark/>
          </w:tcPr>
          <w:p w14:paraId="7C6279D9" w14:textId="77777777" w:rsidR="001E4416" w:rsidRPr="006C79AD" w:rsidRDefault="001E4416" w:rsidP="001E4416">
            <w:pPr>
              <w:spacing w:after="0" w:line="240" w:lineRule="auto"/>
              <w:jc w:val="center"/>
              <w:rPr>
                <w:rFonts w:asciiTheme="minorHAnsi" w:eastAsia="Times New Roman" w:hAnsiTheme="minorHAnsi" w:cstheme="minorHAnsi"/>
                <w:b/>
                <w:bCs/>
                <w:color w:val="FFFFFF"/>
                <w:sz w:val="14"/>
                <w:szCs w:val="16"/>
                <w:lang w:eastAsia="es-MX"/>
              </w:rPr>
            </w:pPr>
            <w:r w:rsidRPr="006C79AD">
              <w:rPr>
                <w:rFonts w:asciiTheme="minorHAnsi" w:eastAsia="Times New Roman" w:hAnsiTheme="minorHAnsi" w:cstheme="minorHAnsi"/>
                <w:b/>
                <w:bCs/>
                <w:color w:val="FFFFFF"/>
                <w:sz w:val="14"/>
                <w:szCs w:val="16"/>
                <w:lang w:eastAsia="es-MX"/>
              </w:rPr>
              <w:t>Fecha del  Decreto del      H. Congreso del Estado</w:t>
            </w:r>
          </w:p>
        </w:tc>
        <w:tc>
          <w:tcPr>
            <w:tcW w:w="989" w:type="dxa"/>
            <w:tcBorders>
              <w:top w:val="single" w:sz="4" w:space="0" w:color="auto"/>
              <w:left w:val="nil"/>
              <w:bottom w:val="single" w:sz="4" w:space="0" w:color="auto"/>
              <w:right w:val="single" w:sz="4" w:space="0" w:color="auto"/>
            </w:tcBorders>
            <w:shd w:val="clear" w:color="000000" w:fill="AB0033"/>
            <w:vAlign w:val="center"/>
            <w:hideMark/>
          </w:tcPr>
          <w:p w14:paraId="68E971A4" w14:textId="77777777" w:rsidR="001E4416" w:rsidRPr="006C79AD" w:rsidRDefault="001E4416" w:rsidP="001E4416">
            <w:pPr>
              <w:spacing w:after="0" w:line="240" w:lineRule="auto"/>
              <w:jc w:val="center"/>
              <w:rPr>
                <w:rFonts w:asciiTheme="minorHAnsi" w:eastAsia="Times New Roman" w:hAnsiTheme="minorHAnsi" w:cstheme="minorHAnsi"/>
                <w:b/>
                <w:bCs/>
                <w:color w:val="FFFFFF"/>
                <w:sz w:val="14"/>
                <w:szCs w:val="16"/>
                <w:lang w:eastAsia="es-MX"/>
              </w:rPr>
            </w:pPr>
            <w:r w:rsidRPr="006C79AD">
              <w:rPr>
                <w:rFonts w:asciiTheme="minorHAnsi" w:eastAsia="Times New Roman" w:hAnsiTheme="minorHAnsi" w:cstheme="minorHAnsi"/>
                <w:b/>
                <w:bCs/>
                <w:color w:val="FFFFFF"/>
                <w:sz w:val="14"/>
                <w:szCs w:val="16"/>
                <w:lang w:eastAsia="es-MX"/>
              </w:rPr>
              <w:t>Fecha de vencimiento</w:t>
            </w:r>
          </w:p>
        </w:tc>
        <w:tc>
          <w:tcPr>
            <w:tcW w:w="1149" w:type="dxa"/>
            <w:tcBorders>
              <w:top w:val="single" w:sz="4" w:space="0" w:color="auto"/>
              <w:left w:val="nil"/>
              <w:bottom w:val="single" w:sz="4" w:space="0" w:color="auto"/>
              <w:right w:val="single" w:sz="4" w:space="0" w:color="auto"/>
            </w:tcBorders>
            <w:shd w:val="clear" w:color="000000" w:fill="AB0033"/>
            <w:vAlign w:val="center"/>
            <w:hideMark/>
          </w:tcPr>
          <w:p w14:paraId="5EB98B80" w14:textId="77777777" w:rsidR="001E4416" w:rsidRPr="006C79AD" w:rsidRDefault="001E4416" w:rsidP="001E4416">
            <w:pPr>
              <w:spacing w:after="0" w:line="240" w:lineRule="auto"/>
              <w:jc w:val="center"/>
              <w:rPr>
                <w:rFonts w:asciiTheme="minorHAnsi" w:eastAsia="Times New Roman" w:hAnsiTheme="minorHAnsi" w:cstheme="minorHAnsi"/>
                <w:b/>
                <w:bCs/>
                <w:color w:val="FFFFFF"/>
                <w:sz w:val="14"/>
                <w:szCs w:val="16"/>
                <w:lang w:eastAsia="es-MX"/>
              </w:rPr>
            </w:pPr>
            <w:r w:rsidRPr="006C79AD">
              <w:rPr>
                <w:rFonts w:asciiTheme="minorHAnsi" w:eastAsia="Times New Roman" w:hAnsiTheme="minorHAnsi" w:cstheme="minorHAnsi"/>
                <w:b/>
                <w:bCs/>
                <w:color w:val="FFFFFF"/>
                <w:sz w:val="14"/>
                <w:szCs w:val="16"/>
                <w:lang w:eastAsia="es-MX"/>
              </w:rPr>
              <w:t>Monto Original Contratado</w:t>
            </w:r>
          </w:p>
        </w:tc>
        <w:tc>
          <w:tcPr>
            <w:tcW w:w="1161" w:type="dxa"/>
            <w:tcBorders>
              <w:top w:val="single" w:sz="4" w:space="0" w:color="auto"/>
              <w:left w:val="nil"/>
              <w:bottom w:val="single" w:sz="4" w:space="0" w:color="auto"/>
              <w:right w:val="single" w:sz="4" w:space="0" w:color="auto"/>
            </w:tcBorders>
            <w:shd w:val="clear" w:color="000000" w:fill="AB0033"/>
            <w:vAlign w:val="center"/>
            <w:hideMark/>
          </w:tcPr>
          <w:p w14:paraId="0F298F0F" w14:textId="77777777" w:rsidR="001E4416" w:rsidRPr="006C79AD" w:rsidRDefault="001E4416" w:rsidP="001E4416">
            <w:pPr>
              <w:spacing w:after="0" w:line="240" w:lineRule="auto"/>
              <w:jc w:val="center"/>
              <w:rPr>
                <w:rFonts w:asciiTheme="minorHAnsi" w:eastAsia="Times New Roman" w:hAnsiTheme="minorHAnsi" w:cstheme="minorHAnsi"/>
                <w:b/>
                <w:bCs/>
                <w:color w:val="FFFFFF"/>
                <w:sz w:val="14"/>
                <w:szCs w:val="16"/>
                <w:lang w:eastAsia="es-MX"/>
              </w:rPr>
            </w:pPr>
            <w:r w:rsidRPr="006C79AD">
              <w:rPr>
                <w:rFonts w:asciiTheme="minorHAnsi" w:eastAsia="Times New Roman" w:hAnsiTheme="minorHAnsi" w:cstheme="minorHAnsi"/>
                <w:b/>
                <w:bCs/>
                <w:color w:val="FFFFFF"/>
                <w:sz w:val="14"/>
                <w:szCs w:val="16"/>
                <w:lang w:eastAsia="es-MX"/>
              </w:rPr>
              <w:t>Monto Dispuesto</w:t>
            </w:r>
          </w:p>
        </w:tc>
        <w:tc>
          <w:tcPr>
            <w:tcW w:w="1318" w:type="dxa"/>
            <w:tcBorders>
              <w:top w:val="single" w:sz="4" w:space="0" w:color="auto"/>
              <w:left w:val="nil"/>
              <w:bottom w:val="single" w:sz="4" w:space="0" w:color="auto"/>
              <w:right w:val="single" w:sz="4" w:space="0" w:color="auto"/>
            </w:tcBorders>
            <w:shd w:val="clear" w:color="000000" w:fill="AB0033"/>
            <w:vAlign w:val="center"/>
            <w:hideMark/>
          </w:tcPr>
          <w:p w14:paraId="4861F8F5" w14:textId="77777777" w:rsidR="001E4416" w:rsidRPr="006C79AD" w:rsidRDefault="001E4416" w:rsidP="001E4416">
            <w:pPr>
              <w:spacing w:after="0" w:line="240" w:lineRule="auto"/>
              <w:jc w:val="center"/>
              <w:rPr>
                <w:rFonts w:asciiTheme="minorHAnsi" w:eastAsia="Times New Roman" w:hAnsiTheme="minorHAnsi" w:cstheme="minorHAnsi"/>
                <w:b/>
                <w:bCs/>
                <w:color w:val="FFFFFF"/>
                <w:sz w:val="14"/>
                <w:szCs w:val="16"/>
                <w:lang w:eastAsia="es-MX"/>
              </w:rPr>
            </w:pPr>
            <w:r w:rsidRPr="006C79AD">
              <w:rPr>
                <w:rFonts w:asciiTheme="minorHAnsi" w:eastAsia="Times New Roman" w:hAnsiTheme="minorHAnsi" w:cstheme="minorHAnsi"/>
                <w:b/>
                <w:bCs/>
                <w:color w:val="FFFFFF"/>
                <w:sz w:val="14"/>
                <w:szCs w:val="16"/>
                <w:lang w:eastAsia="es-MX"/>
              </w:rPr>
              <w:t>Saldo</w:t>
            </w:r>
          </w:p>
        </w:tc>
      </w:tr>
      <w:tr w:rsidR="001E4416" w:rsidRPr="001E4416" w14:paraId="00DCBDC6" w14:textId="77777777" w:rsidTr="00B37954">
        <w:trPr>
          <w:trHeight w:val="25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8221D30"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 xml:space="preserve">BANCOMER </w:t>
            </w:r>
          </w:p>
        </w:tc>
        <w:tc>
          <w:tcPr>
            <w:tcW w:w="1214" w:type="dxa"/>
            <w:tcBorders>
              <w:top w:val="nil"/>
              <w:left w:val="nil"/>
              <w:bottom w:val="single" w:sz="4" w:space="0" w:color="auto"/>
              <w:right w:val="single" w:sz="4" w:space="0" w:color="auto"/>
            </w:tcBorders>
            <w:shd w:val="clear" w:color="auto" w:fill="auto"/>
            <w:noWrap/>
            <w:vAlign w:val="center"/>
            <w:hideMark/>
          </w:tcPr>
          <w:p w14:paraId="1FC674CF"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029/2010</w:t>
            </w:r>
          </w:p>
        </w:tc>
        <w:tc>
          <w:tcPr>
            <w:tcW w:w="1129" w:type="dxa"/>
            <w:tcBorders>
              <w:top w:val="nil"/>
              <w:left w:val="nil"/>
              <w:bottom w:val="single" w:sz="4" w:space="0" w:color="auto"/>
              <w:right w:val="single" w:sz="4" w:space="0" w:color="auto"/>
            </w:tcBorders>
            <w:shd w:val="clear" w:color="auto" w:fill="auto"/>
            <w:noWrap/>
            <w:vAlign w:val="center"/>
            <w:hideMark/>
          </w:tcPr>
          <w:p w14:paraId="1B7BEFC9"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16/02/2010</w:t>
            </w:r>
          </w:p>
        </w:tc>
        <w:tc>
          <w:tcPr>
            <w:tcW w:w="1108" w:type="dxa"/>
            <w:tcBorders>
              <w:top w:val="nil"/>
              <w:left w:val="nil"/>
              <w:bottom w:val="single" w:sz="4" w:space="0" w:color="auto"/>
              <w:right w:val="single" w:sz="4" w:space="0" w:color="auto"/>
            </w:tcBorders>
            <w:shd w:val="clear" w:color="auto" w:fill="auto"/>
            <w:noWrap/>
            <w:vAlign w:val="center"/>
            <w:hideMark/>
          </w:tcPr>
          <w:p w14:paraId="7CAAA98A" w14:textId="77777777" w:rsidR="001E4416" w:rsidRPr="001E4416" w:rsidRDefault="001E4416" w:rsidP="001E4416">
            <w:pPr>
              <w:spacing w:after="0" w:line="240" w:lineRule="auto"/>
              <w:jc w:val="center"/>
              <w:rPr>
                <w:rFonts w:asciiTheme="minorHAnsi" w:eastAsia="Times New Roman" w:hAnsiTheme="minorHAnsi" w:cstheme="minorHAnsi"/>
                <w:color w:val="000000"/>
                <w:sz w:val="14"/>
                <w:szCs w:val="14"/>
                <w:lang w:eastAsia="es-MX"/>
              </w:rPr>
            </w:pPr>
            <w:r w:rsidRPr="001E4416">
              <w:rPr>
                <w:rFonts w:asciiTheme="minorHAnsi" w:eastAsia="Times New Roman" w:hAnsiTheme="minorHAnsi" w:cstheme="minorHAnsi"/>
                <w:color w:val="000000"/>
                <w:sz w:val="14"/>
                <w:szCs w:val="14"/>
                <w:lang w:eastAsia="es-MX"/>
              </w:rPr>
              <w:t>LX1006</w:t>
            </w:r>
          </w:p>
        </w:tc>
        <w:tc>
          <w:tcPr>
            <w:tcW w:w="931" w:type="dxa"/>
            <w:tcBorders>
              <w:top w:val="nil"/>
              <w:left w:val="nil"/>
              <w:bottom w:val="single" w:sz="4" w:space="0" w:color="auto"/>
              <w:right w:val="single" w:sz="4" w:space="0" w:color="auto"/>
            </w:tcBorders>
            <w:shd w:val="clear" w:color="auto" w:fill="auto"/>
            <w:noWrap/>
            <w:vAlign w:val="center"/>
            <w:hideMark/>
          </w:tcPr>
          <w:p w14:paraId="3A3703D3"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17/12/2009</w:t>
            </w:r>
          </w:p>
        </w:tc>
        <w:tc>
          <w:tcPr>
            <w:tcW w:w="989" w:type="dxa"/>
            <w:tcBorders>
              <w:top w:val="nil"/>
              <w:left w:val="nil"/>
              <w:bottom w:val="single" w:sz="4" w:space="0" w:color="auto"/>
              <w:right w:val="single" w:sz="4" w:space="0" w:color="auto"/>
            </w:tcBorders>
            <w:shd w:val="clear" w:color="auto" w:fill="auto"/>
            <w:noWrap/>
            <w:vAlign w:val="center"/>
            <w:hideMark/>
          </w:tcPr>
          <w:p w14:paraId="6B9A96AF"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31/01/2030</w:t>
            </w:r>
          </w:p>
        </w:tc>
        <w:tc>
          <w:tcPr>
            <w:tcW w:w="1149" w:type="dxa"/>
            <w:tcBorders>
              <w:top w:val="nil"/>
              <w:left w:val="nil"/>
              <w:bottom w:val="single" w:sz="4" w:space="0" w:color="auto"/>
              <w:right w:val="single" w:sz="4" w:space="0" w:color="auto"/>
            </w:tcBorders>
            <w:shd w:val="clear" w:color="auto" w:fill="auto"/>
            <w:noWrap/>
            <w:vAlign w:val="center"/>
            <w:hideMark/>
          </w:tcPr>
          <w:p w14:paraId="24939A08"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1,000,000,000</w:t>
            </w:r>
          </w:p>
        </w:tc>
        <w:tc>
          <w:tcPr>
            <w:tcW w:w="1161" w:type="dxa"/>
            <w:tcBorders>
              <w:top w:val="nil"/>
              <w:left w:val="nil"/>
              <w:bottom w:val="single" w:sz="4" w:space="0" w:color="auto"/>
              <w:right w:val="single" w:sz="4" w:space="0" w:color="auto"/>
            </w:tcBorders>
            <w:shd w:val="clear" w:color="auto" w:fill="auto"/>
            <w:noWrap/>
            <w:vAlign w:val="center"/>
            <w:hideMark/>
          </w:tcPr>
          <w:p w14:paraId="4D88F275"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1,000,000,000</w:t>
            </w:r>
          </w:p>
        </w:tc>
        <w:tc>
          <w:tcPr>
            <w:tcW w:w="1318" w:type="dxa"/>
            <w:tcBorders>
              <w:top w:val="nil"/>
              <w:left w:val="nil"/>
              <w:bottom w:val="single" w:sz="4" w:space="0" w:color="auto"/>
              <w:right w:val="single" w:sz="4" w:space="0" w:color="auto"/>
            </w:tcBorders>
            <w:shd w:val="clear" w:color="000000" w:fill="FFFFFF"/>
            <w:noWrap/>
            <w:vAlign w:val="center"/>
            <w:hideMark/>
          </w:tcPr>
          <w:p w14:paraId="19CA4C45"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389,194,155</w:t>
            </w:r>
          </w:p>
        </w:tc>
      </w:tr>
      <w:tr w:rsidR="001E4416" w:rsidRPr="001E4416" w14:paraId="63AC32BA" w14:textId="77777777" w:rsidTr="00B37954">
        <w:trPr>
          <w:trHeight w:val="25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F690C14"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BANOBRAS</w:t>
            </w:r>
          </w:p>
        </w:tc>
        <w:tc>
          <w:tcPr>
            <w:tcW w:w="1214" w:type="dxa"/>
            <w:tcBorders>
              <w:top w:val="nil"/>
              <w:left w:val="nil"/>
              <w:bottom w:val="single" w:sz="4" w:space="0" w:color="auto"/>
              <w:right w:val="single" w:sz="4" w:space="0" w:color="auto"/>
            </w:tcBorders>
            <w:shd w:val="clear" w:color="auto" w:fill="auto"/>
            <w:noWrap/>
            <w:vAlign w:val="center"/>
            <w:hideMark/>
          </w:tcPr>
          <w:p w14:paraId="6C01291D"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223-FONAREC/2011</w:t>
            </w:r>
          </w:p>
        </w:tc>
        <w:tc>
          <w:tcPr>
            <w:tcW w:w="1129" w:type="dxa"/>
            <w:tcBorders>
              <w:top w:val="nil"/>
              <w:left w:val="nil"/>
              <w:bottom w:val="single" w:sz="4" w:space="0" w:color="auto"/>
              <w:right w:val="single" w:sz="4" w:space="0" w:color="auto"/>
            </w:tcBorders>
            <w:shd w:val="clear" w:color="auto" w:fill="auto"/>
            <w:noWrap/>
            <w:vAlign w:val="center"/>
            <w:hideMark/>
          </w:tcPr>
          <w:p w14:paraId="03933EAE"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11/07/2011</w:t>
            </w:r>
          </w:p>
        </w:tc>
        <w:tc>
          <w:tcPr>
            <w:tcW w:w="1108" w:type="dxa"/>
            <w:tcBorders>
              <w:top w:val="nil"/>
              <w:left w:val="nil"/>
              <w:bottom w:val="single" w:sz="4" w:space="0" w:color="auto"/>
              <w:right w:val="single" w:sz="4" w:space="0" w:color="auto"/>
            </w:tcBorders>
            <w:shd w:val="clear" w:color="auto" w:fill="auto"/>
            <w:noWrap/>
            <w:vAlign w:val="center"/>
            <w:hideMark/>
          </w:tcPr>
          <w:p w14:paraId="42D83BC1"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LXI-38</w:t>
            </w:r>
          </w:p>
        </w:tc>
        <w:tc>
          <w:tcPr>
            <w:tcW w:w="931" w:type="dxa"/>
            <w:tcBorders>
              <w:top w:val="nil"/>
              <w:left w:val="nil"/>
              <w:bottom w:val="single" w:sz="4" w:space="0" w:color="auto"/>
              <w:right w:val="single" w:sz="4" w:space="0" w:color="auto"/>
            </w:tcBorders>
            <w:shd w:val="clear" w:color="auto" w:fill="auto"/>
            <w:noWrap/>
            <w:vAlign w:val="center"/>
            <w:hideMark/>
          </w:tcPr>
          <w:p w14:paraId="7C792AD5"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31/05/2011</w:t>
            </w:r>
          </w:p>
        </w:tc>
        <w:tc>
          <w:tcPr>
            <w:tcW w:w="989" w:type="dxa"/>
            <w:tcBorders>
              <w:top w:val="nil"/>
              <w:left w:val="nil"/>
              <w:bottom w:val="single" w:sz="4" w:space="0" w:color="auto"/>
              <w:right w:val="single" w:sz="4" w:space="0" w:color="auto"/>
            </w:tcBorders>
            <w:shd w:val="clear" w:color="auto" w:fill="auto"/>
            <w:noWrap/>
            <w:vAlign w:val="center"/>
            <w:hideMark/>
          </w:tcPr>
          <w:p w14:paraId="4F6D37C5"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29/07/2031</w:t>
            </w:r>
          </w:p>
        </w:tc>
        <w:tc>
          <w:tcPr>
            <w:tcW w:w="1149" w:type="dxa"/>
            <w:tcBorders>
              <w:top w:val="nil"/>
              <w:left w:val="nil"/>
              <w:bottom w:val="single" w:sz="4" w:space="0" w:color="auto"/>
              <w:right w:val="single" w:sz="4" w:space="0" w:color="auto"/>
            </w:tcBorders>
            <w:shd w:val="clear" w:color="auto" w:fill="auto"/>
            <w:noWrap/>
            <w:vAlign w:val="center"/>
            <w:hideMark/>
          </w:tcPr>
          <w:p w14:paraId="2C016D4A"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183,383,570</w:t>
            </w:r>
          </w:p>
        </w:tc>
        <w:tc>
          <w:tcPr>
            <w:tcW w:w="1161" w:type="dxa"/>
            <w:tcBorders>
              <w:top w:val="nil"/>
              <w:left w:val="nil"/>
              <w:bottom w:val="single" w:sz="4" w:space="0" w:color="auto"/>
              <w:right w:val="single" w:sz="4" w:space="0" w:color="auto"/>
            </w:tcBorders>
            <w:shd w:val="clear" w:color="auto" w:fill="auto"/>
            <w:noWrap/>
            <w:vAlign w:val="center"/>
            <w:hideMark/>
          </w:tcPr>
          <w:p w14:paraId="4DCA78DD"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164,159,265</w:t>
            </w:r>
          </w:p>
        </w:tc>
        <w:tc>
          <w:tcPr>
            <w:tcW w:w="1318" w:type="dxa"/>
            <w:tcBorders>
              <w:top w:val="nil"/>
              <w:left w:val="nil"/>
              <w:bottom w:val="single" w:sz="4" w:space="0" w:color="auto"/>
              <w:right w:val="single" w:sz="4" w:space="0" w:color="auto"/>
            </w:tcBorders>
            <w:shd w:val="clear" w:color="000000" w:fill="FFFFFF"/>
            <w:noWrap/>
            <w:vAlign w:val="center"/>
            <w:hideMark/>
          </w:tcPr>
          <w:p w14:paraId="6B8B8CFA"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84,929,337</w:t>
            </w:r>
          </w:p>
        </w:tc>
      </w:tr>
      <w:tr w:rsidR="001E4416" w:rsidRPr="001E4416" w14:paraId="673D30A6" w14:textId="77777777" w:rsidTr="00B37954">
        <w:trPr>
          <w:trHeight w:val="25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022F697"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BANOBRAS</w:t>
            </w:r>
          </w:p>
        </w:tc>
        <w:tc>
          <w:tcPr>
            <w:tcW w:w="1214" w:type="dxa"/>
            <w:tcBorders>
              <w:top w:val="nil"/>
              <w:left w:val="nil"/>
              <w:bottom w:val="single" w:sz="4" w:space="0" w:color="auto"/>
              <w:right w:val="single" w:sz="4" w:space="0" w:color="auto"/>
            </w:tcBorders>
            <w:shd w:val="clear" w:color="auto" w:fill="auto"/>
            <w:noWrap/>
            <w:vAlign w:val="center"/>
            <w:hideMark/>
          </w:tcPr>
          <w:p w14:paraId="385AE3B6"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P28-0312028</w:t>
            </w:r>
          </w:p>
        </w:tc>
        <w:tc>
          <w:tcPr>
            <w:tcW w:w="1129" w:type="dxa"/>
            <w:tcBorders>
              <w:top w:val="nil"/>
              <w:left w:val="nil"/>
              <w:bottom w:val="single" w:sz="4" w:space="0" w:color="auto"/>
              <w:right w:val="single" w:sz="4" w:space="0" w:color="auto"/>
            </w:tcBorders>
            <w:shd w:val="clear" w:color="auto" w:fill="auto"/>
            <w:noWrap/>
            <w:vAlign w:val="center"/>
            <w:hideMark/>
          </w:tcPr>
          <w:p w14:paraId="11DE8354"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02/03/2012</w:t>
            </w:r>
          </w:p>
        </w:tc>
        <w:tc>
          <w:tcPr>
            <w:tcW w:w="1108" w:type="dxa"/>
            <w:tcBorders>
              <w:top w:val="nil"/>
              <w:left w:val="nil"/>
              <w:bottom w:val="single" w:sz="4" w:space="0" w:color="auto"/>
              <w:right w:val="single" w:sz="4" w:space="0" w:color="auto"/>
            </w:tcBorders>
            <w:shd w:val="clear" w:color="auto" w:fill="auto"/>
            <w:noWrap/>
            <w:vAlign w:val="center"/>
            <w:hideMark/>
          </w:tcPr>
          <w:p w14:paraId="2060E890"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LXI-173</w:t>
            </w:r>
          </w:p>
        </w:tc>
        <w:tc>
          <w:tcPr>
            <w:tcW w:w="931" w:type="dxa"/>
            <w:tcBorders>
              <w:top w:val="nil"/>
              <w:left w:val="nil"/>
              <w:bottom w:val="single" w:sz="4" w:space="0" w:color="auto"/>
              <w:right w:val="single" w:sz="4" w:space="0" w:color="auto"/>
            </w:tcBorders>
            <w:shd w:val="clear" w:color="auto" w:fill="auto"/>
            <w:noWrap/>
            <w:vAlign w:val="center"/>
            <w:hideMark/>
          </w:tcPr>
          <w:p w14:paraId="40C694E2"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07/12/2011</w:t>
            </w:r>
          </w:p>
        </w:tc>
        <w:tc>
          <w:tcPr>
            <w:tcW w:w="989" w:type="dxa"/>
            <w:tcBorders>
              <w:top w:val="nil"/>
              <w:left w:val="nil"/>
              <w:bottom w:val="single" w:sz="4" w:space="0" w:color="auto"/>
              <w:right w:val="single" w:sz="4" w:space="0" w:color="auto"/>
            </w:tcBorders>
            <w:shd w:val="clear" w:color="auto" w:fill="auto"/>
            <w:noWrap/>
            <w:vAlign w:val="center"/>
            <w:hideMark/>
          </w:tcPr>
          <w:p w14:paraId="1D4A8143"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25/05/2032</w:t>
            </w:r>
          </w:p>
        </w:tc>
        <w:tc>
          <w:tcPr>
            <w:tcW w:w="1149" w:type="dxa"/>
            <w:tcBorders>
              <w:top w:val="nil"/>
              <w:left w:val="nil"/>
              <w:bottom w:val="single" w:sz="4" w:space="0" w:color="auto"/>
              <w:right w:val="single" w:sz="4" w:space="0" w:color="auto"/>
            </w:tcBorders>
            <w:shd w:val="clear" w:color="auto" w:fill="auto"/>
            <w:noWrap/>
            <w:vAlign w:val="center"/>
            <w:hideMark/>
          </w:tcPr>
          <w:p w14:paraId="4E4DB50A"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187,112,637</w:t>
            </w:r>
          </w:p>
        </w:tc>
        <w:tc>
          <w:tcPr>
            <w:tcW w:w="1161" w:type="dxa"/>
            <w:tcBorders>
              <w:top w:val="nil"/>
              <w:left w:val="nil"/>
              <w:bottom w:val="single" w:sz="4" w:space="0" w:color="auto"/>
              <w:right w:val="single" w:sz="4" w:space="0" w:color="auto"/>
            </w:tcBorders>
            <w:shd w:val="clear" w:color="auto" w:fill="auto"/>
            <w:noWrap/>
            <w:vAlign w:val="center"/>
            <w:hideMark/>
          </w:tcPr>
          <w:p w14:paraId="16272856"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187,112,637</w:t>
            </w:r>
          </w:p>
        </w:tc>
        <w:tc>
          <w:tcPr>
            <w:tcW w:w="1318" w:type="dxa"/>
            <w:tcBorders>
              <w:top w:val="nil"/>
              <w:left w:val="nil"/>
              <w:bottom w:val="single" w:sz="4" w:space="0" w:color="auto"/>
              <w:right w:val="single" w:sz="4" w:space="0" w:color="auto"/>
            </w:tcBorders>
            <w:shd w:val="clear" w:color="000000" w:fill="FFFFFF"/>
            <w:noWrap/>
            <w:vAlign w:val="center"/>
            <w:hideMark/>
          </w:tcPr>
          <w:p w14:paraId="77432DB3"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96,804,480</w:t>
            </w:r>
          </w:p>
        </w:tc>
      </w:tr>
      <w:tr w:rsidR="001E4416" w:rsidRPr="001E4416" w14:paraId="064B8C5A" w14:textId="77777777" w:rsidTr="00B37954">
        <w:trPr>
          <w:trHeight w:val="25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1803DA0"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BANOBRAS</w:t>
            </w:r>
          </w:p>
        </w:tc>
        <w:tc>
          <w:tcPr>
            <w:tcW w:w="1214" w:type="dxa"/>
            <w:tcBorders>
              <w:top w:val="nil"/>
              <w:left w:val="nil"/>
              <w:bottom w:val="single" w:sz="4" w:space="0" w:color="auto"/>
              <w:right w:val="single" w:sz="4" w:space="0" w:color="auto"/>
            </w:tcBorders>
            <w:shd w:val="clear" w:color="auto" w:fill="auto"/>
            <w:noWrap/>
            <w:vAlign w:val="center"/>
            <w:hideMark/>
          </w:tcPr>
          <w:p w14:paraId="1FC8FD7E"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P28-0314036</w:t>
            </w:r>
          </w:p>
        </w:tc>
        <w:tc>
          <w:tcPr>
            <w:tcW w:w="1129" w:type="dxa"/>
            <w:tcBorders>
              <w:top w:val="nil"/>
              <w:left w:val="nil"/>
              <w:bottom w:val="single" w:sz="4" w:space="0" w:color="auto"/>
              <w:right w:val="single" w:sz="4" w:space="0" w:color="auto"/>
            </w:tcBorders>
            <w:shd w:val="clear" w:color="auto" w:fill="auto"/>
            <w:noWrap/>
            <w:vAlign w:val="center"/>
            <w:hideMark/>
          </w:tcPr>
          <w:p w14:paraId="7CB1807E"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14/03/2014</w:t>
            </w:r>
          </w:p>
        </w:tc>
        <w:tc>
          <w:tcPr>
            <w:tcW w:w="1108" w:type="dxa"/>
            <w:tcBorders>
              <w:top w:val="nil"/>
              <w:left w:val="nil"/>
              <w:bottom w:val="single" w:sz="4" w:space="0" w:color="auto"/>
              <w:right w:val="single" w:sz="4" w:space="0" w:color="auto"/>
            </w:tcBorders>
            <w:shd w:val="clear" w:color="auto" w:fill="auto"/>
            <w:noWrap/>
            <w:vAlign w:val="center"/>
            <w:hideMark/>
          </w:tcPr>
          <w:p w14:paraId="409B6B0B"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LXII-57</w:t>
            </w:r>
          </w:p>
        </w:tc>
        <w:tc>
          <w:tcPr>
            <w:tcW w:w="931" w:type="dxa"/>
            <w:tcBorders>
              <w:top w:val="nil"/>
              <w:left w:val="nil"/>
              <w:bottom w:val="single" w:sz="4" w:space="0" w:color="auto"/>
              <w:right w:val="single" w:sz="4" w:space="0" w:color="auto"/>
            </w:tcBorders>
            <w:shd w:val="clear" w:color="auto" w:fill="auto"/>
            <w:noWrap/>
            <w:vAlign w:val="center"/>
            <w:hideMark/>
          </w:tcPr>
          <w:p w14:paraId="256655D8"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17/12/2013</w:t>
            </w:r>
          </w:p>
        </w:tc>
        <w:tc>
          <w:tcPr>
            <w:tcW w:w="989" w:type="dxa"/>
            <w:tcBorders>
              <w:top w:val="nil"/>
              <w:left w:val="nil"/>
              <w:bottom w:val="single" w:sz="4" w:space="0" w:color="auto"/>
              <w:right w:val="single" w:sz="4" w:space="0" w:color="auto"/>
            </w:tcBorders>
            <w:shd w:val="clear" w:color="auto" w:fill="auto"/>
            <w:noWrap/>
            <w:vAlign w:val="center"/>
            <w:hideMark/>
          </w:tcPr>
          <w:p w14:paraId="61F818EE"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25/04/2024</w:t>
            </w:r>
          </w:p>
        </w:tc>
        <w:tc>
          <w:tcPr>
            <w:tcW w:w="1149" w:type="dxa"/>
            <w:tcBorders>
              <w:top w:val="nil"/>
              <w:left w:val="nil"/>
              <w:bottom w:val="single" w:sz="4" w:space="0" w:color="auto"/>
              <w:right w:val="single" w:sz="4" w:space="0" w:color="auto"/>
            </w:tcBorders>
            <w:shd w:val="clear" w:color="auto" w:fill="auto"/>
            <w:noWrap/>
            <w:vAlign w:val="center"/>
            <w:hideMark/>
          </w:tcPr>
          <w:p w14:paraId="05E15E06"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250,802,462</w:t>
            </w:r>
          </w:p>
        </w:tc>
        <w:tc>
          <w:tcPr>
            <w:tcW w:w="1161" w:type="dxa"/>
            <w:tcBorders>
              <w:top w:val="nil"/>
              <w:left w:val="nil"/>
              <w:bottom w:val="single" w:sz="4" w:space="0" w:color="auto"/>
              <w:right w:val="single" w:sz="4" w:space="0" w:color="auto"/>
            </w:tcBorders>
            <w:shd w:val="clear" w:color="auto" w:fill="auto"/>
            <w:noWrap/>
            <w:vAlign w:val="center"/>
            <w:hideMark/>
          </w:tcPr>
          <w:p w14:paraId="31E0AD73"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234,553,668</w:t>
            </w:r>
          </w:p>
        </w:tc>
        <w:tc>
          <w:tcPr>
            <w:tcW w:w="1318" w:type="dxa"/>
            <w:tcBorders>
              <w:top w:val="nil"/>
              <w:left w:val="nil"/>
              <w:bottom w:val="single" w:sz="4" w:space="0" w:color="auto"/>
              <w:right w:val="single" w:sz="4" w:space="0" w:color="auto"/>
            </w:tcBorders>
            <w:shd w:val="clear" w:color="000000" w:fill="FFFFFF"/>
            <w:noWrap/>
            <w:vAlign w:val="center"/>
            <w:hideMark/>
          </w:tcPr>
          <w:p w14:paraId="136AE122"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22,858,827</w:t>
            </w:r>
          </w:p>
        </w:tc>
      </w:tr>
      <w:tr w:rsidR="001E4416" w:rsidRPr="001E4416" w14:paraId="20CCFD15" w14:textId="77777777" w:rsidTr="00B37954">
        <w:trPr>
          <w:trHeight w:val="25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B54189D"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BANOBRAS</w:t>
            </w:r>
          </w:p>
        </w:tc>
        <w:tc>
          <w:tcPr>
            <w:tcW w:w="1214" w:type="dxa"/>
            <w:tcBorders>
              <w:top w:val="nil"/>
              <w:left w:val="nil"/>
              <w:bottom w:val="single" w:sz="4" w:space="0" w:color="auto"/>
              <w:right w:val="single" w:sz="4" w:space="0" w:color="auto"/>
            </w:tcBorders>
            <w:shd w:val="clear" w:color="auto" w:fill="auto"/>
            <w:noWrap/>
            <w:vAlign w:val="center"/>
            <w:hideMark/>
          </w:tcPr>
          <w:p w14:paraId="0440F031"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P28-0315026</w:t>
            </w:r>
          </w:p>
        </w:tc>
        <w:tc>
          <w:tcPr>
            <w:tcW w:w="1129" w:type="dxa"/>
            <w:tcBorders>
              <w:top w:val="nil"/>
              <w:left w:val="nil"/>
              <w:bottom w:val="single" w:sz="4" w:space="0" w:color="auto"/>
              <w:right w:val="single" w:sz="4" w:space="0" w:color="auto"/>
            </w:tcBorders>
            <w:shd w:val="clear" w:color="auto" w:fill="auto"/>
            <w:noWrap/>
            <w:vAlign w:val="center"/>
            <w:hideMark/>
          </w:tcPr>
          <w:p w14:paraId="4A4B4145"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31/03/2015</w:t>
            </w:r>
          </w:p>
        </w:tc>
        <w:tc>
          <w:tcPr>
            <w:tcW w:w="1108" w:type="dxa"/>
            <w:tcBorders>
              <w:top w:val="nil"/>
              <w:left w:val="nil"/>
              <w:bottom w:val="single" w:sz="4" w:space="0" w:color="auto"/>
              <w:right w:val="single" w:sz="4" w:space="0" w:color="auto"/>
            </w:tcBorders>
            <w:shd w:val="clear" w:color="auto" w:fill="auto"/>
            <w:noWrap/>
            <w:vAlign w:val="center"/>
            <w:hideMark/>
          </w:tcPr>
          <w:p w14:paraId="4413DA1E"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LXII-392</w:t>
            </w:r>
          </w:p>
        </w:tc>
        <w:tc>
          <w:tcPr>
            <w:tcW w:w="931" w:type="dxa"/>
            <w:tcBorders>
              <w:top w:val="nil"/>
              <w:left w:val="nil"/>
              <w:bottom w:val="single" w:sz="4" w:space="0" w:color="auto"/>
              <w:right w:val="single" w:sz="4" w:space="0" w:color="auto"/>
            </w:tcBorders>
            <w:shd w:val="clear" w:color="auto" w:fill="auto"/>
            <w:noWrap/>
            <w:vAlign w:val="center"/>
            <w:hideMark/>
          </w:tcPr>
          <w:p w14:paraId="48A399DF"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17/12/2014</w:t>
            </w:r>
          </w:p>
        </w:tc>
        <w:tc>
          <w:tcPr>
            <w:tcW w:w="989" w:type="dxa"/>
            <w:tcBorders>
              <w:top w:val="nil"/>
              <w:left w:val="nil"/>
              <w:bottom w:val="single" w:sz="4" w:space="0" w:color="auto"/>
              <w:right w:val="single" w:sz="4" w:space="0" w:color="auto"/>
            </w:tcBorders>
            <w:shd w:val="clear" w:color="auto" w:fill="auto"/>
            <w:noWrap/>
            <w:vAlign w:val="center"/>
            <w:hideMark/>
          </w:tcPr>
          <w:p w14:paraId="4752EC35"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28/03/2025</w:t>
            </w:r>
          </w:p>
        </w:tc>
        <w:tc>
          <w:tcPr>
            <w:tcW w:w="1149" w:type="dxa"/>
            <w:tcBorders>
              <w:top w:val="nil"/>
              <w:left w:val="nil"/>
              <w:bottom w:val="single" w:sz="4" w:space="0" w:color="auto"/>
              <w:right w:val="single" w:sz="4" w:space="0" w:color="auto"/>
            </w:tcBorders>
            <w:shd w:val="clear" w:color="auto" w:fill="auto"/>
            <w:noWrap/>
            <w:vAlign w:val="center"/>
            <w:hideMark/>
          </w:tcPr>
          <w:p w14:paraId="533C922E"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113,990,000</w:t>
            </w:r>
          </w:p>
        </w:tc>
        <w:tc>
          <w:tcPr>
            <w:tcW w:w="1161" w:type="dxa"/>
            <w:tcBorders>
              <w:top w:val="nil"/>
              <w:left w:val="nil"/>
              <w:bottom w:val="single" w:sz="4" w:space="0" w:color="auto"/>
              <w:right w:val="single" w:sz="4" w:space="0" w:color="auto"/>
            </w:tcBorders>
            <w:shd w:val="clear" w:color="auto" w:fill="auto"/>
            <w:noWrap/>
            <w:vAlign w:val="center"/>
            <w:hideMark/>
          </w:tcPr>
          <w:p w14:paraId="55C0E240"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90,815,811</w:t>
            </w:r>
          </w:p>
        </w:tc>
        <w:tc>
          <w:tcPr>
            <w:tcW w:w="1318" w:type="dxa"/>
            <w:tcBorders>
              <w:top w:val="nil"/>
              <w:left w:val="nil"/>
              <w:bottom w:val="single" w:sz="4" w:space="0" w:color="auto"/>
              <w:right w:val="single" w:sz="4" w:space="0" w:color="auto"/>
            </w:tcBorders>
            <w:shd w:val="clear" w:color="000000" w:fill="FFFFFF"/>
            <w:noWrap/>
            <w:vAlign w:val="center"/>
            <w:hideMark/>
          </w:tcPr>
          <w:p w14:paraId="63B48E89"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21,828,938</w:t>
            </w:r>
          </w:p>
        </w:tc>
      </w:tr>
      <w:tr w:rsidR="001E4416" w:rsidRPr="001E4416" w14:paraId="2B3498D3" w14:textId="77777777" w:rsidTr="00B37954">
        <w:trPr>
          <w:trHeight w:val="25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315C3E6"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BANAMEX</w:t>
            </w:r>
          </w:p>
        </w:tc>
        <w:tc>
          <w:tcPr>
            <w:tcW w:w="1214" w:type="dxa"/>
            <w:tcBorders>
              <w:top w:val="nil"/>
              <w:left w:val="nil"/>
              <w:bottom w:val="single" w:sz="4" w:space="0" w:color="auto"/>
              <w:right w:val="single" w:sz="4" w:space="0" w:color="auto"/>
            </w:tcBorders>
            <w:shd w:val="clear" w:color="auto" w:fill="auto"/>
            <w:noWrap/>
            <w:vAlign w:val="center"/>
            <w:hideMark/>
          </w:tcPr>
          <w:p w14:paraId="25095461"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P28-1217126</w:t>
            </w:r>
          </w:p>
        </w:tc>
        <w:tc>
          <w:tcPr>
            <w:tcW w:w="1129" w:type="dxa"/>
            <w:tcBorders>
              <w:top w:val="nil"/>
              <w:left w:val="nil"/>
              <w:bottom w:val="single" w:sz="4" w:space="0" w:color="auto"/>
              <w:right w:val="single" w:sz="4" w:space="0" w:color="auto"/>
            </w:tcBorders>
            <w:shd w:val="clear" w:color="auto" w:fill="auto"/>
            <w:noWrap/>
            <w:vAlign w:val="center"/>
            <w:hideMark/>
          </w:tcPr>
          <w:p w14:paraId="71F6D099"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19/12/2017</w:t>
            </w:r>
          </w:p>
        </w:tc>
        <w:tc>
          <w:tcPr>
            <w:tcW w:w="1108" w:type="dxa"/>
            <w:tcBorders>
              <w:top w:val="nil"/>
              <w:left w:val="nil"/>
              <w:bottom w:val="single" w:sz="4" w:space="0" w:color="auto"/>
              <w:right w:val="single" w:sz="4" w:space="0" w:color="auto"/>
            </w:tcBorders>
            <w:shd w:val="clear" w:color="auto" w:fill="auto"/>
            <w:noWrap/>
            <w:vAlign w:val="center"/>
            <w:hideMark/>
          </w:tcPr>
          <w:p w14:paraId="24AD62BD"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LXIII-245</w:t>
            </w:r>
          </w:p>
        </w:tc>
        <w:tc>
          <w:tcPr>
            <w:tcW w:w="931" w:type="dxa"/>
            <w:tcBorders>
              <w:top w:val="nil"/>
              <w:left w:val="nil"/>
              <w:bottom w:val="single" w:sz="4" w:space="0" w:color="auto"/>
              <w:right w:val="single" w:sz="4" w:space="0" w:color="auto"/>
            </w:tcBorders>
            <w:shd w:val="clear" w:color="auto" w:fill="auto"/>
            <w:noWrap/>
            <w:vAlign w:val="center"/>
            <w:hideMark/>
          </w:tcPr>
          <w:p w14:paraId="2AB1A888"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14/09/2017</w:t>
            </w:r>
          </w:p>
        </w:tc>
        <w:tc>
          <w:tcPr>
            <w:tcW w:w="989" w:type="dxa"/>
            <w:tcBorders>
              <w:top w:val="nil"/>
              <w:left w:val="nil"/>
              <w:bottom w:val="single" w:sz="4" w:space="0" w:color="auto"/>
              <w:right w:val="single" w:sz="4" w:space="0" w:color="auto"/>
            </w:tcBorders>
            <w:shd w:val="clear" w:color="auto" w:fill="auto"/>
            <w:noWrap/>
            <w:vAlign w:val="center"/>
            <w:hideMark/>
          </w:tcPr>
          <w:p w14:paraId="7C9B21E6"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13/11/2037</w:t>
            </w:r>
          </w:p>
        </w:tc>
        <w:tc>
          <w:tcPr>
            <w:tcW w:w="1149" w:type="dxa"/>
            <w:tcBorders>
              <w:top w:val="nil"/>
              <w:left w:val="nil"/>
              <w:bottom w:val="single" w:sz="4" w:space="0" w:color="auto"/>
              <w:right w:val="single" w:sz="4" w:space="0" w:color="auto"/>
            </w:tcBorders>
            <w:shd w:val="clear" w:color="auto" w:fill="auto"/>
            <w:noWrap/>
            <w:vAlign w:val="center"/>
            <w:hideMark/>
          </w:tcPr>
          <w:p w14:paraId="6670731B"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1,500,000,000</w:t>
            </w:r>
          </w:p>
        </w:tc>
        <w:tc>
          <w:tcPr>
            <w:tcW w:w="1161" w:type="dxa"/>
            <w:tcBorders>
              <w:top w:val="nil"/>
              <w:left w:val="nil"/>
              <w:bottom w:val="single" w:sz="4" w:space="0" w:color="auto"/>
              <w:right w:val="single" w:sz="4" w:space="0" w:color="auto"/>
            </w:tcBorders>
            <w:shd w:val="clear" w:color="auto" w:fill="auto"/>
            <w:noWrap/>
            <w:vAlign w:val="center"/>
            <w:hideMark/>
          </w:tcPr>
          <w:p w14:paraId="02FCCB13"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1,500,000,000</w:t>
            </w:r>
          </w:p>
        </w:tc>
        <w:tc>
          <w:tcPr>
            <w:tcW w:w="1318" w:type="dxa"/>
            <w:tcBorders>
              <w:top w:val="nil"/>
              <w:left w:val="nil"/>
              <w:bottom w:val="single" w:sz="4" w:space="0" w:color="auto"/>
              <w:right w:val="single" w:sz="4" w:space="0" w:color="auto"/>
            </w:tcBorders>
            <w:shd w:val="clear" w:color="000000" w:fill="FFFFFF"/>
            <w:noWrap/>
            <w:vAlign w:val="center"/>
            <w:hideMark/>
          </w:tcPr>
          <w:p w14:paraId="37073979"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1,416,033,565</w:t>
            </w:r>
          </w:p>
        </w:tc>
      </w:tr>
      <w:tr w:rsidR="001E4416" w:rsidRPr="001E4416" w14:paraId="669874E1" w14:textId="77777777" w:rsidTr="00B37954">
        <w:trPr>
          <w:trHeight w:val="25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BD7942C"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BANORTE</w:t>
            </w:r>
          </w:p>
        </w:tc>
        <w:tc>
          <w:tcPr>
            <w:tcW w:w="1214" w:type="dxa"/>
            <w:tcBorders>
              <w:top w:val="nil"/>
              <w:left w:val="nil"/>
              <w:bottom w:val="single" w:sz="4" w:space="0" w:color="auto"/>
              <w:right w:val="single" w:sz="4" w:space="0" w:color="auto"/>
            </w:tcBorders>
            <w:shd w:val="clear" w:color="auto" w:fill="auto"/>
            <w:noWrap/>
            <w:vAlign w:val="center"/>
            <w:hideMark/>
          </w:tcPr>
          <w:p w14:paraId="385C1455"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P28-1217130</w:t>
            </w:r>
          </w:p>
        </w:tc>
        <w:tc>
          <w:tcPr>
            <w:tcW w:w="1129" w:type="dxa"/>
            <w:tcBorders>
              <w:top w:val="nil"/>
              <w:left w:val="nil"/>
              <w:bottom w:val="single" w:sz="4" w:space="0" w:color="auto"/>
              <w:right w:val="single" w:sz="4" w:space="0" w:color="auto"/>
            </w:tcBorders>
            <w:shd w:val="clear" w:color="auto" w:fill="auto"/>
            <w:noWrap/>
            <w:vAlign w:val="center"/>
            <w:hideMark/>
          </w:tcPr>
          <w:p w14:paraId="3F84CB22"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27/12/2017</w:t>
            </w:r>
          </w:p>
        </w:tc>
        <w:tc>
          <w:tcPr>
            <w:tcW w:w="1108" w:type="dxa"/>
            <w:tcBorders>
              <w:top w:val="nil"/>
              <w:left w:val="nil"/>
              <w:bottom w:val="single" w:sz="4" w:space="0" w:color="auto"/>
              <w:right w:val="single" w:sz="4" w:space="0" w:color="auto"/>
            </w:tcBorders>
            <w:shd w:val="clear" w:color="auto" w:fill="auto"/>
            <w:noWrap/>
            <w:vAlign w:val="center"/>
            <w:hideMark/>
          </w:tcPr>
          <w:p w14:paraId="6471B16A"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LXIII-245</w:t>
            </w:r>
          </w:p>
        </w:tc>
        <w:tc>
          <w:tcPr>
            <w:tcW w:w="931" w:type="dxa"/>
            <w:tcBorders>
              <w:top w:val="nil"/>
              <w:left w:val="nil"/>
              <w:bottom w:val="single" w:sz="4" w:space="0" w:color="auto"/>
              <w:right w:val="single" w:sz="4" w:space="0" w:color="auto"/>
            </w:tcBorders>
            <w:shd w:val="clear" w:color="auto" w:fill="auto"/>
            <w:noWrap/>
            <w:vAlign w:val="center"/>
            <w:hideMark/>
          </w:tcPr>
          <w:p w14:paraId="78B01615"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14/09/2017</w:t>
            </w:r>
          </w:p>
        </w:tc>
        <w:tc>
          <w:tcPr>
            <w:tcW w:w="989" w:type="dxa"/>
            <w:tcBorders>
              <w:top w:val="nil"/>
              <w:left w:val="nil"/>
              <w:bottom w:val="single" w:sz="4" w:space="0" w:color="auto"/>
              <w:right w:val="single" w:sz="4" w:space="0" w:color="auto"/>
            </w:tcBorders>
            <w:shd w:val="clear" w:color="auto" w:fill="auto"/>
            <w:noWrap/>
            <w:vAlign w:val="center"/>
            <w:hideMark/>
          </w:tcPr>
          <w:p w14:paraId="164C1705"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01/11/2037</w:t>
            </w:r>
          </w:p>
        </w:tc>
        <w:tc>
          <w:tcPr>
            <w:tcW w:w="1149" w:type="dxa"/>
            <w:tcBorders>
              <w:top w:val="nil"/>
              <w:left w:val="nil"/>
              <w:bottom w:val="single" w:sz="4" w:space="0" w:color="auto"/>
              <w:right w:val="single" w:sz="4" w:space="0" w:color="auto"/>
            </w:tcBorders>
            <w:shd w:val="clear" w:color="auto" w:fill="auto"/>
            <w:noWrap/>
            <w:vAlign w:val="center"/>
            <w:hideMark/>
          </w:tcPr>
          <w:p w14:paraId="001BEA2B"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1,539,000,000</w:t>
            </w:r>
          </w:p>
        </w:tc>
        <w:tc>
          <w:tcPr>
            <w:tcW w:w="1161" w:type="dxa"/>
            <w:tcBorders>
              <w:top w:val="nil"/>
              <w:left w:val="nil"/>
              <w:bottom w:val="single" w:sz="4" w:space="0" w:color="auto"/>
              <w:right w:val="single" w:sz="4" w:space="0" w:color="auto"/>
            </w:tcBorders>
            <w:shd w:val="clear" w:color="auto" w:fill="auto"/>
            <w:noWrap/>
            <w:vAlign w:val="center"/>
            <w:hideMark/>
          </w:tcPr>
          <w:p w14:paraId="49F334CF"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1,514,733,349</w:t>
            </w:r>
          </w:p>
        </w:tc>
        <w:tc>
          <w:tcPr>
            <w:tcW w:w="1318" w:type="dxa"/>
            <w:tcBorders>
              <w:top w:val="nil"/>
              <w:left w:val="nil"/>
              <w:bottom w:val="single" w:sz="4" w:space="0" w:color="auto"/>
              <w:right w:val="single" w:sz="4" w:space="0" w:color="auto"/>
            </w:tcBorders>
            <w:shd w:val="clear" w:color="000000" w:fill="FFFFFF"/>
            <w:noWrap/>
            <w:vAlign w:val="center"/>
            <w:hideMark/>
          </w:tcPr>
          <w:p w14:paraId="123DC418"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1,422,778,512</w:t>
            </w:r>
          </w:p>
        </w:tc>
      </w:tr>
      <w:tr w:rsidR="001E4416" w:rsidRPr="001E4416" w14:paraId="0C74950B" w14:textId="77777777" w:rsidTr="00B37954">
        <w:trPr>
          <w:trHeight w:val="25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1C8C35E"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BANORTE</w:t>
            </w:r>
          </w:p>
        </w:tc>
        <w:tc>
          <w:tcPr>
            <w:tcW w:w="1214" w:type="dxa"/>
            <w:tcBorders>
              <w:top w:val="nil"/>
              <w:left w:val="nil"/>
              <w:bottom w:val="single" w:sz="4" w:space="0" w:color="auto"/>
              <w:right w:val="single" w:sz="4" w:space="0" w:color="auto"/>
            </w:tcBorders>
            <w:shd w:val="clear" w:color="auto" w:fill="auto"/>
            <w:noWrap/>
            <w:vAlign w:val="center"/>
            <w:hideMark/>
          </w:tcPr>
          <w:p w14:paraId="0DFBA8A5"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P28-1217129</w:t>
            </w:r>
          </w:p>
        </w:tc>
        <w:tc>
          <w:tcPr>
            <w:tcW w:w="1129" w:type="dxa"/>
            <w:tcBorders>
              <w:top w:val="nil"/>
              <w:left w:val="nil"/>
              <w:bottom w:val="single" w:sz="4" w:space="0" w:color="auto"/>
              <w:right w:val="single" w:sz="4" w:space="0" w:color="auto"/>
            </w:tcBorders>
            <w:shd w:val="clear" w:color="auto" w:fill="auto"/>
            <w:noWrap/>
            <w:vAlign w:val="center"/>
            <w:hideMark/>
          </w:tcPr>
          <w:p w14:paraId="0A817DF7"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21/12/2017</w:t>
            </w:r>
          </w:p>
        </w:tc>
        <w:tc>
          <w:tcPr>
            <w:tcW w:w="1108" w:type="dxa"/>
            <w:tcBorders>
              <w:top w:val="nil"/>
              <w:left w:val="nil"/>
              <w:bottom w:val="single" w:sz="4" w:space="0" w:color="auto"/>
              <w:right w:val="single" w:sz="4" w:space="0" w:color="auto"/>
            </w:tcBorders>
            <w:shd w:val="clear" w:color="auto" w:fill="auto"/>
            <w:noWrap/>
            <w:vAlign w:val="center"/>
            <w:hideMark/>
          </w:tcPr>
          <w:p w14:paraId="24CA23CE"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LXIII-245</w:t>
            </w:r>
          </w:p>
        </w:tc>
        <w:tc>
          <w:tcPr>
            <w:tcW w:w="931" w:type="dxa"/>
            <w:tcBorders>
              <w:top w:val="nil"/>
              <w:left w:val="nil"/>
              <w:bottom w:val="single" w:sz="4" w:space="0" w:color="auto"/>
              <w:right w:val="single" w:sz="4" w:space="0" w:color="auto"/>
            </w:tcBorders>
            <w:shd w:val="clear" w:color="auto" w:fill="auto"/>
            <w:noWrap/>
            <w:vAlign w:val="center"/>
            <w:hideMark/>
          </w:tcPr>
          <w:p w14:paraId="79CC5CB7"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14/09/2017</w:t>
            </w:r>
          </w:p>
        </w:tc>
        <w:tc>
          <w:tcPr>
            <w:tcW w:w="989" w:type="dxa"/>
            <w:tcBorders>
              <w:top w:val="nil"/>
              <w:left w:val="nil"/>
              <w:bottom w:val="single" w:sz="4" w:space="0" w:color="auto"/>
              <w:right w:val="single" w:sz="4" w:space="0" w:color="auto"/>
            </w:tcBorders>
            <w:shd w:val="clear" w:color="auto" w:fill="auto"/>
            <w:noWrap/>
            <w:vAlign w:val="center"/>
            <w:hideMark/>
          </w:tcPr>
          <w:p w14:paraId="300DD23E"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01/11/2037</w:t>
            </w:r>
          </w:p>
        </w:tc>
        <w:tc>
          <w:tcPr>
            <w:tcW w:w="1149" w:type="dxa"/>
            <w:tcBorders>
              <w:top w:val="nil"/>
              <w:left w:val="nil"/>
              <w:bottom w:val="single" w:sz="4" w:space="0" w:color="auto"/>
              <w:right w:val="single" w:sz="4" w:space="0" w:color="auto"/>
            </w:tcBorders>
            <w:shd w:val="clear" w:color="auto" w:fill="auto"/>
            <w:noWrap/>
            <w:vAlign w:val="center"/>
            <w:hideMark/>
          </w:tcPr>
          <w:p w14:paraId="1D474E72"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5,461,000,000</w:t>
            </w:r>
          </w:p>
        </w:tc>
        <w:tc>
          <w:tcPr>
            <w:tcW w:w="1161" w:type="dxa"/>
            <w:tcBorders>
              <w:top w:val="nil"/>
              <w:left w:val="nil"/>
              <w:bottom w:val="single" w:sz="4" w:space="0" w:color="auto"/>
              <w:right w:val="single" w:sz="4" w:space="0" w:color="auto"/>
            </w:tcBorders>
            <w:shd w:val="clear" w:color="auto" w:fill="auto"/>
            <w:noWrap/>
            <w:vAlign w:val="center"/>
            <w:hideMark/>
          </w:tcPr>
          <w:p w14:paraId="53992E8D"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5,461,000,000</w:t>
            </w:r>
          </w:p>
        </w:tc>
        <w:tc>
          <w:tcPr>
            <w:tcW w:w="1318" w:type="dxa"/>
            <w:tcBorders>
              <w:top w:val="nil"/>
              <w:left w:val="nil"/>
              <w:bottom w:val="single" w:sz="4" w:space="0" w:color="auto"/>
              <w:right w:val="single" w:sz="4" w:space="0" w:color="auto"/>
            </w:tcBorders>
            <w:shd w:val="clear" w:color="000000" w:fill="FFFFFF"/>
            <w:noWrap/>
            <w:vAlign w:val="center"/>
            <w:hideMark/>
          </w:tcPr>
          <w:p w14:paraId="369BA779"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5,128,988,102</w:t>
            </w:r>
          </w:p>
        </w:tc>
      </w:tr>
      <w:tr w:rsidR="001E4416" w:rsidRPr="001E4416" w14:paraId="4C09A94B" w14:textId="77777777" w:rsidTr="00B37954">
        <w:trPr>
          <w:trHeight w:val="25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F86706E"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SANTANDER</w:t>
            </w:r>
          </w:p>
        </w:tc>
        <w:tc>
          <w:tcPr>
            <w:tcW w:w="1214" w:type="dxa"/>
            <w:tcBorders>
              <w:top w:val="nil"/>
              <w:left w:val="nil"/>
              <w:bottom w:val="single" w:sz="4" w:space="0" w:color="auto"/>
              <w:right w:val="single" w:sz="4" w:space="0" w:color="auto"/>
            </w:tcBorders>
            <w:shd w:val="clear" w:color="auto" w:fill="auto"/>
            <w:noWrap/>
            <w:vAlign w:val="center"/>
            <w:hideMark/>
          </w:tcPr>
          <w:p w14:paraId="139416F6"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P28-0618061</w:t>
            </w:r>
          </w:p>
        </w:tc>
        <w:tc>
          <w:tcPr>
            <w:tcW w:w="1129" w:type="dxa"/>
            <w:tcBorders>
              <w:top w:val="nil"/>
              <w:left w:val="nil"/>
              <w:bottom w:val="single" w:sz="4" w:space="0" w:color="auto"/>
              <w:right w:val="single" w:sz="4" w:space="0" w:color="auto"/>
            </w:tcBorders>
            <w:shd w:val="clear" w:color="auto" w:fill="auto"/>
            <w:noWrap/>
            <w:vAlign w:val="center"/>
            <w:hideMark/>
          </w:tcPr>
          <w:p w14:paraId="33419D88"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25/06/2018</w:t>
            </w:r>
          </w:p>
        </w:tc>
        <w:tc>
          <w:tcPr>
            <w:tcW w:w="1108" w:type="dxa"/>
            <w:tcBorders>
              <w:top w:val="nil"/>
              <w:left w:val="nil"/>
              <w:bottom w:val="single" w:sz="4" w:space="0" w:color="auto"/>
              <w:right w:val="single" w:sz="4" w:space="0" w:color="auto"/>
            </w:tcBorders>
            <w:shd w:val="clear" w:color="auto" w:fill="auto"/>
            <w:noWrap/>
            <w:vAlign w:val="center"/>
            <w:hideMark/>
          </w:tcPr>
          <w:p w14:paraId="77452CCA"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LXIII-374</w:t>
            </w:r>
          </w:p>
        </w:tc>
        <w:tc>
          <w:tcPr>
            <w:tcW w:w="931" w:type="dxa"/>
            <w:tcBorders>
              <w:top w:val="nil"/>
              <w:left w:val="nil"/>
              <w:bottom w:val="single" w:sz="4" w:space="0" w:color="auto"/>
              <w:right w:val="single" w:sz="4" w:space="0" w:color="auto"/>
            </w:tcBorders>
            <w:shd w:val="clear" w:color="auto" w:fill="auto"/>
            <w:noWrap/>
            <w:vAlign w:val="center"/>
            <w:hideMark/>
          </w:tcPr>
          <w:p w14:paraId="33D43F0A"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18/12/2017</w:t>
            </w:r>
          </w:p>
        </w:tc>
        <w:tc>
          <w:tcPr>
            <w:tcW w:w="989" w:type="dxa"/>
            <w:tcBorders>
              <w:top w:val="nil"/>
              <w:left w:val="nil"/>
              <w:bottom w:val="single" w:sz="4" w:space="0" w:color="auto"/>
              <w:right w:val="single" w:sz="4" w:space="0" w:color="auto"/>
            </w:tcBorders>
            <w:shd w:val="clear" w:color="auto" w:fill="auto"/>
            <w:noWrap/>
            <w:vAlign w:val="center"/>
            <w:hideMark/>
          </w:tcPr>
          <w:p w14:paraId="70832DA2"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28/02/2038</w:t>
            </w:r>
          </w:p>
        </w:tc>
        <w:tc>
          <w:tcPr>
            <w:tcW w:w="1149" w:type="dxa"/>
            <w:tcBorders>
              <w:top w:val="nil"/>
              <w:left w:val="nil"/>
              <w:bottom w:val="single" w:sz="4" w:space="0" w:color="auto"/>
              <w:right w:val="single" w:sz="4" w:space="0" w:color="auto"/>
            </w:tcBorders>
            <w:shd w:val="clear" w:color="auto" w:fill="auto"/>
            <w:noWrap/>
            <w:vAlign w:val="center"/>
            <w:hideMark/>
          </w:tcPr>
          <w:p w14:paraId="737A993C"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1,650,000,000</w:t>
            </w:r>
          </w:p>
        </w:tc>
        <w:tc>
          <w:tcPr>
            <w:tcW w:w="1161" w:type="dxa"/>
            <w:tcBorders>
              <w:top w:val="nil"/>
              <w:left w:val="nil"/>
              <w:bottom w:val="single" w:sz="4" w:space="0" w:color="auto"/>
              <w:right w:val="single" w:sz="4" w:space="0" w:color="auto"/>
            </w:tcBorders>
            <w:shd w:val="clear" w:color="auto" w:fill="auto"/>
            <w:noWrap/>
            <w:vAlign w:val="center"/>
            <w:hideMark/>
          </w:tcPr>
          <w:p w14:paraId="41557687"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1,650,000,000</w:t>
            </w:r>
          </w:p>
        </w:tc>
        <w:tc>
          <w:tcPr>
            <w:tcW w:w="1318" w:type="dxa"/>
            <w:tcBorders>
              <w:top w:val="nil"/>
              <w:left w:val="nil"/>
              <w:bottom w:val="single" w:sz="4" w:space="0" w:color="auto"/>
              <w:right w:val="single" w:sz="4" w:space="0" w:color="auto"/>
            </w:tcBorders>
            <w:shd w:val="clear" w:color="000000" w:fill="FFFFFF"/>
            <w:noWrap/>
            <w:vAlign w:val="center"/>
            <w:hideMark/>
          </w:tcPr>
          <w:p w14:paraId="06B0E9E5"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1,582,935,385</w:t>
            </w:r>
          </w:p>
        </w:tc>
      </w:tr>
      <w:tr w:rsidR="001E4416" w:rsidRPr="001E4416" w14:paraId="6A433618" w14:textId="77777777" w:rsidTr="00B37954">
        <w:trPr>
          <w:trHeight w:val="25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9B07771"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BANAMEX</w:t>
            </w:r>
          </w:p>
        </w:tc>
        <w:tc>
          <w:tcPr>
            <w:tcW w:w="1214" w:type="dxa"/>
            <w:tcBorders>
              <w:top w:val="nil"/>
              <w:left w:val="nil"/>
              <w:bottom w:val="single" w:sz="4" w:space="0" w:color="auto"/>
              <w:right w:val="single" w:sz="4" w:space="0" w:color="auto"/>
            </w:tcBorders>
            <w:shd w:val="clear" w:color="auto" w:fill="auto"/>
            <w:noWrap/>
            <w:vAlign w:val="center"/>
            <w:hideMark/>
          </w:tcPr>
          <w:p w14:paraId="71E2F1AE"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P28-0618060</w:t>
            </w:r>
          </w:p>
        </w:tc>
        <w:tc>
          <w:tcPr>
            <w:tcW w:w="1129" w:type="dxa"/>
            <w:tcBorders>
              <w:top w:val="nil"/>
              <w:left w:val="nil"/>
              <w:bottom w:val="single" w:sz="4" w:space="0" w:color="auto"/>
              <w:right w:val="single" w:sz="4" w:space="0" w:color="auto"/>
            </w:tcBorders>
            <w:shd w:val="clear" w:color="auto" w:fill="auto"/>
            <w:noWrap/>
            <w:vAlign w:val="center"/>
            <w:hideMark/>
          </w:tcPr>
          <w:p w14:paraId="2A5E92EE"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25/06/2018</w:t>
            </w:r>
          </w:p>
        </w:tc>
        <w:tc>
          <w:tcPr>
            <w:tcW w:w="1108" w:type="dxa"/>
            <w:tcBorders>
              <w:top w:val="nil"/>
              <w:left w:val="nil"/>
              <w:bottom w:val="single" w:sz="4" w:space="0" w:color="auto"/>
              <w:right w:val="single" w:sz="4" w:space="0" w:color="auto"/>
            </w:tcBorders>
            <w:shd w:val="clear" w:color="auto" w:fill="auto"/>
            <w:noWrap/>
            <w:vAlign w:val="center"/>
            <w:hideMark/>
          </w:tcPr>
          <w:p w14:paraId="09376B89"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LXIII-374</w:t>
            </w:r>
          </w:p>
        </w:tc>
        <w:tc>
          <w:tcPr>
            <w:tcW w:w="931" w:type="dxa"/>
            <w:tcBorders>
              <w:top w:val="nil"/>
              <w:left w:val="nil"/>
              <w:bottom w:val="single" w:sz="4" w:space="0" w:color="auto"/>
              <w:right w:val="single" w:sz="4" w:space="0" w:color="auto"/>
            </w:tcBorders>
            <w:shd w:val="clear" w:color="auto" w:fill="auto"/>
            <w:noWrap/>
            <w:vAlign w:val="center"/>
            <w:hideMark/>
          </w:tcPr>
          <w:p w14:paraId="2E252DA7"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18/12/2017</w:t>
            </w:r>
          </w:p>
        </w:tc>
        <w:tc>
          <w:tcPr>
            <w:tcW w:w="989" w:type="dxa"/>
            <w:tcBorders>
              <w:top w:val="nil"/>
              <w:left w:val="nil"/>
              <w:bottom w:val="single" w:sz="4" w:space="0" w:color="auto"/>
              <w:right w:val="single" w:sz="4" w:space="0" w:color="auto"/>
            </w:tcBorders>
            <w:shd w:val="clear" w:color="auto" w:fill="auto"/>
            <w:noWrap/>
            <w:vAlign w:val="center"/>
            <w:hideMark/>
          </w:tcPr>
          <w:p w14:paraId="63553310"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28/02/2038</w:t>
            </w:r>
          </w:p>
        </w:tc>
        <w:tc>
          <w:tcPr>
            <w:tcW w:w="1149" w:type="dxa"/>
            <w:tcBorders>
              <w:top w:val="nil"/>
              <w:left w:val="nil"/>
              <w:bottom w:val="single" w:sz="4" w:space="0" w:color="auto"/>
              <w:right w:val="single" w:sz="4" w:space="0" w:color="auto"/>
            </w:tcBorders>
            <w:shd w:val="clear" w:color="auto" w:fill="auto"/>
            <w:noWrap/>
            <w:vAlign w:val="center"/>
            <w:hideMark/>
          </w:tcPr>
          <w:p w14:paraId="5694CD05"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1,000,000,000</w:t>
            </w:r>
          </w:p>
        </w:tc>
        <w:tc>
          <w:tcPr>
            <w:tcW w:w="1161" w:type="dxa"/>
            <w:tcBorders>
              <w:top w:val="nil"/>
              <w:left w:val="nil"/>
              <w:bottom w:val="single" w:sz="4" w:space="0" w:color="auto"/>
              <w:right w:val="single" w:sz="4" w:space="0" w:color="auto"/>
            </w:tcBorders>
            <w:shd w:val="clear" w:color="auto" w:fill="auto"/>
            <w:noWrap/>
            <w:vAlign w:val="center"/>
            <w:hideMark/>
          </w:tcPr>
          <w:p w14:paraId="258A1B59"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1,000,000,000</w:t>
            </w:r>
          </w:p>
        </w:tc>
        <w:tc>
          <w:tcPr>
            <w:tcW w:w="1318" w:type="dxa"/>
            <w:tcBorders>
              <w:top w:val="nil"/>
              <w:left w:val="nil"/>
              <w:bottom w:val="single" w:sz="4" w:space="0" w:color="auto"/>
              <w:right w:val="single" w:sz="4" w:space="0" w:color="auto"/>
            </w:tcBorders>
            <w:shd w:val="clear" w:color="000000" w:fill="FFFFFF"/>
            <w:noWrap/>
            <w:vAlign w:val="center"/>
            <w:hideMark/>
          </w:tcPr>
          <w:p w14:paraId="3E47F9B4"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959,231,502</w:t>
            </w:r>
          </w:p>
        </w:tc>
      </w:tr>
      <w:tr w:rsidR="001E4416" w:rsidRPr="001E4416" w14:paraId="514CA86B" w14:textId="77777777" w:rsidTr="00B37954">
        <w:trPr>
          <w:trHeight w:val="25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F7F3067"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 xml:space="preserve">BANCOMER </w:t>
            </w:r>
          </w:p>
        </w:tc>
        <w:tc>
          <w:tcPr>
            <w:tcW w:w="1214" w:type="dxa"/>
            <w:tcBorders>
              <w:top w:val="nil"/>
              <w:left w:val="nil"/>
              <w:bottom w:val="single" w:sz="4" w:space="0" w:color="auto"/>
              <w:right w:val="single" w:sz="4" w:space="0" w:color="auto"/>
            </w:tcBorders>
            <w:shd w:val="clear" w:color="auto" w:fill="auto"/>
            <w:noWrap/>
            <w:vAlign w:val="center"/>
            <w:hideMark/>
          </w:tcPr>
          <w:p w14:paraId="3D70B8A8"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P28-0618059</w:t>
            </w:r>
          </w:p>
        </w:tc>
        <w:tc>
          <w:tcPr>
            <w:tcW w:w="1129" w:type="dxa"/>
            <w:tcBorders>
              <w:top w:val="nil"/>
              <w:left w:val="nil"/>
              <w:bottom w:val="single" w:sz="4" w:space="0" w:color="auto"/>
              <w:right w:val="single" w:sz="4" w:space="0" w:color="auto"/>
            </w:tcBorders>
            <w:shd w:val="clear" w:color="auto" w:fill="auto"/>
            <w:noWrap/>
            <w:vAlign w:val="center"/>
            <w:hideMark/>
          </w:tcPr>
          <w:p w14:paraId="2868EBAF"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25/06/2018</w:t>
            </w:r>
          </w:p>
        </w:tc>
        <w:tc>
          <w:tcPr>
            <w:tcW w:w="1108" w:type="dxa"/>
            <w:tcBorders>
              <w:top w:val="nil"/>
              <w:left w:val="nil"/>
              <w:bottom w:val="single" w:sz="4" w:space="0" w:color="auto"/>
              <w:right w:val="single" w:sz="4" w:space="0" w:color="auto"/>
            </w:tcBorders>
            <w:shd w:val="clear" w:color="auto" w:fill="auto"/>
            <w:noWrap/>
            <w:vAlign w:val="center"/>
            <w:hideMark/>
          </w:tcPr>
          <w:p w14:paraId="5C266C91"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LXIII-374</w:t>
            </w:r>
          </w:p>
        </w:tc>
        <w:tc>
          <w:tcPr>
            <w:tcW w:w="931" w:type="dxa"/>
            <w:tcBorders>
              <w:top w:val="nil"/>
              <w:left w:val="nil"/>
              <w:bottom w:val="single" w:sz="4" w:space="0" w:color="auto"/>
              <w:right w:val="single" w:sz="4" w:space="0" w:color="auto"/>
            </w:tcBorders>
            <w:shd w:val="clear" w:color="auto" w:fill="auto"/>
            <w:noWrap/>
            <w:vAlign w:val="center"/>
            <w:hideMark/>
          </w:tcPr>
          <w:p w14:paraId="491FE844"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18/12/2017</w:t>
            </w:r>
          </w:p>
        </w:tc>
        <w:tc>
          <w:tcPr>
            <w:tcW w:w="989" w:type="dxa"/>
            <w:tcBorders>
              <w:top w:val="nil"/>
              <w:left w:val="nil"/>
              <w:bottom w:val="single" w:sz="4" w:space="0" w:color="auto"/>
              <w:right w:val="single" w:sz="4" w:space="0" w:color="auto"/>
            </w:tcBorders>
            <w:shd w:val="clear" w:color="auto" w:fill="auto"/>
            <w:noWrap/>
            <w:vAlign w:val="center"/>
            <w:hideMark/>
          </w:tcPr>
          <w:p w14:paraId="681E60A0"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28/02/2038</w:t>
            </w:r>
          </w:p>
        </w:tc>
        <w:tc>
          <w:tcPr>
            <w:tcW w:w="1149" w:type="dxa"/>
            <w:tcBorders>
              <w:top w:val="nil"/>
              <w:left w:val="nil"/>
              <w:bottom w:val="single" w:sz="4" w:space="0" w:color="auto"/>
              <w:right w:val="single" w:sz="4" w:space="0" w:color="auto"/>
            </w:tcBorders>
            <w:shd w:val="clear" w:color="auto" w:fill="auto"/>
            <w:noWrap/>
            <w:vAlign w:val="center"/>
            <w:hideMark/>
          </w:tcPr>
          <w:p w14:paraId="706DD7DA"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500,000,000</w:t>
            </w:r>
          </w:p>
        </w:tc>
        <w:tc>
          <w:tcPr>
            <w:tcW w:w="1161" w:type="dxa"/>
            <w:tcBorders>
              <w:top w:val="nil"/>
              <w:left w:val="nil"/>
              <w:bottom w:val="single" w:sz="4" w:space="0" w:color="auto"/>
              <w:right w:val="single" w:sz="4" w:space="0" w:color="auto"/>
            </w:tcBorders>
            <w:shd w:val="clear" w:color="auto" w:fill="auto"/>
            <w:noWrap/>
            <w:vAlign w:val="center"/>
            <w:hideMark/>
          </w:tcPr>
          <w:p w14:paraId="40FEBE75"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497,341,556</w:t>
            </w:r>
          </w:p>
        </w:tc>
        <w:tc>
          <w:tcPr>
            <w:tcW w:w="1318" w:type="dxa"/>
            <w:tcBorders>
              <w:top w:val="nil"/>
              <w:left w:val="nil"/>
              <w:bottom w:val="single" w:sz="4" w:space="0" w:color="auto"/>
              <w:right w:val="single" w:sz="4" w:space="0" w:color="auto"/>
            </w:tcBorders>
            <w:shd w:val="clear" w:color="000000" w:fill="FFFFFF"/>
            <w:noWrap/>
            <w:vAlign w:val="center"/>
            <w:hideMark/>
          </w:tcPr>
          <w:p w14:paraId="07DD5684"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477,439,785</w:t>
            </w:r>
          </w:p>
        </w:tc>
      </w:tr>
      <w:tr w:rsidR="001E4416" w:rsidRPr="001E4416" w14:paraId="01E6D6A3" w14:textId="77777777" w:rsidTr="00B37954">
        <w:trPr>
          <w:trHeight w:val="25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4E5FFFE"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 xml:space="preserve">BANCOMER </w:t>
            </w:r>
          </w:p>
        </w:tc>
        <w:tc>
          <w:tcPr>
            <w:tcW w:w="1214" w:type="dxa"/>
            <w:tcBorders>
              <w:top w:val="nil"/>
              <w:left w:val="nil"/>
              <w:bottom w:val="single" w:sz="4" w:space="0" w:color="auto"/>
              <w:right w:val="single" w:sz="4" w:space="0" w:color="auto"/>
            </w:tcBorders>
            <w:shd w:val="clear" w:color="auto" w:fill="auto"/>
            <w:noWrap/>
            <w:vAlign w:val="center"/>
            <w:hideMark/>
          </w:tcPr>
          <w:p w14:paraId="069A7510"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P28-1118117</w:t>
            </w:r>
          </w:p>
        </w:tc>
        <w:tc>
          <w:tcPr>
            <w:tcW w:w="1129" w:type="dxa"/>
            <w:tcBorders>
              <w:top w:val="nil"/>
              <w:left w:val="nil"/>
              <w:bottom w:val="single" w:sz="4" w:space="0" w:color="auto"/>
              <w:right w:val="single" w:sz="4" w:space="0" w:color="auto"/>
            </w:tcBorders>
            <w:shd w:val="clear" w:color="auto" w:fill="auto"/>
            <w:noWrap/>
            <w:vAlign w:val="center"/>
            <w:hideMark/>
          </w:tcPr>
          <w:p w14:paraId="6E89ACB8"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29/11/2018</w:t>
            </w:r>
          </w:p>
        </w:tc>
        <w:tc>
          <w:tcPr>
            <w:tcW w:w="1108" w:type="dxa"/>
            <w:tcBorders>
              <w:top w:val="nil"/>
              <w:left w:val="nil"/>
              <w:bottom w:val="single" w:sz="4" w:space="0" w:color="auto"/>
              <w:right w:val="single" w:sz="4" w:space="0" w:color="auto"/>
            </w:tcBorders>
            <w:shd w:val="clear" w:color="auto" w:fill="auto"/>
            <w:noWrap/>
            <w:vAlign w:val="center"/>
            <w:hideMark/>
          </w:tcPr>
          <w:p w14:paraId="32B3FABE"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LXIII-245</w:t>
            </w:r>
          </w:p>
        </w:tc>
        <w:tc>
          <w:tcPr>
            <w:tcW w:w="931" w:type="dxa"/>
            <w:tcBorders>
              <w:top w:val="nil"/>
              <w:left w:val="nil"/>
              <w:bottom w:val="single" w:sz="4" w:space="0" w:color="auto"/>
              <w:right w:val="single" w:sz="4" w:space="0" w:color="auto"/>
            </w:tcBorders>
            <w:shd w:val="clear" w:color="auto" w:fill="auto"/>
            <w:noWrap/>
            <w:vAlign w:val="center"/>
            <w:hideMark/>
          </w:tcPr>
          <w:p w14:paraId="3DA71414"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14/09/2017</w:t>
            </w:r>
          </w:p>
        </w:tc>
        <w:tc>
          <w:tcPr>
            <w:tcW w:w="989" w:type="dxa"/>
            <w:tcBorders>
              <w:top w:val="nil"/>
              <w:left w:val="nil"/>
              <w:bottom w:val="single" w:sz="4" w:space="0" w:color="auto"/>
              <w:right w:val="single" w:sz="4" w:space="0" w:color="auto"/>
            </w:tcBorders>
            <w:shd w:val="clear" w:color="auto" w:fill="auto"/>
            <w:noWrap/>
            <w:vAlign w:val="center"/>
            <w:hideMark/>
          </w:tcPr>
          <w:p w14:paraId="4DBA20ED"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13/11/2037</w:t>
            </w:r>
          </w:p>
        </w:tc>
        <w:tc>
          <w:tcPr>
            <w:tcW w:w="1149" w:type="dxa"/>
            <w:tcBorders>
              <w:top w:val="nil"/>
              <w:left w:val="nil"/>
              <w:bottom w:val="single" w:sz="4" w:space="0" w:color="auto"/>
              <w:right w:val="single" w:sz="4" w:space="0" w:color="auto"/>
            </w:tcBorders>
            <w:shd w:val="clear" w:color="auto" w:fill="auto"/>
            <w:noWrap/>
            <w:vAlign w:val="center"/>
            <w:hideMark/>
          </w:tcPr>
          <w:p w14:paraId="788DFFE2"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994,864,167</w:t>
            </w:r>
          </w:p>
        </w:tc>
        <w:tc>
          <w:tcPr>
            <w:tcW w:w="1161" w:type="dxa"/>
            <w:tcBorders>
              <w:top w:val="nil"/>
              <w:left w:val="nil"/>
              <w:bottom w:val="single" w:sz="4" w:space="0" w:color="auto"/>
              <w:right w:val="single" w:sz="4" w:space="0" w:color="auto"/>
            </w:tcBorders>
            <w:shd w:val="clear" w:color="auto" w:fill="auto"/>
            <w:noWrap/>
            <w:vAlign w:val="center"/>
            <w:hideMark/>
          </w:tcPr>
          <w:p w14:paraId="7A9E6E7E"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993,495,125</w:t>
            </w:r>
          </w:p>
        </w:tc>
        <w:tc>
          <w:tcPr>
            <w:tcW w:w="1318" w:type="dxa"/>
            <w:tcBorders>
              <w:top w:val="nil"/>
              <w:left w:val="nil"/>
              <w:bottom w:val="single" w:sz="4" w:space="0" w:color="auto"/>
              <w:right w:val="single" w:sz="4" w:space="0" w:color="auto"/>
            </w:tcBorders>
            <w:shd w:val="clear" w:color="000000" w:fill="FFFFFF"/>
            <w:noWrap/>
            <w:vAlign w:val="center"/>
            <w:hideMark/>
          </w:tcPr>
          <w:p w14:paraId="2B01DF78"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946,088,820</w:t>
            </w:r>
          </w:p>
        </w:tc>
      </w:tr>
      <w:tr w:rsidR="001E4416" w:rsidRPr="001E4416" w14:paraId="2D726FA6" w14:textId="77777777" w:rsidTr="00B37954">
        <w:trPr>
          <w:trHeight w:val="25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FC4EF1A"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 xml:space="preserve">BANCOMER </w:t>
            </w:r>
          </w:p>
        </w:tc>
        <w:tc>
          <w:tcPr>
            <w:tcW w:w="1214" w:type="dxa"/>
            <w:tcBorders>
              <w:top w:val="nil"/>
              <w:left w:val="nil"/>
              <w:bottom w:val="single" w:sz="4" w:space="0" w:color="auto"/>
              <w:right w:val="single" w:sz="4" w:space="0" w:color="auto"/>
            </w:tcBorders>
            <w:shd w:val="clear" w:color="auto" w:fill="auto"/>
            <w:noWrap/>
            <w:vAlign w:val="center"/>
            <w:hideMark/>
          </w:tcPr>
          <w:p w14:paraId="111581A8"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P28-1018096</w:t>
            </w:r>
          </w:p>
        </w:tc>
        <w:tc>
          <w:tcPr>
            <w:tcW w:w="1129" w:type="dxa"/>
            <w:tcBorders>
              <w:top w:val="nil"/>
              <w:left w:val="nil"/>
              <w:bottom w:val="single" w:sz="4" w:space="0" w:color="auto"/>
              <w:right w:val="single" w:sz="4" w:space="0" w:color="auto"/>
            </w:tcBorders>
            <w:shd w:val="clear" w:color="auto" w:fill="auto"/>
            <w:noWrap/>
            <w:vAlign w:val="center"/>
            <w:hideMark/>
          </w:tcPr>
          <w:p w14:paraId="011BBFE9"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31/10/2018</w:t>
            </w:r>
          </w:p>
        </w:tc>
        <w:tc>
          <w:tcPr>
            <w:tcW w:w="1108" w:type="dxa"/>
            <w:tcBorders>
              <w:top w:val="nil"/>
              <w:left w:val="nil"/>
              <w:bottom w:val="single" w:sz="4" w:space="0" w:color="auto"/>
              <w:right w:val="single" w:sz="4" w:space="0" w:color="auto"/>
            </w:tcBorders>
            <w:shd w:val="clear" w:color="auto" w:fill="auto"/>
            <w:noWrap/>
            <w:vAlign w:val="center"/>
            <w:hideMark/>
          </w:tcPr>
          <w:p w14:paraId="209DF1C3"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LXII-735</w:t>
            </w:r>
          </w:p>
        </w:tc>
        <w:tc>
          <w:tcPr>
            <w:tcW w:w="931" w:type="dxa"/>
            <w:tcBorders>
              <w:top w:val="nil"/>
              <w:left w:val="nil"/>
              <w:bottom w:val="single" w:sz="4" w:space="0" w:color="auto"/>
              <w:right w:val="single" w:sz="4" w:space="0" w:color="auto"/>
            </w:tcBorders>
            <w:shd w:val="clear" w:color="auto" w:fill="auto"/>
            <w:noWrap/>
            <w:vAlign w:val="center"/>
            <w:hideMark/>
          </w:tcPr>
          <w:p w14:paraId="66508E72"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17/12/2015</w:t>
            </w:r>
          </w:p>
        </w:tc>
        <w:tc>
          <w:tcPr>
            <w:tcW w:w="989" w:type="dxa"/>
            <w:tcBorders>
              <w:top w:val="nil"/>
              <w:left w:val="nil"/>
              <w:bottom w:val="single" w:sz="4" w:space="0" w:color="auto"/>
              <w:right w:val="single" w:sz="4" w:space="0" w:color="auto"/>
            </w:tcBorders>
            <w:shd w:val="clear" w:color="auto" w:fill="auto"/>
            <w:noWrap/>
            <w:vAlign w:val="center"/>
            <w:hideMark/>
          </w:tcPr>
          <w:p w14:paraId="3B759121"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14/03/2031</w:t>
            </w:r>
          </w:p>
        </w:tc>
        <w:tc>
          <w:tcPr>
            <w:tcW w:w="1149" w:type="dxa"/>
            <w:tcBorders>
              <w:top w:val="nil"/>
              <w:left w:val="nil"/>
              <w:bottom w:val="single" w:sz="4" w:space="0" w:color="auto"/>
              <w:right w:val="single" w:sz="4" w:space="0" w:color="auto"/>
            </w:tcBorders>
            <w:shd w:val="clear" w:color="auto" w:fill="auto"/>
            <w:noWrap/>
            <w:vAlign w:val="center"/>
            <w:hideMark/>
          </w:tcPr>
          <w:p w14:paraId="284D7BC0"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968,347,530</w:t>
            </w:r>
          </w:p>
        </w:tc>
        <w:tc>
          <w:tcPr>
            <w:tcW w:w="1161" w:type="dxa"/>
            <w:tcBorders>
              <w:top w:val="nil"/>
              <w:left w:val="nil"/>
              <w:bottom w:val="single" w:sz="4" w:space="0" w:color="auto"/>
              <w:right w:val="single" w:sz="4" w:space="0" w:color="auto"/>
            </w:tcBorders>
            <w:shd w:val="clear" w:color="auto" w:fill="auto"/>
            <w:noWrap/>
            <w:vAlign w:val="center"/>
            <w:hideMark/>
          </w:tcPr>
          <w:p w14:paraId="3F9149A5"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962,004,023</w:t>
            </w:r>
          </w:p>
        </w:tc>
        <w:tc>
          <w:tcPr>
            <w:tcW w:w="1318" w:type="dxa"/>
            <w:tcBorders>
              <w:top w:val="nil"/>
              <w:left w:val="nil"/>
              <w:bottom w:val="single" w:sz="4" w:space="0" w:color="auto"/>
              <w:right w:val="single" w:sz="4" w:space="0" w:color="auto"/>
            </w:tcBorders>
            <w:shd w:val="clear" w:color="000000" w:fill="FFFFFF"/>
            <w:noWrap/>
            <w:vAlign w:val="center"/>
            <w:hideMark/>
          </w:tcPr>
          <w:p w14:paraId="43C31110"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814,621,172</w:t>
            </w:r>
          </w:p>
        </w:tc>
      </w:tr>
      <w:tr w:rsidR="001E4416" w:rsidRPr="001E4416" w14:paraId="21E24895" w14:textId="77777777" w:rsidTr="00B37954">
        <w:trPr>
          <w:trHeight w:val="25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A320F2B"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BANORTE</w:t>
            </w:r>
          </w:p>
        </w:tc>
        <w:tc>
          <w:tcPr>
            <w:tcW w:w="1214" w:type="dxa"/>
            <w:tcBorders>
              <w:top w:val="nil"/>
              <w:left w:val="nil"/>
              <w:bottom w:val="single" w:sz="4" w:space="0" w:color="auto"/>
              <w:right w:val="single" w:sz="4" w:space="0" w:color="auto"/>
            </w:tcBorders>
            <w:shd w:val="clear" w:color="auto" w:fill="auto"/>
            <w:noWrap/>
            <w:vAlign w:val="center"/>
            <w:hideMark/>
          </w:tcPr>
          <w:p w14:paraId="0D7CB2A0"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P28-1220101</w:t>
            </w:r>
          </w:p>
        </w:tc>
        <w:tc>
          <w:tcPr>
            <w:tcW w:w="1129" w:type="dxa"/>
            <w:tcBorders>
              <w:top w:val="nil"/>
              <w:left w:val="nil"/>
              <w:bottom w:val="single" w:sz="4" w:space="0" w:color="auto"/>
              <w:right w:val="single" w:sz="4" w:space="0" w:color="auto"/>
            </w:tcBorders>
            <w:shd w:val="clear" w:color="auto" w:fill="auto"/>
            <w:noWrap/>
            <w:vAlign w:val="center"/>
            <w:hideMark/>
          </w:tcPr>
          <w:p w14:paraId="03DD5AFA"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17/12/2020</w:t>
            </w:r>
          </w:p>
        </w:tc>
        <w:tc>
          <w:tcPr>
            <w:tcW w:w="1108" w:type="dxa"/>
            <w:tcBorders>
              <w:top w:val="nil"/>
              <w:left w:val="nil"/>
              <w:bottom w:val="single" w:sz="4" w:space="0" w:color="auto"/>
              <w:right w:val="single" w:sz="4" w:space="0" w:color="auto"/>
            </w:tcBorders>
            <w:shd w:val="clear" w:color="auto" w:fill="auto"/>
            <w:noWrap/>
            <w:vAlign w:val="center"/>
            <w:hideMark/>
          </w:tcPr>
          <w:p w14:paraId="5DF7DACC"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LXIV-92</w:t>
            </w:r>
          </w:p>
        </w:tc>
        <w:tc>
          <w:tcPr>
            <w:tcW w:w="931" w:type="dxa"/>
            <w:tcBorders>
              <w:top w:val="nil"/>
              <w:left w:val="nil"/>
              <w:bottom w:val="single" w:sz="4" w:space="0" w:color="auto"/>
              <w:right w:val="single" w:sz="4" w:space="0" w:color="auto"/>
            </w:tcBorders>
            <w:shd w:val="clear" w:color="auto" w:fill="auto"/>
            <w:noWrap/>
            <w:vAlign w:val="center"/>
            <w:hideMark/>
          </w:tcPr>
          <w:p w14:paraId="0891A3DF"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14/04/2020</w:t>
            </w:r>
          </w:p>
        </w:tc>
        <w:tc>
          <w:tcPr>
            <w:tcW w:w="989" w:type="dxa"/>
            <w:tcBorders>
              <w:top w:val="nil"/>
              <w:left w:val="nil"/>
              <w:bottom w:val="single" w:sz="4" w:space="0" w:color="auto"/>
              <w:right w:val="single" w:sz="4" w:space="0" w:color="auto"/>
            </w:tcBorders>
            <w:shd w:val="clear" w:color="auto" w:fill="auto"/>
            <w:noWrap/>
            <w:vAlign w:val="center"/>
            <w:hideMark/>
          </w:tcPr>
          <w:p w14:paraId="56485ABB"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05/11/2040</w:t>
            </w:r>
          </w:p>
        </w:tc>
        <w:tc>
          <w:tcPr>
            <w:tcW w:w="1149" w:type="dxa"/>
            <w:tcBorders>
              <w:top w:val="nil"/>
              <w:left w:val="nil"/>
              <w:bottom w:val="single" w:sz="4" w:space="0" w:color="auto"/>
              <w:right w:val="single" w:sz="4" w:space="0" w:color="auto"/>
            </w:tcBorders>
            <w:shd w:val="clear" w:color="auto" w:fill="auto"/>
            <w:noWrap/>
            <w:vAlign w:val="center"/>
            <w:hideMark/>
          </w:tcPr>
          <w:p w14:paraId="30CDA508"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1,500,000,000</w:t>
            </w:r>
          </w:p>
        </w:tc>
        <w:tc>
          <w:tcPr>
            <w:tcW w:w="1161" w:type="dxa"/>
            <w:tcBorders>
              <w:top w:val="nil"/>
              <w:left w:val="nil"/>
              <w:bottom w:val="single" w:sz="4" w:space="0" w:color="auto"/>
              <w:right w:val="single" w:sz="4" w:space="0" w:color="auto"/>
            </w:tcBorders>
            <w:shd w:val="clear" w:color="auto" w:fill="auto"/>
            <w:noWrap/>
            <w:vAlign w:val="center"/>
            <w:hideMark/>
          </w:tcPr>
          <w:p w14:paraId="5C40E95D"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1,500,000,000</w:t>
            </w:r>
          </w:p>
        </w:tc>
        <w:tc>
          <w:tcPr>
            <w:tcW w:w="1318" w:type="dxa"/>
            <w:tcBorders>
              <w:top w:val="nil"/>
              <w:left w:val="nil"/>
              <w:bottom w:val="single" w:sz="4" w:space="0" w:color="auto"/>
              <w:right w:val="single" w:sz="4" w:space="0" w:color="auto"/>
            </w:tcBorders>
            <w:shd w:val="clear" w:color="000000" w:fill="FFFFFF"/>
            <w:noWrap/>
            <w:vAlign w:val="center"/>
            <w:hideMark/>
          </w:tcPr>
          <w:p w14:paraId="41457D3C"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1,486,752,456</w:t>
            </w:r>
          </w:p>
        </w:tc>
      </w:tr>
      <w:tr w:rsidR="001E4416" w:rsidRPr="001E4416" w14:paraId="70762D5D" w14:textId="77777777" w:rsidTr="00B37954">
        <w:trPr>
          <w:trHeight w:val="25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107312F"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BANORTE</w:t>
            </w:r>
          </w:p>
        </w:tc>
        <w:tc>
          <w:tcPr>
            <w:tcW w:w="1214" w:type="dxa"/>
            <w:tcBorders>
              <w:top w:val="nil"/>
              <w:left w:val="nil"/>
              <w:bottom w:val="single" w:sz="4" w:space="0" w:color="auto"/>
              <w:right w:val="single" w:sz="4" w:space="0" w:color="auto"/>
            </w:tcBorders>
            <w:shd w:val="clear" w:color="auto" w:fill="auto"/>
            <w:noWrap/>
            <w:vAlign w:val="center"/>
            <w:hideMark/>
          </w:tcPr>
          <w:p w14:paraId="0BF67C45"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 1021042</w:t>
            </w:r>
          </w:p>
        </w:tc>
        <w:tc>
          <w:tcPr>
            <w:tcW w:w="1129" w:type="dxa"/>
            <w:tcBorders>
              <w:top w:val="nil"/>
              <w:left w:val="nil"/>
              <w:bottom w:val="single" w:sz="4" w:space="0" w:color="auto"/>
              <w:right w:val="single" w:sz="4" w:space="0" w:color="auto"/>
            </w:tcBorders>
            <w:shd w:val="clear" w:color="auto" w:fill="auto"/>
            <w:noWrap/>
            <w:vAlign w:val="center"/>
            <w:hideMark/>
          </w:tcPr>
          <w:p w14:paraId="0A0A0C48"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18/10/2021</w:t>
            </w:r>
          </w:p>
        </w:tc>
        <w:tc>
          <w:tcPr>
            <w:tcW w:w="1108" w:type="dxa"/>
            <w:tcBorders>
              <w:top w:val="nil"/>
              <w:left w:val="nil"/>
              <w:bottom w:val="single" w:sz="4" w:space="0" w:color="auto"/>
              <w:right w:val="single" w:sz="4" w:space="0" w:color="auto"/>
            </w:tcBorders>
            <w:shd w:val="clear" w:color="auto" w:fill="auto"/>
            <w:noWrap/>
            <w:vAlign w:val="center"/>
            <w:hideMark/>
          </w:tcPr>
          <w:p w14:paraId="3E85E163"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LXIV-92</w:t>
            </w:r>
          </w:p>
        </w:tc>
        <w:tc>
          <w:tcPr>
            <w:tcW w:w="931" w:type="dxa"/>
            <w:tcBorders>
              <w:top w:val="nil"/>
              <w:left w:val="nil"/>
              <w:bottom w:val="single" w:sz="4" w:space="0" w:color="auto"/>
              <w:right w:val="single" w:sz="4" w:space="0" w:color="auto"/>
            </w:tcBorders>
            <w:shd w:val="clear" w:color="auto" w:fill="auto"/>
            <w:noWrap/>
            <w:vAlign w:val="center"/>
            <w:hideMark/>
          </w:tcPr>
          <w:p w14:paraId="31247024"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14/04/2020</w:t>
            </w:r>
          </w:p>
        </w:tc>
        <w:tc>
          <w:tcPr>
            <w:tcW w:w="989" w:type="dxa"/>
            <w:tcBorders>
              <w:top w:val="nil"/>
              <w:left w:val="nil"/>
              <w:bottom w:val="single" w:sz="4" w:space="0" w:color="auto"/>
              <w:right w:val="single" w:sz="4" w:space="0" w:color="auto"/>
            </w:tcBorders>
            <w:shd w:val="clear" w:color="auto" w:fill="auto"/>
            <w:noWrap/>
            <w:vAlign w:val="center"/>
            <w:hideMark/>
          </w:tcPr>
          <w:p w14:paraId="5DEED6B7"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17/09/2041</w:t>
            </w:r>
          </w:p>
        </w:tc>
        <w:tc>
          <w:tcPr>
            <w:tcW w:w="1149" w:type="dxa"/>
            <w:tcBorders>
              <w:top w:val="nil"/>
              <w:left w:val="nil"/>
              <w:bottom w:val="single" w:sz="4" w:space="0" w:color="auto"/>
              <w:right w:val="single" w:sz="4" w:space="0" w:color="auto"/>
            </w:tcBorders>
            <w:shd w:val="clear" w:color="auto" w:fill="auto"/>
            <w:noWrap/>
            <w:vAlign w:val="center"/>
            <w:hideMark/>
          </w:tcPr>
          <w:p w14:paraId="2EB008D1"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1,200,000,000</w:t>
            </w:r>
          </w:p>
        </w:tc>
        <w:tc>
          <w:tcPr>
            <w:tcW w:w="1161" w:type="dxa"/>
            <w:tcBorders>
              <w:top w:val="nil"/>
              <w:left w:val="nil"/>
              <w:bottom w:val="single" w:sz="4" w:space="0" w:color="auto"/>
              <w:right w:val="single" w:sz="4" w:space="0" w:color="auto"/>
            </w:tcBorders>
            <w:shd w:val="clear" w:color="auto" w:fill="auto"/>
            <w:noWrap/>
            <w:vAlign w:val="center"/>
            <w:hideMark/>
          </w:tcPr>
          <w:p w14:paraId="324F07B4"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985,000,000</w:t>
            </w:r>
          </w:p>
        </w:tc>
        <w:tc>
          <w:tcPr>
            <w:tcW w:w="1318" w:type="dxa"/>
            <w:tcBorders>
              <w:top w:val="nil"/>
              <w:left w:val="nil"/>
              <w:bottom w:val="single" w:sz="4" w:space="0" w:color="auto"/>
              <w:right w:val="single" w:sz="4" w:space="0" w:color="auto"/>
            </w:tcBorders>
            <w:shd w:val="clear" w:color="000000" w:fill="FFFFFF"/>
            <w:noWrap/>
            <w:vAlign w:val="center"/>
            <w:hideMark/>
          </w:tcPr>
          <w:p w14:paraId="1CE74CB3"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982,839,026</w:t>
            </w:r>
          </w:p>
        </w:tc>
      </w:tr>
      <w:tr w:rsidR="001E4416" w:rsidRPr="001E4416" w14:paraId="77B01436" w14:textId="77777777" w:rsidTr="00B37954">
        <w:trPr>
          <w:trHeight w:val="335"/>
          <w:jc w:val="center"/>
        </w:trPr>
        <w:tc>
          <w:tcPr>
            <w:tcW w:w="6365" w:type="dxa"/>
            <w:gridSpan w:val="6"/>
            <w:tcBorders>
              <w:top w:val="single" w:sz="4" w:space="0" w:color="auto"/>
              <w:left w:val="single" w:sz="4" w:space="0" w:color="auto"/>
              <w:bottom w:val="single" w:sz="4" w:space="0" w:color="auto"/>
              <w:right w:val="single" w:sz="4" w:space="0" w:color="auto"/>
            </w:tcBorders>
            <w:shd w:val="clear" w:color="auto" w:fill="DDC9A3"/>
            <w:vAlign w:val="center"/>
            <w:hideMark/>
          </w:tcPr>
          <w:p w14:paraId="00B74DC9" w14:textId="77777777" w:rsidR="001E4416" w:rsidRPr="001E4416" w:rsidRDefault="001E4416" w:rsidP="001E4416">
            <w:pPr>
              <w:spacing w:after="0" w:line="240" w:lineRule="auto"/>
              <w:jc w:val="center"/>
              <w:rPr>
                <w:rFonts w:asciiTheme="minorHAnsi" w:eastAsia="Times New Roman" w:hAnsiTheme="minorHAnsi" w:cstheme="minorHAnsi"/>
                <w:b/>
                <w:bCs/>
                <w:sz w:val="16"/>
                <w:szCs w:val="16"/>
                <w:lang w:eastAsia="es-MX"/>
              </w:rPr>
            </w:pPr>
            <w:r w:rsidRPr="001E4416">
              <w:rPr>
                <w:rFonts w:asciiTheme="minorHAnsi" w:eastAsia="Times New Roman" w:hAnsiTheme="minorHAnsi" w:cstheme="minorHAnsi"/>
                <w:b/>
                <w:bCs/>
                <w:sz w:val="16"/>
                <w:szCs w:val="16"/>
                <w:lang w:eastAsia="es-MX"/>
              </w:rPr>
              <w:t>TOTAL:</w:t>
            </w:r>
          </w:p>
        </w:tc>
        <w:tc>
          <w:tcPr>
            <w:tcW w:w="1143" w:type="dxa"/>
            <w:tcBorders>
              <w:top w:val="single" w:sz="4" w:space="0" w:color="auto"/>
              <w:left w:val="single" w:sz="4" w:space="0" w:color="auto"/>
              <w:bottom w:val="single" w:sz="4" w:space="0" w:color="auto"/>
              <w:right w:val="single" w:sz="4" w:space="0" w:color="auto"/>
            </w:tcBorders>
            <w:shd w:val="clear" w:color="auto" w:fill="DDC9A3"/>
            <w:vAlign w:val="center"/>
            <w:hideMark/>
          </w:tcPr>
          <w:p w14:paraId="132FDB62" w14:textId="77777777" w:rsidR="001E4416" w:rsidRPr="001E4416" w:rsidRDefault="001E4416" w:rsidP="001E4416">
            <w:pPr>
              <w:spacing w:after="0" w:line="240" w:lineRule="auto"/>
              <w:jc w:val="right"/>
              <w:rPr>
                <w:rFonts w:asciiTheme="minorHAnsi" w:eastAsia="Times New Roman" w:hAnsiTheme="minorHAnsi" w:cstheme="minorHAnsi"/>
                <w:b/>
                <w:bCs/>
                <w:sz w:val="16"/>
                <w:szCs w:val="16"/>
                <w:lang w:eastAsia="es-MX"/>
              </w:rPr>
            </w:pPr>
            <w:r w:rsidRPr="001E4416">
              <w:rPr>
                <w:rFonts w:asciiTheme="minorHAnsi" w:eastAsia="Times New Roman" w:hAnsiTheme="minorHAnsi" w:cstheme="minorHAnsi"/>
                <w:b/>
                <w:bCs/>
                <w:sz w:val="16"/>
                <w:szCs w:val="16"/>
                <w:lang w:eastAsia="es-MX"/>
              </w:rPr>
              <w:t>18,048,500,367</w:t>
            </w:r>
          </w:p>
        </w:tc>
        <w:tc>
          <w:tcPr>
            <w:tcW w:w="1156" w:type="dxa"/>
            <w:tcBorders>
              <w:top w:val="single" w:sz="4" w:space="0" w:color="auto"/>
              <w:left w:val="single" w:sz="4" w:space="0" w:color="auto"/>
              <w:bottom w:val="single" w:sz="4" w:space="0" w:color="auto"/>
              <w:right w:val="single" w:sz="4" w:space="0" w:color="auto"/>
            </w:tcBorders>
            <w:shd w:val="clear" w:color="auto" w:fill="DDC9A3"/>
            <w:vAlign w:val="center"/>
            <w:hideMark/>
          </w:tcPr>
          <w:p w14:paraId="2DFFFD65" w14:textId="77777777" w:rsidR="001E4416" w:rsidRPr="001E4416" w:rsidRDefault="001E4416" w:rsidP="001E4416">
            <w:pPr>
              <w:spacing w:after="0" w:line="240" w:lineRule="auto"/>
              <w:jc w:val="right"/>
              <w:rPr>
                <w:rFonts w:asciiTheme="minorHAnsi" w:eastAsia="Times New Roman" w:hAnsiTheme="minorHAnsi" w:cstheme="minorHAnsi"/>
                <w:b/>
                <w:bCs/>
                <w:sz w:val="16"/>
                <w:szCs w:val="16"/>
                <w:lang w:eastAsia="es-MX"/>
              </w:rPr>
            </w:pPr>
            <w:r w:rsidRPr="001E4416">
              <w:rPr>
                <w:rFonts w:asciiTheme="minorHAnsi" w:eastAsia="Times New Roman" w:hAnsiTheme="minorHAnsi" w:cstheme="minorHAnsi"/>
                <w:b/>
                <w:bCs/>
                <w:sz w:val="16"/>
                <w:szCs w:val="16"/>
                <w:lang w:eastAsia="es-MX"/>
              </w:rPr>
              <w:t>17,740,215,435</w:t>
            </w:r>
          </w:p>
        </w:tc>
        <w:tc>
          <w:tcPr>
            <w:tcW w:w="1318" w:type="dxa"/>
            <w:tcBorders>
              <w:top w:val="single" w:sz="4" w:space="0" w:color="auto"/>
              <w:left w:val="single" w:sz="4" w:space="0" w:color="auto"/>
              <w:bottom w:val="single" w:sz="4" w:space="0" w:color="auto"/>
              <w:right w:val="single" w:sz="4" w:space="0" w:color="auto"/>
            </w:tcBorders>
            <w:shd w:val="clear" w:color="auto" w:fill="DDC9A3"/>
            <w:vAlign w:val="center"/>
            <w:hideMark/>
          </w:tcPr>
          <w:p w14:paraId="50A8D2E9" w14:textId="77777777" w:rsidR="001E4416" w:rsidRPr="001E4416" w:rsidRDefault="001E4416" w:rsidP="001E4416">
            <w:pPr>
              <w:spacing w:after="0" w:line="240" w:lineRule="auto"/>
              <w:jc w:val="right"/>
              <w:rPr>
                <w:rFonts w:asciiTheme="minorHAnsi" w:eastAsia="Times New Roman" w:hAnsiTheme="minorHAnsi" w:cstheme="minorHAnsi"/>
                <w:b/>
                <w:bCs/>
                <w:sz w:val="16"/>
                <w:szCs w:val="16"/>
                <w:lang w:eastAsia="es-MX"/>
              </w:rPr>
            </w:pPr>
            <w:r w:rsidRPr="001E4416">
              <w:rPr>
                <w:rFonts w:asciiTheme="minorHAnsi" w:eastAsia="Times New Roman" w:hAnsiTheme="minorHAnsi" w:cstheme="minorHAnsi"/>
                <w:b/>
                <w:bCs/>
                <w:sz w:val="16"/>
                <w:szCs w:val="16"/>
                <w:lang w:eastAsia="es-MX"/>
              </w:rPr>
              <w:t>15,833,324,062</w:t>
            </w:r>
          </w:p>
        </w:tc>
      </w:tr>
    </w:tbl>
    <w:p w14:paraId="6F7F174F" w14:textId="77777777" w:rsidR="00C21C5A" w:rsidRPr="005F45A3" w:rsidRDefault="00C21C5A" w:rsidP="00C21C5A">
      <w:pPr>
        <w:pStyle w:val="Texto"/>
        <w:tabs>
          <w:tab w:val="left" w:pos="680"/>
        </w:tabs>
        <w:spacing w:after="0" w:line="240" w:lineRule="exact"/>
        <w:rPr>
          <w:rFonts w:asciiTheme="minorHAnsi" w:hAnsiTheme="minorHAnsi" w:cstheme="minorHAnsi"/>
          <w:szCs w:val="18"/>
        </w:rPr>
      </w:pPr>
    </w:p>
    <w:p w14:paraId="3B3830D2" w14:textId="77777777" w:rsidR="00DE34EF" w:rsidRDefault="00DE34EF" w:rsidP="00B43367">
      <w:pPr>
        <w:pStyle w:val="Texto"/>
        <w:tabs>
          <w:tab w:val="left" w:pos="680"/>
        </w:tabs>
        <w:spacing w:after="0" w:line="240" w:lineRule="exact"/>
        <w:ind w:firstLine="0"/>
        <w:rPr>
          <w:rFonts w:asciiTheme="minorHAnsi" w:hAnsiTheme="minorHAnsi" w:cstheme="minorHAnsi"/>
          <w:b/>
          <w:szCs w:val="18"/>
        </w:rPr>
      </w:pPr>
    </w:p>
    <w:p w14:paraId="5D820CDB" w14:textId="42791C1C" w:rsidR="00295AC0" w:rsidRPr="00D93ED6" w:rsidRDefault="00B07C73" w:rsidP="00B43367">
      <w:pPr>
        <w:pStyle w:val="Texto"/>
        <w:tabs>
          <w:tab w:val="left" w:pos="680"/>
        </w:tabs>
        <w:spacing w:after="0" w:line="240" w:lineRule="exact"/>
        <w:ind w:firstLine="0"/>
        <w:rPr>
          <w:rFonts w:asciiTheme="minorHAnsi" w:hAnsiTheme="minorHAnsi" w:cstheme="minorHAnsi"/>
          <w:b/>
          <w:sz w:val="20"/>
          <w:szCs w:val="18"/>
        </w:rPr>
      </w:pPr>
      <w:r w:rsidRPr="00D93ED6">
        <w:rPr>
          <w:rFonts w:asciiTheme="minorHAnsi" w:hAnsiTheme="minorHAnsi" w:cstheme="minorHAnsi"/>
          <w:b/>
          <w:sz w:val="20"/>
          <w:szCs w:val="18"/>
        </w:rPr>
        <w:t>Deuda por Instrumento Financiero, Tasas de Interés y Vencimiento</w:t>
      </w:r>
      <w:r w:rsidR="000C7859" w:rsidRPr="00D93ED6">
        <w:rPr>
          <w:rFonts w:asciiTheme="minorHAnsi" w:hAnsiTheme="minorHAnsi" w:cstheme="minorHAnsi"/>
          <w:b/>
          <w:sz w:val="20"/>
          <w:szCs w:val="18"/>
        </w:rPr>
        <w:t xml:space="preserve">  </w:t>
      </w:r>
    </w:p>
    <w:p w14:paraId="196FE317" w14:textId="77777777" w:rsidR="00B43367" w:rsidRPr="000C7859" w:rsidRDefault="00B43367" w:rsidP="00B43367">
      <w:pPr>
        <w:pStyle w:val="Texto"/>
        <w:tabs>
          <w:tab w:val="left" w:pos="680"/>
        </w:tabs>
        <w:spacing w:after="0" w:line="240" w:lineRule="exact"/>
        <w:ind w:firstLine="0"/>
        <w:rPr>
          <w:rFonts w:asciiTheme="minorHAnsi" w:hAnsiTheme="minorHAnsi" w:cstheme="minorHAnsi"/>
          <w:b/>
          <w:sz w:val="10"/>
          <w:szCs w:val="18"/>
        </w:rPr>
      </w:pPr>
    </w:p>
    <w:tbl>
      <w:tblPr>
        <w:tblW w:w="9821" w:type="dxa"/>
        <w:jc w:val="center"/>
        <w:tblCellMar>
          <w:left w:w="70" w:type="dxa"/>
          <w:right w:w="70" w:type="dxa"/>
        </w:tblCellMar>
        <w:tblLook w:val="04A0" w:firstRow="1" w:lastRow="0" w:firstColumn="1" w:lastColumn="0" w:noHBand="0" w:noVBand="1"/>
      </w:tblPr>
      <w:tblGrid>
        <w:gridCol w:w="1232"/>
        <w:gridCol w:w="1315"/>
        <w:gridCol w:w="1495"/>
        <w:gridCol w:w="1340"/>
        <w:gridCol w:w="1233"/>
        <w:gridCol w:w="898"/>
        <w:gridCol w:w="2298"/>
        <w:gridCol w:w="10"/>
      </w:tblGrid>
      <w:tr w:rsidR="001E4416" w:rsidRPr="001E4416" w14:paraId="1F252EFE" w14:textId="77777777" w:rsidTr="00B038D8">
        <w:trPr>
          <w:gridAfter w:val="1"/>
          <w:wAfter w:w="10" w:type="dxa"/>
          <w:trHeight w:val="510"/>
          <w:jc w:val="center"/>
        </w:trPr>
        <w:tc>
          <w:tcPr>
            <w:tcW w:w="1232"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3568EFFA" w14:textId="60704641" w:rsidR="001E4416" w:rsidRPr="001E4416" w:rsidRDefault="00B07C73" w:rsidP="001E4416">
            <w:pPr>
              <w:spacing w:after="0" w:line="240" w:lineRule="auto"/>
              <w:jc w:val="center"/>
              <w:rPr>
                <w:rFonts w:asciiTheme="minorHAnsi" w:eastAsia="Times New Roman" w:hAnsiTheme="minorHAnsi" w:cstheme="minorHAnsi"/>
                <w:b/>
                <w:bCs/>
                <w:color w:val="FFFFFF"/>
                <w:sz w:val="16"/>
                <w:szCs w:val="16"/>
                <w:lang w:eastAsia="es-MX"/>
              </w:rPr>
            </w:pPr>
            <w:r w:rsidRPr="00295AC0">
              <w:rPr>
                <w:rFonts w:asciiTheme="minorHAnsi" w:hAnsiTheme="minorHAnsi" w:cstheme="minorHAnsi"/>
                <w:b/>
                <w:sz w:val="12"/>
                <w:szCs w:val="18"/>
              </w:rPr>
              <w:t xml:space="preserve"> </w:t>
            </w:r>
            <w:r w:rsidR="001E4416" w:rsidRPr="001E4416">
              <w:rPr>
                <w:rFonts w:asciiTheme="minorHAnsi" w:eastAsia="Times New Roman" w:hAnsiTheme="minorHAnsi" w:cstheme="minorHAnsi"/>
                <w:b/>
                <w:bCs/>
                <w:color w:val="FFFFFF"/>
                <w:sz w:val="16"/>
                <w:szCs w:val="16"/>
                <w:lang w:eastAsia="es-MX"/>
              </w:rPr>
              <w:t>Acreedor</w:t>
            </w:r>
          </w:p>
        </w:tc>
        <w:tc>
          <w:tcPr>
            <w:tcW w:w="1315" w:type="dxa"/>
            <w:tcBorders>
              <w:top w:val="single" w:sz="4" w:space="0" w:color="auto"/>
              <w:left w:val="nil"/>
              <w:bottom w:val="single" w:sz="4" w:space="0" w:color="auto"/>
              <w:right w:val="single" w:sz="4" w:space="0" w:color="auto"/>
            </w:tcBorders>
            <w:shd w:val="clear" w:color="000000" w:fill="AB0033"/>
            <w:vAlign w:val="center"/>
            <w:hideMark/>
          </w:tcPr>
          <w:p w14:paraId="15CB11D4" w14:textId="77777777" w:rsidR="001E4416" w:rsidRPr="001E4416" w:rsidRDefault="001E4416" w:rsidP="001E4416">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Importe Original contratado</w:t>
            </w:r>
          </w:p>
        </w:tc>
        <w:tc>
          <w:tcPr>
            <w:tcW w:w="1495" w:type="dxa"/>
            <w:tcBorders>
              <w:top w:val="single" w:sz="4" w:space="0" w:color="auto"/>
              <w:left w:val="nil"/>
              <w:bottom w:val="single" w:sz="4" w:space="0" w:color="auto"/>
              <w:right w:val="single" w:sz="4" w:space="0" w:color="auto"/>
            </w:tcBorders>
            <w:shd w:val="clear" w:color="000000" w:fill="AB0033"/>
            <w:vAlign w:val="center"/>
            <w:hideMark/>
          </w:tcPr>
          <w:p w14:paraId="2A77BAD9" w14:textId="77777777" w:rsidR="001E4416" w:rsidRPr="001E4416" w:rsidRDefault="001E4416" w:rsidP="001E4416">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Saldo al 31 de Diciembre de 2022</w:t>
            </w:r>
          </w:p>
        </w:tc>
        <w:tc>
          <w:tcPr>
            <w:tcW w:w="1340" w:type="dxa"/>
            <w:tcBorders>
              <w:top w:val="single" w:sz="4" w:space="0" w:color="auto"/>
              <w:left w:val="nil"/>
              <w:bottom w:val="single" w:sz="4" w:space="0" w:color="auto"/>
              <w:right w:val="single" w:sz="4" w:space="0" w:color="auto"/>
            </w:tcBorders>
            <w:shd w:val="clear" w:color="000000" w:fill="AB0033"/>
            <w:vAlign w:val="center"/>
            <w:hideMark/>
          </w:tcPr>
          <w:p w14:paraId="4E47DF96" w14:textId="77777777" w:rsidR="001E4416" w:rsidRPr="001E4416" w:rsidRDefault="001E4416" w:rsidP="001E4416">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Fecha de Vencimiento</w:t>
            </w:r>
          </w:p>
        </w:tc>
        <w:tc>
          <w:tcPr>
            <w:tcW w:w="1233" w:type="dxa"/>
            <w:tcBorders>
              <w:top w:val="single" w:sz="4" w:space="0" w:color="auto"/>
              <w:left w:val="nil"/>
              <w:bottom w:val="single" w:sz="4" w:space="0" w:color="auto"/>
              <w:right w:val="single" w:sz="4" w:space="0" w:color="auto"/>
            </w:tcBorders>
            <w:shd w:val="clear" w:color="000000" w:fill="AB0033"/>
            <w:vAlign w:val="center"/>
            <w:hideMark/>
          </w:tcPr>
          <w:p w14:paraId="365965A5" w14:textId="77777777" w:rsidR="001E4416" w:rsidRPr="001E4416" w:rsidRDefault="001E4416" w:rsidP="001E4416">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Tasa de Interés de Referencia</w:t>
            </w:r>
          </w:p>
        </w:tc>
        <w:tc>
          <w:tcPr>
            <w:tcW w:w="898" w:type="dxa"/>
            <w:tcBorders>
              <w:top w:val="single" w:sz="4" w:space="0" w:color="auto"/>
              <w:left w:val="nil"/>
              <w:bottom w:val="single" w:sz="4" w:space="0" w:color="auto"/>
              <w:right w:val="single" w:sz="4" w:space="0" w:color="auto"/>
            </w:tcBorders>
            <w:shd w:val="clear" w:color="000000" w:fill="AB0033"/>
            <w:vAlign w:val="center"/>
            <w:hideMark/>
          </w:tcPr>
          <w:p w14:paraId="1E9D30DA" w14:textId="77777777" w:rsidR="001E4416" w:rsidRPr="001E4416" w:rsidRDefault="001E4416" w:rsidP="001E4416">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Sobre tasa</w:t>
            </w:r>
          </w:p>
        </w:tc>
        <w:tc>
          <w:tcPr>
            <w:tcW w:w="2298" w:type="dxa"/>
            <w:tcBorders>
              <w:top w:val="single" w:sz="4" w:space="0" w:color="auto"/>
              <w:left w:val="nil"/>
              <w:bottom w:val="single" w:sz="4" w:space="0" w:color="auto"/>
              <w:right w:val="single" w:sz="4" w:space="0" w:color="auto"/>
            </w:tcBorders>
            <w:shd w:val="clear" w:color="000000" w:fill="AB0033"/>
            <w:vAlign w:val="center"/>
            <w:hideMark/>
          </w:tcPr>
          <w:p w14:paraId="0F67E0BB" w14:textId="77777777" w:rsidR="001E4416" w:rsidRPr="001E4416" w:rsidRDefault="001E4416" w:rsidP="001E4416">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Destino</w:t>
            </w:r>
          </w:p>
        </w:tc>
      </w:tr>
      <w:tr w:rsidR="001E4416" w:rsidRPr="001E4416" w14:paraId="2E712E6C" w14:textId="77777777" w:rsidTr="00B038D8">
        <w:trPr>
          <w:gridAfter w:val="1"/>
          <w:wAfter w:w="10" w:type="dxa"/>
          <w:trHeight w:val="284"/>
          <w:jc w:val="center"/>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70887D91"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 xml:space="preserve">BANCOMER </w:t>
            </w:r>
          </w:p>
        </w:tc>
        <w:tc>
          <w:tcPr>
            <w:tcW w:w="1315" w:type="dxa"/>
            <w:tcBorders>
              <w:top w:val="nil"/>
              <w:left w:val="nil"/>
              <w:bottom w:val="single" w:sz="4" w:space="0" w:color="auto"/>
              <w:right w:val="single" w:sz="4" w:space="0" w:color="auto"/>
            </w:tcBorders>
            <w:shd w:val="clear" w:color="000000" w:fill="FFFFFF"/>
            <w:noWrap/>
            <w:vAlign w:val="center"/>
            <w:hideMark/>
          </w:tcPr>
          <w:p w14:paraId="3F4625D4"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1,000,000,000</w:t>
            </w:r>
          </w:p>
        </w:tc>
        <w:tc>
          <w:tcPr>
            <w:tcW w:w="1495" w:type="dxa"/>
            <w:tcBorders>
              <w:top w:val="nil"/>
              <w:left w:val="nil"/>
              <w:bottom w:val="single" w:sz="4" w:space="0" w:color="auto"/>
              <w:right w:val="single" w:sz="4" w:space="0" w:color="auto"/>
            </w:tcBorders>
            <w:shd w:val="clear" w:color="000000" w:fill="FFFFFF"/>
            <w:noWrap/>
            <w:vAlign w:val="center"/>
            <w:hideMark/>
          </w:tcPr>
          <w:p w14:paraId="0125FD20"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389,194,155</w:t>
            </w:r>
          </w:p>
        </w:tc>
        <w:tc>
          <w:tcPr>
            <w:tcW w:w="1340" w:type="dxa"/>
            <w:tcBorders>
              <w:top w:val="nil"/>
              <w:left w:val="nil"/>
              <w:bottom w:val="single" w:sz="4" w:space="0" w:color="auto"/>
              <w:right w:val="single" w:sz="4" w:space="0" w:color="auto"/>
            </w:tcBorders>
            <w:shd w:val="clear" w:color="000000" w:fill="FFFFFF"/>
            <w:noWrap/>
            <w:vAlign w:val="center"/>
            <w:hideMark/>
          </w:tcPr>
          <w:p w14:paraId="296C7690"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31/01/2030</w:t>
            </w:r>
          </w:p>
        </w:tc>
        <w:tc>
          <w:tcPr>
            <w:tcW w:w="1233" w:type="dxa"/>
            <w:tcBorders>
              <w:top w:val="nil"/>
              <w:left w:val="nil"/>
              <w:bottom w:val="single" w:sz="4" w:space="0" w:color="auto"/>
              <w:right w:val="single" w:sz="4" w:space="0" w:color="auto"/>
            </w:tcBorders>
            <w:shd w:val="clear" w:color="000000" w:fill="FFFFFF"/>
            <w:vAlign w:val="center"/>
            <w:hideMark/>
          </w:tcPr>
          <w:p w14:paraId="410D4629"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TIIE</w:t>
            </w:r>
          </w:p>
        </w:tc>
        <w:tc>
          <w:tcPr>
            <w:tcW w:w="898" w:type="dxa"/>
            <w:tcBorders>
              <w:top w:val="nil"/>
              <w:left w:val="nil"/>
              <w:bottom w:val="single" w:sz="4" w:space="0" w:color="auto"/>
              <w:right w:val="single" w:sz="4" w:space="0" w:color="auto"/>
            </w:tcBorders>
            <w:shd w:val="clear" w:color="000000" w:fill="FFFFFF"/>
            <w:vAlign w:val="center"/>
            <w:hideMark/>
          </w:tcPr>
          <w:p w14:paraId="35495BB0"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0.55</w:t>
            </w:r>
          </w:p>
        </w:tc>
        <w:tc>
          <w:tcPr>
            <w:tcW w:w="2298" w:type="dxa"/>
            <w:tcBorders>
              <w:top w:val="nil"/>
              <w:left w:val="nil"/>
              <w:bottom w:val="single" w:sz="4" w:space="0" w:color="auto"/>
              <w:right w:val="single" w:sz="4" w:space="0" w:color="auto"/>
            </w:tcBorders>
            <w:shd w:val="clear" w:color="000000" w:fill="FFFFFF"/>
            <w:vAlign w:val="center"/>
            <w:hideMark/>
          </w:tcPr>
          <w:p w14:paraId="5A4F475A"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Inversión Pública Productiva</w:t>
            </w:r>
          </w:p>
        </w:tc>
      </w:tr>
      <w:tr w:rsidR="001E4416" w:rsidRPr="001E4416" w14:paraId="3587D8D0" w14:textId="77777777" w:rsidTr="00B038D8">
        <w:trPr>
          <w:gridAfter w:val="1"/>
          <w:wAfter w:w="10" w:type="dxa"/>
          <w:trHeight w:val="284"/>
          <w:jc w:val="center"/>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470EC032"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BANOBRAS</w:t>
            </w:r>
          </w:p>
        </w:tc>
        <w:tc>
          <w:tcPr>
            <w:tcW w:w="1315" w:type="dxa"/>
            <w:tcBorders>
              <w:top w:val="nil"/>
              <w:left w:val="nil"/>
              <w:bottom w:val="single" w:sz="4" w:space="0" w:color="auto"/>
              <w:right w:val="single" w:sz="4" w:space="0" w:color="auto"/>
            </w:tcBorders>
            <w:shd w:val="clear" w:color="000000" w:fill="FFFFFF"/>
            <w:noWrap/>
            <w:vAlign w:val="center"/>
            <w:hideMark/>
          </w:tcPr>
          <w:p w14:paraId="1BF02BA3"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183,383,570</w:t>
            </w:r>
          </w:p>
        </w:tc>
        <w:tc>
          <w:tcPr>
            <w:tcW w:w="1495" w:type="dxa"/>
            <w:tcBorders>
              <w:top w:val="nil"/>
              <w:left w:val="nil"/>
              <w:bottom w:val="single" w:sz="4" w:space="0" w:color="auto"/>
              <w:right w:val="single" w:sz="4" w:space="0" w:color="auto"/>
            </w:tcBorders>
            <w:shd w:val="clear" w:color="000000" w:fill="FFFFFF"/>
            <w:noWrap/>
            <w:vAlign w:val="center"/>
            <w:hideMark/>
          </w:tcPr>
          <w:p w14:paraId="67C6CE26"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84,929,337</w:t>
            </w:r>
          </w:p>
        </w:tc>
        <w:tc>
          <w:tcPr>
            <w:tcW w:w="1340" w:type="dxa"/>
            <w:tcBorders>
              <w:top w:val="nil"/>
              <w:left w:val="nil"/>
              <w:bottom w:val="single" w:sz="4" w:space="0" w:color="auto"/>
              <w:right w:val="single" w:sz="4" w:space="0" w:color="auto"/>
            </w:tcBorders>
            <w:shd w:val="clear" w:color="000000" w:fill="FFFFFF"/>
            <w:noWrap/>
            <w:vAlign w:val="center"/>
            <w:hideMark/>
          </w:tcPr>
          <w:p w14:paraId="50DF8203"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29/07/2031</w:t>
            </w:r>
          </w:p>
        </w:tc>
        <w:tc>
          <w:tcPr>
            <w:tcW w:w="1233" w:type="dxa"/>
            <w:tcBorders>
              <w:top w:val="nil"/>
              <w:left w:val="nil"/>
              <w:bottom w:val="single" w:sz="4" w:space="0" w:color="auto"/>
              <w:right w:val="single" w:sz="4" w:space="0" w:color="auto"/>
            </w:tcBorders>
            <w:shd w:val="clear" w:color="000000" w:fill="FFFFFF"/>
            <w:vAlign w:val="center"/>
            <w:hideMark/>
          </w:tcPr>
          <w:p w14:paraId="298B90BF"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TASA BASE fija variable</w:t>
            </w:r>
          </w:p>
        </w:tc>
        <w:tc>
          <w:tcPr>
            <w:tcW w:w="898" w:type="dxa"/>
            <w:tcBorders>
              <w:top w:val="nil"/>
              <w:left w:val="nil"/>
              <w:bottom w:val="single" w:sz="4" w:space="0" w:color="auto"/>
              <w:right w:val="single" w:sz="4" w:space="0" w:color="auto"/>
            </w:tcBorders>
            <w:shd w:val="clear" w:color="000000" w:fill="FFFFFF"/>
            <w:vAlign w:val="center"/>
            <w:hideMark/>
          </w:tcPr>
          <w:p w14:paraId="6A3CB930"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0.75</w:t>
            </w:r>
          </w:p>
        </w:tc>
        <w:tc>
          <w:tcPr>
            <w:tcW w:w="2298" w:type="dxa"/>
            <w:tcBorders>
              <w:top w:val="nil"/>
              <w:left w:val="nil"/>
              <w:bottom w:val="single" w:sz="4" w:space="0" w:color="auto"/>
              <w:right w:val="single" w:sz="4" w:space="0" w:color="auto"/>
            </w:tcBorders>
            <w:shd w:val="clear" w:color="000000" w:fill="FFFFFF"/>
            <w:vAlign w:val="center"/>
            <w:hideMark/>
          </w:tcPr>
          <w:p w14:paraId="3699636B"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Inversión Pública Productiva/FONDEN</w:t>
            </w:r>
          </w:p>
        </w:tc>
      </w:tr>
      <w:tr w:rsidR="001E4416" w:rsidRPr="001E4416" w14:paraId="4E1A5A2E" w14:textId="77777777" w:rsidTr="00B038D8">
        <w:trPr>
          <w:gridAfter w:val="1"/>
          <w:wAfter w:w="10" w:type="dxa"/>
          <w:trHeight w:val="284"/>
          <w:jc w:val="center"/>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37956E57"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BANOBRAS</w:t>
            </w:r>
          </w:p>
        </w:tc>
        <w:tc>
          <w:tcPr>
            <w:tcW w:w="1315" w:type="dxa"/>
            <w:tcBorders>
              <w:top w:val="nil"/>
              <w:left w:val="nil"/>
              <w:bottom w:val="single" w:sz="4" w:space="0" w:color="auto"/>
              <w:right w:val="single" w:sz="4" w:space="0" w:color="auto"/>
            </w:tcBorders>
            <w:shd w:val="clear" w:color="000000" w:fill="FFFFFF"/>
            <w:noWrap/>
            <w:vAlign w:val="center"/>
            <w:hideMark/>
          </w:tcPr>
          <w:p w14:paraId="7AB6E415"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187,112,637</w:t>
            </w:r>
          </w:p>
        </w:tc>
        <w:tc>
          <w:tcPr>
            <w:tcW w:w="1495" w:type="dxa"/>
            <w:tcBorders>
              <w:top w:val="nil"/>
              <w:left w:val="nil"/>
              <w:bottom w:val="single" w:sz="4" w:space="0" w:color="auto"/>
              <w:right w:val="single" w:sz="4" w:space="0" w:color="auto"/>
            </w:tcBorders>
            <w:shd w:val="clear" w:color="000000" w:fill="FFFFFF"/>
            <w:noWrap/>
            <w:vAlign w:val="center"/>
            <w:hideMark/>
          </w:tcPr>
          <w:p w14:paraId="5558E9B8"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96,804,480</w:t>
            </w:r>
          </w:p>
        </w:tc>
        <w:tc>
          <w:tcPr>
            <w:tcW w:w="1340" w:type="dxa"/>
            <w:tcBorders>
              <w:top w:val="nil"/>
              <w:left w:val="nil"/>
              <w:bottom w:val="single" w:sz="4" w:space="0" w:color="auto"/>
              <w:right w:val="single" w:sz="4" w:space="0" w:color="auto"/>
            </w:tcBorders>
            <w:shd w:val="clear" w:color="000000" w:fill="FFFFFF"/>
            <w:noWrap/>
            <w:vAlign w:val="center"/>
            <w:hideMark/>
          </w:tcPr>
          <w:p w14:paraId="4F0B2DDB"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25/05/2032</w:t>
            </w:r>
          </w:p>
        </w:tc>
        <w:tc>
          <w:tcPr>
            <w:tcW w:w="1233" w:type="dxa"/>
            <w:tcBorders>
              <w:top w:val="nil"/>
              <w:left w:val="nil"/>
              <w:bottom w:val="single" w:sz="4" w:space="0" w:color="auto"/>
              <w:right w:val="single" w:sz="4" w:space="0" w:color="auto"/>
            </w:tcBorders>
            <w:shd w:val="clear" w:color="000000" w:fill="FFFFFF"/>
            <w:vAlign w:val="center"/>
            <w:hideMark/>
          </w:tcPr>
          <w:p w14:paraId="7AEB079E"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TASA BASE 7.67 %</w:t>
            </w:r>
          </w:p>
        </w:tc>
        <w:tc>
          <w:tcPr>
            <w:tcW w:w="898" w:type="dxa"/>
            <w:tcBorders>
              <w:top w:val="nil"/>
              <w:left w:val="nil"/>
              <w:bottom w:val="single" w:sz="4" w:space="0" w:color="auto"/>
              <w:right w:val="single" w:sz="4" w:space="0" w:color="auto"/>
            </w:tcBorders>
            <w:shd w:val="clear" w:color="000000" w:fill="FFFFFF"/>
            <w:vAlign w:val="center"/>
            <w:hideMark/>
          </w:tcPr>
          <w:p w14:paraId="2590292B"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0.81</w:t>
            </w:r>
          </w:p>
        </w:tc>
        <w:tc>
          <w:tcPr>
            <w:tcW w:w="2298" w:type="dxa"/>
            <w:tcBorders>
              <w:top w:val="nil"/>
              <w:left w:val="nil"/>
              <w:bottom w:val="single" w:sz="4" w:space="0" w:color="auto"/>
              <w:right w:val="single" w:sz="4" w:space="0" w:color="auto"/>
            </w:tcBorders>
            <w:shd w:val="clear" w:color="000000" w:fill="FFFFFF"/>
            <w:vAlign w:val="center"/>
            <w:hideMark/>
          </w:tcPr>
          <w:p w14:paraId="26881856"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Inversión Pública Productiva/FONDEN</w:t>
            </w:r>
          </w:p>
        </w:tc>
      </w:tr>
      <w:tr w:rsidR="001E4416" w:rsidRPr="001E4416" w14:paraId="74849CF3" w14:textId="77777777" w:rsidTr="00B038D8">
        <w:trPr>
          <w:gridAfter w:val="1"/>
          <w:wAfter w:w="10" w:type="dxa"/>
          <w:trHeight w:val="255"/>
          <w:jc w:val="center"/>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640286BA"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BANOBRAS</w:t>
            </w:r>
          </w:p>
        </w:tc>
        <w:tc>
          <w:tcPr>
            <w:tcW w:w="1315" w:type="dxa"/>
            <w:tcBorders>
              <w:top w:val="nil"/>
              <w:left w:val="nil"/>
              <w:bottom w:val="single" w:sz="4" w:space="0" w:color="auto"/>
              <w:right w:val="single" w:sz="4" w:space="0" w:color="auto"/>
            </w:tcBorders>
            <w:shd w:val="clear" w:color="000000" w:fill="FFFFFF"/>
            <w:noWrap/>
            <w:vAlign w:val="center"/>
            <w:hideMark/>
          </w:tcPr>
          <w:p w14:paraId="4FF77C9D"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250,802,462</w:t>
            </w:r>
          </w:p>
        </w:tc>
        <w:tc>
          <w:tcPr>
            <w:tcW w:w="1495" w:type="dxa"/>
            <w:tcBorders>
              <w:top w:val="nil"/>
              <w:left w:val="nil"/>
              <w:bottom w:val="single" w:sz="4" w:space="0" w:color="auto"/>
              <w:right w:val="single" w:sz="4" w:space="0" w:color="auto"/>
            </w:tcBorders>
            <w:shd w:val="clear" w:color="000000" w:fill="FFFFFF"/>
            <w:noWrap/>
            <w:vAlign w:val="center"/>
            <w:hideMark/>
          </w:tcPr>
          <w:p w14:paraId="64747437"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22,858,827</w:t>
            </w:r>
          </w:p>
        </w:tc>
        <w:tc>
          <w:tcPr>
            <w:tcW w:w="1340" w:type="dxa"/>
            <w:tcBorders>
              <w:top w:val="nil"/>
              <w:left w:val="nil"/>
              <w:bottom w:val="single" w:sz="4" w:space="0" w:color="auto"/>
              <w:right w:val="single" w:sz="4" w:space="0" w:color="auto"/>
            </w:tcBorders>
            <w:shd w:val="clear" w:color="000000" w:fill="FFFFFF"/>
            <w:noWrap/>
            <w:vAlign w:val="center"/>
            <w:hideMark/>
          </w:tcPr>
          <w:p w14:paraId="629B525F"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25/04/2024</w:t>
            </w:r>
          </w:p>
        </w:tc>
        <w:tc>
          <w:tcPr>
            <w:tcW w:w="1233" w:type="dxa"/>
            <w:tcBorders>
              <w:top w:val="nil"/>
              <w:left w:val="nil"/>
              <w:bottom w:val="single" w:sz="4" w:space="0" w:color="auto"/>
              <w:right w:val="single" w:sz="4" w:space="0" w:color="auto"/>
            </w:tcBorders>
            <w:shd w:val="clear" w:color="000000" w:fill="FFFFFF"/>
            <w:vAlign w:val="center"/>
            <w:hideMark/>
          </w:tcPr>
          <w:p w14:paraId="7BB3F208"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 xml:space="preserve">TIIE </w:t>
            </w:r>
          </w:p>
        </w:tc>
        <w:tc>
          <w:tcPr>
            <w:tcW w:w="898" w:type="dxa"/>
            <w:tcBorders>
              <w:top w:val="nil"/>
              <w:left w:val="nil"/>
              <w:bottom w:val="single" w:sz="4" w:space="0" w:color="auto"/>
              <w:right w:val="single" w:sz="4" w:space="0" w:color="auto"/>
            </w:tcBorders>
            <w:shd w:val="clear" w:color="000000" w:fill="FFFFFF"/>
            <w:vAlign w:val="center"/>
            <w:hideMark/>
          </w:tcPr>
          <w:p w14:paraId="41590FD9"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0.77</w:t>
            </w:r>
          </w:p>
        </w:tc>
        <w:tc>
          <w:tcPr>
            <w:tcW w:w="2298" w:type="dxa"/>
            <w:tcBorders>
              <w:top w:val="nil"/>
              <w:left w:val="nil"/>
              <w:bottom w:val="single" w:sz="4" w:space="0" w:color="auto"/>
              <w:right w:val="single" w:sz="4" w:space="0" w:color="auto"/>
            </w:tcBorders>
            <w:shd w:val="clear" w:color="000000" w:fill="FFFFFF"/>
            <w:vAlign w:val="center"/>
            <w:hideMark/>
          </w:tcPr>
          <w:p w14:paraId="10C1C3E3"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Inversión Pública Productiva</w:t>
            </w:r>
          </w:p>
        </w:tc>
      </w:tr>
      <w:tr w:rsidR="001E4416" w:rsidRPr="001E4416" w14:paraId="35BD9E57" w14:textId="77777777" w:rsidTr="00B038D8">
        <w:trPr>
          <w:gridAfter w:val="1"/>
          <w:wAfter w:w="10" w:type="dxa"/>
          <w:trHeight w:val="255"/>
          <w:jc w:val="center"/>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1E860D0B"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BANOBRAS</w:t>
            </w:r>
          </w:p>
        </w:tc>
        <w:tc>
          <w:tcPr>
            <w:tcW w:w="1315" w:type="dxa"/>
            <w:tcBorders>
              <w:top w:val="nil"/>
              <w:left w:val="nil"/>
              <w:bottom w:val="single" w:sz="4" w:space="0" w:color="auto"/>
              <w:right w:val="single" w:sz="4" w:space="0" w:color="auto"/>
            </w:tcBorders>
            <w:shd w:val="clear" w:color="000000" w:fill="FFFFFF"/>
            <w:noWrap/>
            <w:vAlign w:val="center"/>
            <w:hideMark/>
          </w:tcPr>
          <w:p w14:paraId="17AF0EBA"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113,990,000</w:t>
            </w:r>
          </w:p>
        </w:tc>
        <w:tc>
          <w:tcPr>
            <w:tcW w:w="1495" w:type="dxa"/>
            <w:tcBorders>
              <w:top w:val="nil"/>
              <w:left w:val="nil"/>
              <w:bottom w:val="single" w:sz="4" w:space="0" w:color="auto"/>
              <w:right w:val="single" w:sz="4" w:space="0" w:color="auto"/>
            </w:tcBorders>
            <w:shd w:val="clear" w:color="000000" w:fill="FFFFFF"/>
            <w:noWrap/>
            <w:vAlign w:val="center"/>
            <w:hideMark/>
          </w:tcPr>
          <w:p w14:paraId="31D4C419"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21,828,938</w:t>
            </w:r>
          </w:p>
        </w:tc>
        <w:tc>
          <w:tcPr>
            <w:tcW w:w="1340" w:type="dxa"/>
            <w:tcBorders>
              <w:top w:val="nil"/>
              <w:left w:val="nil"/>
              <w:bottom w:val="single" w:sz="4" w:space="0" w:color="auto"/>
              <w:right w:val="single" w:sz="4" w:space="0" w:color="auto"/>
            </w:tcBorders>
            <w:shd w:val="clear" w:color="000000" w:fill="FFFFFF"/>
            <w:noWrap/>
            <w:vAlign w:val="center"/>
            <w:hideMark/>
          </w:tcPr>
          <w:p w14:paraId="4A73B458"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28/03/2025</w:t>
            </w:r>
          </w:p>
        </w:tc>
        <w:tc>
          <w:tcPr>
            <w:tcW w:w="1233" w:type="dxa"/>
            <w:tcBorders>
              <w:top w:val="nil"/>
              <w:left w:val="nil"/>
              <w:bottom w:val="single" w:sz="4" w:space="0" w:color="auto"/>
              <w:right w:val="single" w:sz="4" w:space="0" w:color="auto"/>
            </w:tcBorders>
            <w:shd w:val="clear" w:color="000000" w:fill="FFFFFF"/>
            <w:vAlign w:val="center"/>
            <w:hideMark/>
          </w:tcPr>
          <w:p w14:paraId="53DA75D3"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 xml:space="preserve">TIIE </w:t>
            </w:r>
          </w:p>
        </w:tc>
        <w:tc>
          <w:tcPr>
            <w:tcW w:w="898" w:type="dxa"/>
            <w:tcBorders>
              <w:top w:val="nil"/>
              <w:left w:val="nil"/>
              <w:bottom w:val="single" w:sz="4" w:space="0" w:color="auto"/>
              <w:right w:val="single" w:sz="4" w:space="0" w:color="auto"/>
            </w:tcBorders>
            <w:shd w:val="clear" w:color="000000" w:fill="FFFFFF"/>
            <w:vAlign w:val="center"/>
            <w:hideMark/>
          </w:tcPr>
          <w:p w14:paraId="7EE70208"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0.93</w:t>
            </w:r>
          </w:p>
        </w:tc>
        <w:tc>
          <w:tcPr>
            <w:tcW w:w="2298" w:type="dxa"/>
            <w:tcBorders>
              <w:top w:val="nil"/>
              <w:left w:val="nil"/>
              <w:bottom w:val="single" w:sz="4" w:space="0" w:color="auto"/>
              <w:right w:val="single" w:sz="4" w:space="0" w:color="auto"/>
            </w:tcBorders>
            <w:shd w:val="clear" w:color="000000" w:fill="FFFFFF"/>
            <w:vAlign w:val="center"/>
            <w:hideMark/>
          </w:tcPr>
          <w:p w14:paraId="7F45D9B3"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Inversión Pública Productiva</w:t>
            </w:r>
          </w:p>
        </w:tc>
      </w:tr>
      <w:tr w:rsidR="001E4416" w:rsidRPr="001E4416" w14:paraId="1CEF8924" w14:textId="77777777" w:rsidTr="00B038D8">
        <w:trPr>
          <w:gridAfter w:val="1"/>
          <w:wAfter w:w="10" w:type="dxa"/>
          <w:trHeight w:val="255"/>
          <w:jc w:val="center"/>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46704240"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BANAMEX</w:t>
            </w:r>
          </w:p>
        </w:tc>
        <w:tc>
          <w:tcPr>
            <w:tcW w:w="1315" w:type="dxa"/>
            <w:tcBorders>
              <w:top w:val="nil"/>
              <w:left w:val="nil"/>
              <w:bottom w:val="single" w:sz="4" w:space="0" w:color="auto"/>
              <w:right w:val="single" w:sz="4" w:space="0" w:color="auto"/>
            </w:tcBorders>
            <w:shd w:val="clear" w:color="000000" w:fill="FFFFFF"/>
            <w:noWrap/>
            <w:vAlign w:val="center"/>
            <w:hideMark/>
          </w:tcPr>
          <w:p w14:paraId="5BAA7880"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1,500,000,000</w:t>
            </w:r>
          </w:p>
        </w:tc>
        <w:tc>
          <w:tcPr>
            <w:tcW w:w="1495" w:type="dxa"/>
            <w:tcBorders>
              <w:top w:val="nil"/>
              <w:left w:val="nil"/>
              <w:bottom w:val="single" w:sz="4" w:space="0" w:color="auto"/>
              <w:right w:val="single" w:sz="4" w:space="0" w:color="auto"/>
            </w:tcBorders>
            <w:shd w:val="clear" w:color="000000" w:fill="FFFFFF"/>
            <w:noWrap/>
            <w:vAlign w:val="center"/>
            <w:hideMark/>
          </w:tcPr>
          <w:p w14:paraId="35DDABE1"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1,416,033,565</w:t>
            </w:r>
          </w:p>
        </w:tc>
        <w:tc>
          <w:tcPr>
            <w:tcW w:w="1340" w:type="dxa"/>
            <w:tcBorders>
              <w:top w:val="nil"/>
              <w:left w:val="nil"/>
              <w:bottom w:val="single" w:sz="4" w:space="0" w:color="auto"/>
              <w:right w:val="single" w:sz="4" w:space="0" w:color="auto"/>
            </w:tcBorders>
            <w:shd w:val="clear" w:color="000000" w:fill="FFFFFF"/>
            <w:noWrap/>
            <w:vAlign w:val="center"/>
            <w:hideMark/>
          </w:tcPr>
          <w:p w14:paraId="1417A75D"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13/11/2037</w:t>
            </w:r>
          </w:p>
        </w:tc>
        <w:tc>
          <w:tcPr>
            <w:tcW w:w="1233" w:type="dxa"/>
            <w:tcBorders>
              <w:top w:val="nil"/>
              <w:left w:val="nil"/>
              <w:bottom w:val="single" w:sz="4" w:space="0" w:color="auto"/>
              <w:right w:val="single" w:sz="4" w:space="0" w:color="auto"/>
            </w:tcBorders>
            <w:shd w:val="clear" w:color="000000" w:fill="FFFFFF"/>
            <w:vAlign w:val="center"/>
            <w:hideMark/>
          </w:tcPr>
          <w:p w14:paraId="6A7C5F58"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TIIE</w:t>
            </w:r>
          </w:p>
        </w:tc>
        <w:tc>
          <w:tcPr>
            <w:tcW w:w="898" w:type="dxa"/>
            <w:tcBorders>
              <w:top w:val="nil"/>
              <w:left w:val="nil"/>
              <w:bottom w:val="single" w:sz="4" w:space="0" w:color="auto"/>
              <w:right w:val="single" w:sz="4" w:space="0" w:color="auto"/>
            </w:tcBorders>
            <w:shd w:val="clear" w:color="000000" w:fill="FFFFFF"/>
            <w:vAlign w:val="center"/>
            <w:hideMark/>
          </w:tcPr>
          <w:p w14:paraId="40629487"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0.62</w:t>
            </w:r>
          </w:p>
        </w:tc>
        <w:tc>
          <w:tcPr>
            <w:tcW w:w="2298" w:type="dxa"/>
            <w:tcBorders>
              <w:top w:val="nil"/>
              <w:left w:val="nil"/>
              <w:bottom w:val="single" w:sz="4" w:space="0" w:color="auto"/>
              <w:right w:val="single" w:sz="4" w:space="0" w:color="auto"/>
            </w:tcBorders>
            <w:shd w:val="clear" w:color="000000" w:fill="FFFFFF"/>
            <w:vAlign w:val="center"/>
            <w:hideMark/>
          </w:tcPr>
          <w:p w14:paraId="20E8C58D"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Reestructura de Deuda</w:t>
            </w:r>
          </w:p>
        </w:tc>
      </w:tr>
      <w:tr w:rsidR="001E4416" w:rsidRPr="001E4416" w14:paraId="30E92FBE" w14:textId="77777777" w:rsidTr="00B038D8">
        <w:trPr>
          <w:gridAfter w:val="1"/>
          <w:wAfter w:w="10" w:type="dxa"/>
          <w:trHeight w:val="255"/>
          <w:jc w:val="center"/>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2C6CF888"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BANORTE</w:t>
            </w:r>
          </w:p>
        </w:tc>
        <w:tc>
          <w:tcPr>
            <w:tcW w:w="1315" w:type="dxa"/>
            <w:tcBorders>
              <w:top w:val="nil"/>
              <w:left w:val="nil"/>
              <w:bottom w:val="single" w:sz="4" w:space="0" w:color="auto"/>
              <w:right w:val="single" w:sz="4" w:space="0" w:color="auto"/>
            </w:tcBorders>
            <w:shd w:val="clear" w:color="000000" w:fill="FFFFFF"/>
            <w:noWrap/>
            <w:vAlign w:val="center"/>
            <w:hideMark/>
          </w:tcPr>
          <w:p w14:paraId="6B8733B3"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1,539,000,000</w:t>
            </w:r>
          </w:p>
        </w:tc>
        <w:tc>
          <w:tcPr>
            <w:tcW w:w="1495" w:type="dxa"/>
            <w:tcBorders>
              <w:top w:val="nil"/>
              <w:left w:val="nil"/>
              <w:bottom w:val="single" w:sz="4" w:space="0" w:color="auto"/>
              <w:right w:val="single" w:sz="4" w:space="0" w:color="auto"/>
            </w:tcBorders>
            <w:shd w:val="clear" w:color="000000" w:fill="FFFFFF"/>
            <w:noWrap/>
            <w:vAlign w:val="center"/>
            <w:hideMark/>
          </w:tcPr>
          <w:p w14:paraId="3CD74001"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1,422,778,512</w:t>
            </w:r>
          </w:p>
        </w:tc>
        <w:tc>
          <w:tcPr>
            <w:tcW w:w="1340" w:type="dxa"/>
            <w:tcBorders>
              <w:top w:val="nil"/>
              <w:left w:val="nil"/>
              <w:bottom w:val="single" w:sz="4" w:space="0" w:color="auto"/>
              <w:right w:val="single" w:sz="4" w:space="0" w:color="auto"/>
            </w:tcBorders>
            <w:shd w:val="clear" w:color="000000" w:fill="FFFFFF"/>
            <w:noWrap/>
            <w:vAlign w:val="center"/>
            <w:hideMark/>
          </w:tcPr>
          <w:p w14:paraId="28BF4872"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01/11/2037</w:t>
            </w:r>
          </w:p>
        </w:tc>
        <w:tc>
          <w:tcPr>
            <w:tcW w:w="1233" w:type="dxa"/>
            <w:tcBorders>
              <w:top w:val="nil"/>
              <w:left w:val="nil"/>
              <w:bottom w:val="single" w:sz="4" w:space="0" w:color="auto"/>
              <w:right w:val="single" w:sz="4" w:space="0" w:color="auto"/>
            </w:tcBorders>
            <w:shd w:val="clear" w:color="000000" w:fill="FFFFFF"/>
            <w:vAlign w:val="center"/>
            <w:hideMark/>
          </w:tcPr>
          <w:p w14:paraId="4D4B0E56"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TIIE</w:t>
            </w:r>
          </w:p>
        </w:tc>
        <w:tc>
          <w:tcPr>
            <w:tcW w:w="898" w:type="dxa"/>
            <w:tcBorders>
              <w:top w:val="nil"/>
              <w:left w:val="nil"/>
              <w:bottom w:val="single" w:sz="4" w:space="0" w:color="auto"/>
              <w:right w:val="single" w:sz="4" w:space="0" w:color="auto"/>
            </w:tcBorders>
            <w:shd w:val="clear" w:color="000000" w:fill="FFFFFF"/>
            <w:vAlign w:val="center"/>
            <w:hideMark/>
          </w:tcPr>
          <w:p w14:paraId="5371D9AD"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0.51</w:t>
            </w:r>
          </w:p>
        </w:tc>
        <w:tc>
          <w:tcPr>
            <w:tcW w:w="2298" w:type="dxa"/>
            <w:tcBorders>
              <w:top w:val="nil"/>
              <w:left w:val="nil"/>
              <w:bottom w:val="single" w:sz="4" w:space="0" w:color="auto"/>
              <w:right w:val="single" w:sz="4" w:space="0" w:color="auto"/>
            </w:tcBorders>
            <w:shd w:val="clear" w:color="000000" w:fill="FFFFFF"/>
            <w:vAlign w:val="center"/>
            <w:hideMark/>
          </w:tcPr>
          <w:p w14:paraId="51B892EB"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Reestructura de Deuda</w:t>
            </w:r>
          </w:p>
        </w:tc>
      </w:tr>
      <w:tr w:rsidR="001E4416" w:rsidRPr="001E4416" w14:paraId="3EAA0111" w14:textId="77777777" w:rsidTr="00B038D8">
        <w:trPr>
          <w:gridAfter w:val="1"/>
          <w:wAfter w:w="10" w:type="dxa"/>
          <w:trHeight w:val="255"/>
          <w:jc w:val="center"/>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7CD954DA"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BANORTE</w:t>
            </w:r>
          </w:p>
        </w:tc>
        <w:tc>
          <w:tcPr>
            <w:tcW w:w="1315" w:type="dxa"/>
            <w:tcBorders>
              <w:top w:val="nil"/>
              <w:left w:val="nil"/>
              <w:bottom w:val="single" w:sz="4" w:space="0" w:color="auto"/>
              <w:right w:val="single" w:sz="4" w:space="0" w:color="auto"/>
            </w:tcBorders>
            <w:shd w:val="clear" w:color="000000" w:fill="FFFFFF"/>
            <w:noWrap/>
            <w:vAlign w:val="center"/>
            <w:hideMark/>
          </w:tcPr>
          <w:p w14:paraId="38991E51"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5,461,000,000</w:t>
            </w:r>
          </w:p>
        </w:tc>
        <w:tc>
          <w:tcPr>
            <w:tcW w:w="1495" w:type="dxa"/>
            <w:tcBorders>
              <w:top w:val="nil"/>
              <w:left w:val="nil"/>
              <w:bottom w:val="single" w:sz="4" w:space="0" w:color="auto"/>
              <w:right w:val="single" w:sz="4" w:space="0" w:color="auto"/>
            </w:tcBorders>
            <w:shd w:val="clear" w:color="000000" w:fill="FFFFFF"/>
            <w:noWrap/>
            <w:vAlign w:val="center"/>
            <w:hideMark/>
          </w:tcPr>
          <w:p w14:paraId="652CCB49"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5,128,988,102</w:t>
            </w:r>
          </w:p>
        </w:tc>
        <w:tc>
          <w:tcPr>
            <w:tcW w:w="1340" w:type="dxa"/>
            <w:tcBorders>
              <w:top w:val="nil"/>
              <w:left w:val="nil"/>
              <w:bottom w:val="single" w:sz="4" w:space="0" w:color="auto"/>
              <w:right w:val="single" w:sz="4" w:space="0" w:color="auto"/>
            </w:tcBorders>
            <w:shd w:val="clear" w:color="000000" w:fill="FFFFFF"/>
            <w:noWrap/>
            <w:vAlign w:val="center"/>
            <w:hideMark/>
          </w:tcPr>
          <w:p w14:paraId="027FA2C3"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01/11/2037</w:t>
            </w:r>
          </w:p>
        </w:tc>
        <w:tc>
          <w:tcPr>
            <w:tcW w:w="1233" w:type="dxa"/>
            <w:tcBorders>
              <w:top w:val="nil"/>
              <w:left w:val="nil"/>
              <w:bottom w:val="single" w:sz="4" w:space="0" w:color="auto"/>
              <w:right w:val="single" w:sz="4" w:space="0" w:color="auto"/>
            </w:tcBorders>
            <w:shd w:val="clear" w:color="000000" w:fill="FFFFFF"/>
            <w:vAlign w:val="center"/>
            <w:hideMark/>
          </w:tcPr>
          <w:p w14:paraId="7593D440"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TIIE</w:t>
            </w:r>
          </w:p>
        </w:tc>
        <w:tc>
          <w:tcPr>
            <w:tcW w:w="898" w:type="dxa"/>
            <w:tcBorders>
              <w:top w:val="nil"/>
              <w:left w:val="nil"/>
              <w:bottom w:val="single" w:sz="4" w:space="0" w:color="auto"/>
              <w:right w:val="single" w:sz="4" w:space="0" w:color="auto"/>
            </w:tcBorders>
            <w:shd w:val="clear" w:color="000000" w:fill="FFFFFF"/>
            <w:vAlign w:val="center"/>
            <w:hideMark/>
          </w:tcPr>
          <w:p w14:paraId="43428B0C"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0.61</w:t>
            </w:r>
          </w:p>
        </w:tc>
        <w:tc>
          <w:tcPr>
            <w:tcW w:w="2298" w:type="dxa"/>
            <w:tcBorders>
              <w:top w:val="nil"/>
              <w:left w:val="nil"/>
              <w:bottom w:val="single" w:sz="4" w:space="0" w:color="auto"/>
              <w:right w:val="single" w:sz="4" w:space="0" w:color="auto"/>
            </w:tcBorders>
            <w:shd w:val="clear" w:color="000000" w:fill="FFFFFF"/>
            <w:vAlign w:val="center"/>
            <w:hideMark/>
          </w:tcPr>
          <w:p w14:paraId="6ADD1636"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Reestructura de Deuda</w:t>
            </w:r>
          </w:p>
        </w:tc>
      </w:tr>
      <w:tr w:rsidR="001E4416" w:rsidRPr="001E4416" w14:paraId="17086158" w14:textId="77777777" w:rsidTr="00B038D8">
        <w:trPr>
          <w:gridAfter w:val="1"/>
          <w:wAfter w:w="10" w:type="dxa"/>
          <w:trHeight w:val="255"/>
          <w:jc w:val="center"/>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1AF7AEF0"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SANTANDER</w:t>
            </w:r>
          </w:p>
        </w:tc>
        <w:tc>
          <w:tcPr>
            <w:tcW w:w="1315" w:type="dxa"/>
            <w:tcBorders>
              <w:top w:val="nil"/>
              <w:left w:val="nil"/>
              <w:bottom w:val="single" w:sz="4" w:space="0" w:color="auto"/>
              <w:right w:val="single" w:sz="4" w:space="0" w:color="auto"/>
            </w:tcBorders>
            <w:shd w:val="clear" w:color="000000" w:fill="FFFFFF"/>
            <w:noWrap/>
            <w:vAlign w:val="center"/>
            <w:hideMark/>
          </w:tcPr>
          <w:p w14:paraId="2AFEE4C9"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1,650,000,000</w:t>
            </w:r>
          </w:p>
        </w:tc>
        <w:tc>
          <w:tcPr>
            <w:tcW w:w="1495" w:type="dxa"/>
            <w:tcBorders>
              <w:top w:val="nil"/>
              <w:left w:val="nil"/>
              <w:bottom w:val="single" w:sz="4" w:space="0" w:color="auto"/>
              <w:right w:val="single" w:sz="4" w:space="0" w:color="auto"/>
            </w:tcBorders>
            <w:shd w:val="clear" w:color="000000" w:fill="FFFFFF"/>
            <w:noWrap/>
            <w:vAlign w:val="center"/>
            <w:hideMark/>
          </w:tcPr>
          <w:p w14:paraId="0F9BC452"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1,582,935,385</w:t>
            </w:r>
          </w:p>
        </w:tc>
        <w:tc>
          <w:tcPr>
            <w:tcW w:w="1340" w:type="dxa"/>
            <w:tcBorders>
              <w:top w:val="nil"/>
              <w:left w:val="nil"/>
              <w:bottom w:val="single" w:sz="4" w:space="0" w:color="auto"/>
              <w:right w:val="single" w:sz="4" w:space="0" w:color="auto"/>
            </w:tcBorders>
            <w:shd w:val="clear" w:color="000000" w:fill="FFFFFF"/>
            <w:noWrap/>
            <w:vAlign w:val="center"/>
            <w:hideMark/>
          </w:tcPr>
          <w:p w14:paraId="65C73456"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28/02/2038</w:t>
            </w:r>
          </w:p>
        </w:tc>
        <w:tc>
          <w:tcPr>
            <w:tcW w:w="1233" w:type="dxa"/>
            <w:tcBorders>
              <w:top w:val="nil"/>
              <w:left w:val="nil"/>
              <w:bottom w:val="single" w:sz="4" w:space="0" w:color="auto"/>
              <w:right w:val="single" w:sz="4" w:space="0" w:color="auto"/>
            </w:tcBorders>
            <w:shd w:val="clear" w:color="000000" w:fill="FFFFFF"/>
            <w:vAlign w:val="center"/>
            <w:hideMark/>
          </w:tcPr>
          <w:p w14:paraId="262FAA13"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TIIE</w:t>
            </w:r>
          </w:p>
        </w:tc>
        <w:tc>
          <w:tcPr>
            <w:tcW w:w="898" w:type="dxa"/>
            <w:tcBorders>
              <w:top w:val="nil"/>
              <w:left w:val="nil"/>
              <w:bottom w:val="single" w:sz="4" w:space="0" w:color="auto"/>
              <w:right w:val="single" w:sz="4" w:space="0" w:color="auto"/>
            </w:tcBorders>
            <w:shd w:val="clear" w:color="000000" w:fill="FFFFFF"/>
            <w:vAlign w:val="center"/>
            <w:hideMark/>
          </w:tcPr>
          <w:p w14:paraId="0D9C64C9"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0.71</w:t>
            </w:r>
          </w:p>
        </w:tc>
        <w:tc>
          <w:tcPr>
            <w:tcW w:w="2298" w:type="dxa"/>
            <w:tcBorders>
              <w:top w:val="nil"/>
              <w:left w:val="nil"/>
              <w:bottom w:val="single" w:sz="4" w:space="0" w:color="auto"/>
              <w:right w:val="single" w:sz="4" w:space="0" w:color="auto"/>
            </w:tcBorders>
            <w:shd w:val="clear" w:color="000000" w:fill="FFFFFF"/>
            <w:vAlign w:val="center"/>
            <w:hideMark/>
          </w:tcPr>
          <w:p w14:paraId="43D32A3E"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Inversión Pública Productiva</w:t>
            </w:r>
          </w:p>
        </w:tc>
      </w:tr>
      <w:tr w:rsidR="001E4416" w:rsidRPr="001E4416" w14:paraId="00574FD5" w14:textId="77777777" w:rsidTr="00B038D8">
        <w:trPr>
          <w:gridAfter w:val="1"/>
          <w:wAfter w:w="10" w:type="dxa"/>
          <w:trHeight w:val="255"/>
          <w:jc w:val="center"/>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378B381F"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BANAMEX</w:t>
            </w:r>
          </w:p>
        </w:tc>
        <w:tc>
          <w:tcPr>
            <w:tcW w:w="1315" w:type="dxa"/>
            <w:tcBorders>
              <w:top w:val="nil"/>
              <w:left w:val="nil"/>
              <w:bottom w:val="single" w:sz="4" w:space="0" w:color="auto"/>
              <w:right w:val="single" w:sz="4" w:space="0" w:color="auto"/>
            </w:tcBorders>
            <w:shd w:val="clear" w:color="000000" w:fill="FFFFFF"/>
            <w:noWrap/>
            <w:vAlign w:val="center"/>
            <w:hideMark/>
          </w:tcPr>
          <w:p w14:paraId="72F4DE37"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1,000,000,000</w:t>
            </w:r>
          </w:p>
        </w:tc>
        <w:tc>
          <w:tcPr>
            <w:tcW w:w="1495" w:type="dxa"/>
            <w:tcBorders>
              <w:top w:val="nil"/>
              <w:left w:val="nil"/>
              <w:bottom w:val="single" w:sz="4" w:space="0" w:color="auto"/>
              <w:right w:val="single" w:sz="4" w:space="0" w:color="auto"/>
            </w:tcBorders>
            <w:shd w:val="clear" w:color="000000" w:fill="FFFFFF"/>
            <w:noWrap/>
            <w:vAlign w:val="center"/>
            <w:hideMark/>
          </w:tcPr>
          <w:p w14:paraId="36FDE5D5"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959,231,502</w:t>
            </w:r>
          </w:p>
        </w:tc>
        <w:tc>
          <w:tcPr>
            <w:tcW w:w="1340" w:type="dxa"/>
            <w:tcBorders>
              <w:top w:val="nil"/>
              <w:left w:val="nil"/>
              <w:bottom w:val="single" w:sz="4" w:space="0" w:color="auto"/>
              <w:right w:val="single" w:sz="4" w:space="0" w:color="auto"/>
            </w:tcBorders>
            <w:shd w:val="clear" w:color="000000" w:fill="FFFFFF"/>
            <w:noWrap/>
            <w:vAlign w:val="center"/>
            <w:hideMark/>
          </w:tcPr>
          <w:p w14:paraId="4566EDFA"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28/02/2038</w:t>
            </w:r>
          </w:p>
        </w:tc>
        <w:tc>
          <w:tcPr>
            <w:tcW w:w="1233" w:type="dxa"/>
            <w:tcBorders>
              <w:top w:val="nil"/>
              <w:left w:val="nil"/>
              <w:bottom w:val="single" w:sz="4" w:space="0" w:color="auto"/>
              <w:right w:val="single" w:sz="4" w:space="0" w:color="auto"/>
            </w:tcBorders>
            <w:shd w:val="clear" w:color="000000" w:fill="FFFFFF"/>
            <w:vAlign w:val="center"/>
            <w:hideMark/>
          </w:tcPr>
          <w:p w14:paraId="18C4623F"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TIIE</w:t>
            </w:r>
          </w:p>
        </w:tc>
        <w:tc>
          <w:tcPr>
            <w:tcW w:w="898" w:type="dxa"/>
            <w:tcBorders>
              <w:top w:val="nil"/>
              <w:left w:val="nil"/>
              <w:bottom w:val="single" w:sz="4" w:space="0" w:color="auto"/>
              <w:right w:val="single" w:sz="4" w:space="0" w:color="auto"/>
            </w:tcBorders>
            <w:shd w:val="clear" w:color="000000" w:fill="FFFFFF"/>
            <w:vAlign w:val="center"/>
            <w:hideMark/>
          </w:tcPr>
          <w:p w14:paraId="40F9B6DF"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0.62</w:t>
            </w:r>
          </w:p>
        </w:tc>
        <w:tc>
          <w:tcPr>
            <w:tcW w:w="2298" w:type="dxa"/>
            <w:tcBorders>
              <w:top w:val="nil"/>
              <w:left w:val="nil"/>
              <w:bottom w:val="single" w:sz="4" w:space="0" w:color="auto"/>
              <w:right w:val="single" w:sz="4" w:space="0" w:color="auto"/>
            </w:tcBorders>
            <w:shd w:val="clear" w:color="000000" w:fill="FFFFFF"/>
            <w:vAlign w:val="center"/>
            <w:hideMark/>
          </w:tcPr>
          <w:p w14:paraId="46E95464"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Inversión Pública Productiva</w:t>
            </w:r>
          </w:p>
        </w:tc>
      </w:tr>
      <w:tr w:rsidR="001E4416" w:rsidRPr="001E4416" w14:paraId="11A00F68" w14:textId="77777777" w:rsidTr="00B038D8">
        <w:trPr>
          <w:gridAfter w:val="1"/>
          <w:wAfter w:w="10" w:type="dxa"/>
          <w:trHeight w:val="255"/>
          <w:jc w:val="center"/>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309E4724"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 xml:space="preserve">BANCOMER </w:t>
            </w:r>
          </w:p>
        </w:tc>
        <w:tc>
          <w:tcPr>
            <w:tcW w:w="1315" w:type="dxa"/>
            <w:tcBorders>
              <w:top w:val="nil"/>
              <w:left w:val="nil"/>
              <w:bottom w:val="single" w:sz="4" w:space="0" w:color="auto"/>
              <w:right w:val="single" w:sz="4" w:space="0" w:color="auto"/>
            </w:tcBorders>
            <w:shd w:val="clear" w:color="000000" w:fill="FFFFFF"/>
            <w:noWrap/>
            <w:vAlign w:val="center"/>
            <w:hideMark/>
          </w:tcPr>
          <w:p w14:paraId="431C02BA"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500,000,000</w:t>
            </w:r>
          </w:p>
        </w:tc>
        <w:tc>
          <w:tcPr>
            <w:tcW w:w="1495" w:type="dxa"/>
            <w:tcBorders>
              <w:top w:val="nil"/>
              <w:left w:val="nil"/>
              <w:bottom w:val="single" w:sz="4" w:space="0" w:color="auto"/>
              <w:right w:val="single" w:sz="4" w:space="0" w:color="auto"/>
            </w:tcBorders>
            <w:shd w:val="clear" w:color="000000" w:fill="FFFFFF"/>
            <w:noWrap/>
            <w:vAlign w:val="center"/>
            <w:hideMark/>
          </w:tcPr>
          <w:p w14:paraId="24A168D9"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477,439,785</w:t>
            </w:r>
          </w:p>
        </w:tc>
        <w:tc>
          <w:tcPr>
            <w:tcW w:w="1340" w:type="dxa"/>
            <w:tcBorders>
              <w:top w:val="nil"/>
              <w:left w:val="nil"/>
              <w:bottom w:val="single" w:sz="4" w:space="0" w:color="auto"/>
              <w:right w:val="single" w:sz="4" w:space="0" w:color="auto"/>
            </w:tcBorders>
            <w:shd w:val="clear" w:color="000000" w:fill="FFFFFF"/>
            <w:noWrap/>
            <w:vAlign w:val="center"/>
            <w:hideMark/>
          </w:tcPr>
          <w:p w14:paraId="5F40070D"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28/02/2038</w:t>
            </w:r>
          </w:p>
        </w:tc>
        <w:tc>
          <w:tcPr>
            <w:tcW w:w="1233" w:type="dxa"/>
            <w:tcBorders>
              <w:top w:val="nil"/>
              <w:left w:val="nil"/>
              <w:bottom w:val="single" w:sz="4" w:space="0" w:color="auto"/>
              <w:right w:val="single" w:sz="4" w:space="0" w:color="auto"/>
            </w:tcBorders>
            <w:shd w:val="clear" w:color="000000" w:fill="FFFFFF"/>
            <w:vAlign w:val="center"/>
            <w:hideMark/>
          </w:tcPr>
          <w:p w14:paraId="365B5CBC"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TIIE</w:t>
            </w:r>
          </w:p>
        </w:tc>
        <w:tc>
          <w:tcPr>
            <w:tcW w:w="898" w:type="dxa"/>
            <w:tcBorders>
              <w:top w:val="nil"/>
              <w:left w:val="nil"/>
              <w:bottom w:val="single" w:sz="4" w:space="0" w:color="auto"/>
              <w:right w:val="single" w:sz="4" w:space="0" w:color="auto"/>
            </w:tcBorders>
            <w:shd w:val="clear" w:color="000000" w:fill="FFFFFF"/>
            <w:vAlign w:val="center"/>
            <w:hideMark/>
          </w:tcPr>
          <w:p w14:paraId="6A01580F"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0.48</w:t>
            </w:r>
          </w:p>
        </w:tc>
        <w:tc>
          <w:tcPr>
            <w:tcW w:w="2298" w:type="dxa"/>
            <w:tcBorders>
              <w:top w:val="nil"/>
              <w:left w:val="nil"/>
              <w:bottom w:val="single" w:sz="4" w:space="0" w:color="auto"/>
              <w:right w:val="single" w:sz="4" w:space="0" w:color="auto"/>
            </w:tcBorders>
            <w:shd w:val="clear" w:color="000000" w:fill="FFFFFF"/>
            <w:vAlign w:val="center"/>
            <w:hideMark/>
          </w:tcPr>
          <w:p w14:paraId="509C2764"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Inversión Pública Productiva</w:t>
            </w:r>
          </w:p>
        </w:tc>
      </w:tr>
      <w:tr w:rsidR="001E4416" w:rsidRPr="001E4416" w14:paraId="368D560E" w14:textId="77777777" w:rsidTr="00B038D8">
        <w:trPr>
          <w:gridAfter w:val="1"/>
          <w:wAfter w:w="10" w:type="dxa"/>
          <w:trHeight w:val="255"/>
          <w:jc w:val="center"/>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447BC7B9"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 xml:space="preserve">BANCOMER </w:t>
            </w:r>
          </w:p>
        </w:tc>
        <w:tc>
          <w:tcPr>
            <w:tcW w:w="1315" w:type="dxa"/>
            <w:tcBorders>
              <w:top w:val="nil"/>
              <w:left w:val="nil"/>
              <w:bottom w:val="single" w:sz="4" w:space="0" w:color="auto"/>
              <w:right w:val="single" w:sz="4" w:space="0" w:color="auto"/>
            </w:tcBorders>
            <w:shd w:val="clear" w:color="000000" w:fill="FFFFFF"/>
            <w:noWrap/>
            <w:vAlign w:val="center"/>
            <w:hideMark/>
          </w:tcPr>
          <w:p w14:paraId="5BA9CDDC"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968,347,530</w:t>
            </w:r>
          </w:p>
        </w:tc>
        <w:tc>
          <w:tcPr>
            <w:tcW w:w="1495" w:type="dxa"/>
            <w:tcBorders>
              <w:top w:val="nil"/>
              <w:left w:val="nil"/>
              <w:bottom w:val="single" w:sz="4" w:space="0" w:color="auto"/>
              <w:right w:val="single" w:sz="4" w:space="0" w:color="auto"/>
            </w:tcBorders>
            <w:shd w:val="clear" w:color="000000" w:fill="FFFFFF"/>
            <w:noWrap/>
            <w:vAlign w:val="center"/>
            <w:hideMark/>
          </w:tcPr>
          <w:p w14:paraId="1C4B5FF8"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814,621,172</w:t>
            </w:r>
          </w:p>
        </w:tc>
        <w:tc>
          <w:tcPr>
            <w:tcW w:w="1340" w:type="dxa"/>
            <w:tcBorders>
              <w:top w:val="nil"/>
              <w:left w:val="nil"/>
              <w:bottom w:val="single" w:sz="4" w:space="0" w:color="auto"/>
              <w:right w:val="single" w:sz="4" w:space="0" w:color="auto"/>
            </w:tcBorders>
            <w:shd w:val="clear" w:color="000000" w:fill="FFFFFF"/>
            <w:noWrap/>
            <w:vAlign w:val="center"/>
            <w:hideMark/>
          </w:tcPr>
          <w:p w14:paraId="12AD67EA"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14/03/2031</w:t>
            </w:r>
          </w:p>
        </w:tc>
        <w:tc>
          <w:tcPr>
            <w:tcW w:w="1233" w:type="dxa"/>
            <w:tcBorders>
              <w:top w:val="nil"/>
              <w:left w:val="nil"/>
              <w:bottom w:val="single" w:sz="4" w:space="0" w:color="auto"/>
              <w:right w:val="single" w:sz="4" w:space="0" w:color="auto"/>
            </w:tcBorders>
            <w:shd w:val="clear" w:color="000000" w:fill="FFFFFF"/>
            <w:vAlign w:val="center"/>
            <w:hideMark/>
          </w:tcPr>
          <w:p w14:paraId="2178460A"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TIIE</w:t>
            </w:r>
          </w:p>
        </w:tc>
        <w:tc>
          <w:tcPr>
            <w:tcW w:w="898" w:type="dxa"/>
            <w:tcBorders>
              <w:top w:val="nil"/>
              <w:left w:val="nil"/>
              <w:bottom w:val="single" w:sz="4" w:space="0" w:color="auto"/>
              <w:right w:val="single" w:sz="4" w:space="0" w:color="auto"/>
            </w:tcBorders>
            <w:shd w:val="clear" w:color="000000" w:fill="FFFFFF"/>
            <w:vAlign w:val="center"/>
            <w:hideMark/>
          </w:tcPr>
          <w:p w14:paraId="1E23B2CB"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0.52</w:t>
            </w:r>
          </w:p>
        </w:tc>
        <w:tc>
          <w:tcPr>
            <w:tcW w:w="2298" w:type="dxa"/>
            <w:tcBorders>
              <w:top w:val="nil"/>
              <w:left w:val="nil"/>
              <w:bottom w:val="single" w:sz="4" w:space="0" w:color="auto"/>
              <w:right w:val="single" w:sz="4" w:space="0" w:color="auto"/>
            </w:tcBorders>
            <w:shd w:val="clear" w:color="000000" w:fill="FFFFFF"/>
            <w:vAlign w:val="center"/>
            <w:hideMark/>
          </w:tcPr>
          <w:p w14:paraId="5A8EE252"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Refinanciamiento</w:t>
            </w:r>
          </w:p>
        </w:tc>
      </w:tr>
      <w:tr w:rsidR="001E4416" w:rsidRPr="001E4416" w14:paraId="6865AF82" w14:textId="77777777" w:rsidTr="00B038D8">
        <w:trPr>
          <w:gridAfter w:val="1"/>
          <w:wAfter w:w="10" w:type="dxa"/>
          <w:trHeight w:val="255"/>
          <w:jc w:val="center"/>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672B30FF"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 xml:space="preserve">BANCOMER </w:t>
            </w:r>
          </w:p>
        </w:tc>
        <w:tc>
          <w:tcPr>
            <w:tcW w:w="1315" w:type="dxa"/>
            <w:tcBorders>
              <w:top w:val="nil"/>
              <w:left w:val="nil"/>
              <w:bottom w:val="single" w:sz="4" w:space="0" w:color="auto"/>
              <w:right w:val="single" w:sz="4" w:space="0" w:color="auto"/>
            </w:tcBorders>
            <w:shd w:val="clear" w:color="000000" w:fill="FFFFFF"/>
            <w:noWrap/>
            <w:vAlign w:val="center"/>
            <w:hideMark/>
          </w:tcPr>
          <w:p w14:paraId="7F03A5A3"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994,864,167</w:t>
            </w:r>
          </w:p>
        </w:tc>
        <w:tc>
          <w:tcPr>
            <w:tcW w:w="1495" w:type="dxa"/>
            <w:tcBorders>
              <w:top w:val="nil"/>
              <w:left w:val="nil"/>
              <w:bottom w:val="single" w:sz="4" w:space="0" w:color="auto"/>
              <w:right w:val="single" w:sz="4" w:space="0" w:color="auto"/>
            </w:tcBorders>
            <w:shd w:val="clear" w:color="000000" w:fill="FFFFFF"/>
            <w:noWrap/>
            <w:vAlign w:val="center"/>
            <w:hideMark/>
          </w:tcPr>
          <w:p w14:paraId="49F659D9"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946,088,820</w:t>
            </w:r>
          </w:p>
        </w:tc>
        <w:tc>
          <w:tcPr>
            <w:tcW w:w="1340" w:type="dxa"/>
            <w:tcBorders>
              <w:top w:val="nil"/>
              <w:left w:val="nil"/>
              <w:bottom w:val="single" w:sz="4" w:space="0" w:color="auto"/>
              <w:right w:val="single" w:sz="4" w:space="0" w:color="auto"/>
            </w:tcBorders>
            <w:shd w:val="clear" w:color="000000" w:fill="FFFFFF"/>
            <w:noWrap/>
            <w:vAlign w:val="center"/>
            <w:hideMark/>
          </w:tcPr>
          <w:p w14:paraId="0AE1A896"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13/11/2037</w:t>
            </w:r>
          </w:p>
        </w:tc>
        <w:tc>
          <w:tcPr>
            <w:tcW w:w="1233" w:type="dxa"/>
            <w:tcBorders>
              <w:top w:val="nil"/>
              <w:left w:val="nil"/>
              <w:bottom w:val="single" w:sz="4" w:space="0" w:color="auto"/>
              <w:right w:val="single" w:sz="4" w:space="0" w:color="auto"/>
            </w:tcBorders>
            <w:shd w:val="clear" w:color="000000" w:fill="FFFFFF"/>
            <w:vAlign w:val="center"/>
            <w:hideMark/>
          </w:tcPr>
          <w:p w14:paraId="0E0D324D"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TIIE</w:t>
            </w:r>
          </w:p>
        </w:tc>
        <w:tc>
          <w:tcPr>
            <w:tcW w:w="898" w:type="dxa"/>
            <w:tcBorders>
              <w:top w:val="nil"/>
              <w:left w:val="nil"/>
              <w:bottom w:val="single" w:sz="4" w:space="0" w:color="auto"/>
              <w:right w:val="single" w:sz="4" w:space="0" w:color="auto"/>
            </w:tcBorders>
            <w:shd w:val="clear" w:color="000000" w:fill="FFFFFF"/>
            <w:vAlign w:val="center"/>
            <w:hideMark/>
          </w:tcPr>
          <w:p w14:paraId="2B4F631B"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0.52</w:t>
            </w:r>
          </w:p>
        </w:tc>
        <w:tc>
          <w:tcPr>
            <w:tcW w:w="2298" w:type="dxa"/>
            <w:tcBorders>
              <w:top w:val="nil"/>
              <w:left w:val="nil"/>
              <w:bottom w:val="single" w:sz="4" w:space="0" w:color="auto"/>
              <w:right w:val="single" w:sz="4" w:space="0" w:color="auto"/>
            </w:tcBorders>
            <w:shd w:val="clear" w:color="000000" w:fill="FFFFFF"/>
            <w:vAlign w:val="center"/>
            <w:hideMark/>
          </w:tcPr>
          <w:p w14:paraId="1F99BFF4"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Refinanciamiento</w:t>
            </w:r>
          </w:p>
        </w:tc>
      </w:tr>
      <w:tr w:rsidR="001E4416" w:rsidRPr="001E4416" w14:paraId="3F0CB7A6" w14:textId="77777777" w:rsidTr="00B038D8">
        <w:trPr>
          <w:gridAfter w:val="1"/>
          <w:wAfter w:w="10" w:type="dxa"/>
          <w:trHeight w:val="255"/>
          <w:jc w:val="center"/>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200AED17"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 xml:space="preserve">BANORTE </w:t>
            </w:r>
          </w:p>
        </w:tc>
        <w:tc>
          <w:tcPr>
            <w:tcW w:w="1315" w:type="dxa"/>
            <w:tcBorders>
              <w:top w:val="nil"/>
              <w:left w:val="nil"/>
              <w:bottom w:val="single" w:sz="4" w:space="0" w:color="auto"/>
              <w:right w:val="single" w:sz="4" w:space="0" w:color="auto"/>
            </w:tcBorders>
            <w:shd w:val="clear" w:color="000000" w:fill="FFFFFF"/>
            <w:noWrap/>
            <w:vAlign w:val="center"/>
            <w:hideMark/>
          </w:tcPr>
          <w:p w14:paraId="5E363D2E"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1,500,000,000</w:t>
            </w:r>
          </w:p>
        </w:tc>
        <w:tc>
          <w:tcPr>
            <w:tcW w:w="1495" w:type="dxa"/>
            <w:tcBorders>
              <w:top w:val="nil"/>
              <w:left w:val="nil"/>
              <w:bottom w:val="single" w:sz="4" w:space="0" w:color="auto"/>
              <w:right w:val="single" w:sz="4" w:space="0" w:color="auto"/>
            </w:tcBorders>
            <w:shd w:val="clear" w:color="000000" w:fill="FFFFFF"/>
            <w:noWrap/>
            <w:vAlign w:val="center"/>
            <w:hideMark/>
          </w:tcPr>
          <w:p w14:paraId="61D605E5"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1,486,752,456</w:t>
            </w:r>
          </w:p>
        </w:tc>
        <w:tc>
          <w:tcPr>
            <w:tcW w:w="1340" w:type="dxa"/>
            <w:tcBorders>
              <w:top w:val="nil"/>
              <w:left w:val="nil"/>
              <w:bottom w:val="single" w:sz="4" w:space="0" w:color="auto"/>
              <w:right w:val="single" w:sz="4" w:space="0" w:color="auto"/>
            </w:tcBorders>
            <w:shd w:val="clear" w:color="000000" w:fill="FFFFFF"/>
            <w:noWrap/>
            <w:vAlign w:val="center"/>
            <w:hideMark/>
          </w:tcPr>
          <w:p w14:paraId="6AAD0984"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17/12/2040</w:t>
            </w:r>
          </w:p>
        </w:tc>
        <w:tc>
          <w:tcPr>
            <w:tcW w:w="1233" w:type="dxa"/>
            <w:tcBorders>
              <w:top w:val="nil"/>
              <w:left w:val="nil"/>
              <w:bottom w:val="single" w:sz="4" w:space="0" w:color="auto"/>
              <w:right w:val="single" w:sz="4" w:space="0" w:color="auto"/>
            </w:tcBorders>
            <w:shd w:val="clear" w:color="000000" w:fill="FFFFFF"/>
            <w:vAlign w:val="center"/>
            <w:hideMark/>
          </w:tcPr>
          <w:p w14:paraId="0B52F94E"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TIIE</w:t>
            </w:r>
          </w:p>
        </w:tc>
        <w:tc>
          <w:tcPr>
            <w:tcW w:w="898" w:type="dxa"/>
            <w:tcBorders>
              <w:top w:val="nil"/>
              <w:left w:val="nil"/>
              <w:bottom w:val="single" w:sz="4" w:space="0" w:color="auto"/>
              <w:right w:val="single" w:sz="4" w:space="0" w:color="auto"/>
            </w:tcBorders>
            <w:shd w:val="clear" w:color="000000" w:fill="FFFFFF"/>
            <w:vAlign w:val="center"/>
            <w:hideMark/>
          </w:tcPr>
          <w:p w14:paraId="0932CB7A"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1.65</w:t>
            </w:r>
          </w:p>
        </w:tc>
        <w:tc>
          <w:tcPr>
            <w:tcW w:w="2298" w:type="dxa"/>
            <w:tcBorders>
              <w:top w:val="nil"/>
              <w:left w:val="nil"/>
              <w:bottom w:val="single" w:sz="4" w:space="0" w:color="auto"/>
              <w:right w:val="single" w:sz="4" w:space="0" w:color="auto"/>
            </w:tcBorders>
            <w:shd w:val="clear" w:color="000000" w:fill="FFFFFF"/>
            <w:vAlign w:val="center"/>
            <w:hideMark/>
          </w:tcPr>
          <w:p w14:paraId="7CB4CC40"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Inversión Pública Productiva</w:t>
            </w:r>
          </w:p>
        </w:tc>
      </w:tr>
      <w:tr w:rsidR="001E4416" w:rsidRPr="001E4416" w14:paraId="651499A0" w14:textId="77777777" w:rsidTr="00B038D8">
        <w:trPr>
          <w:gridAfter w:val="1"/>
          <w:wAfter w:w="10" w:type="dxa"/>
          <w:trHeight w:val="255"/>
          <w:jc w:val="center"/>
        </w:trPr>
        <w:tc>
          <w:tcPr>
            <w:tcW w:w="1232" w:type="dxa"/>
            <w:tcBorders>
              <w:top w:val="nil"/>
              <w:left w:val="single" w:sz="4" w:space="0" w:color="auto"/>
              <w:bottom w:val="nil"/>
              <w:right w:val="single" w:sz="4" w:space="0" w:color="auto"/>
            </w:tcBorders>
            <w:shd w:val="clear" w:color="000000" w:fill="FFFFFF"/>
            <w:noWrap/>
            <w:vAlign w:val="center"/>
            <w:hideMark/>
          </w:tcPr>
          <w:p w14:paraId="65EE33A5"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BANORTE</w:t>
            </w:r>
          </w:p>
        </w:tc>
        <w:tc>
          <w:tcPr>
            <w:tcW w:w="1315" w:type="dxa"/>
            <w:tcBorders>
              <w:top w:val="nil"/>
              <w:left w:val="nil"/>
              <w:bottom w:val="nil"/>
              <w:right w:val="single" w:sz="4" w:space="0" w:color="auto"/>
            </w:tcBorders>
            <w:shd w:val="clear" w:color="000000" w:fill="FFFFFF"/>
            <w:noWrap/>
            <w:vAlign w:val="center"/>
            <w:hideMark/>
          </w:tcPr>
          <w:p w14:paraId="7E4020B2"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1,200,000,000</w:t>
            </w:r>
          </w:p>
        </w:tc>
        <w:tc>
          <w:tcPr>
            <w:tcW w:w="1495" w:type="dxa"/>
            <w:tcBorders>
              <w:top w:val="nil"/>
              <w:left w:val="nil"/>
              <w:bottom w:val="nil"/>
              <w:right w:val="single" w:sz="4" w:space="0" w:color="auto"/>
            </w:tcBorders>
            <w:shd w:val="clear" w:color="000000" w:fill="FFFFFF"/>
            <w:noWrap/>
            <w:vAlign w:val="center"/>
            <w:hideMark/>
          </w:tcPr>
          <w:p w14:paraId="7D33521C"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982,839,026</w:t>
            </w:r>
          </w:p>
        </w:tc>
        <w:tc>
          <w:tcPr>
            <w:tcW w:w="1340" w:type="dxa"/>
            <w:tcBorders>
              <w:top w:val="nil"/>
              <w:left w:val="nil"/>
              <w:bottom w:val="nil"/>
              <w:right w:val="single" w:sz="4" w:space="0" w:color="auto"/>
            </w:tcBorders>
            <w:shd w:val="clear" w:color="000000" w:fill="FFFFFF"/>
            <w:noWrap/>
            <w:vAlign w:val="center"/>
            <w:hideMark/>
          </w:tcPr>
          <w:p w14:paraId="34E1E958"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17/09/2041</w:t>
            </w:r>
          </w:p>
        </w:tc>
        <w:tc>
          <w:tcPr>
            <w:tcW w:w="1233" w:type="dxa"/>
            <w:tcBorders>
              <w:top w:val="nil"/>
              <w:left w:val="nil"/>
              <w:bottom w:val="nil"/>
              <w:right w:val="single" w:sz="4" w:space="0" w:color="auto"/>
            </w:tcBorders>
            <w:shd w:val="clear" w:color="000000" w:fill="FFFFFF"/>
            <w:vAlign w:val="center"/>
            <w:hideMark/>
          </w:tcPr>
          <w:p w14:paraId="59C1A178"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TIIE</w:t>
            </w:r>
          </w:p>
        </w:tc>
        <w:tc>
          <w:tcPr>
            <w:tcW w:w="898" w:type="dxa"/>
            <w:tcBorders>
              <w:top w:val="nil"/>
              <w:left w:val="nil"/>
              <w:bottom w:val="nil"/>
              <w:right w:val="single" w:sz="4" w:space="0" w:color="auto"/>
            </w:tcBorders>
            <w:shd w:val="clear" w:color="000000" w:fill="FFFFFF"/>
            <w:vAlign w:val="center"/>
            <w:hideMark/>
          </w:tcPr>
          <w:p w14:paraId="745C63E3"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1.75</w:t>
            </w:r>
          </w:p>
        </w:tc>
        <w:tc>
          <w:tcPr>
            <w:tcW w:w="2298" w:type="dxa"/>
            <w:tcBorders>
              <w:top w:val="nil"/>
              <w:left w:val="nil"/>
              <w:bottom w:val="nil"/>
              <w:right w:val="single" w:sz="4" w:space="0" w:color="auto"/>
            </w:tcBorders>
            <w:shd w:val="clear" w:color="000000" w:fill="FFFFFF"/>
            <w:vAlign w:val="center"/>
            <w:hideMark/>
          </w:tcPr>
          <w:p w14:paraId="1770FFDE"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Inversión Pública Productiva</w:t>
            </w:r>
          </w:p>
        </w:tc>
      </w:tr>
      <w:tr w:rsidR="001E4416" w:rsidRPr="001E4416" w14:paraId="7B1DD780" w14:textId="77777777" w:rsidTr="00B038D8">
        <w:trPr>
          <w:trHeight w:val="305"/>
          <w:jc w:val="center"/>
        </w:trPr>
        <w:tc>
          <w:tcPr>
            <w:tcW w:w="1232" w:type="dxa"/>
            <w:tcBorders>
              <w:top w:val="single" w:sz="8" w:space="0" w:color="auto"/>
              <w:left w:val="single" w:sz="8" w:space="0" w:color="auto"/>
              <w:bottom w:val="single" w:sz="8" w:space="0" w:color="auto"/>
              <w:right w:val="single" w:sz="8" w:space="0" w:color="auto"/>
            </w:tcBorders>
            <w:shd w:val="clear" w:color="auto" w:fill="DDC9A3"/>
            <w:noWrap/>
            <w:vAlign w:val="center"/>
            <w:hideMark/>
          </w:tcPr>
          <w:p w14:paraId="62566EE2" w14:textId="77777777" w:rsidR="001E4416" w:rsidRPr="001E4416" w:rsidRDefault="001E4416" w:rsidP="001E4416">
            <w:pPr>
              <w:spacing w:after="0" w:line="240" w:lineRule="auto"/>
              <w:rPr>
                <w:rFonts w:asciiTheme="minorHAnsi" w:eastAsia="Times New Roman" w:hAnsiTheme="minorHAnsi" w:cstheme="minorHAnsi"/>
                <w:b/>
                <w:bCs/>
                <w:color w:val="222B35"/>
                <w:sz w:val="14"/>
                <w:szCs w:val="14"/>
                <w:lang w:eastAsia="es-MX"/>
              </w:rPr>
            </w:pPr>
            <w:r w:rsidRPr="001E4416">
              <w:rPr>
                <w:rFonts w:asciiTheme="minorHAnsi" w:eastAsia="Times New Roman" w:hAnsiTheme="minorHAnsi" w:cstheme="minorHAnsi"/>
                <w:b/>
                <w:bCs/>
                <w:color w:val="222B35"/>
                <w:sz w:val="14"/>
                <w:szCs w:val="14"/>
                <w:lang w:eastAsia="es-MX"/>
              </w:rPr>
              <w:t>TOTALES</w:t>
            </w:r>
          </w:p>
        </w:tc>
        <w:tc>
          <w:tcPr>
            <w:tcW w:w="1315" w:type="dxa"/>
            <w:tcBorders>
              <w:top w:val="single" w:sz="8" w:space="0" w:color="auto"/>
              <w:left w:val="nil"/>
              <w:bottom w:val="single" w:sz="8" w:space="0" w:color="auto"/>
              <w:right w:val="single" w:sz="8" w:space="0" w:color="auto"/>
            </w:tcBorders>
            <w:shd w:val="clear" w:color="auto" w:fill="DDC9A3"/>
            <w:noWrap/>
            <w:vAlign w:val="center"/>
            <w:hideMark/>
          </w:tcPr>
          <w:p w14:paraId="28E8B330" w14:textId="77777777" w:rsidR="001E4416" w:rsidRPr="001E4416" w:rsidRDefault="001E4416" w:rsidP="001E4416">
            <w:pPr>
              <w:spacing w:after="0" w:line="240" w:lineRule="auto"/>
              <w:jc w:val="right"/>
              <w:rPr>
                <w:rFonts w:asciiTheme="minorHAnsi" w:eastAsia="Times New Roman" w:hAnsiTheme="minorHAnsi" w:cstheme="minorHAnsi"/>
                <w:b/>
                <w:bCs/>
                <w:color w:val="222B35"/>
                <w:sz w:val="14"/>
                <w:szCs w:val="14"/>
                <w:lang w:eastAsia="es-MX"/>
              </w:rPr>
            </w:pPr>
            <w:r w:rsidRPr="001E4416">
              <w:rPr>
                <w:rFonts w:asciiTheme="minorHAnsi" w:eastAsia="Times New Roman" w:hAnsiTheme="minorHAnsi" w:cstheme="minorHAnsi"/>
                <w:b/>
                <w:bCs/>
                <w:color w:val="222B35"/>
                <w:sz w:val="14"/>
                <w:szCs w:val="14"/>
                <w:lang w:eastAsia="es-MX"/>
              </w:rPr>
              <w:t>18,048,500,366</w:t>
            </w:r>
          </w:p>
        </w:tc>
        <w:tc>
          <w:tcPr>
            <w:tcW w:w="1495" w:type="dxa"/>
            <w:tcBorders>
              <w:top w:val="single" w:sz="8" w:space="0" w:color="auto"/>
              <w:left w:val="nil"/>
              <w:bottom w:val="single" w:sz="8" w:space="0" w:color="auto"/>
              <w:right w:val="single" w:sz="8" w:space="0" w:color="auto"/>
            </w:tcBorders>
            <w:shd w:val="clear" w:color="auto" w:fill="DDC9A3"/>
            <w:noWrap/>
            <w:vAlign w:val="center"/>
            <w:hideMark/>
          </w:tcPr>
          <w:p w14:paraId="022EFF2D" w14:textId="77777777" w:rsidR="001E4416" w:rsidRPr="001E4416" w:rsidRDefault="001E4416" w:rsidP="001E4416">
            <w:pPr>
              <w:spacing w:after="0" w:line="240" w:lineRule="auto"/>
              <w:jc w:val="right"/>
              <w:rPr>
                <w:rFonts w:asciiTheme="minorHAnsi" w:eastAsia="Times New Roman" w:hAnsiTheme="minorHAnsi" w:cstheme="minorHAnsi"/>
                <w:b/>
                <w:bCs/>
                <w:color w:val="222B35"/>
                <w:sz w:val="14"/>
                <w:szCs w:val="14"/>
                <w:lang w:eastAsia="es-MX"/>
              </w:rPr>
            </w:pPr>
            <w:r w:rsidRPr="001E4416">
              <w:rPr>
                <w:rFonts w:asciiTheme="minorHAnsi" w:eastAsia="Times New Roman" w:hAnsiTheme="minorHAnsi" w:cstheme="minorHAnsi"/>
                <w:b/>
                <w:bCs/>
                <w:color w:val="222B35"/>
                <w:sz w:val="14"/>
                <w:szCs w:val="14"/>
                <w:lang w:eastAsia="es-MX"/>
              </w:rPr>
              <w:t>15,833,324,062</w:t>
            </w:r>
          </w:p>
        </w:tc>
        <w:tc>
          <w:tcPr>
            <w:tcW w:w="5779" w:type="dxa"/>
            <w:gridSpan w:val="5"/>
            <w:tcBorders>
              <w:top w:val="single" w:sz="8" w:space="0" w:color="auto"/>
              <w:left w:val="nil"/>
              <w:bottom w:val="single" w:sz="8" w:space="0" w:color="auto"/>
              <w:right w:val="single" w:sz="8" w:space="0" w:color="000000"/>
            </w:tcBorders>
            <w:shd w:val="clear" w:color="auto" w:fill="DDC9A3"/>
            <w:noWrap/>
            <w:vAlign w:val="center"/>
            <w:hideMark/>
          </w:tcPr>
          <w:p w14:paraId="60000071" w14:textId="77777777" w:rsidR="001E4416" w:rsidRPr="001E4416" w:rsidRDefault="001E4416" w:rsidP="001E4416">
            <w:pPr>
              <w:spacing w:after="0" w:line="240" w:lineRule="auto"/>
              <w:jc w:val="center"/>
              <w:rPr>
                <w:rFonts w:asciiTheme="minorHAnsi" w:eastAsia="Times New Roman" w:hAnsiTheme="minorHAnsi" w:cstheme="minorHAnsi"/>
                <w:b/>
                <w:bCs/>
                <w:i/>
                <w:iCs/>
                <w:color w:val="222B35"/>
                <w:sz w:val="14"/>
                <w:szCs w:val="14"/>
                <w:lang w:eastAsia="es-MX"/>
              </w:rPr>
            </w:pPr>
            <w:r w:rsidRPr="001E4416">
              <w:rPr>
                <w:rFonts w:asciiTheme="minorHAnsi" w:eastAsia="Times New Roman" w:hAnsiTheme="minorHAnsi" w:cstheme="minorHAnsi"/>
                <w:b/>
                <w:bCs/>
                <w:i/>
                <w:iCs/>
                <w:color w:val="222B35"/>
                <w:sz w:val="14"/>
                <w:szCs w:val="14"/>
                <w:lang w:eastAsia="es-MX"/>
              </w:rPr>
              <w:t> </w:t>
            </w:r>
          </w:p>
        </w:tc>
      </w:tr>
    </w:tbl>
    <w:p w14:paraId="7F6ED918" w14:textId="77777777" w:rsidR="001E4416" w:rsidRPr="001E4416" w:rsidRDefault="001E4416" w:rsidP="00B07C73">
      <w:pPr>
        <w:pStyle w:val="INCISO"/>
        <w:spacing w:after="0" w:line="240" w:lineRule="exact"/>
        <w:ind w:left="0" w:firstLine="0"/>
        <w:rPr>
          <w:rFonts w:asciiTheme="minorHAnsi" w:hAnsiTheme="minorHAnsi" w:cstheme="minorHAnsi"/>
          <w:b/>
          <w:lang w:val="es-MX"/>
        </w:rPr>
      </w:pPr>
    </w:p>
    <w:p w14:paraId="70A351A6" w14:textId="77777777" w:rsidR="003D2F77" w:rsidRDefault="003D2F77" w:rsidP="00B43367">
      <w:pPr>
        <w:pStyle w:val="INCISO"/>
        <w:spacing w:after="0" w:line="240" w:lineRule="exact"/>
        <w:ind w:left="0" w:firstLine="0"/>
        <w:rPr>
          <w:rFonts w:asciiTheme="minorHAnsi" w:hAnsiTheme="minorHAnsi" w:cstheme="minorHAnsi"/>
          <w:b/>
          <w:sz w:val="20"/>
          <w:lang w:val="es-MX"/>
        </w:rPr>
      </w:pPr>
    </w:p>
    <w:p w14:paraId="42DF21CD" w14:textId="475DB2DB" w:rsidR="00B07C73" w:rsidRPr="00D93ED6" w:rsidRDefault="00B07C73" w:rsidP="00B43367">
      <w:pPr>
        <w:pStyle w:val="INCISO"/>
        <w:spacing w:after="0" w:line="240" w:lineRule="exact"/>
        <w:ind w:left="0" w:firstLine="0"/>
        <w:rPr>
          <w:rFonts w:asciiTheme="minorHAnsi" w:hAnsiTheme="minorHAnsi" w:cstheme="minorHAnsi"/>
          <w:b/>
          <w:sz w:val="20"/>
          <w:lang w:val="es-MX"/>
        </w:rPr>
      </w:pPr>
      <w:r w:rsidRPr="00D93ED6">
        <w:rPr>
          <w:rFonts w:asciiTheme="minorHAnsi" w:hAnsiTheme="minorHAnsi" w:cstheme="minorHAnsi"/>
          <w:b/>
          <w:sz w:val="20"/>
          <w:lang w:val="es-MX"/>
        </w:rPr>
        <w:t>Pago de la Deuda Pública (Amortización, Intereses, Comisiones).</w:t>
      </w:r>
    </w:p>
    <w:p w14:paraId="05209037" w14:textId="77777777" w:rsidR="00795B7D" w:rsidRPr="005F45A3" w:rsidRDefault="00795B7D" w:rsidP="00B07C73">
      <w:pPr>
        <w:pStyle w:val="INCISO"/>
        <w:spacing w:after="0" w:line="240" w:lineRule="exact"/>
        <w:ind w:left="0" w:firstLine="0"/>
        <w:rPr>
          <w:rFonts w:asciiTheme="minorHAnsi" w:hAnsiTheme="minorHAnsi" w:cstheme="minorHAnsi"/>
          <w:b/>
          <w:lang w:val="es-MX"/>
        </w:rPr>
      </w:pPr>
    </w:p>
    <w:tbl>
      <w:tblPr>
        <w:tblW w:w="9382" w:type="dxa"/>
        <w:tblCellMar>
          <w:left w:w="70" w:type="dxa"/>
          <w:right w:w="70" w:type="dxa"/>
        </w:tblCellMar>
        <w:tblLook w:val="04A0" w:firstRow="1" w:lastRow="0" w:firstColumn="1" w:lastColumn="0" w:noHBand="0" w:noVBand="1"/>
      </w:tblPr>
      <w:tblGrid>
        <w:gridCol w:w="1413"/>
        <w:gridCol w:w="1380"/>
        <w:gridCol w:w="1280"/>
        <w:gridCol w:w="1309"/>
        <w:gridCol w:w="1400"/>
        <w:gridCol w:w="1420"/>
        <w:gridCol w:w="1180"/>
      </w:tblGrid>
      <w:tr w:rsidR="004C579E" w:rsidRPr="004C579E" w14:paraId="641EAFFC" w14:textId="77777777" w:rsidTr="00B43367">
        <w:trPr>
          <w:trHeight w:val="740"/>
        </w:trPr>
        <w:tc>
          <w:tcPr>
            <w:tcW w:w="1413"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23D95BF3" w14:textId="77777777" w:rsidR="004C579E" w:rsidRPr="004C579E" w:rsidRDefault="004C579E" w:rsidP="004C579E">
            <w:pPr>
              <w:spacing w:after="0" w:line="240" w:lineRule="auto"/>
              <w:rPr>
                <w:rFonts w:asciiTheme="minorHAnsi" w:eastAsia="Times New Roman" w:hAnsiTheme="minorHAnsi" w:cstheme="minorHAnsi"/>
                <w:b/>
                <w:bCs/>
                <w:color w:val="FFFFFF"/>
                <w:sz w:val="16"/>
                <w:szCs w:val="16"/>
                <w:lang w:eastAsia="es-MX"/>
              </w:rPr>
            </w:pPr>
            <w:r w:rsidRPr="004C579E">
              <w:rPr>
                <w:rFonts w:asciiTheme="minorHAnsi" w:eastAsia="Times New Roman" w:hAnsiTheme="minorHAnsi" w:cstheme="minorHAnsi"/>
                <w:b/>
                <w:bCs/>
                <w:color w:val="FFFFFF"/>
                <w:sz w:val="16"/>
                <w:szCs w:val="16"/>
                <w:lang w:eastAsia="es-MX"/>
              </w:rPr>
              <w:t>ACREEDOR</w:t>
            </w:r>
          </w:p>
        </w:tc>
        <w:tc>
          <w:tcPr>
            <w:tcW w:w="1380" w:type="dxa"/>
            <w:tcBorders>
              <w:top w:val="single" w:sz="4" w:space="0" w:color="auto"/>
              <w:left w:val="nil"/>
              <w:bottom w:val="single" w:sz="4" w:space="0" w:color="auto"/>
              <w:right w:val="single" w:sz="4" w:space="0" w:color="auto"/>
            </w:tcBorders>
            <w:shd w:val="clear" w:color="000000" w:fill="AB0033"/>
            <w:vAlign w:val="center"/>
            <w:hideMark/>
          </w:tcPr>
          <w:p w14:paraId="64A938E4" w14:textId="77777777" w:rsidR="004C579E" w:rsidRPr="004C579E" w:rsidRDefault="004C579E" w:rsidP="004C579E">
            <w:pPr>
              <w:spacing w:after="0" w:line="240" w:lineRule="auto"/>
              <w:jc w:val="center"/>
              <w:rPr>
                <w:rFonts w:asciiTheme="minorHAnsi" w:eastAsia="Times New Roman" w:hAnsiTheme="minorHAnsi" w:cstheme="minorHAnsi"/>
                <w:b/>
                <w:bCs/>
                <w:color w:val="FFFFFF"/>
                <w:sz w:val="16"/>
                <w:szCs w:val="16"/>
                <w:lang w:eastAsia="es-MX"/>
              </w:rPr>
            </w:pPr>
            <w:r w:rsidRPr="004C579E">
              <w:rPr>
                <w:rFonts w:asciiTheme="minorHAnsi" w:eastAsia="Times New Roman" w:hAnsiTheme="minorHAnsi" w:cstheme="minorHAnsi"/>
                <w:b/>
                <w:bCs/>
                <w:color w:val="FFFFFF"/>
                <w:sz w:val="16"/>
                <w:szCs w:val="16"/>
                <w:lang w:eastAsia="es-MX"/>
              </w:rPr>
              <w:t>Saldo al 31 de Diciembre de 2021</w:t>
            </w:r>
          </w:p>
        </w:tc>
        <w:tc>
          <w:tcPr>
            <w:tcW w:w="1280" w:type="dxa"/>
            <w:tcBorders>
              <w:top w:val="single" w:sz="4" w:space="0" w:color="auto"/>
              <w:left w:val="nil"/>
              <w:bottom w:val="single" w:sz="4" w:space="0" w:color="auto"/>
              <w:right w:val="single" w:sz="4" w:space="0" w:color="auto"/>
            </w:tcBorders>
            <w:shd w:val="clear" w:color="000000" w:fill="AB0033"/>
            <w:vAlign w:val="center"/>
            <w:hideMark/>
          </w:tcPr>
          <w:p w14:paraId="4AF864D6" w14:textId="77777777" w:rsidR="004C579E" w:rsidRPr="004C579E" w:rsidRDefault="004C579E" w:rsidP="004C579E">
            <w:pPr>
              <w:spacing w:after="0" w:line="240" w:lineRule="auto"/>
              <w:jc w:val="center"/>
              <w:rPr>
                <w:rFonts w:asciiTheme="minorHAnsi" w:eastAsia="Times New Roman" w:hAnsiTheme="minorHAnsi" w:cstheme="minorHAnsi"/>
                <w:b/>
                <w:bCs/>
                <w:color w:val="FFFFFF"/>
                <w:sz w:val="16"/>
                <w:szCs w:val="16"/>
                <w:lang w:eastAsia="es-MX"/>
              </w:rPr>
            </w:pPr>
            <w:r w:rsidRPr="004C579E">
              <w:rPr>
                <w:rFonts w:asciiTheme="minorHAnsi" w:eastAsia="Times New Roman" w:hAnsiTheme="minorHAnsi" w:cstheme="minorHAnsi"/>
                <w:b/>
                <w:bCs/>
                <w:color w:val="FFFFFF"/>
                <w:sz w:val="16"/>
                <w:szCs w:val="16"/>
                <w:lang w:eastAsia="es-MX"/>
              </w:rPr>
              <w:t>Disposiciones</w:t>
            </w:r>
          </w:p>
        </w:tc>
        <w:tc>
          <w:tcPr>
            <w:tcW w:w="1309" w:type="dxa"/>
            <w:tcBorders>
              <w:top w:val="single" w:sz="4" w:space="0" w:color="auto"/>
              <w:left w:val="nil"/>
              <w:bottom w:val="single" w:sz="4" w:space="0" w:color="auto"/>
              <w:right w:val="single" w:sz="4" w:space="0" w:color="auto"/>
            </w:tcBorders>
            <w:shd w:val="clear" w:color="000000" w:fill="AB0033"/>
            <w:vAlign w:val="center"/>
            <w:hideMark/>
          </w:tcPr>
          <w:p w14:paraId="36412FB3" w14:textId="77777777" w:rsidR="004C579E" w:rsidRPr="004C579E" w:rsidRDefault="004C579E" w:rsidP="004C579E">
            <w:pPr>
              <w:spacing w:after="0" w:line="240" w:lineRule="auto"/>
              <w:jc w:val="center"/>
              <w:rPr>
                <w:rFonts w:asciiTheme="minorHAnsi" w:eastAsia="Times New Roman" w:hAnsiTheme="minorHAnsi" w:cstheme="minorHAnsi"/>
                <w:b/>
                <w:bCs/>
                <w:color w:val="FFFFFF"/>
                <w:sz w:val="16"/>
                <w:szCs w:val="16"/>
                <w:lang w:eastAsia="es-MX"/>
              </w:rPr>
            </w:pPr>
            <w:r w:rsidRPr="004C579E">
              <w:rPr>
                <w:rFonts w:asciiTheme="minorHAnsi" w:eastAsia="Times New Roman" w:hAnsiTheme="minorHAnsi" w:cstheme="minorHAnsi"/>
                <w:b/>
                <w:bCs/>
                <w:color w:val="FFFFFF"/>
                <w:sz w:val="16"/>
                <w:szCs w:val="16"/>
                <w:lang w:eastAsia="es-MX"/>
              </w:rPr>
              <w:t>Amortizaciones</w:t>
            </w:r>
          </w:p>
        </w:tc>
        <w:tc>
          <w:tcPr>
            <w:tcW w:w="1400" w:type="dxa"/>
            <w:tcBorders>
              <w:top w:val="single" w:sz="4" w:space="0" w:color="auto"/>
              <w:left w:val="nil"/>
              <w:bottom w:val="single" w:sz="4" w:space="0" w:color="auto"/>
              <w:right w:val="single" w:sz="4" w:space="0" w:color="auto"/>
            </w:tcBorders>
            <w:shd w:val="clear" w:color="000000" w:fill="AB0033"/>
            <w:vAlign w:val="center"/>
            <w:hideMark/>
          </w:tcPr>
          <w:p w14:paraId="7DCFA437" w14:textId="77777777" w:rsidR="004C579E" w:rsidRPr="004C579E" w:rsidRDefault="004C579E" w:rsidP="004C579E">
            <w:pPr>
              <w:spacing w:after="0" w:line="240" w:lineRule="auto"/>
              <w:jc w:val="center"/>
              <w:rPr>
                <w:rFonts w:asciiTheme="minorHAnsi" w:eastAsia="Times New Roman" w:hAnsiTheme="minorHAnsi" w:cstheme="minorHAnsi"/>
                <w:b/>
                <w:bCs/>
                <w:color w:val="FFFFFF"/>
                <w:sz w:val="16"/>
                <w:szCs w:val="16"/>
                <w:lang w:eastAsia="es-MX"/>
              </w:rPr>
            </w:pPr>
            <w:r w:rsidRPr="004C579E">
              <w:rPr>
                <w:rFonts w:asciiTheme="minorHAnsi" w:eastAsia="Times New Roman" w:hAnsiTheme="minorHAnsi" w:cstheme="minorHAnsi"/>
                <w:b/>
                <w:bCs/>
                <w:color w:val="FFFFFF"/>
                <w:sz w:val="16"/>
                <w:szCs w:val="16"/>
                <w:lang w:eastAsia="es-MX"/>
              </w:rPr>
              <w:t>Saldo al 31 de Diciembre de 2022</w:t>
            </w:r>
          </w:p>
        </w:tc>
        <w:tc>
          <w:tcPr>
            <w:tcW w:w="1420" w:type="dxa"/>
            <w:tcBorders>
              <w:top w:val="single" w:sz="4" w:space="0" w:color="auto"/>
              <w:left w:val="nil"/>
              <w:bottom w:val="single" w:sz="4" w:space="0" w:color="auto"/>
              <w:right w:val="single" w:sz="4" w:space="0" w:color="auto"/>
            </w:tcBorders>
            <w:shd w:val="clear" w:color="000000" w:fill="AB0033"/>
            <w:vAlign w:val="center"/>
            <w:hideMark/>
          </w:tcPr>
          <w:p w14:paraId="21DBC90B" w14:textId="77777777" w:rsidR="004C579E" w:rsidRPr="004C579E" w:rsidRDefault="004C579E" w:rsidP="004C579E">
            <w:pPr>
              <w:spacing w:after="0" w:line="240" w:lineRule="auto"/>
              <w:jc w:val="center"/>
              <w:rPr>
                <w:rFonts w:asciiTheme="minorHAnsi" w:eastAsia="Times New Roman" w:hAnsiTheme="minorHAnsi" w:cstheme="minorHAnsi"/>
                <w:b/>
                <w:bCs/>
                <w:color w:val="FFFFFF"/>
                <w:sz w:val="16"/>
                <w:szCs w:val="16"/>
                <w:lang w:eastAsia="es-MX"/>
              </w:rPr>
            </w:pPr>
            <w:r w:rsidRPr="004C579E">
              <w:rPr>
                <w:rFonts w:asciiTheme="minorHAnsi" w:eastAsia="Times New Roman" w:hAnsiTheme="minorHAnsi" w:cstheme="minorHAnsi"/>
                <w:b/>
                <w:bCs/>
                <w:color w:val="FFFFFF"/>
                <w:sz w:val="16"/>
                <w:szCs w:val="16"/>
                <w:lang w:eastAsia="es-MX"/>
              </w:rPr>
              <w:t>Intereses</w:t>
            </w:r>
          </w:p>
        </w:tc>
        <w:tc>
          <w:tcPr>
            <w:tcW w:w="1180" w:type="dxa"/>
            <w:tcBorders>
              <w:top w:val="single" w:sz="4" w:space="0" w:color="auto"/>
              <w:left w:val="nil"/>
              <w:bottom w:val="single" w:sz="4" w:space="0" w:color="auto"/>
              <w:right w:val="single" w:sz="4" w:space="0" w:color="auto"/>
            </w:tcBorders>
            <w:shd w:val="clear" w:color="000000" w:fill="AB0033"/>
            <w:vAlign w:val="center"/>
            <w:hideMark/>
          </w:tcPr>
          <w:p w14:paraId="07BC769A" w14:textId="77777777" w:rsidR="004C579E" w:rsidRPr="004C579E" w:rsidRDefault="004C579E" w:rsidP="004C579E">
            <w:pPr>
              <w:spacing w:after="0" w:line="240" w:lineRule="auto"/>
              <w:jc w:val="center"/>
              <w:rPr>
                <w:rFonts w:asciiTheme="minorHAnsi" w:eastAsia="Times New Roman" w:hAnsiTheme="minorHAnsi" w:cstheme="minorHAnsi"/>
                <w:b/>
                <w:bCs/>
                <w:color w:val="FFFFFF"/>
                <w:sz w:val="16"/>
                <w:szCs w:val="16"/>
                <w:lang w:eastAsia="es-MX"/>
              </w:rPr>
            </w:pPr>
            <w:r w:rsidRPr="004C579E">
              <w:rPr>
                <w:rFonts w:asciiTheme="minorHAnsi" w:eastAsia="Times New Roman" w:hAnsiTheme="minorHAnsi" w:cstheme="minorHAnsi"/>
                <w:b/>
                <w:bCs/>
                <w:color w:val="FFFFFF"/>
                <w:sz w:val="16"/>
                <w:szCs w:val="16"/>
                <w:lang w:eastAsia="es-MX"/>
              </w:rPr>
              <w:t>Costo SWAP</w:t>
            </w:r>
          </w:p>
        </w:tc>
      </w:tr>
      <w:tr w:rsidR="004C579E" w:rsidRPr="004C579E" w14:paraId="429A7ED7"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8523FAD"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BANCOMER 1'000  MDP</w:t>
            </w:r>
          </w:p>
        </w:tc>
        <w:tc>
          <w:tcPr>
            <w:tcW w:w="1380" w:type="dxa"/>
            <w:tcBorders>
              <w:top w:val="nil"/>
              <w:left w:val="nil"/>
              <w:bottom w:val="single" w:sz="4" w:space="0" w:color="auto"/>
              <w:right w:val="single" w:sz="4" w:space="0" w:color="auto"/>
            </w:tcBorders>
            <w:shd w:val="clear" w:color="auto" w:fill="auto"/>
            <w:noWrap/>
            <w:vAlign w:val="center"/>
            <w:hideMark/>
          </w:tcPr>
          <w:p w14:paraId="56617D41"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444,139,215</w:t>
            </w:r>
          </w:p>
        </w:tc>
        <w:tc>
          <w:tcPr>
            <w:tcW w:w="1280" w:type="dxa"/>
            <w:tcBorders>
              <w:top w:val="nil"/>
              <w:left w:val="nil"/>
              <w:bottom w:val="single" w:sz="4" w:space="0" w:color="auto"/>
              <w:right w:val="single" w:sz="4" w:space="0" w:color="auto"/>
            </w:tcBorders>
            <w:shd w:val="clear" w:color="auto" w:fill="auto"/>
            <w:noWrap/>
            <w:vAlign w:val="center"/>
            <w:hideMark/>
          </w:tcPr>
          <w:p w14:paraId="750F034C"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14:paraId="5BFE6EE6"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54,945,060</w:t>
            </w:r>
          </w:p>
        </w:tc>
        <w:tc>
          <w:tcPr>
            <w:tcW w:w="1400" w:type="dxa"/>
            <w:tcBorders>
              <w:top w:val="nil"/>
              <w:left w:val="nil"/>
              <w:bottom w:val="single" w:sz="4" w:space="0" w:color="auto"/>
              <w:right w:val="single" w:sz="4" w:space="0" w:color="auto"/>
            </w:tcBorders>
            <w:shd w:val="clear" w:color="000000" w:fill="FFFFFF"/>
            <w:noWrap/>
            <w:vAlign w:val="center"/>
            <w:hideMark/>
          </w:tcPr>
          <w:p w14:paraId="4AF143CC"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389,194,155</w:t>
            </w:r>
          </w:p>
        </w:tc>
        <w:tc>
          <w:tcPr>
            <w:tcW w:w="1420" w:type="dxa"/>
            <w:tcBorders>
              <w:top w:val="nil"/>
              <w:left w:val="nil"/>
              <w:bottom w:val="single" w:sz="4" w:space="0" w:color="auto"/>
              <w:right w:val="single" w:sz="4" w:space="0" w:color="auto"/>
            </w:tcBorders>
            <w:shd w:val="clear" w:color="auto" w:fill="auto"/>
            <w:noWrap/>
            <w:vAlign w:val="center"/>
            <w:hideMark/>
          </w:tcPr>
          <w:p w14:paraId="24C2C593"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35,022,561</w:t>
            </w:r>
          </w:p>
        </w:tc>
        <w:tc>
          <w:tcPr>
            <w:tcW w:w="1180" w:type="dxa"/>
            <w:tcBorders>
              <w:top w:val="nil"/>
              <w:left w:val="nil"/>
              <w:bottom w:val="single" w:sz="4" w:space="0" w:color="auto"/>
              <w:right w:val="single" w:sz="4" w:space="0" w:color="auto"/>
            </w:tcBorders>
            <w:shd w:val="clear" w:color="auto" w:fill="auto"/>
            <w:noWrap/>
            <w:vAlign w:val="center"/>
            <w:hideMark/>
          </w:tcPr>
          <w:p w14:paraId="5F22516C"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r>
      <w:tr w:rsidR="004C579E" w:rsidRPr="004C579E" w14:paraId="20DF14B9"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C00D972"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*BANOBRAS 183 MDP</w:t>
            </w:r>
          </w:p>
        </w:tc>
        <w:tc>
          <w:tcPr>
            <w:tcW w:w="1380" w:type="dxa"/>
            <w:tcBorders>
              <w:top w:val="nil"/>
              <w:left w:val="nil"/>
              <w:bottom w:val="single" w:sz="4" w:space="0" w:color="auto"/>
              <w:right w:val="single" w:sz="4" w:space="0" w:color="auto"/>
            </w:tcBorders>
            <w:shd w:val="clear" w:color="auto" w:fill="auto"/>
            <w:noWrap/>
            <w:vAlign w:val="center"/>
            <w:hideMark/>
          </w:tcPr>
          <w:p w14:paraId="07A2AE01"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91,078,520</w:t>
            </w:r>
          </w:p>
        </w:tc>
        <w:tc>
          <w:tcPr>
            <w:tcW w:w="1280" w:type="dxa"/>
            <w:tcBorders>
              <w:top w:val="nil"/>
              <w:left w:val="nil"/>
              <w:bottom w:val="single" w:sz="4" w:space="0" w:color="auto"/>
              <w:right w:val="single" w:sz="4" w:space="0" w:color="auto"/>
            </w:tcBorders>
            <w:shd w:val="clear" w:color="auto" w:fill="auto"/>
            <w:noWrap/>
            <w:vAlign w:val="center"/>
            <w:hideMark/>
          </w:tcPr>
          <w:p w14:paraId="06FA09B3"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14:paraId="4152C762"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6,149,183</w:t>
            </w:r>
          </w:p>
        </w:tc>
        <w:tc>
          <w:tcPr>
            <w:tcW w:w="1400" w:type="dxa"/>
            <w:tcBorders>
              <w:top w:val="nil"/>
              <w:left w:val="nil"/>
              <w:bottom w:val="single" w:sz="4" w:space="0" w:color="auto"/>
              <w:right w:val="single" w:sz="4" w:space="0" w:color="auto"/>
            </w:tcBorders>
            <w:shd w:val="clear" w:color="000000" w:fill="FFFFFF"/>
            <w:noWrap/>
            <w:vAlign w:val="center"/>
            <w:hideMark/>
          </w:tcPr>
          <w:p w14:paraId="1FB7CCA6"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84,929,337</w:t>
            </w:r>
          </w:p>
        </w:tc>
        <w:tc>
          <w:tcPr>
            <w:tcW w:w="1420" w:type="dxa"/>
            <w:tcBorders>
              <w:top w:val="nil"/>
              <w:left w:val="nil"/>
              <w:bottom w:val="single" w:sz="4" w:space="0" w:color="auto"/>
              <w:right w:val="single" w:sz="4" w:space="0" w:color="auto"/>
            </w:tcBorders>
            <w:shd w:val="clear" w:color="auto" w:fill="auto"/>
            <w:noWrap/>
            <w:vAlign w:val="center"/>
            <w:hideMark/>
          </w:tcPr>
          <w:p w14:paraId="6932D22C"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14,173,234</w:t>
            </w:r>
          </w:p>
        </w:tc>
        <w:tc>
          <w:tcPr>
            <w:tcW w:w="1180" w:type="dxa"/>
            <w:tcBorders>
              <w:top w:val="nil"/>
              <w:left w:val="nil"/>
              <w:bottom w:val="single" w:sz="4" w:space="0" w:color="auto"/>
              <w:right w:val="single" w:sz="4" w:space="0" w:color="auto"/>
            </w:tcBorders>
            <w:shd w:val="clear" w:color="auto" w:fill="auto"/>
            <w:noWrap/>
            <w:vAlign w:val="center"/>
            <w:hideMark/>
          </w:tcPr>
          <w:p w14:paraId="5DB5C1F7"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r>
      <w:tr w:rsidR="004C579E" w:rsidRPr="004C579E" w14:paraId="428B49FC"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92AB794"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*BANOBRAS 187 MDP</w:t>
            </w:r>
          </w:p>
        </w:tc>
        <w:tc>
          <w:tcPr>
            <w:tcW w:w="1380" w:type="dxa"/>
            <w:tcBorders>
              <w:top w:val="nil"/>
              <w:left w:val="nil"/>
              <w:bottom w:val="single" w:sz="4" w:space="0" w:color="auto"/>
              <w:right w:val="single" w:sz="4" w:space="0" w:color="auto"/>
            </w:tcBorders>
            <w:shd w:val="clear" w:color="auto" w:fill="auto"/>
            <w:noWrap/>
            <w:vAlign w:val="center"/>
            <w:hideMark/>
          </w:tcPr>
          <w:p w14:paraId="66D16F59"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103,813,465</w:t>
            </w:r>
          </w:p>
        </w:tc>
        <w:tc>
          <w:tcPr>
            <w:tcW w:w="1280" w:type="dxa"/>
            <w:tcBorders>
              <w:top w:val="nil"/>
              <w:left w:val="nil"/>
              <w:bottom w:val="single" w:sz="4" w:space="0" w:color="auto"/>
              <w:right w:val="single" w:sz="4" w:space="0" w:color="auto"/>
            </w:tcBorders>
            <w:shd w:val="clear" w:color="auto" w:fill="auto"/>
            <w:noWrap/>
            <w:vAlign w:val="center"/>
            <w:hideMark/>
          </w:tcPr>
          <w:p w14:paraId="0BA98738"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14:paraId="01B539AD"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7,008,985</w:t>
            </w:r>
          </w:p>
        </w:tc>
        <w:tc>
          <w:tcPr>
            <w:tcW w:w="1400" w:type="dxa"/>
            <w:tcBorders>
              <w:top w:val="nil"/>
              <w:left w:val="nil"/>
              <w:bottom w:val="single" w:sz="4" w:space="0" w:color="auto"/>
              <w:right w:val="single" w:sz="4" w:space="0" w:color="auto"/>
            </w:tcBorders>
            <w:shd w:val="clear" w:color="000000" w:fill="FFFFFF"/>
            <w:noWrap/>
            <w:vAlign w:val="center"/>
            <w:hideMark/>
          </w:tcPr>
          <w:p w14:paraId="20725C85"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96,804,480</w:t>
            </w:r>
          </w:p>
        </w:tc>
        <w:tc>
          <w:tcPr>
            <w:tcW w:w="1420" w:type="dxa"/>
            <w:tcBorders>
              <w:top w:val="nil"/>
              <w:left w:val="nil"/>
              <w:bottom w:val="single" w:sz="4" w:space="0" w:color="auto"/>
              <w:right w:val="single" w:sz="4" w:space="0" w:color="auto"/>
            </w:tcBorders>
            <w:shd w:val="clear" w:color="auto" w:fill="auto"/>
            <w:noWrap/>
            <w:vAlign w:val="center"/>
            <w:hideMark/>
          </w:tcPr>
          <w:p w14:paraId="5E541669"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16,139,504</w:t>
            </w:r>
          </w:p>
        </w:tc>
        <w:tc>
          <w:tcPr>
            <w:tcW w:w="1180" w:type="dxa"/>
            <w:tcBorders>
              <w:top w:val="nil"/>
              <w:left w:val="nil"/>
              <w:bottom w:val="single" w:sz="4" w:space="0" w:color="auto"/>
              <w:right w:val="single" w:sz="4" w:space="0" w:color="auto"/>
            </w:tcBorders>
            <w:shd w:val="clear" w:color="auto" w:fill="auto"/>
            <w:noWrap/>
            <w:vAlign w:val="center"/>
            <w:hideMark/>
          </w:tcPr>
          <w:p w14:paraId="5AEC9E8C"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r>
      <w:tr w:rsidR="004C579E" w:rsidRPr="004C579E" w14:paraId="08CA18AA"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4A21C50"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BANOBRAS 250 MDP</w:t>
            </w:r>
          </w:p>
        </w:tc>
        <w:tc>
          <w:tcPr>
            <w:tcW w:w="1380" w:type="dxa"/>
            <w:tcBorders>
              <w:top w:val="nil"/>
              <w:left w:val="nil"/>
              <w:bottom w:val="single" w:sz="4" w:space="0" w:color="auto"/>
              <w:right w:val="single" w:sz="4" w:space="0" w:color="auto"/>
            </w:tcBorders>
            <w:shd w:val="clear" w:color="auto" w:fill="auto"/>
            <w:noWrap/>
            <w:vAlign w:val="center"/>
            <w:hideMark/>
          </w:tcPr>
          <w:p w14:paraId="0A252C1E"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40,002,947</w:t>
            </w:r>
          </w:p>
        </w:tc>
        <w:tc>
          <w:tcPr>
            <w:tcW w:w="1280" w:type="dxa"/>
            <w:tcBorders>
              <w:top w:val="nil"/>
              <w:left w:val="nil"/>
              <w:bottom w:val="single" w:sz="4" w:space="0" w:color="auto"/>
              <w:right w:val="single" w:sz="4" w:space="0" w:color="auto"/>
            </w:tcBorders>
            <w:shd w:val="clear" w:color="auto" w:fill="auto"/>
            <w:noWrap/>
            <w:vAlign w:val="center"/>
            <w:hideMark/>
          </w:tcPr>
          <w:p w14:paraId="4F1A2289"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14:paraId="38ABBEFB"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17,144,120</w:t>
            </w:r>
          </w:p>
        </w:tc>
        <w:tc>
          <w:tcPr>
            <w:tcW w:w="1400" w:type="dxa"/>
            <w:tcBorders>
              <w:top w:val="nil"/>
              <w:left w:val="nil"/>
              <w:bottom w:val="single" w:sz="4" w:space="0" w:color="auto"/>
              <w:right w:val="single" w:sz="4" w:space="0" w:color="auto"/>
            </w:tcBorders>
            <w:shd w:val="clear" w:color="000000" w:fill="FFFFFF"/>
            <w:noWrap/>
            <w:vAlign w:val="center"/>
            <w:hideMark/>
          </w:tcPr>
          <w:p w14:paraId="2FCA7B86"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22,858,827</w:t>
            </w:r>
          </w:p>
        </w:tc>
        <w:tc>
          <w:tcPr>
            <w:tcW w:w="1420" w:type="dxa"/>
            <w:tcBorders>
              <w:top w:val="nil"/>
              <w:left w:val="nil"/>
              <w:bottom w:val="single" w:sz="4" w:space="0" w:color="auto"/>
              <w:right w:val="single" w:sz="4" w:space="0" w:color="auto"/>
            </w:tcBorders>
            <w:shd w:val="clear" w:color="auto" w:fill="auto"/>
            <w:noWrap/>
            <w:vAlign w:val="center"/>
            <w:hideMark/>
          </w:tcPr>
          <w:p w14:paraId="05F1A371"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2,640,141</w:t>
            </w:r>
          </w:p>
        </w:tc>
        <w:tc>
          <w:tcPr>
            <w:tcW w:w="1180" w:type="dxa"/>
            <w:tcBorders>
              <w:top w:val="nil"/>
              <w:left w:val="nil"/>
              <w:bottom w:val="single" w:sz="4" w:space="0" w:color="auto"/>
              <w:right w:val="single" w:sz="4" w:space="0" w:color="auto"/>
            </w:tcBorders>
            <w:shd w:val="clear" w:color="auto" w:fill="auto"/>
            <w:noWrap/>
            <w:vAlign w:val="center"/>
            <w:hideMark/>
          </w:tcPr>
          <w:p w14:paraId="2217DEC6"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r>
      <w:tr w:rsidR="004C579E" w:rsidRPr="004C579E" w14:paraId="58129CF2"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C20F737"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BANOBRAS 113 MDP</w:t>
            </w:r>
          </w:p>
        </w:tc>
        <w:tc>
          <w:tcPr>
            <w:tcW w:w="1380" w:type="dxa"/>
            <w:tcBorders>
              <w:top w:val="nil"/>
              <w:left w:val="nil"/>
              <w:bottom w:val="single" w:sz="4" w:space="0" w:color="auto"/>
              <w:right w:val="single" w:sz="4" w:space="0" w:color="auto"/>
            </w:tcBorders>
            <w:shd w:val="clear" w:color="auto" w:fill="auto"/>
            <w:noWrap/>
            <w:vAlign w:val="center"/>
            <w:hideMark/>
          </w:tcPr>
          <w:p w14:paraId="27B8E16F"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31,530,688</w:t>
            </w:r>
          </w:p>
        </w:tc>
        <w:tc>
          <w:tcPr>
            <w:tcW w:w="1280" w:type="dxa"/>
            <w:tcBorders>
              <w:top w:val="nil"/>
              <w:left w:val="nil"/>
              <w:bottom w:val="single" w:sz="4" w:space="0" w:color="auto"/>
              <w:right w:val="single" w:sz="4" w:space="0" w:color="auto"/>
            </w:tcBorders>
            <w:shd w:val="clear" w:color="auto" w:fill="auto"/>
            <w:noWrap/>
            <w:vAlign w:val="center"/>
            <w:hideMark/>
          </w:tcPr>
          <w:p w14:paraId="7AAD1ABD"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14:paraId="5DE7C66F"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9,701,750</w:t>
            </w:r>
          </w:p>
        </w:tc>
        <w:tc>
          <w:tcPr>
            <w:tcW w:w="1400" w:type="dxa"/>
            <w:tcBorders>
              <w:top w:val="nil"/>
              <w:left w:val="nil"/>
              <w:bottom w:val="single" w:sz="4" w:space="0" w:color="auto"/>
              <w:right w:val="single" w:sz="4" w:space="0" w:color="auto"/>
            </w:tcBorders>
            <w:shd w:val="clear" w:color="000000" w:fill="FFFFFF"/>
            <w:noWrap/>
            <w:vAlign w:val="center"/>
            <w:hideMark/>
          </w:tcPr>
          <w:p w14:paraId="1FB4813E"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21,828,938</w:t>
            </w:r>
          </w:p>
        </w:tc>
        <w:tc>
          <w:tcPr>
            <w:tcW w:w="1420" w:type="dxa"/>
            <w:tcBorders>
              <w:top w:val="nil"/>
              <w:left w:val="nil"/>
              <w:bottom w:val="single" w:sz="4" w:space="0" w:color="auto"/>
              <w:right w:val="single" w:sz="4" w:space="0" w:color="auto"/>
            </w:tcBorders>
            <w:shd w:val="clear" w:color="auto" w:fill="auto"/>
            <w:noWrap/>
            <w:vAlign w:val="center"/>
            <w:hideMark/>
          </w:tcPr>
          <w:p w14:paraId="6ACEF718"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2,309,670</w:t>
            </w:r>
          </w:p>
        </w:tc>
        <w:tc>
          <w:tcPr>
            <w:tcW w:w="1180" w:type="dxa"/>
            <w:tcBorders>
              <w:top w:val="nil"/>
              <w:left w:val="nil"/>
              <w:bottom w:val="single" w:sz="4" w:space="0" w:color="auto"/>
              <w:right w:val="single" w:sz="4" w:space="0" w:color="auto"/>
            </w:tcBorders>
            <w:shd w:val="clear" w:color="auto" w:fill="auto"/>
            <w:noWrap/>
            <w:vAlign w:val="center"/>
            <w:hideMark/>
          </w:tcPr>
          <w:p w14:paraId="20EA502D"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r>
      <w:tr w:rsidR="004C579E" w:rsidRPr="004C579E" w14:paraId="11F06517"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D1BDE82"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BANAMEX 1'500 MDP</w:t>
            </w:r>
          </w:p>
        </w:tc>
        <w:tc>
          <w:tcPr>
            <w:tcW w:w="1380" w:type="dxa"/>
            <w:tcBorders>
              <w:top w:val="nil"/>
              <w:left w:val="nil"/>
              <w:bottom w:val="single" w:sz="4" w:space="0" w:color="auto"/>
              <w:right w:val="single" w:sz="4" w:space="0" w:color="auto"/>
            </w:tcBorders>
            <w:shd w:val="clear" w:color="auto" w:fill="auto"/>
            <w:noWrap/>
            <w:vAlign w:val="center"/>
            <w:hideMark/>
          </w:tcPr>
          <w:p w14:paraId="1133FEF7"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1,438,388,993</w:t>
            </w:r>
          </w:p>
        </w:tc>
        <w:tc>
          <w:tcPr>
            <w:tcW w:w="1280" w:type="dxa"/>
            <w:tcBorders>
              <w:top w:val="nil"/>
              <w:left w:val="nil"/>
              <w:bottom w:val="single" w:sz="4" w:space="0" w:color="auto"/>
              <w:right w:val="single" w:sz="4" w:space="0" w:color="auto"/>
            </w:tcBorders>
            <w:shd w:val="clear" w:color="auto" w:fill="auto"/>
            <w:noWrap/>
            <w:vAlign w:val="center"/>
            <w:hideMark/>
          </w:tcPr>
          <w:p w14:paraId="12C90620"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14:paraId="44FCBC89"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22,355,427</w:t>
            </w:r>
          </w:p>
        </w:tc>
        <w:tc>
          <w:tcPr>
            <w:tcW w:w="1400" w:type="dxa"/>
            <w:tcBorders>
              <w:top w:val="nil"/>
              <w:left w:val="nil"/>
              <w:bottom w:val="single" w:sz="4" w:space="0" w:color="auto"/>
              <w:right w:val="single" w:sz="4" w:space="0" w:color="auto"/>
            </w:tcBorders>
            <w:shd w:val="clear" w:color="000000" w:fill="FFFFFF"/>
            <w:noWrap/>
            <w:vAlign w:val="center"/>
            <w:hideMark/>
          </w:tcPr>
          <w:p w14:paraId="2ED9B57A"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1,416,033,566</w:t>
            </w:r>
          </w:p>
        </w:tc>
        <w:tc>
          <w:tcPr>
            <w:tcW w:w="1420" w:type="dxa"/>
            <w:tcBorders>
              <w:top w:val="nil"/>
              <w:left w:val="nil"/>
              <w:bottom w:val="single" w:sz="4" w:space="0" w:color="auto"/>
              <w:right w:val="single" w:sz="4" w:space="0" w:color="auto"/>
            </w:tcBorders>
            <w:shd w:val="clear" w:color="auto" w:fill="auto"/>
            <w:noWrap/>
            <w:vAlign w:val="center"/>
            <w:hideMark/>
          </w:tcPr>
          <w:p w14:paraId="7113DDC3"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107,962,649</w:t>
            </w:r>
          </w:p>
        </w:tc>
        <w:tc>
          <w:tcPr>
            <w:tcW w:w="1180" w:type="dxa"/>
            <w:tcBorders>
              <w:top w:val="nil"/>
              <w:left w:val="nil"/>
              <w:bottom w:val="single" w:sz="4" w:space="0" w:color="auto"/>
              <w:right w:val="single" w:sz="4" w:space="0" w:color="auto"/>
            </w:tcBorders>
            <w:shd w:val="clear" w:color="auto" w:fill="auto"/>
            <w:noWrap/>
            <w:vAlign w:val="center"/>
            <w:hideMark/>
          </w:tcPr>
          <w:p w14:paraId="222F76E1"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6,405,305</w:t>
            </w:r>
          </w:p>
        </w:tc>
      </w:tr>
      <w:tr w:rsidR="004C579E" w:rsidRPr="004C579E" w14:paraId="5498F896"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E62E48B"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BANORTE1'539 MDP</w:t>
            </w:r>
          </w:p>
        </w:tc>
        <w:tc>
          <w:tcPr>
            <w:tcW w:w="1380" w:type="dxa"/>
            <w:tcBorders>
              <w:top w:val="nil"/>
              <w:left w:val="nil"/>
              <w:bottom w:val="single" w:sz="4" w:space="0" w:color="auto"/>
              <w:right w:val="single" w:sz="4" w:space="0" w:color="auto"/>
            </w:tcBorders>
            <w:shd w:val="clear" w:color="auto" w:fill="auto"/>
            <w:noWrap/>
            <w:vAlign w:val="center"/>
            <w:hideMark/>
          </w:tcPr>
          <w:p w14:paraId="42E68362"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1,445,367,563</w:t>
            </w:r>
          </w:p>
        </w:tc>
        <w:tc>
          <w:tcPr>
            <w:tcW w:w="1280" w:type="dxa"/>
            <w:tcBorders>
              <w:top w:val="nil"/>
              <w:left w:val="nil"/>
              <w:bottom w:val="single" w:sz="4" w:space="0" w:color="auto"/>
              <w:right w:val="single" w:sz="4" w:space="0" w:color="auto"/>
            </w:tcBorders>
            <w:shd w:val="clear" w:color="auto" w:fill="auto"/>
            <w:noWrap/>
            <w:vAlign w:val="center"/>
            <w:hideMark/>
          </w:tcPr>
          <w:p w14:paraId="204B2D1B"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14:paraId="7F0E2ADD"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22,589,051</w:t>
            </w:r>
          </w:p>
        </w:tc>
        <w:tc>
          <w:tcPr>
            <w:tcW w:w="1400" w:type="dxa"/>
            <w:tcBorders>
              <w:top w:val="nil"/>
              <w:left w:val="nil"/>
              <w:bottom w:val="single" w:sz="4" w:space="0" w:color="auto"/>
              <w:right w:val="single" w:sz="4" w:space="0" w:color="auto"/>
            </w:tcBorders>
            <w:shd w:val="clear" w:color="000000" w:fill="FFFFFF"/>
            <w:noWrap/>
            <w:vAlign w:val="center"/>
            <w:hideMark/>
          </w:tcPr>
          <w:p w14:paraId="5D8F5A1E"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1,422,778,512</w:t>
            </w:r>
          </w:p>
        </w:tc>
        <w:tc>
          <w:tcPr>
            <w:tcW w:w="1420" w:type="dxa"/>
            <w:tcBorders>
              <w:top w:val="nil"/>
              <w:left w:val="nil"/>
              <w:bottom w:val="single" w:sz="4" w:space="0" w:color="auto"/>
              <w:right w:val="single" w:sz="4" w:space="0" w:color="auto"/>
            </w:tcBorders>
            <w:shd w:val="clear" w:color="auto" w:fill="auto"/>
            <w:noWrap/>
            <w:vAlign w:val="center"/>
            <w:hideMark/>
          </w:tcPr>
          <w:p w14:paraId="5F811839"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88,648,303</w:t>
            </w:r>
          </w:p>
        </w:tc>
        <w:tc>
          <w:tcPr>
            <w:tcW w:w="1180" w:type="dxa"/>
            <w:tcBorders>
              <w:top w:val="nil"/>
              <w:left w:val="nil"/>
              <w:bottom w:val="single" w:sz="4" w:space="0" w:color="auto"/>
              <w:right w:val="single" w:sz="4" w:space="0" w:color="auto"/>
            </w:tcBorders>
            <w:shd w:val="clear" w:color="auto" w:fill="auto"/>
            <w:noWrap/>
            <w:vAlign w:val="center"/>
            <w:hideMark/>
          </w:tcPr>
          <w:p w14:paraId="768B2F0D"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364,808</w:t>
            </w:r>
          </w:p>
        </w:tc>
      </w:tr>
      <w:tr w:rsidR="004C579E" w:rsidRPr="004C579E" w14:paraId="5C245B62"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B857DDE"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BANORTE5'461 MDP</w:t>
            </w:r>
          </w:p>
        </w:tc>
        <w:tc>
          <w:tcPr>
            <w:tcW w:w="1380" w:type="dxa"/>
            <w:tcBorders>
              <w:top w:val="nil"/>
              <w:left w:val="nil"/>
              <w:bottom w:val="single" w:sz="4" w:space="0" w:color="auto"/>
              <w:right w:val="single" w:sz="4" w:space="0" w:color="auto"/>
            </w:tcBorders>
            <w:shd w:val="clear" w:color="auto" w:fill="auto"/>
            <w:noWrap/>
            <w:vAlign w:val="center"/>
            <w:hideMark/>
          </w:tcPr>
          <w:p w14:paraId="1B3A6C4B"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5,210,427,391</w:t>
            </w:r>
          </w:p>
        </w:tc>
        <w:tc>
          <w:tcPr>
            <w:tcW w:w="1280" w:type="dxa"/>
            <w:tcBorders>
              <w:top w:val="nil"/>
              <w:left w:val="nil"/>
              <w:bottom w:val="single" w:sz="4" w:space="0" w:color="auto"/>
              <w:right w:val="single" w:sz="4" w:space="0" w:color="auto"/>
            </w:tcBorders>
            <w:shd w:val="clear" w:color="auto" w:fill="auto"/>
            <w:noWrap/>
            <w:vAlign w:val="center"/>
            <w:hideMark/>
          </w:tcPr>
          <w:p w14:paraId="2B592707"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14:paraId="163B10B6"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81,439,290</w:t>
            </w:r>
          </w:p>
        </w:tc>
        <w:tc>
          <w:tcPr>
            <w:tcW w:w="1400" w:type="dxa"/>
            <w:tcBorders>
              <w:top w:val="nil"/>
              <w:left w:val="nil"/>
              <w:bottom w:val="single" w:sz="4" w:space="0" w:color="auto"/>
              <w:right w:val="single" w:sz="4" w:space="0" w:color="auto"/>
            </w:tcBorders>
            <w:shd w:val="clear" w:color="000000" w:fill="FFFFFF"/>
            <w:noWrap/>
            <w:vAlign w:val="center"/>
            <w:hideMark/>
          </w:tcPr>
          <w:p w14:paraId="72FCCF6F"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5,128,988,101</w:t>
            </w:r>
          </w:p>
        </w:tc>
        <w:tc>
          <w:tcPr>
            <w:tcW w:w="1420" w:type="dxa"/>
            <w:tcBorders>
              <w:top w:val="nil"/>
              <w:left w:val="nil"/>
              <w:bottom w:val="single" w:sz="4" w:space="0" w:color="auto"/>
              <w:right w:val="single" w:sz="4" w:space="0" w:color="auto"/>
            </w:tcBorders>
            <w:shd w:val="clear" w:color="auto" w:fill="auto"/>
            <w:noWrap/>
            <w:vAlign w:val="center"/>
            <w:hideMark/>
          </w:tcPr>
          <w:p w14:paraId="67AED3CD"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324,815,359</w:t>
            </w:r>
          </w:p>
        </w:tc>
        <w:tc>
          <w:tcPr>
            <w:tcW w:w="1180" w:type="dxa"/>
            <w:tcBorders>
              <w:top w:val="nil"/>
              <w:left w:val="nil"/>
              <w:bottom w:val="single" w:sz="4" w:space="0" w:color="auto"/>
              <w:right w:val="single" w:sz="4" w:space="0" w:color="auto"/>
            </w:tcBorders>
            <w:shd w:val="clear" w:color="auto" w:fill="auto"/>
            <w:noWrap/>
            <w:vAlign w:val="center"/>
            <w:hideMark/>
          </w:tcPr>
          <w:p w14:paraId="390050B1"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1,315,102</w:t>
            </w:r>
          </w:p>
        </w:tc>
      </w:tr>
      <w:tr w:rsidR="004C579E" w:rsidRPr="004C579E" w14:paraId="1B930512"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9D2AA92"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SANTANDER 1'650 MDP</w:t>
            </w:r>
          </w:p>
        </w:tc>
        <w:tc>
          <w:tcPr>
            <w:tcW w:w="1380" w:type="dxa"/>
            <w:tcBorders>
              <w:top w:val="nil"/>
              <w:left w:val="nil"/>
              <w:bottom w:val="single" w:sz="4" w:space="0" w:color="auto"/>
              <w:right w:val="single" w:sz="4" w:space="0" w:color="auto"/>
            </w:tcBorders>
            <w:shd w:val="clear" w:color="auto" w:fill="auto"/>
            <w:noWrap/>
            <w:vAlign w:val="center"/>
            <w:hideMark/>
          </w:tcPr>
          <w:p w14:paraId="21E6996E"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1,606,814,182</w:t>
            </w:r>
          </w:p>
        </w:tc>
        <w:tc>
          <w:tcPr>
            <w:tcW w:w="1280" w:type="dxa"/>
            <w:tcBorders>
              <w:top w:val="nil"/>
              <w:left w:val="nil"/>
              <w:bottom w:val="single" w:sz="4" w:space="0" w:color="auto"/>
              <w:right w:val="single" w:sz="4" w:space="0" w:color="auto"/>
            </w:tcBorders>
            <w:shd w:val="clear" w:color="auto" w:fill="auto"/>
            <w:noWrap/>
            <w:vAlign w:val="center"/>
            <w:hideMark/>
          </w:tcPr>
          <w:p w14:paraId="2698C424"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14:paraId="4DA94EE0"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23,878,797</w:t>
            </w:r>
          </w:p>
        </w:tc>
        <w:tc>
          <w:tcPr>
            <w:tcW w:w="1400" w:type="dxa"/>
            <w:tcBorders>
              <w:top w:val="nil"/>
              <w:left w:val="nil"/>
              <w:bottom w:val="single" w:sz="4" w:space="0" w:color="auto"/>
              <w:right w:val="single" w:sz="4" w:space="0" w:color="auto"/>
            </w:tcBorders>
            <w:shd w:val="clear" w:color="000000" w:fill="FFFFFF"/>
            <w:noWrap/>
            <w:vAlign w:val="center"/>
            <w:hideMark/>
          </w:tcPr>
          <w:p w14:paraId="7343D13F"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1,582,935,385</w:t>
            </w:r>
          </w:p>
        </w:tc>
        <w:tc>
          <w:tcPr>
            <w:tcW w:w="1420" w:type="dxa"/>
            <w:tcBorders>
              <w:top w:val="nil"/>
              <w:left w:val="nil"/>
              <w:bottom w:val="single" w:sz="4" w:space="0" w:color="auto"/>
              <w:right w:val="single" w:sz="4" w:space="0" w:color="auto"/>
            </w:tcBorders>
            <w:shd w:val="clear" w:color="auto" w:fill="auto"/>
            <w:noWrap/>
            <w:vAlign w:val="center"/>
            <w:hideMark/>
          </w:tcPr>
          <w:p w14:paraId="0BBF50FB"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117,225,509</w:t>
            </w:r>
          </w:p>
        </w:tc>
        <w:tc>
          <w:tcPr>
            <w:tcW w:w="1180" w:type="dxa"/>
            <w:tcBorders>
              <w:top w:val="nil"/>
              <w:left w:val="nil"/>
              <w:bottom w:val="single" w:sz="4" w:space="0" w:color="auto"/>
              <w:right w:val="single" w:sz="4" w:space="0" w:color="auto"/>
            </w:tcBorders>
            <w:shd w:val="clear" w:color="auto" w:fill="auto"/>
            <w:noWrap/>
            <w:vAlign w:val="center"/>
            <w:hideMark/>
          </w:tcPr>
          <w:p w14:paraId="459260A9"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4,146,691</w:t>
            </w:r>
          </w:p>
        </w:tc>
      </w:tr>
      <w:tr w:rsidR="004C579E" w:rsidRPr="004C579E" w14:paraId="56FEDF32"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2363690"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BANAMEX 1'000 MDP</w:t>
            </w:r>
          </w:p>
        </w:tc>
        <w:tc>
          <w:tcPr>
            <w:tcW w:w="1380" w:type="dxa"/>
            <w:tcBorders>
              <w:top w:val="nil"/>
              <w:left w:val="nil"/>
              <w:bottom w:val="single" w:sz="4" w:space="0" w:color="auto"/>
              <w:right w:val="single" w:sz="4" w:space="0" w:color="auto"/>
            </w:tcBorders>
            <w:shd w:val="clear" w:color="auto" w:fill="auto"/>
            <w:noWrap/>
            <w:vAlign w:val="center"/>
            <w:hideMark/>
          </w:tcPr>
          <w:p w14:paraId="24D826E7"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973,739,027</w:t>
            </w:r>
          </w:p>
        </w:tc>
        <w:tc>
          <w:tcPr>
            <w:tcW w:w="1280" w:type="dxa"/>
            <w:tcBorders>
              <w:top w:val="nil"/>
              <w:left w:val="nil"/>
              <w:bottom w:val="single" w:sz="4" w:space="0" w:color="auto"/>
              <w:right w:val="single" w:sz="4" w:space="0" w:color="auto"/>
            </w:tcBorders>
            <w:shd w:val="clear" w:color="auto" w:fill="auto"/>
            <w:noWrap/>
            <w:vAlign w:val="center"/>
            <w:hideMark/>
          </w:tcPr>
          <w:p w14:paraId="135937AC"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14:paraId="60B98D76"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14,507,525</w:t>
            </w:r>
          </w:p>
        </w:tc>
        <w:tc>
          <w:tcPr>
            <w:tcW w:w="1400" w:type="dxa"/>
            <w:tcBorders>
              <w:top w:val="nil"/>
              <w:left w:val="nil"/>
              <w:bottom w:val="single" w:sz="4" w:space="0" w:color="auto"/>
              <w:right w:val="single" w:sz="4" w:space="0" w:color="auto"/>
            </w:tcBorders>
            <w:shd w:val="clear" w:color="000000" w:fill="FFFFFF"/>
            <w:noWrap/>
            <w:vAlign w:val="center"/>
            <w:hideMark/>
          </w:tcPr>
          <w:p w14:paraId="4974C8C0"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959,231,502</w:t>
            </w:r>
          </w:p>
        </w:tc>
        <w:tc>
          <w:tcPr>
            <w:tcW w:w="1420" w:type="dxa"/>
            <w:tcBorders>
              <w:top w:val="nil"/>
              <w:left w:val="nil"/>
              <w:bottom w:val="single" w:sz="4" w:space="0" w:color="auto"/>
              <w:right w:val="single" w:sz="4" w:space="0" w:color="auto"/>
            </w:tcBorders>
            <w:shd w:val="clear" w:color="auto" w:fill="auto"/>
            <w:noWrap/>
            <w:vAlign w:val="center"/>
            <w:hideMark/>
          </w:tcPr>
          <w:p w14:paraId="20464245"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70,177,108</w:t>
            </w:r>
          </w:p>
        </w:tc>
        <w:tc>
          <w:tcPr>
            <w:tcW w:w="1180" w:type="dxa"/>
            <w:tcBorders>
              <w:top w:val="nil"/>
              <w:left w:val="nil"/>
              <w:bottom w:val="single" w:sz="4" w:space="0" w:color="auto"/>
              <w:right w:val="single" w:sz="4" w:space="0" w:color="auto"/>
            </w:tcBorders>
            <w:shd w:val="clear" w:color="auto" w:fill="auto"/>
            <w:noWrap/>
            <w:vAlign w:val="center"/>
            <w:hideMark/>
          </w:tcPr>
          <w:p w14:paraId="426926B6"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1,856,542</w:t>
            </w:r>
          </w:p>
        </w:tc>
      </w:tr>
      <w:tr w:rsidR="004C579E" w:rsidRPr="004C579E" w14:paraId="62D54D68"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AC55B28"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BANCOMER  500 MDP</w:t>
            </w:r>
          </w:p>
        </w:tc>
        <w:tc>
          <w:tcPr>
            <w:tcW w:w="1380" w:type="dxa"/>
            <w:tcBorders>
              <w:top w:val="nil"/>
              <w:left w:val="nil"/>
              <w:bottom w:val="single" w:sz="4" w:space="0" w:color="auto"/>
              <w:right w:val="single" w:sz="4" w:space="0" w:color="auto"/>
            </w:tcBorders>
            <w:shd w:val="clear" w:color="auto" w:fill="auto"/>
            <w:noWrap/>
            <w:vAlign w:val="center"/>
            <w:hideMark/>
          </w:tcPr>
          <w:p w14:paraId="5046C6C7"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484,660,637</w:t>
            </w:r>
          </w:p>
        </w:tc>
        <w:tc>
          <w:tcPr>
            <w:tcW w:w="1280" w:type="dxa"/>
            <w:tcBorders>
              <w:top w:val="nil"/>
              <w:left w:val="nil"/>
              <w:bottom w:val="single" w:sz="4" w:space="0" w:color="auto"/>
              <w:right w:val="single" w:sz="4" w:space="0" w:color="auto"/>
            </w:tcBorders>
            <w:shd w:val="clear" w:color="auto" w:fill="auto"/>
            <w:noWrap/>
            <w:vAlign w:val="center"/>
            <w:hideMark/>
          </w:tcPr>
          <w:p w14:paraId="46449171"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14:paraId="4F8C6B06"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7,220,853</w:t>
            </w:r>
          </w:p>
        </w:tc>
        <w:tc>
          <w:tcPr>
            <w:tcW w:w="1400" w:type="dxa"/>
            <w:tcBorders>
              <w:top w:val="nil"/>
              <w:left w:val="nil"/>
              <w:bottom w:val="single" w:sz="4" w:space="0" w:color="auto"/>
              <w:right w:val="single" w:sz="4" w:space="0" w:color="auto"/>
            </w:tcBorders>
            <w:shd w:val="clear" w:color="000000" w:fill="FFFFFF"/>
            <w:noWrap/>
            <w:vAlign w:val="center"/>
            <w:hideMark/>
          </w:tcPr>
          <w:p w14:paraId="58F2B040"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477,439,784</w:t>
            </w:r>
          </w:p>
        </w:tc>
        <w:tc>
          <w:tcPr>
            <w:tcW w:w="1420" w:type="dxa"/>
            <w:tcBorders>
              <w:top w:val="nil"/>
              <w:left w:val="nil"/>
              <w:bottom w:val="single" w:sz="4" w:space="0" w:color="auto"/>
              <w:right w:val="single" w:sz="4" w:space="0" w:color="auto"/>
            </w:tcBorders>
            <w:shd w:val="clear" w:color="auto" w:fill="auto"/>
            <w:noWrap/>
            <w:vAlign w:val="center"/>
            <w:hideMark/>
          </w:tcPr>
          <w:p w14:paraId="716076BE"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34,727,579</w:t>
            </w:r>
          </w:p>
        </w:tc>
        <w:tc>
          <w:tcPr>
            <w:tcW w:w="1180" w:type="dxa"/>
            <w:tcBorders>
              <w:top w:val="nil"/>
              <w:left w:val="nil"/>
              <w:bottom w:val="single" w:sz="4" w:space="0" w:color="auto"/>
              <w:right w:val="single" w:sz="4" w:space="0" w:color="auto"/>
            </w:tcBorders>
            <w:shd w:val="clear" w:color="auto" w:fill="auto"/>
            <w:noWrap/>
            <w:vAlign w:val="center"/>
            <w:hideMark/>
          </w:tcPr>
          <w:p w14:paraId="1CB83BA8"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1,139,640</w:t>
            </w:r>
          </w:p>
        </w:tc>
      </w:tr>
      <w:tr w:rsidR="004C579E" w:rsidRPr="004C579E" w14:paraId="495052D8"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C078385"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BANCOMER 968 MDP</w:t>
            </w:r>
          </w:p>
        </w:tc>
        <w:tc>
          <w:tcPr>
            <w:tcW w:w="1380" w:type="dxa"/>
            <w:tcBorders>
              <w:top w:val="nil"/>
              <w:left w:val="nil"/>
              <w:bottom w:val="single" w:sz="4" w:space="0" w:color="auto"/>
              <w:right w:val="single" w:sz="4" w:space="0" w:color="auto"/>
            </w:tcBorders>
            <w:shd w:val="clear" w:color="auto" w:fill="auto"/>
            <w:noWrap/>
            <w:vAlign w:val="center"/>
            <w:hideMark/>
          </w:tcPr>
          <w:p w14:paraId="374D5F02"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859,746,173</w:t>
            </w:r>
          </w:p>
        </w:tc>
        <w:tc>
          <w:tcPr>
            <w:tcW w:w="1280" w:type="dxa"/>
            <w:tcBorders>
              <w:top w:val="nil"/>
              <w:left w:val="nil"/>
              <w:bottom w:val="single" w:sz="4" w:space="0" w:color="auto"/>
              <w:right w:val="single" w:sz="4" w:space="0" w:color="auto"/>
            </w:tcBorders>
            <w:shd w:val="clear" w:color="auto" w:fill="auto"/>
            <w:noWrap/>
            <w:vAlign w:val="center"/>
            <w:hideMark/>
          </w:tcPr>
          <w:p w14:paraId="2E429377"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14:paraId="4B1FF780"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45,125,001</w:t>
            </w:r>
          </w:p>
        </w:tc>
        <w:tc>
          <w:tcPr>
            <w:tcW w:w="1400" w:type="dxa"/>
            <w:tcBorders>
              <w:top w:val="nil"/>
              <w:left w:val="nil"/>
              <w:bottom w:val="single" w:sz="4" w:space="0" w:color="auto"/>
              <w:right w:val="single" w:sz="4" w:space="0" w:color="auto"/>
            </w:tcBorders>
            <w:shd w:val="clear" w:color="000000" w:fill="FFFFFF"/>
            <w:noWrap/>
            <w:vAlign w:val="center"/>
            <w:hideMark/>
          </w:tcPr>
          <w:p w14:paraId="2466B6FA"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814,621,172</w:t>
            </w:r>
          </w:p>
        </w:tc>
        <w:tc>
          <w:tcPr>
            <w:tcW w:w="1420" w:type="dxa"/>
            <w:tcBorders>
              <w:top w:val="nil"/>
              <w:left w:val="nil"/>
              <w:bottom w:val="single" w:sz="4" w:space="0" w:color="auto"/>
              <w:right w:val="single" w:sz="4" w:space="0" w:color="auto"/>
            </w:tcBorders>
            <w:shd w:val="clear" w:color="auto" w:fill="auto"/>
            <w:noWrap/>
            <w:vAlign w:val="center"/>
            <w:hideMark/>
          </w:tcPr>
          <w:p w14:paraId="1386679E"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68,093,611</w:t>
            </w:r>
          </w:p>
        </w:tc>
        <w:tc>
          <w:tcPr>
            <w:tcW w:w="1180" w:type="dxa"/>
            <w:tcBorders>
              <w:top w:val="nil"/>
              <w:left w:val="nil"/>
              <w:bottom w:val="single" w:sz="4" w:space="0" w:color="auto"/>
              <w:right w:val="single" w:sz="4" w:space="0" w:color="auto"/>
            </w:tcBorders>
            <w:shd w:val="clear" w:color="auto" w:fill="auto"/>
            <w:noWrap/>
            <w:vAlign w:val="center"/>
            <w:hideMark/>
          </w:tcPr>
          <w:p w14:paraId="2641E73A"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r>
      <w:tr w:rsidR="004C579E" w:rsidRPr="004C579E" w14:paraId="184E6A94"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986F9D8"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BANCOMER  994 MDP</w:t>
            </w:r>
          </w:p>
        </w:tc>
        <w:tc>
          <w:tcPr>
            <w:tcW w:w="1380" w:type="dxa"/>
            <w:tcBorders>
              <w:top w:val="nil"/>
              <w:left w:val="nil"/>
              <w:bottom w:val="single" w:sz="4" w:space="0" w:color="auto"/>
              <w:right w:val="single" w:sz="4" w:space="0" w:color="auto"/>
            </w:tcBorders>
            <w:shd w:val="clear" w:color="auto" w:fill="auto"/>
            <w:noWrap/>
            <w:vAlign w:val="center"/>
            <w:hideMark/>
          </w:tcPr>
          <w:p w14:paraId="3A2B90FC"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960,603,463</w:t>
            </w:r>
          </w:p>
        </w:tc>
        <w:tc>
          <w:tcPr>
            <w:tcW w:w="1280" w:type="dxa"/>
            <w:tcBorders>
              <w:top w:val="nil"/>
              <w:left w:val="nil"/>
              <w:bottom w:val="single" w:sz="4" w:space="0" w:color="auto"/>
              <w:right w:val="single" w:sz="4" w:space="0" w:color="auto"/>
            </w:tcBorders>
            <w:shd w:val="clear" w:color="auto" w:fill="auto"/>
            <w:noWrap/>
            <w:vAlign w:val="center"/>
            <w:hideMark/>
          </w:tcPr>
          <w:p w14:paraId="3465F242"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14:paraId="460B983B"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14,514,644</w:t>
            </w:r>
          </w:p>
        </w:tc>
        <w:tc>
          <w:tcPr>
            <w:tcW w:w="1400" w:type="dxa"/>
            <w:tcBorders>
              <w:top w:val="nil"/>
              <w:left w:val="nil"/>
              <w:bottom w:val="single" w:sz="4" w:space="0" w:color="auto"/>
              <w:right w:val="single" w:sz="4" w:space="0" w:color="auto"/>
            </w:tcBorders>
            <w:shd w:val="clear" w:color="000000" w:fill="FFFFFF"/>
            <w:noWrap/>
            <w:vAlign w:val="center"/>
            <w:hideMark/>
          </w:tcPr>
          <w:p w14:paraId="45DBE97F"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946,088,819</w:t>
            </w:r>
          </w:p>
        </w:tc>
        <w:tc>
          <w:tcPr>
            <w:tcW w:w="1420" w:type="dxa"/>
            <w:tcBorders>
              <w:top w:val="nil"/>
              <w:left w:val="nil"/>
              <w:bottom w:val="single" w:sz="4" w:space="0" w:color="auto"/>
              <w:right w:val="single" w:sz="4" w:space="0" w:color="auto"/>
            </w:tcBorders>
            <w:shd w:val="clear" w:color="auto" w:fill="auto"/>
            <w:noWrap/>
            <w:vAlign w:val="center"/>
            <w:hideMark/>
          </w:tcPr>
          <w:p w14:paraId="209993B7"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79,245,042</w:t>
            </w:r>
          </w:p>
        </w:tc>
        <w:tc>
          <w:tcPr>
            <w:tcW w:w="1180" w:type="dxa"/>
            <w:tcBorders>
              <w:top w:val="nil"/>
              <w:left w:val="nil"/>
              <w:bottom w:val="single" w:sz="4" w:space="0" w:color="auto"/>
              <w:right w:val="single" w:sz="4" w:space="0" w:color="auto"/>
            </w:tcBorders>
            <w:shd w:val="clear" w:color="auto" w:fill="auto"/>
            <w:noWrap/>
            <w:vAlign w:val="center"/>
            <w:hideMark/>
          </w:tcPr>
          <w:p w14:paraId="3EC4A082"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r>
      <w:tr w:rsidR="004C579E" w:rsidRPr="004C579E" w14:paraId="5944106B"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35B70F5"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BANORTE 1'500 MDP</w:t>
            </w:r>
          </w:p>
        </w:tc>
        <w:tc>
          <w:tcPr>
            <w:tcW w:w="1380" w:type="dxa"/>
            <w:tcBorders>
              <w:top w:val="nil"/>
              <w:left w:val="nil"/>
              <w:bottom w:val="single" w:sz="4" w:space="0" w:color="auto"/>
              <w:right w:val="single" w:sz="4" w:space="0" w:color="auto"/>
            </w:tcBorders>
            <w:shd w:val="clear" w:color="auto" w:fill="auto"/>
            <w:noWrap/>
            <w:vAlign w:val="center"/>
            <w:hideMark/>
          </w:tcPr>
          <w:p w14:paraId="36091B88"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1,500,000,000</w:t>
            </w:r>
          </w:p>
        </w:tc>
        <w:tc>
          <w:tcPr>
            <w:tcW w:w="1280" w:type="dxa"/>
            <w:tcBorders>
              <w:top w:val="nil"/>
              <w:left w:val="nil"/>
              <w:bottom w:val="single" w:sz="4" w:space="0" w:color="auto"/>
              <w:right w:val="single" w:sz="4" w:space="0" w:color="auto"/>
            </w:tcBorders>
            <w:shd w:val="clear" w:color="auto" w:fill="auto"/>
            <w:noWrap/>
            <w:vAlign w:val="center"/>
            <w:hideMark/>
          </w:tcPr>
          <w:p w14:paraId="1671F08C"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 </w:t>
            </w:r>
          </w:p>
        </w:tc>
        <w:tc>
          <w:tcPr>
            <w:tcW w:w="1309" w:type="dxa"/>
            <w:tcBorders>
              <w:top w:val="nil"/>
              <w:left w:val="nil"/>
              <w:bottom w:val="single" w:sz="4" w:space="0" w:color="auto"/>
              <w:right w:val="single" w:sz="4" w:space="0" w:color="auto"/>
            </w:tcBorders>
            <w:shd w:val="clear" w:color="auto" w:fill="auto"/>
            <w:noWrap/>
            <w:vAlign w:val="center"/>
            <w:hideMark/>
          </w:tcPr>
          <w:p w14:paraId="2C25F0EB"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13,247,544</w:t>
            </w:r>
          </w:p>
        </w:tc>
        <w:tc>
          <w:tcPr>
            <w:tcW w:w="1400" w:type="dxa"/>
            <w:tcBorders>
              <w:top w:val="nil"/>
              <w:left w:val="nil"/>
              <w:bottom w:val="single" w:sz="4" w:space="0" w:color="auto"/>
              <w:right w:val="single" w:sz="4" w:space="0" w:color="auto"/>
            </w:tcBorders>
            <w:shd w:val="clear" w:color="000000" w:fill="FFFFFF"/>
            <w:noWrap/>
            <w:vAlign w:val="center"/>
            <w:hideMark/>
          </w:tcPr>
          <w:p w14:paraId="46983AD7"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1,486,752,456</w:t>
            </w:r>
          </w:p>
        </w:tc>
        <w:tc>
          <w:tcPr>
            <w:tcW w:w="1420" w:type="dxa"/>
            <w:tcBorders>
              <w:top w:val="nil"/>
              <w:left w:val="nil"/>
              <w:bottom w:val="single" w:sz="4" w:space="0" w:color="auto"/>
              <w:right w:val="single" w:sz="4" w:space="0" w:color="auto"/>
            </w:tcBorders>
            <w:shd w:val="clear" w:color="auto" w:fill="auto"/>
            <w:noWrap/>
            <w:vAlign w:val="center"/>
            <w:hideMark/>
          </w:tcPr>
          <w:p w14:paraId="59163148"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115,973,720</w:t>
            </w:r>
          </w:p>
        </w:tc>
        <w:tc>
          <w:tcPr>
            <w:tcW w:w="1180" w:type="dxa"/>
            <w:tcBorders>
              <w:top w:val="nil"/>
              <w:left w:val="nil"/>
              <w:bottom w:val="single" w:sz="4" w:space="0" w:color="auto"/>
              <w:right w:val="single" w:sz="4" w:space="0" w:color="auto"/>
            </w:tcBorders>
            <w:shd w:val="clear" w:color="auto" w:fill="auto"/>
            <w:noWrap/>
            <w:vAlign w:val="center"/>
            <w:hideMark/>
          </w:tcPr>
          <w:p w14:paraId="436D7591"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132,749</w:t>
            </w:r>
          </w:p>
        </w:tc>
      </w:tr>
      <w:tr w:rsidR="004C579E" w:rsidRPr="004C579E" w14:paraId="5EC775F8"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336C36C"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BANORTE 1'200 MDP</w:t>
            </w:r>
          </w:p>
        </w:tc>
        <w:tc>
          <w:tcPr>
            <w:tcW w:w="1380" w:type="dxa"/>
            <w:tcBorders>
              <w:top w:val="nil"/>
              <w:left w:val="nil"/>
              <w:bottom w:val="single" w:sz="4" w:space="0" w:color="auto"/>
              <w:right w:val="single" w:sz="4" w:space="0" w:color="auto"/>
            </w:tcBorders>
            <w:shd w:val="clear" w:color="auto" w:fill="auto"/>
            <w:noWrap/>
            <w:vAlign w:val="center"/>
            <w:hideMark/>
          </w:tcPr>
          <w:p w14:paraId="06F3C4F4"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362,000,000</w:t>
            </w:r>
          </w:p>
        </w:tc>
        <w:tc>
          <w:tcPr>
            <w:tcW w:w="1280" w:type="dxa"/>
            <w:tcBorders>
              <w:top w:val="nil"/>
              <w:left w:val="nil"/>
              <w:bottom w:val="single" w:sz="4" w:space="0" w:color="auto"/>
              <w:right w:val="single" w:sz="4" w:space="0" w:color="auto"/>
            </w:tcBorders>
            <w:shd w:val="clear" w:color="auto" w:fill="auto"/>
            <w:noWrap/>
            <w:vAlign w:val="center"/>
            <w:hideMark/>
          </w:tcPr>
          <w:p w14:paraId="50D77964"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623,000,000</w:t>
            </w:r>
          </w:p>
        </w:tc>
        <w:tc>
          <w:tcPr>
            <w:tcW w:w="1309" w:type="dxa"/>
            <w:tcBorders>
              <w:top w:val="nil"/>
              <w:left w:val="nil"/>
              <w:bottom w:val="single" w:sz="4" w:space="0" w:color="auto"/>
              <w:right w:val="single" w:sz="4" w:space="0" w:color="auto"/>
            </w:tcBorders>
            <w:shd w:val="clear" w:color="auto" w:fill="auto"/>
            <w:noWrap/>
            <w:vAlign w:val="center"/>
            <w:hideMark/>
          </w:tcPr>
          <w:p w14:paraId="7558C65E"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2,160,974</w:t>
            </w:r>
          </w:p>
        </w:tc>
        <w:tc>
          <w:tcPr>
            <w:tcW w:w="1400" w:type="dxa"/>
            <w:tcBorders>
              <w:top w:val="nil"/>
              <w:left w:val="nil"/>
              <w:bottom w:val="single" w:sz="4" w:space="0" w:color="auto"/>
              <w:right w:val="single" w:sz="4" w:space="0" w:color="auto"/>
            </w:tcBorders>
            <w:shd w:val="clear" w:color="000000" w:fill="FFFFFF"/>
            <w:noWrap/>
            <w:vAlign w:val="center"/>
            <w:hideMark/>
          </w:tcPr>
          <w:p w14:paraId="69BF0A91"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982,839,026</w:t>
            </w:r>
          </w:p>
        </w:tc>
        <w:tc>
          <w:tcPr>
            <w:tcW w:w="1420" w:type="dxa"/>
            <w:tcBorders>
              <w:top w:val="nil"/>
              <w:left w:val="nil"/>
              <w:bottom w:val="single" w:sz="4" w:space="0" w:color="auto"/>
              <w:right w:val="single" w:sz="4" w:space="0" w:color="auto"/>
            </w:tcBorders>
            <w:shd w:val="clear" w:color="auto" w:fill="auto"/>
            <w:noWrap/>
            <w:vAlign w:val="center"/>
            <w:hideMark/>
          </w:tcPr>
          <w:p w14:paraId="610557C8"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82,789,053</w:t>
            </w:r>
          </w:p>
        </w:tc>
        <w:tc>
          <w:tcPr>
            <w:tcW w:w="1180" w:type="dxa"/>
            <w:tcBorders>
              <w:top w:val="nil"/>
              <w:left w:val="nil"/>
              <w:bottom w:val="single" w:sz="4" w:space="0" w:color="auto"/>
              <w:right w:val="single" w:sz="4" w:space="0" w:color="auto"/>
            </w:tcBorders>
            <w:shd w:val="clear" w:color="auto" w:fill="auto"/>
            <w:noWrap/>
            <w:vAlign w:val="center"/>
            <w:hideMark/>
          </w:tcPr>
          <w:p w14:paraId="25057E35"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6,534,646</w:t>
            </w:r>
          </w:p>
        </w:tc>
      </w:tr>
      <w:tr w:rsidR="004C579E" w:rsidRPr="004C579E" w14:paraId="51F46015" w14:textId="77777777" w:rsidTr="00B43367">
        <w:trPr>
          <w:trHeight w:val="390"/>
        </w:trPr>
        <w:tc>
          <w:tcPr>
            <w:tcW w:w="1413" w:type="dxa"/>
            <w:tcBorders>
              <w:top w:val="nil"/>
              <w:left w:val="single" w:sz="4" w:space="0" w:color="auto"/>
              <w:bottom w:val="single" w:sz="4" w:space="0" w:color="auto"/>
              <w:right w:val="single" w:sz="4" w:space="0" w:color="auto"/>
            </w:tcBorders>
            <w:shd w:val="clear" w:color="000000" w:fill="DDC9A3"/>
            <w:noWrap/>
            <w:vAlign w:val="center"/>
            <w:hideMark/>
          </w:tcPr>
          <w:p w14:paraId="25058635" w14:textId="77777777" w:rsidR="004C579E" w:rsidRPr="004C579E" w:rsidRDefault="004C579E" w:rsidP="004C579E">
            <w:pPr>
              <w:spacing w:after="0" w:line="240" w:lineRule="auto"/>
              <w:rPr>
                <w:rFonts w:asciiTheme="minorHAnsi" w:eastAsia="Times New Roman" w:hAnsiTheme="minorHAnsi" w:cstheme="minorHAnsi"/>
                <w:b/>
                <w:bCs/>
                <w:color w:val="000000"/>
                <w:sz w:val="13"/>
                <w:szCs w:val="13"/>
                <w:lang w:eastAsia="es-MX"/>
              </w:rPr>
            </w:pPr>
            <w:r w:rsidRPr="004C579E">
              <w:rPr>
                <w:rFonts w:asciiTheme="minorHAnsi" w:eastAsia="Times New Roman" w:hAnsiTheme="minorHAnsi" w:cstheme="minorHAnsi"/>
                <w:b/>
                <w:bCs/>
                <w:color w:val="000000"/>
                <w:sz w:val="13"/>
                <w:szCs w:val="13"/>
                <w:lang w:eastAsia="es-MX"/>
              </w:rPr>
              <w:t>TOTALES</w:t>
            </w:r>
          </w:p>
        </w:tc>
        <w:tc>
          <w:tcPr>
            <w:tcW w:w="1380" w:type="dxa"/>
            <w:tcBorders>
              <w:top w:val="nil"/>
              <w:left w:val="nil"/>
              <w:bottom w:val="single" w:sz="4" w:space="0" w:color="auto"/>
              <w:right w:val="single" w:sz="4" w:space="0" w:color="auto"/>
            </w:tcBorders>
            <w:shd w:val="clear" w:color="000000" w:fill="DDC9A3"/>
            <w:vAlign w:val="center"/>
            <w:hideMark/>
          </w:tcPr>
          <w:p w14:paraId="5FFA744C" w14:textId="77777777" w:rsidR="004C579E" w:rsidRPr="004C579E" w:rsidRDefault="004C579E" w:rsidP="004C579E">
            <w:pPr>
              <w:spacing w:after="0" w:line="240" w:lineRule="auto"/>
              <w:jc w:val="right"/>
              <w:rPr>
                <w:rFonts w:asciiTheme="minorHAnsi" w:eastAsia="Times New Roman" w:hAnsiTheme="minorHAnsi" w:cstheme="minorHAnsi"/>
                <w:b/>
                <w:bCs/>
                <w:color w:val="000000"/>
                <w:sz w:val="14"/>
                <w:szCs w:val="14"/>
                <w:lang w:eastAsia="es-MX"/>
              </w:rPr>
            </w:pPr>
            <w:r w:rsidRPr="004C579E">
              <w:rPr>
                <w:rFonts w:asciiTheme="minorHAnsi" w:eastAsia="Times New Roman" w:hAnsiTheme="minorHAnsi" w:cstheme="minorHAnsi"/>
                <w:b/>
                <w:bCs/>
                <w:color w:val="000000"/>
                <w:sz w:val="14"/>
                <w:szCs w:val="14"/>
                <w:lang w:eastAsia="es-MX"/>
              </w:rPr>
              <w:t>15,552,312,266</w:t>
            </w:r>
          </w:p>
        </w:tc>
        <w:tc>
          <w:tcPr>
            <w:tcW w:w="1280" w:type="dxa"/>
            <w:tcBorders>
              <w:top w:val="nil"/>
              <w:left w:val="nil"/>
              <w:bottom w:val="single" w:sz="4" w:space="0" w:color="auto"/>
              <w:right w:val="single" w:sz="4" w:space="0" w:color="auto"/>
            </w:tcBorders>
            <w:shd w:val="clear" w:color="000000" w:fill="DDC9A3"/>
            <w:vAlign w:val="center"/>
            <w:hideMark/>
          </w:tcPr>
          <w:p w14:paraId="264C67AB" w14:textId="77777777" w:rsidR="004C579E" w:rsidRPr="004C579E" w:rsidRDefault="004C579E" w:rsidP="004C579E">
            <w:pPr>
              <w:spacing w:after="0" w:line="240" w:lineRule="auto"/>
              <w:jc w:val="right"/>
              <w:rPr>
                <w:rFonts w:asciiTheme="minorHAnsi" w:eastAsia="Times New Roman" w:hAnsiTheme="minorHAnsi" w:cstheme="minorHAnsi"/>
                <w:b/>
                <w:bCs/>
                <w:color w:val="000000"/>
                <w:sz w:val="14"/>
                <w:szCs w:val="14"/>
                <w:lang w:eastAsia="es-MX"/>
              </w:rPr>
            </w:pPr>
            <w:r w:rsidRPr="004C579E">
              <w:rPr>
                <w:rFonts w:asciiTheme="minorHAnsi" w:eastAsia="Times New Roman" w:hAnsiTheme="minorHAnsi" w:cstheme="minorHAnsi"/>
                <w:b/>
                <w:bCs/>
                <w:color w:val="000000"/>
                <w:sz w:val="14"/>
                <w:szCs w:val="14"/>
                <w:lang w:eastAsia="es-MX"/>
              </w:rPr>
              <w:t>623,000,000</w:t>
            </w:r>
          </w:p>
        </w:tc>
        <w:tc>
          <w:tcPr>
            <w:tcW w:w="1309" w:type="dxa"/>
            <w:tcBorders>
              <w:top w:val="nil"/>
              <w:left w:val="nil"/>
              <w:bottom w:val="single" w:sz="4" w:space="0" w:color="auto"/>
              <w:right w:val="single" w:sz="4" w:space="0" w:color="auto"/>
            </w:tcBorders>
            <w:shd w:val="clear" w:color="000000" w:fill="DDC9A3"/>
            <w:vAlign w:val="center"/>
            <w:hideMark/>
          </w:tcPr>
          <w:p w14:paraId="5C31DFB7" w14:textId="77777777" w:rsidR="004C579E" w:rsidRPr="004C579E" w:rsidRDefault="004C579E" w:rsidP="004C579E">
            <w:pPr>
              <w:spacing w:after="0" w:line="240" w:lineRule="auto"/>
              <w:jc w:val="right"/>
              <w:rPr>
                <w:rFonts w:asciiTheme="minorHAnsi" w:eastAsia="Times New Roman" w:hAnsiTheme="minorHAnsi" w:cstheme="minorHAnsi"/>
                <w:b/>
                <w:bCs/>
                <w:color w:val="000000"/>
                <w:sz w:val="14"/>
                <w:szCs w:val="14"/>
                <w:lang w:eastAsia="es-MX"/>
              </w:rPr>
            </w:pPr>
            <w:r w:rsidRPr="004C579E">
              <w:rPr>
                <w:rFonts w:asciiTheme="minorHAnsi" w:eastAsia="Times New Roman" w:hAnsiTheme="minorHAnsi" w:cstheme="minorHAnsi"/>
                <w:b/>
                <w:bCs/>
                <w:color w:val="000000"/>
                <w:sz w:val="14"/>
                <w:szCs w:val="14"/>
                <w:lang w:eastAsia="es-MX"/>
              </w:rPr>
              <w:t>341,988,204</w:t>
            </w:r>
          </w:p>
        </w:tc>
        <w:tc>
          <w:tcPr>
            <w:tcW w:w="1400" w:type="dxa"/>
            <w:tcBorders>
              <w:top w:val="nil"/>
              <w:left w:val="nil"/>
              <w:bottom w:val="single" w:sz="4" w:space="0" w:color="auto"/>
              <w:right w:val="single" w:sz="4" w:space="0" w:color="auto"/>
            </w:tcBorders>
            <w:shd w:val="clear" w:color="000000" w:fill="DDC9A3"/>
            <w:vAlign w:val="center"/>
            <w:hideMark/>
          </w:tcPr>
          <w:p w14:paraId="00604C19" w14:textId="77777777" w:rsidR="004C579E" w:rsidRPr="004C579E" w:rsidRDefault="004C579E" w:rsidP="004C579E">
            <w:pPr>
              <w:spacing w:after="0" w:line="240" w:lineRule="auto"/>
              <w:jc w:val="right"/>
              <w:rPr>
                <w:rFonts w:asciiTheme="minorHAnsi" w:eastAsia="Times New Roman" w:hAnsiTheme="minorHAnsi" w:cstheme="minorHAnsi"/>
                <w:b/>
                <w:bCs/>
                <w:color w:val="000000"/>
                <w:sz w:val="14"/>
                <w:szCs w:val="14"/>
                <w:lang w:eastAsia="es-MX"/>
              </w:rPr>
            </w:pPr>
            <w:r w:rsidRPr="004C579E">
              <w:rPr>
                <w:rFonts w:asciiTheme="minorHAnsi" w:eastAsia="Times New Roman" w:hAnsiTheme="minorHAnsi" w:cstheme="minorHAnsi"/>
                <w:b/>
                <w:bCs/>
                <w:color w:val="000000"/>
                <w:sz w:val="14"/>
                <w:szCs w:val="14"/>
                <w:lang w:eastAsia="es-MX"/>
              </w:rPr>
              <w:t>15,833,324,062</w:t>
            </w:r>
          </w:p>
        </w:tc>
        <w:tc>
          <w:tcPr>
            <w:tcW w:w="1420" w:type="dxa"/>
            <w:tcBorders>
              <w:top w:val="nil"/>
              <w:left w:val="nil"/>
              <w:bottom w:val="single" w:sz="4" w:space="0" w:color="auto"/>
              <w:right w:val="single" w:sz="4" w:space="0" w:color="auto"/>
            </w:tcBorders>
            <w:shd w:val="clear" w:color="000000" w:fill="DDC9A3"/>
            <w:vAlign w:val="center"/>
            <w:hideMark/>
          </w:tcPr>
          <w:p w14:paraId="0953FBAE" w14:textId="77777777" w:rsidR="004C579E" w:rsidRPr="004C579E" w:rsidRDefault="004C579E" w:rsidP="004C579E">
            <w:pPr>
              <w:spacing w:after="0" w:line="240" w:lineRule="auto"/>
              <w:jc w:val="right"/>
              <w:rPr>
                <w:rFonts w:asciiTheme="minorHAnsi" w:eastAsia="Times New Roman" w:hAnsiTheme="minorHAnsi" w:cstheme="minorHAnsi"/>
                <w:b/>
                <w:bCs/>
                <w:color w:val="000000"/>
                <w:sz w:val="14"/>
                <w:szCs w:val="14"/>
                <w:lang w:eastAsia="es-MX"/>
              </w:rPr>
            </w:pPr>
            <w:r w:rsidRPr="004C579E">
              <w:rPr>
                <w:rFonts w:asciiTheme="minorHAnsi" w:eastAsia="Times New Roman" w:hAnsiTheme="minorHAnsi" w:cstheme="minorHAnsi"/>
                <w:b/>
                <w:bCs/>
                <w:color w:val="000000"/>
                <w:sz w:val="14"/>
                <w:szCs w:val="14"/>
                <w:lang w:eastAsia="es-MX"/>
              </w:rPr>
              <w:t>1,159,943,043</w:t>
            </w:r>
          </w:p>
        </w:tc>
        <w:tc>
          <w:tcPr>
            <w:tcW w:w="1180" w:type="dxa"/>
            <w:tcBorders>
              <w:top w:val="nil"/>
              <w:left w:val="nil"/>
              <w:bottom w:val="single" w:sz="4" w:space="0" w:color="auto"/>
              <w:right w:val="single" w:sz="4" w:space="0" w:color="auto"/>
            </w:tcBorders>
            <w:shd w:val="clear" w:color="000000" w:fill="DDC9A3"/>
            <w:vAlign w:val="center"/>
            <w:hideMark/>
          </w:tcPr>
          <w:p w14:paraId="75EAF636" w14:textId="77777777" w:rsidR="004C579E" w:rsidRPr="004C579E" w:rsidRDefault="004C579E" w:rsidP="004C579E">
            <w:pPr>
              <w:spacing w:after="0" w:line="240" w:lineRule="auto"/>
              <w:jc w:val="right"/>
              <w:rPr>
                <w:rFonts w:asciiTheme="minorHAnsi" w:eastAsia="Times New Roman" w:hAnsiTheme="minorHAnsi" w:cstheme="minorHAnsi"/>
                <w:b/>
                <w:bCs/>
                <w:color w:val="000000"/>
                <w:sz w:val="14"/>
                <w:szCs w:val="14"/>
                <w:lang w:eastAsia="es-MX"/>
              </w:rPr>
            </w:pPr>
            <w:r w:rsidRPr="004C579E">
              <w:rPr>
                <w:rFonts w:asciiTheme="minorHAnsi" w:eastAsia="Times New Roman" w:hAnsiTheme="minorHAnsi" w:cstheme="minorHAnsi"/>
                <w:b/>
                <w:bCs/>
                <w:color w:val="000000"/>
                <w:sz w:val="14"/>
                <w:szCs w:val="14"/>
                <w:lang w:eastAsia="es-MX"/>
              </w:rPr>
              <w:t>21,895,483</w:t>
            </w:r>
          </w:p>
        </w:tc>
      </w:tr>
    </w:tbl>
    <w:p w14:paraId="19E0ACED" w14:textId="77777777" w:rsidR="00822F3B" w:rsidRDefault="00B07C73" w:rsidP="00B07C73">
      <w:pPr>
        <w:tabs>
          <w:tab w:val="left" w:pos="829"/>
          <w:tab w:val="left" w:pos="945"/>
        </w:tabs>
        <w:rPr>
          <w:rFonts w:asciiTheme="minorHAnsi" w:eastAsia="Times New Roman" w:hAnsiTheme="minorHAnsi" w:cstheme="minorHAnsi"/>
          <w:b/>
          <w:sz w:val="18"/>
          <w:szCs w:val="18"/>
          <w:lang w:val="es-ES" w:eastAsia="es-ES"/>
        </w:rPr>
      </w:pPr>
      <w:r w:rsidRPr="005F45A3">
        <w:rPr>
          <w:rFonts w:asciiTheme="minorHAnsi" w:eastAsia="Times New Roman" w:hAnsiTheme="minorHAnsi" w:cstheme="minorHAnsi"/>
          <w:b/>
          <w:sz w:val="18"/>
          <w:szCs w:val="18"/>
          <w:lang w:val="es-ES" w:eastAsia="es-ES"/>
        </w:rPr>
        <w:t xml:space="preserve"> </w:t>
      </w:r>
    </w:p>
    <w:p w14:paraId="524F45C5" w14:textId="38010319" w:rsidR="00B07C73" w:rsidRPr="00D93ED6" w:rsidRDefault="00B07C73" w:rsidP="00B07C73">
      <w:pPr>
        <w:tabs>
          <w:tab w:val="left" w:pos="829"/>
          <w:tab w:val="left" w:pos="945"/>
        </w:tabs>
        <w:rPr>
          <w:rFonts w:asciiTheme="minorHAnsi" w:eastAsia="Times New Roman" w:hAnsiTheme="minorHAnsi" w:cstheme="minorHAnsi"/>
          <w:b/>
          <w:sz w:val="20"/>
          <w:szCs w:val="18"/>
          <w:lang w:val="es-ES" w:eastAsia="es-ES"/>
        </w:rPr>
      </w:pPr>
      <w:r w:rsidRPr="00D93ED6">
        <w:rPr>
          <w:rFonts w:asciiTheme="minorHAnsi" w:eastAsia="Times New Roman" w:hAnsiTheme="minorHAnsi" w:cstheme="minorHAnsi"/>
          <w:b/>
          <w:sz w:val="20"/>
          <w:szCs w:val="18"/>
          <w:lang w:val="es-ES" w:eastAsia="es-ES"/>
        </w:rPr>
        <w:t>Resumen de pago de amortizaciones e intereses de</w:t>
      </w:r>
      <w:r w:rsidR="00BD0E8E" w:rsidRPr="00D93ED6">
        <w:rPr>
          <w:rFonts w:asciiTheme="minorHAnsi" w:eastAsia="Times New Roman" w:hAnsiTheme="minorHAnsi" w:cstheme="minorHAnsi"/>
          <w:b/>
          <w:sz w:val="20"/>
          <w:szCs w:val="18"/>
          <w:lang w:val="es-ES" w:eastAsia="es-ES"/>
        </w:rPr>
        <w:t xml:space="preserve"> la Deuda con Recurso FAFEF 2022</w:t>
      </w:r>
    </w:p>
    <w:p w14:paraId="58EBB4B8" w14:textId="37F78376" w:rsidR="00E13B30" w:rsidRPr="00AA2839" w:rsidRDefault="00E13B30" w:rsidP="00AA2839">
      <w:pPr>
        <w:tabs>
          <w:tab w:val="left" w:pos="829"/>
          <w:tab w:val="left" w:pos="945"/>
        </w:tabs>
        <w:jc w:val="both"/>
        <w:rPr>
          <w:rFonts w:asciiTheme="minorHAnsi" w:eastAsia="Times New Roman" w:hAnsiTheme="minorHAnsi" w:cstheme="minorHAnsi"/>
          <w:sz w:val="18"/>
          <w:szCs w:val="18"/>
          <w:lang w:val="es-ES" w:eastAsia="es-ES"/>
        </w:rPr>
      </w:pPr>
      <w:r w:rsidRPr="00AA2839">
        <w:rPr>
          <w:rFonts w:asciiTheme="minorHAnsi" w:eastAsia="Times New Roman" w:hAnsiTheme="minorHAnsi" w:cstheme="minorHAnsi"/>
          <w:sz w:val="18"/>
          <w:szCs w:val="18"/>
          <w:lang w:val="es-ES" w:eastAsia="es-ES"/>
        </w:rPr>
        <w:t>La aplicación del recurso Fondo de Aportaciones para el Fortalecimiento de Entidades Federativas en el rubro de Saneamiento Financiero represento un 19.58% de las amortizaciones</w:t>
      </w:r>
      <w:r w:rsidR="00AA2839">
        <w:rPr>
          <w:rFonts w:asciiTheme="minorHAnsi" w:eastAsia="Times New Roman" w:hAnsiTheme="minorHAnsi" w:cstheme="minorHAnsi"/>
          <w:sz w:val="18"/>
          <w:szCs w:val="18"/>
          <w:lang w:val="es-ES" w:eastAsia="es-ES"/>
        </w:rPr>
        <w:t xml:space="preserve"> </w:t>
      </w:r>
      <w:r w:rsidRPr="00AA2839">
        <w:rPr>
          <w:rFonts w:asciiTheme="minorHAnsi" w:eastAsia="Times New Roman" w:hAnsiTheme="minorHAnsi" w:cstheme="minorHAnsi"/>
          <w:sz w:val="18"/>
          <w:szCs w:val="18"/>
          <w:lang w:val="es-ES" w:eastAsia="es-ES"/>
        </w:rPr>
        <w:t xml:space="preserve"> y un 21.18 % de</w:t>
      </w:r>
      <w:r w:rsidR="00AA2839">
        <w:rPr>
          <w:rFonts w:asciiTheme="minorHAnsi" w:eastAsia="Times New Roman" w:hAnsiTheme="minorHAnsi" w:cstheme="minorHAnsi"/>
          <w:sz w:val="18"/>
          <w:szCs w:val="18"/>
          <w:lang w:val="es-ES" w:eastAsia="es-ES"/>
        </w:rPr>
        <w:t xml:space="preserve"> los</w:t>
      </w:r>
      <w:r w:rsidRPr="00AA2839">
        <w:rPr>
          <w:rFonts w:asciiTheme="minorHAnsi" w:eastAsia="Times New Roman" w:hAnsiTheme="minorHAnsi" w:cstheme="minorHAnsi"/>
          <w:sz w:val="18"/>
          <w:szCs w:val="18"/>
          <w:lang w:val="es-ES" w:eastAsia="es-ES"/>
        </w:rPr>
        <w:t xml:space="preserve"> intereses</w:t>
      </w:r>
      <w:r w:rsidR="00AA2839">
        <w:rPr>
          <w:rFonts w:asciiTheme="minorHAnsi" w:eastAsia="Times New Roman" w:hAnsiTheme="minorHAnsi" w:cstheme="minorHAnsi"/>
          <w:sz w:val="18"/>
          <w:szCs w:val="18"/>
          <w:lang w:val="es-ES" w:eastAsia="es-ES"/>
        </w:rPr>
        <w:t xml:space="preserve">  del total del pago que fue cubierto por el Gobierno del Estado por los</w:t>
      </w:r>
      <w:r w:rsidRPr="00AA2839">
        <w:rPr>
          <w:rFonts w:asciiTheme="minorHAnsi" w:eastAsia="Times New Roman" w:hAnsiTheme="minorHAnsi" w:cstheme="minorHAnsi"/>
          <w:sz w:val="18"/>
          <w:szCs w:val="18"/>
          <w:lang w:val="es-ES" w:eastAsia="es-ES"/>
        </w:rPr>
        <w:t xml:space="preserve"> créditos</w:t>
      </w:r>
      <w:r w:rsidR="00AA2839">
        <w:rPr>
          <w:rFonts w:asciiTheme="minorHAnsi" w:eastAsia="Times New Roman" w:hAnsiTheme="minorHAnsi" w:cstheme="minorHAnsi"/>
          <w:sz w:val="18"/>
          <w:szCs w:val="18"/>
          <w:lang w:val="es-ES" w:eastAsia="es-ES"/>
        </w:rPr>
        <w:t xml:space="preserve"> contratados.</w:t>
      </w:r>
    </w:p>
    <w:tbl>
      <w:tblPr>
        <w:tblW w:w="9719" w:type="dxa"/>
        <w:tblCellMar>
          <w:left w:w="70" w:type="dxa"/>
          <w:right w:w="70" w:type="dxa"/>
        </w:tblCellMar>
        <w:tblLook w:val="04A0" w:firstRow="1" w:lastRow="0" w:firstColumn="1" w:lastColumn="0" w:noHBand="0" w:noVBand="1"/>
      </w:tblPr>
      <w:tblGrid>
        <w:gridCol w:w="2504"/>
        <w:gridCol w:w="1314"/>
        <w:gridCol w:w="1134"/>
        <w:gridCol w:w="1150"/>
        <w:gridCol w:w="1118"/>
        <w:gridCol w:w="1325"/>
        <w:gridCol w:w="1174"/>
      </w:tblGrid>
      <w:tr w:rsidR="00314530" w:rsidRPr="00314530" w14:paraId="70D16B91" w14:textId="77777777" w:rsidTr="006C79AD">
        <w:trPr>
          <w:trHeight w:val="522"/>
        </w:trPr>
        <w:tc>
          <w:tcPr>
            <w:tcW w:w="9719" w:type="dxa"/>
            <w:gridSpan w:val="7"/>
            <w:tcBorders>
              <w:top w:val="single" w:sz="8" w:space="0" w:color="auto"/>
              <w:left w:val="single" w:sz="8" w:space="0" w:color="auto"/>
              <w:bottom w:val="single" w:sz="8" w:space="0" w:color="auto"/>
              <w:right w:val="single" w:sz="8" w:space="0" w:color="auto"/>
            </w:tcBorders>
            <w:shd w:val="clear" w:color="000000" w:fill="AB0033"/>
            <w:vAlign w:val="center"/>
            <w:hideMark/>
          </w:tcPr>
          <w:p w14:paraId="12415E75" w14:textId="77777777" w:rsidR="00314530" w:rsidRPr="00314530" w:rsidRDefault="00314530" w:rsidP="00314530">
            <w:pPr>
              <w:spacing w:after="0" w:line="240" w:lineRule="auto"/>
              <w:jc w:val="center"/>
              <w:rPr>
                <w:rFonts w:ascii="Helvetica" w:eastAsia="Times New Roman" w:hAnsi="Helvetica" w:cs="Helvetica"/>
                <w:b/>
                <w:bCs/>
                <w:color w:val="FFFFFF"/>
                <w:sz w:val="16"/>
                <w:szCs w:val="16"/>
                <w:lang w:eastAsia="es-MX"/>
              </w:rPr>
            </w:pPr>
            <w:r w:rsidRPr="00314530">
              <w:rPr>
                <w:rFonts w:ascii="Helvetica" w:eastAsia="Times New Roman" w:hAnsi="Helvetica" w:cs="Helvetica"/>
                <w:b/>
                <w:bCs/>
                <w:color w:val="FFFFFF"/>
                <w:sz w:val="16"/>
                <w:szCs w:val="16"/>
                <w:lang w:eastAsia="es-MX"/>
              </w:rPr>
              <w:t>Total de Amortizaciones a los Créditos con Recurso FAFEF  y Recurso Estatal</w:t>
            </w:r>
          </w:p>
        </w:tc>
      </w:tr>
      <w:tr w:rsidR="00314530" w:rsidRPr="00B43367" w14:paraId="264491B6" w14:textId="77777777" w:rsidTr="004565A8">
        <w:trPr>
          <w:trHeight w:val="409"/>
        </w:trPr>
        <w:tc>
          <w:tcPr>
            <w:tcW w:w="2504" w:type="dxa"/>
            <w:tcBorders>
              <w:top w:val="nil"/>
              <w:left w:val="single" w:sz="8" w:space="0" w:color="auto"/>
              <w:bottom w:val="single" w:sz="8" w:space="0" w:color="auto"/>
              <w:right w:val="single" w:sz="8" w:space="0" w:color="auto"/>
            </w:tcBorders>
            <w:shd w:val="clear" w:color="000000" w:fill="D9D9D9"/>
            <w:vAlign w:val="center"/>
            <w:hideMark/>
          </w:tcPr>
          <w:p w14:paraId="2D189B4E" w14:textId="77777777" w:rsidR="00314530" w:rsidRPr="00B43367" w:rsidRDefault="00314530" w:rsidP="00314530">
            <w:pPr>
              <w:spacing w:after="0" w:line="240" w:lineRule="auto"/>
              <w:jc w:val="center"/>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Concepto</w:t>
            </w:r>
          </w:p>
        </w:tc>
        <w:tc>
          <w:tcPr>
            <w:tcW w:w="1314" w:type="dxa"/>
            <w:tcBorders>
              <w:top w:val="nil"/>
              <w:left w:val="nil"/>
              <w:bottom w:val="single" w:sz="8" w:space="0" w:color="auto"/>
              <w:right w:val="single" w:sz="8" w:space="0" w:color="auto"/>
            </w:tcBorders>
            <w:shd w:val="clear" w:color="000000" w:fill="D9D9D9"/>
            <w:vAlign w:val="center"/>
            <w:hideMark/>
          </w:tcPr>
          <w:p w14:paraId="240ABC1B" w14:textId="77777777" w:rsidR="00314530" w:rsidRPr="00B43367" w:rsidRDefault="00314530" w:rsidP="00314530">
            <w:pPr>
              <w:spacing w:after="0" w:line="240" w:lineRule="auto"/>
              <w:jc w:val="center"/>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Saldo al 31 de Diciembre de 2021</w:t>
            </w:r>
          </w:p>
        </w:tc>
        <w:tc>
          <w:tcPr>
            <w:tcW w:w="1134" w:type="dxa"/>
            <w:tcBorders>
              <w:top w:val="nil"/>
              <w:left w:val="nil"/>
              <w:bottom w:val="single" w:sz="8" w:space="0" w:color="auto"/>
              <w:right w:val="single" w:sz="8" w:space="0" w:color="auto"/>
            </w:tcBorders>
            <w:shd w:val="clear" w:color="000000" w:fill="D9D9D9"/>
            <w:vAlign w:val="center"/>
            <w:hideMark/>
          </w:tcPr>
          <w:p w14:paraId="4ADF1733" w14:textId="77777777" w:rsidR="00314530" w:rsidRPr="00B43367" w:rsidRDefault="00314530" w:rsidP="00314530">
            <w:pPr>
              <w:spacing w:after="0" w:line="240" w:lineRule="auto"/>
              <w:jc w:val="center"/>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Disposiciones</w:t>
            </w:r>
          </w:p>
        </w:tc>
        <w:tc>
          <w:tcPr>
            <w:tcW w:w="1150" w:type="dxa"/>
            <w:tcBorders>
              <w:top w:val="nil"/>
              <w:left w:val="nil"/>
              <w:bottom w:val="single" w:sz="8" w:space="0" w:color="auto"/>
              <w:right w:val="single" w:sz="8" w:space="0" w:color="auto"/>
            </w:tcBorders>
            <w:shd w:val="clear" w:color="000000" w:fill="D9D9D9"/>
            <w:vAlign w:val="center"/>
            <w:hideMark/>
          </w:tcPr>
          <w:p w14:paraId="6B89CCA0" w14:textId="77777777" w:rsidR="00314530" w:rsidRPr="00B43367" w:rsidRDefault="00314530" w:rsidP="00314530">
            <w:pPr>
              <w:spacing w:after="0" w:line="240" w:lineRule="auto"/>
              <w:jc w:val="center"/>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Amortizaciones</w:t>
            </w:r>
          </w:p>
        </w:tc>
        <w:tc>
          <w:tcPr>
            <w:tcW w:w="1118" w:type="dxa"/>
            <w:tcBorders>
              <w:top w:val="nil"/>
              <w:left w:val="nil"/>
              <w:bottom w:val="single" w:sz="8" w:space="0" w:color="auto"/>
              <w:right w:val="single" w:sz="8" w:space="0" w:color="auto"/>
            </w:tcBorders>
            <w:shd w:val="clear" w:color="000000" w:fill="D9D9D9"/>
            <w:vAlign w:val="center"/>
            <w:hideMark/>
          </w:tcPr>
          <w:p w14:paraId="207C12CF" w14:textId="77777777" w:rsidR="00314530" w:rsidRPr="00B43367" w:rsidRDefault="00314530" w:rsidP="00314530">
            <w:pPr>
              <w:spacing w:after="0" w:line="240" w:lineRule="auto"/>
              <w:jc w:val="center"/>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Intereses</w:t>
            </w:r>
          </w:p>
        </w:tc>
        <w:tc>
          <w:tcPr>
            <w:tcW w:w="1325" w:type="dxa"/>
            <w:tcBorders>
              <w:top w:val="nil"/>
              <w:left w:val="nil"/>
              <w:bottom w:val="single" w:sz="8" w:space="0" w:color="auto"/>
              <w:right w:val="nil"/>
            </w:tcBorders>
            <w:shd w:val="clear" w:color="000000" w:fill="D9D9D9"/>
            <w:vAlign w:val="center"/>
            <w:hideMark/>
          </w:tcPr>
          <w:p w14:paraId="52EA4C44" w14:textId="77777777" w:rsidR="00314530" w:rsidRPr="00B43367" w:rsidRDefault="00314530" w:rsidP="00314530">
            <w:pPr>
              <w:spacing w:after="0" w:line="240" w:lineRule="auto"/>
              <w:jc w:val="center"/>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Saldo al 31 de Diciembre de 2022</w:t>
            </w:r>
          </w:p>
        </w:tc>
        <w:tc>
          <w:tcPr>
            <w:tcW w:w="1174" w:type="dxa"/>
            <w:tcBorders>
              <w:top w:val="nil"/>
              <w:left w:val="single" w:sz="8" w:space="0" w:color="auto"/>
              <w:bottom w:val="single" w:sz="8" w:space="0" w:color="auto"/>
              <w:right w:val="single" w:sz="8" w:space="0" w:color="auto"/>
            </w:tcBorders>
            <w:shd w:val="clear" w:color="000000" w:fill="D9D9D9"/>
            <w:vAlign w:val="center"/>
            <w:hideMark/>
          </w:tcPr>
          <w:p w14:paraId="017CA7F8" w14:textId="77777777" w:rsidR="00314530" w:rsidRPr="00B43367" w:rsidRDefault="00314530" w:rsidP="00314530">
            <w:pPr>
              <w:spacing w:after="0" w:line="240" w:lineRule="auto"/>
              <w:jc w:val="center"/>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Porcentaje pagado con Recurso FAFEF de cada rubro</w:t>
            </w:r>
          </w:p>
        </w:tc>
      </w:tr>
      <w:tr w:rsidR="00314530" w:rsidRPr="00B43367" w14:paraId="6108279A" w14:textId="77777777" w:rsidTr="004565A8">
        <w:trPr>
          <w:trHeight w:val="273"/>
        </w:trPr>
        <w:tc>
          <w:tcPr>
            <w:tcW w:w="2504" w:type="dxa"/>
            <w:tcBorders>
              <w:top w:val="single" w:sz="8" w:space="0" w:color="auto"/>
              <w:left w:val="single" w:sz="8" w:space="0" w:color="auto"/>
              <w:bottom w:val="single" w:sz="8" w:space="0" w:color="auto"/>
              <w:right w:val="nil"/>
            </w:tcBorders>
            <w:shd w:val="clear" w:color="000000" w:fill="FFFFFF"/>
            <w:noWrap/>
            <w:vAlign w:val="center"/>
            <w:hideMark/>
          </w:tcPr>
          <w:p w14:paraId="2F96CAF0" w14:textId="77777777" w:rsidR="00314530" w:rsidRPr="00B43367" w:rsidRDefault="00314530" w:rsidP="00314530">
            <w:pPr>
              <w:spacing w:after="0" w:line="240" w:lineRule="auto"/>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 xml:space="preserve">Deuda Pública </w:t>
            </w:r>
          </w:p>
        </w:tc>
        <w:tc>
          <w:tcPr>
            <w:tcW w:w="131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6F413AB"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15,552,312,266</w:t>
            </w:r>
          </w:p>
        </w:tc>
        <w:tc>
          <w:tcPr>
            <w:tcW w:w="1134" w:type="dxa"/>
            <w:tcBorders>
              <w:top w:val="single" w:sz="8" w:space="0" w:color="auto"/>
              <w:left w:val="nil"/>
              <w:bottom w:val="single" w:sz="8" w:space="0" w:color="auto"/>
              <w:right w:val="nil"/>
            </w:tcBorders>
            <w:shd w:val="clear" w:color="000000" w:fill="FFFFFF"/>
            <w:noWrap/>
            <w:vAlign w:val="center"/>
            <w:hideMark/>
          </w:tcPr>
          <w:p w14:paraId="1CA36B57"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623,000,000</w:t>
            </w:r>
          </w:p>
        </w:tc>
        <w:tc>
          <w:tcPr>
            <w:tcW w:w="11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459AD17"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 </w:t>
            </w:r>
          </w:p>
        </w:tc>
        <w:tc>
          <w:tcPr>
            <w:tcW w:w="1118" w:type="dxa"/>
            <w:tcBorders>
              <w:top w:val="single" w:sz="8" w:space="0" w:color="auto"/>
              <w:left w:val="nil"/>
              <w:bottom w:val="single" w:sz="8" w:space="0" w:color="auto"/>
              <w:right w:val="single" w:sz="8" w:space="0" w:color="auto"/>
            </w:tcBorders>
            <w:shd w:val="clear" w:color="000000" w:fill="FFFFFF"/>
            <w:noWrap/>
            <w:vAlign w:val="center"/>
            <w:hideMark/>
          </w:tcPr>
          <w:p w14:paraId="3F5225F2"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 </w:t>
            </w:r>
          </w:p>
        </w:tc>
        <w:tc>
          <w:tcPr>
            <w:tcW w:w="1325" w:type="dxa"/>
            <w:tcBorders>
              <w:top w:val="single" w:sz="8" w:space="0" w:color="auto"/>
              <w:left w:val="nil"/>
              <w:bottom w:val="single" w:sz="8" w:space="0" w:color="auto"/>
              <w:right w:val="single" w:sz="8" w:space="0" w:color="auto"/>
            </w:tcBorders>
            <w:shd w:val="clear" w:color="000000" w:fill="FFFFFF"/>
            <w:noWrap/>
            <w:vAlign w:val="center"/>
            <w:hideMark/>
          </w:tcPr>
          <w:p w14:paraId="4D867F8B"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16,175,312,266</w:t>
            </w:r>
          </w:p>
        </w:tc>
        <w:tc>
          <w:tcPr>
            <w:tcW w:w="1174" w:type="dxa"/>
            <w:tcBorders>
              <w:top w:val="single" w:sz="8" w:space="0" w:color="auto"/>
              <w:left w:val="nil"/>
              <w:bottom w:val="single" w:sz="8" w:space="0" w:color="auto"/>
              <w:right w:val="single" w:sz="8" w:space="0" w:color="auto"/>
            </w:tcBorders>
            <w:shd w:val="clear" w:color="000000" w:fill="FFFFFF"/>
            <w:noWrap/>
            <w:vAlign w:val="center"/>
            <w:hideMark/>
          </w:tcPr>
          <w:p w14:paraId="3BD7CE0A"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 </w:t>
            </w:r>
          </w:p>
        </w:tc>
      </w:tr>
      <w:tr w:rsidR="00314530" w:rsidRPr="00B43367" w14:paraId="747BEE46" w14:textId="77777777" w:rsidTr="004565A8">
        <w:trPr>
          <w:trHeight w:val="273"/>
        </w:trPr>
        <w:tc>
          <w:tcPr>
            <w:tcW w:w="2504" w:type="dxa"/>
            <w:tcBorders>
              <w:top w:val="single" w:sz="8" w:space="0" w:color="auto"/>
              <w:left w:val="single" w:sz="8" w:space="0" w:color="auto"/>
              <w:bottom w:val="single" w:sz="8" w:space="0" w:color="auto"/>
              <w:right w:val="nil"/>
            </w:tcBorders>
            <w:shd w:val="clear" w:color="000000" w:fill="FFFFFF"/>
            <w:noWrap/>
            <w:vAlign w:val="center"/>
            <w:hideMark/>
          </w:tcPr>
          <w:p w14:paraId="10E43436" w14:textId="77777777" w:rsidR="00314530" w:rsidRPr="00B43367" w:rsidRDefault="00314530" w:rsidP="00314530">
            <w:pPr>
              <w:spacing w:after="0" w:line="240" w:lineRule="auto"/>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AMORTIZACIONES:</w:t>
            </w:r>
          </w:p>
        </w:tc>
        <w:tc>
          <w:tcPr>
            <w:tcW w:w="131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DB3B95C"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134" w:type="dxa"/>
            <w:tcBorders>
              <w:top w:val="single" w:sz="8" w:space="0" w:color="auto"/>
              <w:left w:val="nil"/>
              <w:bottom w:val="single" w:sz="8" w:space="0" w:color="auto"/>
              <w:right w:val="nil"/>
            </w:tcBorders>
            <w:shd w:val="clear" w:color="000000" w:fill="FFFFFF"/>
            <w:noWrap/>
            <w:vAlign w:val="center"/>
            <w:hideMark/>
          </w:tcPr>
          <w:p w14:paraId="12DACBAD"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1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EC469BC" w14:textId="77777777" w:rsidR="00314530" w:rsidRPr="00B43367" w:rsidRDefault="00314530" w:rsidP="00314530">
            <w:pPr>
              <w:spacing w:after="0" w:line="240" w:lineRule="auto"/>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118" w:type="dxa"/>
            <w:tcBorders>
              <w:top w:val="single" w:sz="8" w:space="0" w:color="auto"/>
              <w:left w:val="nil"/>
              <w:bottom w:val="single" w:sz="8" w:space="0" w:color="auto"/>
              <w:right w:val="single" w:sz="8" w:space="0" w:color="auto"/>
            </w:tcBorders>
            <w:shd w:val="clear" w:color="000000" w:fill="FFFFFF"/>
            <w:vAlign w:val="center"/>
            <w:hideMark/>
          </w:tcPr>
          <w:p w14:paraId="001952DA"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325" w:type="dxa"/>
            <w:tcBorders>
              <w:top w:val="single" w:sz="8" w:space="0" w:color="auto"/>
              <w:left w:val="nil"/>
              <w:bottom w:val="single" w:sz="8" w:space="0" w:color="auto"/>
              <w:right w:val="single" w:sz="8" w:space="0" w:color="auto"/>
            </w:tcBorders>
            <w:shd w:val="clear" w:color="000000" w:fill="FFFFFF"/>
            <w:noWrap/>
            <w:vAlign w:val="center"/>
            <w:hideMark/>
          </w:tcPr>
          <w:p w14:paraId="668C2AEB"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0</w:t>
            </w:r>
          </w:p>
        </w:tc>
        <w:tc>
          <w:tcPr>
            <w:tcW w:w="1174" w:type="dxa"/>
            <w:tcBorders>
              <w:top w:val="single" w:sz="8" w:space="0" w:color="auto"/>
              <w:left w:val="nil"/>
              <w:bottom w:val="single" w:sz="8" w:space="0" w:color="auto"/>
              <w:right w:val="single" w:sz="8" w:space="0" w:color="auto"/>
            </w:tcBorders>
            <w:shd w:val="clear" w:color="000000" w:fill="FFFFFF"/>
            <w:noWrap/>
            <w:vAlign w:val="center"/>
            <w:hideMark/>
          </w:tcPr>
          <w:p w14:paraId="2A575C48"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r>
      <w:tr w:rsidR="00314530" w:rsidRPr="00B43367" w14:paraId="082CB984" w14:textId="77777777" w:rsidTr="004565A8">
        <w:trPr>
          <w:trHeight w:val="273"/>
        </w:trPr>
        <w:tc>
          <w:tcPr>
            <w:tcW w:w="2504" w:type="dxa"/>
            <w:tcBorders>
              <w:top w:val="single" w:sz="8" w:space="0" w:color="auto"/>
              <w:left w:val="single" w:sz="8" w:space="0" w:color="auto"/>
              <w:bottom w:val="single" w:sz="8" w:space="0" w:color="auto"/>
              <w:right w:val="nil"/>
            </w:tcBorders>
            <w:shd w:val="clear" w:color="000000" w:fill="FFFFFF"/>
            <w:noWrap/>
            <w:vAlign w:val="center"/>
            <w:hideMark/>
          </w:tcPr>
          <w:p w14:paraId="5170F581" w14:textId="77777777" w:rsidR="00314530" w:rsidRPr="00B43367" w:rsidRDefault="00314530" w:rsidP="00314530">
            <w:pPr>
              <w:spacing w:after="0" w:line="240" w:lineRule="auto"/>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Recurso Federal FAFEF</w:t>
            </w:r>
          </w:p>
        </w:tc>
        <w:tc>
          <w:tcPr>
            <w:tcW w:w="131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5873C4A"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134" w:type="dxa"/>
            <w:tcBorders>
              <w:top w:val="single" w:sz="8" w:space="0" w:color="auto"/>
              <w:left w:val="nil"/>
              <w:bottom w:val="single" w:sz="8" w:space="0" w:color="auto"/>
              <w:right w:val="nil"/>
            </w:tcBorders>
            <w:shd w:val="clear" w:color="000000" w:fill="FFFFFF"/>
            <w:noWrap/>
            <w:vAlign w:val="center"/>
            <w:hideMark/>
          </w:tcPr>
          <w:p w14:paraId="6020C856"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1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4B262FB"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66,974,657</w:t>
            </w:r>
          </w:p>
        </w:tc>
        <w:tc>
          <w:tcPr>
            <w:tcW w:w="1118" w:type="dxa"/>
            <w:tcBorders>
              <w:top w:val="single" w:sz="8" w:space="0" w:color="auto"/>
              <w:left w:val="nil"/>
              <w:bottom w:val="single" w:sz="8" w:space="0" w:color="auto"/>
              <w:right w:val="single" w:sz="8" w:space="0" w:color="auto"/>
            </w:tcBorders>
            <w:shd w:val="clear" w:color="000000" w:fill="FFFFFF"/>
            <w:noWrap/>
            <w:vAlign w:val="center"/>
            <w:hideMark/>
          </w:tcPr>
          <w:p w14:paraId="2A8C2BEC"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325" w:type="dxa"/>
            <w:tcBorders>
              <w:top w:val="single" w:sz="8" w:space="0" w:color="auto"/>
              <w:left w:val="nil"/>
              <w:bottom w:val="single" w:sz="8" w:space="0" w:color="auto"/>
              <w:right w:val="single" w:sz="8" w:space="0" w:color="auto"/>
            </w:tcBorders>
            <w:shd w:val="clear" w:color="000000" w:fill="FFFFFF"/>
            <w:noWrap/>
            <w:vAlign w:val="center"/>
            <w:hideMark/>
          </w:tcPr>
          <w:p w14:paraId="5E7DD66C"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66,974,657</w:t>
            </w:r>
          </w:p>
        </w:tc>
        <w:tc>
          <w:tcPr>
            <w:tcW w:w="1174" w:type="dxa"/>
            <w:tcBorders>
              <w:top w:val="single" w:sz="8" w:space="0" w:color="auto"/>
              <w:left w:val="nil"/>
              <w:bottom w:val="single" w:sz="8" w:space="0" w:color="auto"/>
              <w:right w:val="single" w:sz="8" w:space="0" w:color="auto"/>
            </w:tcBorders>
            <w:shd w:val="clear" w:color="000000" w:fill="FFFFFF"/>
            <w:noWrap/>
            <w:vAlign w:val="center"/>
            <w:hideMark/>
          </w:tcPr>
          <w:p w14:paraId="1C97D756"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19.58%</w:t>
            </w:r>
          </w:p>
        </w:tc>
      </w:tr>
      <w:tr w:rsidR="00314530" w:rsidRPr="00B43367" w14:paraId="3ECF241E" w14:textId="77777777" w:rsidTr="004565A8">
        <w:trPr>
          <w:trHeight w:val="273"/>
        </w:trPr>
        <w:tc>
          <w:tcPr>
            <w:tcW w:w="2504" w:type="dxa"/>
            <w:tcBorders>
              <w:top w:val="single" w:sz="8" w:space="0" w:color="auto"/>
              <w:left w:val="single" w:sz="8" w:space="0" w:color="auto"/>
              <w:bottom w:val="single" w:sz="8" w:space="0" w:color="auto"/>
              <w:right w:val="nil"/>
            </w:tcBorders>
            <w:shd w:val="clear" w:color="000000" w:fill="FFFFFF"/>
            <w:noWrap/>
            <w:vAlign w:val="center"/>
            <w:hideMark/>
          </w:tcPr>
          <w:p w14:paraId="36D5A411" w14:textId="77777777" w:rsidR="00314530" w:rsidRPr="00B43367" w:rsidRDefault="00314530" w:rsidP="00314530">
            <w:pPr>
              <w:spacing w:after="0" w:line="240" w:lineRule="auto"/>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Recursos Estatales</w:t>
            </w:r>
          </w:p>
        </w:tc>
        <w:tc>
          <w:tcPr>
            <w:tcW w:w="131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D03F2F9"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134" w:type="dxa"/>
            <w:tcBorders>
              <w:top w:val="single" w:sz="8" w:space="0" w:color="auto"/>
              <w:left w:val="nil"/>
              <w:bottom w:val="single" w:sz="8" w:space="0" w:color="auto"/>
              <w:right w:val="nil"/>
            </w:tcBorders>
            <w:shd w:val="clear" w:color="000000" w:fill="FFFFFF"/>
            <w:noWrap/>
            <w:vAlign w:val="center"/>
            <w:hideMark/>
          </w:tcPr>
          <w:p w14:paraId="5B8D0948"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1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CA9EC4B"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275,013,547</w:t>
            </w:r>
          </w:p>
        </w:tc>
        <w:tc>
          <w:tcPr>
            <w:tcW w:w="1118" w:type="dxa"/>
            <w:tcBorders>
              <w:top w:val="single" w:sz="8" w:space="0" w:color="auto"/>
              <w:left w:val="nil"/>
              <w:bottom w:val="single" w:sz="8" w:space="0" w:color="auto"/>
              <w:right w:val="single" w:sz="8" w:space="0" w:color="auto"/>
            </w:tcBorders>
            <w:shd w:val="clear" w:color="000000" w:fill="FFFFFF"/>
            <w:noWrap/>
            <w:vAlign w:val="center"/>
            <w:hideMark/>
          </w:tcPr>
          <w:p w14:paraId="2DDACA9F"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325" w:type="dxa"/>
            <w:tcBorders>
              <w:top w:val="single" w:sz="8" w:space="0" w:color="auto"/>
              <w:left w:val="nil"/>
              <w:bottom w:val="single" w:sz="8" w:space="0" w:color="auto"/>
              <w:right w:val="single" w:sz="8" w:space="0" w:color="auto"/>
            </w:tcBorders>
            <w:shd w:val="clear" w:color="000000" w:fill="FFFFFF"/>
            <w:noWrap/>
            <w:vAlign w:val="center"/>
            <w:hideMark/>
          </w:tcPr>
          <w:p w14:paraId="3D9BF347"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275,013,547</w:t>
            </w:r>
          </w:p>
        </w:tc>
        <w:tc>
          <w:tcPr>
            <w:tcW w:w="1174" w:type="dxa"/>
            <w:tcBorders>
              <w:top w:val="single" w:sz="8" w:space="0" w:color="auto"/>
              <w:left w:val="nil"/>
              <w:bottom w:val="single" w:sz="8" w:space="0" w:color="auto"/>
              <w:right w:val="single" w:sz="8" w:space="0" w:color="auto"/>
            </w:tcBorders>
            <w:shd w:val="clear" w:color="000000" w:fill="FFFFFF"/>
            <w:noWrap/>
            <w:vAlign w:val="center"/>
            <w:hideMark/>
          </w:tcPr>
          <w:p w14:paraId="22D0C981"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r>
      <w:tr w:rsidR="00314530" w:rsidRPr="00B43367" w14:paraId="3C1372AE" w14:textId="77777777" w:rsidTr="004565A8">
        <w:trPr>
          <w:trHeight w:val="273"/>
        </w:trPr>
        <w:tc>
          <w:tcPr>
            <w:tcW w:w="2504" w:type="dxa"/>
            <w:tcBorders>
              <w:top w:val="single" w:sz="8" w:space="0" w:color="auto"/>
              <w:left w:val="single" w:sz="8" w:space="0" w:color="auto"/>
              <w:bottom w:val="single" w:sz="8" w:space="0" w:color="auto"/>
              <w:right w:val="nil"/>
            </w:tcBorders>
            <w:shd w:val="clear" w:color="000000" w:fill="FFFFFF"/>
            <w:noWrap/>
            <w:vAlign w:val="center"/>
            <w:hideMark/>
          </w:tcPr>
          <w:p w14:paraId="2BA96CF7" w14:textId="77777777" w:rsidR="00314530" w:rsidRPr="00B43367" w:rsidRDefault="00314530" w:rsidP="00314530">
            <w:pPr>
              <w:spacing w:after="0" w:line="240" w:lineRule="auto"/>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INTERESES,GASTOS Y COMISIONES</w:t>
            </w:r>
          </w:p>
        </w:tc>
        <w:tc>
          <w:tcPr>
            <w:tcW w:w="131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DC5FFF2" w14:textId="77777777" w:rsidR="00314530" w:rsidRPr="00B43367" w:rsidRDefault="00314530" w:rsidP="00314530">
            <w:pPr>
              <w:spacing w:after="0" w:line="240" w:lineRule="auto"/>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 </w:t>
            </w:r>
          </w:p>
        </w:tc>
        <w:tc>
          <w:tcPr>
            <w:tcW w:w="1134" w:type="dxa"/>
            <w:tcBorders>
              <w:top w:val="single" w:sz="8" w:space="0" w:color="auto"/>
              <w:left w:val="nil"/>
              <w:bottom w:val="single" w:sz="8" w:space="0" w:color="auto"/>
              <w:right w:val="nil"/>
            </w:tcBorders>
            <w:shd w:val="clear" w:color="000000" w:fill="FFFFFF"/>
            <w:noWrap/>
            <w:vAlign w:val="center"/>
            <w:hideMark/>
          </w:tcPr>
          <w:p w14:paraId="4FF8B3F1"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1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31BF3E7"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118" w:type="dxa"/>
            <w:tcBorders>
              <w:top w:val="single" w:sz="8" w:space="0" w:color="auto"/>
              <w:left w:val="nil"/>
              <w:bottom w:val="single" w:sz="8" w:space="0" w:color="auto"/>
              <w:right w:val="single" w:sz="8" w:space="0" w:color="auto"/>
            </w:tcBorders>
            <w:shd w:val="clear" w:color="000000" w:fill="FFFFFF"/>
            <w:noWrap/>
            <w:vAlign w:val="center"/>
            <w:hideMark/>
          </w:tcPr>
          <w:p w14:paraId="3268A61B"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325" w:type="dxa"/>
            <w:tcBorders>
              <w:top w:val="single" w:sz="8" w:space="0" w:color="auto"/>
              <w:left w:val="nil"/>
              <w:bottom w:val="single" w:sz="8" w:space="0" w:color="auto"/>
              <w:right w:val="single" w:sz="8" w:space="0" w:color="auto"/>
            </w:tcBorders>
            <w:shd w:val="clear" w:color="000000" w:fill="FFFFFF"/>
            <w:noWrap/>
            <w:vAlign w:val="center"/>
            <w:hideMark/>
          </w:tcPr>
          <w:p w14:paraId="73B934B2"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0</w:t>
            </w:r>
          </w:p>
        </w:tc>
        <w:tc>
          <w:tcPr>
            <w:tcW w:w="1174" w:type="dxa"/>
            <w:tcBorders>
              <w:top w:val="single" w:sz="8" w:space="0" w:color="auto"/>
              <w:left w:val="nil"/>
              <w:bottom w:val="single" w:sz="8" w:space="0" w:color="auto"/>
              <w:right w:val="single" w:sz="8" w:space="0" w:color="auto"/>
            </w:tcBorders>
            <w:shd w:val="clear" w:color="000000" w:fill="FFFFFF"/>
            <w:noWrap/>
            <w:vAlign w:val="center"/>
            <w:hideMark/>
          </w:tcPr>
          <w:p w14:paraId="2327772B"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r>
      <w:tr w:rsidR="00314530" w:rsidRPr="00B43367" w14:paraId="18FF0104" w14:textId="77777777" w:rsidTr="004565A8">
        <w:trPr>
          <w:trHeight w:val="273"/>
        </w:trPr>
        <w:tc>
          <w:tcPr>
            <w:tcW w:w="2504" w:type="dxa"/>
            <w:tcBorders>
              <w:top w:val="single" w:sz="8" w:space="0" w:color="auto"/>
              <w:left w:val="single" w:sz="8" w:space="0" w:color="auto"/>
              <w:bottom w:val="single" w:sz="8" w:space="0" w:color="auto"/>
              <w:right w:val="nil"/>
            </w:tcBorders>
            <w:shd w:val="clear" w:color="000000" w:fill="FFFFFF"/>
            <w:noWrap/>
            <w:vAlign w:val="center"/>
            <w:hideMark/>
          </w:tcPr>
          <w:p w14:paraId="512350AE" w14:textId="662D399C" w:rsidR="00314530" w:rsidRPr="00B43367" w:rsidRDefault="00314530" w:rsidP="00405167">
            <w:pPr>
              <w:spacing w:after="0" w:line="240" w:lineRule="auto"/>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xml:space="preserve">Intereses </w:t>
            </w:r>
            <w:r w:rsidR="00405167" w:rsidRPr="00B43367">
              <w:rPr>
                <w:rFonts w:asciiTheme="minorHAnsi" w:eastAsia="Times New Roman" w:hAnsiTheme="minorHAnsi" w:cstheme="minorHAnsi"/>
                <w:color w:val="000000"/>
                <w:sz w:val="15"/>
                <w:szCs w:val="15"/>
                <w:lang w:eastAsia="es-MX"/>
              </w:rPr>
              <w:t xml:space="preserve">pagados con recurso </w:t>
            </w:r>
            <w:r w:rsidRPr="00B43367">
              <w:rPr>
                <w:rFonts w:asciiTheme="minorHAnsi" w:eastAsia="Times New Roman" w:hAnsiTheme="minorHAnsi" w:cstheme="minorHAnsi"/>
                <w:color w:val="000000"/>
                <w:sz w:val="15"/>
                <w:szCs w:val="15"/>
                <w:lang w:eastAsia="es-MX"/>
              </w:rPr>
              <w:t xml:space="preserve">FAFEF </w:t>
            </w:r>
          </w:p>
        </w:tc>
        <w:tc>
          <w:tcPr>
            <w:tcW w:w="131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2DB0A63"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134" w:type="dxa"/>
            <w:tcBorders>
              <w:top w:val="single" w:sz="8" w:space="0" w:color="auto"/>
              <w:left w:val="nil"/>
              <w:bottom w:val="single" w:sz="8" w:space="0" w:color="auto"/>
              <w:right w:val="nil"/>
            </w:tcBorders>
            <w:shd w:val="clear" w:color="000000" w:fill="FFFFFF"/>
            <w:noWrap/>
            <w:vAlign w:val="center"/>
            <w:hideMark/>
          </w:tcPr>
          <w:p w14:paraId="382A5660"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1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B40759E"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118" w:type="dxa"/>
            <w:tcBorders>
              <w:top w:val="single" w:sz="8" w:space="0" w:color="auto"/>
              <w:left w:val="nil"/>
              <w:bottom w:val="single" w:sz="8" w:space="0" w:color="auto"/>
              <w:right w:val="single" w:sz="8" w:space="0" w:color="auto"/>
            </w:tcBorders>
            <w:shd w:val="clear" w:color="000000" w:fill="FFFFFF"/>
            <w:noWrap/>
            <w:vAlign w:val="center"/>
            <w:hideMark/>
          </w:tcPr>
          <w:p w14:paraId="02ED18F3"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245,679,542</w:t>
            </w:r>
          </w:p>
        </w:tc>
        <w:tc>
          <w:tcPr>
            <w:tcW w:w="1325" w:type="dxa"/>
            <w:tcBorders>
              <w:top w:val="single" w:sz="8" w:space="0" w:color="auto"/>
              <w:left w:val="nil"/>
              <w:bottom w:val="single" w:sz="8" w:space="0" w:color="auto"/>
              <w:right w:val="single" w:sz="8" w:space="0" w:color="auto"/>
            </w:tcBorders>
            <w:shd w:val="clear" w:color="000000" w:fill="FFFFFF"/>
            <w:noWrap/>
            <w:vAlign w:val="center"/>
            <w:hideMark/>
          </w:tcPr>
          <w:p w14:paraId="5CE2E0FE"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0</w:t>
            </w:r>
          </w:p>
        </w:tc>
        <w:tc>
          <w:tcPr>
            <w:tcW w:w="1174" w:type="dxa"/>
            <w:tcBorders>
              <w:top w:val="single" w:sz="8" w:space="0" w:color="auto"/>
              <w:left w:val="nil"/>
              <w:bottom w:val="single" w:sz="8" w:space="0" w:color="auto"/>
              <w:right w:val="single" w:sz="8" w:space="0" w:color="auto"/>
            </w:tcBorders>
            <w:shd w:val="clear" w:color="000000" w:fill="FFFFFF"/>
            <w:noWrap/>
            <w:vAlign w:val="center"/>
            <w:hideMark/>
          </w:tcPr>
          <w:p w14:paraId="06DE4B64" w14:textId="089BD138" w:rsidR="00314530" w:rsidRPr="00B43367" w:rsidRDefault="00810897"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21.18</w:t>
            </w:r>
            <w:r w:rsidR="00314530" w:rsidRPr="00B43367">
              <w:rPr>
                <w:rFonts w:asciiTheme="minorHAnsi" w:eastAsia="Times New Roman" w:hAnsiTheme="minorHAnsi" w:cstheme="minorHAnsi"/>
                <w:color w:val="000000"/>
                <w:sz w:val="15"/>
                <w:szCs w:val="15"/>
                <w:lang w:eastAsia="es-MX"/>
              </w:rPr>
              <w:t>%</w:t>
            </w:r>
          </w:p>
        </w:tc>
      </w:tr>
      <w:tr w:rsidR="00314530" w:rsidRPr="00B43367" w14:paraId="45EF4EBE" w14:textId="77777777" w:rsidTr="004565A8">
        <w:trPr>
          <w:trHeight w:val="273"/>
        </w:trPr>
        <w:tc>
          <w:tcPr>
            <w:tcW w:w="2504" w:type="dxa"/>
            <w:tcBorders>
              <w:top w:val="single" w:sz="8" w:space="0" w:color="auto"/>
              <w:left w:val="single" w:sz="8" w:space="0" w:color="auto"/>
              <w:bottom w:val="single" w:sz="8" w:space="0" w:color="auto"/>
              <w:right w:val="nil"/>
            </w:tcBorders>
            <w:shd w:val="clear" w:color="000000" w:fill="FFFFFF"/>
            <w:noWrap/>
            <w:vAlign w:val="center"/>
            <w:hideMark/>
          </w:tcPr>
          <w:p w14:paraId="09D6A716" w14:textId="3B76E9B8" w:rsidR="00314530" w:rsidRPr="00B43367" w:rsidRDefault="00314530" w:rsidP="00405167">
            <w:pPr>
              <w:spacing w:after="0" w:line="240" w:lineRule="auto"/>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xml:space="preserve">Intereses </w:t>
            </w:r>
            <w:r w:rsidR="00405167" w:rsidRPr="00B43367">
              <w:rPr>
                <w:rFonts w:asciiTheme="minorHAnsi" w:eastAsia="Times New Roman" w:hAnsiTheme="minorHAnsi" w:cstheme="minorHAnsi"/>
                <w:color w:val="000000"/>
                <w:sz w:val="15"/>
                <w:szCs w:val="15"/>
                <w:lang w:eastAsia="es-MX"/>
              </w:rPr>
              <w:t xml:space="preserve">pagados con </w:t>
            </w:r>
            <w:r w:rsidR="004565A8">
              <w:rPr>
                <w:rFonts w:asciiTheme="minorHAnsi" w:eastAsia="Times New Roman" w:hAnsiTheme="minorHAnsi" w:cstheme="minorHAnsi"/>
                <w:color w:val="000000"/>
                <w:sz w:val="15"/>
                <w:szCs w:val="15"/>
                <w:lang w:eastAsia="es-MX"/>
              </w:rPr>
              <w:t>r</w:t>
            </w:r>
            <w:r w:rsidRPr="00B43367">
              <w:rPr>
                <w:rFonts w:asciiTheme="minorHAnsi" w:eastAsia="Times New Roman" w:hAnsiTheme="minorHAnsi" w:cstheme="minorHAnsi"/>
                <w:color w:val="000000"/>
                <w:sz w:val="15"/>
                <w:szCs w:val="15"/>
                <w:lang w:eastAsia="es-MX"/>
              </w:rPr>
              <w:t>ecurso Estatal</w:t>
            </w:r>
          </w:p>
        </w:tc>
        <w:tc>
          <w:tcPr>
            <w:tcW w:w="131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AD4A60D"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134" w:type="dxa"/>
            <w:tcBorders>
              <w:top w:val="single" w:sz="8" w:space="0" w:color="auto"/>
              <w:left w:val="nil"/>
              <w:bottom w:val="single" w:sz="8" w:space="0" w:color="auto"/>
              <w:right w:val="nil"/>
            </w:tcBorders>
            <w:shd w:val="clear" w:color="000000" w:fill="FFFFFF"/>
            <w:noWrap/>
            <w:vAlign w:val="center"/>
            <w:hideMark/>
          </w:tcPr>
          <w:p w14:paraId="1AF2F6E6"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1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5F6958A"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118" w:type="dxa"/>
            <w:tcBorders>
              <w:top w:val="single" w:sz="8" w:space="0" w:color="auto"/>
              <w:left w:val="nil"/>
              <w:bottom w:val="single" w:sz="8" w:space="0" w:color="auto"/>
              <w:right w:val="single" w:sz="8" w:space="0" w:color="auto"/>
            </w:tcBorders>
            <w:shd w:val="clear" w:color="000000" w:fill="FFFFFF"/>
            <w:noWrap/>
            <w:vAlign w:val="center"/>
            <w:hideMark/>
          </w:tcPr>
          <w:p w14:paraId="0FD3D3FC"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914,263,501</w:t>
            </w:r>
          </w:p>
        </w:tc>
        <w:tc>
          <w:tcPr>
            <w:tcW w:w="1325" w:type="dxa"/>
            <w:tcBorders>
              <w:top w:val="single" w:sz="8" w:space="0" w:color="auto"/>
              <w:left w:val="nil"/>
              <w:bottom w:val="single" w:sz="8" w:space="0" w:color="auto"/>
              <w:right w:val="single" w:sz="8" w:space="0" w:color="auto"/>
            </w:tcBorders>
            <w:shd w:val="clear" w:color="000000" w:fill="FFFFFF"/>
            <w:noWrap/>
            <w:vAlign w:val="center"/>
            <w:hideMark/>
          </w:tcPr>
          <w:p w14:paraId="4C781FF8"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0</w:t>
            </w:r>
          </w:p>
        </w:tc>
        <w:tc>
          <w:tcPr>
            <w:tcW w:w="1174" w:type="dxa"/>
            <w:tcBorders>
              <w:top w:val="single" w:sz="8" w:space="0" w:color="auto"/>
              <w:left w:val="nil"/>
              <w:bottom w:val="single" w:sz="8" w:space="0" w:color="auto"/>
              <w:right w:val="single" w:sz="8" w:space="0" w:color="auto"/>
            </w:tcBorders>
            <w:shd w:val="clear" w:color="000000" w:fill="FFFFFF"/>
            <w:noWrap/>
            <w:vAlign w:val="center"/>
            <w:hideMark/>
          </w:tcPr>
          <w:p w14:paraId="376F5A7D"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r>
      <w:tr w:rsidR="00314530" w:rsidRPr="00B43367" w14:paraId="572E5775" w14:textId="77777777" w:rsidTr="004565A8">
        <w:trPr>
          <w:trHeight w:val="317"/>
        </w:trPr>
        <w:tc>
          <w:tcPr>
            <w:tcW w:w="2504" w:type="dxa"/>
            <w:tcBorders>
              <w:top w:val="single" w:sz="8" w:space="0" w:color="auto"/>
              <w:left w:val="single" w:sz="4" w:space="0" w:color="auto"/>
              <w:bottom w:val="single" w:sz="4" w:space="0" w:color="auto"/>
              <w:right w:val="single" w:sz="4" w:space="0" w:color="auto"/>
            </w:tcBorders>
            <w:shd w:val="clear" w:color="000000" w:fill="DDC9A3"/>
            <w:noWrap/>
            <w:vAlign w:val="center"/>
            <w:hideMark/>
          </w:tcPr>
          <w:p w14:paraId="08ACA6FE" w14:textId="77777777" w:rsidR="00314530" w:rsidRPr="00B43367" w:rsidRDefault="00314530" w:rsidP="00314530">
            <w:pPr>
              <w:spacing w:after="0" w:line="240" w:lineRule="auto"/>
              <w:rPr>
                <w:rFonts w:asciiTheme="minorHAnsi" w:eastAsia="Times New Roman" w:hAnsiTheme="minorHAnsi" w:cstheme="minorHAnsi"/>
                <w:b/>
                <w:bCs/>
                <w:color w:val="000000"/>
                <w:sz w:val="16"/>
                <w:szCs w:val="15"/>
                <w:lang w:eastAsia="es-MX"/>
              </w:rPr>
            </w:pPr>
            <w:r w:rsidRPr="00B43367">
              <w:rPr>
                <w:rFonts w:asciiTheme="minorHAnsi" w:eastAsia="Times New Roman" w:hAnsiTheme="minorHAnsi" w:cstheme="minorHAnsi"/>
                <w:b/>
                <w:bCs/>
                <w:color w:val="000000"/>
                <w:sz w:val="16"/>
                <w:szCs w:val="15"/>
                <w:lang w:eastAsia="es-MX"/>
              </w:rPr>
              <w:t>Totales</w:t>
            </w:r>
          </w:p>
        </w:tc>
        <w:tc>
          <w:tcPr>
            <w:tcW w:w="1314" w:type="dxa"/>
            <w:tcBorders>
              <w:top w:val="single" w:sz="8" w:space="0" w:color="auto"/>
              <w:left w:val="nil"/>
              <w:bottom w:val="single" w:sz="4" w:space="0" w:color="auto"/>
              <w:right w:val="single" w:sz="4" w:space="0" w:color="auto"/>
            </w:tcBorders>
            <w:shd w:val="clear" w:color="000000" w:fill="DDC9A3"/>
            <w:noWrap/>
            <w:vAlign w:val="center"/>
            <w:hideMark/>
          </w:tcPr>
          <w:p w14:paraId="628F1B30"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6"/>
                <w:szCs w:val="15"/>
                <w:lang w:eastAsia="es-MX"/>
              </w:rPr>
            </w:pPr>
            <w:r w:rsidRPr="00B43367">
              <w:rPr>
                <w:rFonts w:asciiTheme="minorHAnsi" w:eastAsia="Times New Roman" w:hAnsiTheme="minorHAnsi" w:cstheme="minorHAnsi"/>
                <w:b/>
                <w:bCs/>
                <w:color w:val="000000"/>
                <w:sz w:val="16"/>
                <w:szCs w:val="15"/>
                <w:lang w:eastAsia="es-MX"/>
              </w:rPr>
              <w:t>15,552,312,266</w:t>
            </w:r>
          </w:p>
        </w:tc>
        <w:tc>
          <w:tcPr>
            <w:tcW w:w="1134" w:type="dxa"/>
            <w:tcBorders>
              <w:top w:val="single" w:sz="8" w:space="0" w:color="auto"/>
              <w:left w:val="nil"/>
              <w:bottom w:val="single" w:sz="4" w:space="0" w:color="auto"/>
              <w:right w:val="single" w:sz="4" w:space="0" w:color="auto"/>
            </w:tcBorders>
            <w:shd w:val="clear" w:color="000000" w:fill="DDC9A3"/>
            <w:noWrap/>
            <w:vAlign w:val="center"/>
            <w:hideMark/>
          </w:tcPr>
          <w:p w14:paraId="2712F421"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6"/>
                <w:szCs w:val="15"/>
                <w:lang w:eastAsia="es-MX"/>
              </w:rPr>
            </w:pPr>
            <w:r w:rsidRPr="00B43367">
              <w:rPr>
                <w:rFonts w:asciiTheme="minorHAnsi" w:eastAsia="Times New Roman" w:hAnsiTheme="minorHAnsi" w:cstheme="minorHAnsi"/>
                <w:b/>
                <w:bCs/>
                <w:color w:val="000000"/>
                <w:sz w:val="16"/>
                <w:szCs w:val="15"/>
                <w:lang w:eastAsia="es-MX"/>
              </w:rPr>
              <w:t>623,000,000</w:t>
            </w:r>
          </w:p>
        </w:tc>
        <w:tc>
          <w:tcPr>
            <w:tcW w:w="1150" w:type="dxa"/>
            <w:tcBorders>
              <w:top w:val="single" w:sz="8" w:space="0" w:color="auto"/>
              <w:left w:val="nil"/>
              <w:bottom w:val="single" w:sz="4" w:space="0" w:color="auto"/>
              <w:right w:val="single" w:sz="4" w:space="0" w:color="auto"/>
            </w:tcBorders>
            <w:shd w:val="clear" w:color="000000" w:fill="DDC9A3"/>
            <w:noWrap/>
            <w:vAlign w:val="center"/>
            <w:hideMark/>
          </w:tcPr>
          <w:p w14:paraId="1D2C5ADA"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6"/>
                <w:szCs w:val="15"/>
                <w:lang w:eastAsia="es-MX"/>
              </w:rPr>
            </w:pPr>
            <w:r w:rsidRPr="00B43367">
              <w:rPr>
                <w:rFonts w:asciiTheme="minorHAnsi" w:eastAsia="Times New Roman" w:hAnsiTheme="minorHAnsi" w:cstheme="minorHAnsi"/>
                <w:b/>
                <w:bCs/>
                <w:color w:val="000000"/>
                <w:sz w:val="16"/>
                <w:szCs w:val="15"/>
                <w:lang w:eastAsia="es-MX"/>
              </w:rPr>
              <w:t>341,988,204</w:t>
            </w:r>
          </w:p>
        </w:tc>
        <w:tc>
          <w:tcPr>
            <w:tcW w:w="1118" w:type="dxa"/>
            <w:tcBorders>
              <w:top w:val="single" w:sz="8" w:space="0" w:color="auto"/>
              <w:left w:val="nil"/>
              <w:bottom w:val="single" w:sz="4" w:space="0" w:color="auto"/>
              <w:right w:val="single" w:sz="4" w:space="0" w:color="auto"/>
            </w:tcBorders>
            <w:shd w:val="clear" w:color="000000" w:fill="DDC9A3"/>
            <w:noWrap/>
            <w:vAlign w:val="center"/>
            <w:hideMark/>
          </w:tcPr>
          <w:p w14:paraId="49A60DE6"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6"/>
                <w:szCs w:val="15"/>
                <w:lang w:eastAsia="es-MX"/>
              </w:rPr>
            </w:pPr>
            <w:r w:rsidRPr="00B43367">
              <w:rPr>
                <w:rFonts w:asciiTheme="minorHAnsi" w:eastAsia="Times New Roman" w:hAnsiTheme="minorHAnsi" w:cstheme="minorHAnsi"/>
                <w:b/>
                <w:bCs/>
                <w:color w:val="000000"/>
                <w:sz w:val="16"/>
                <w:szCs w:val="15"/>
                <w:lang w:eastAsia="es-MX"/>
              </w:rPr>
              <w:t>1,159,943,043</w:t>
            </w:r>
          </w:p>
        </w:tc>
        <w:tc>
          <w:tcPr>
            <w:tcW w:w="1325" w:type="dxa"/>
            <w:tcBorders>
              <w:top w:val="single" w:sz="8" w:space="0" w:color="auto"/>
              <w:left w:val="nil"/>
              <w:bottom w:val="single" w:sz="4" w:space="0" w:color="auto"/>
              <w:right w:val="single" w:sz="4" w:space="0" w:color="auto"/>
            </w:tcBorders>
            <w:shd w:val="clear" w:color="000000" w:fill="DDC9A3"/>
            <w:noWrap/>
            <w:vAlign w:val="center"/>
            <w:hideMark/>
          </w:tcPr>
          <w:p w14:paraId="02700CF2"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6"/>
                <w:szCs w:val="15"/>
                <w:lang w:eastAsia="es-MX"/>
              </w:rPr>
            </w:pPr>
            <w:r w:rsidRPr="00B43367">
              <w:rPr>
                <w:rFonts w:asciiTheme="minorHAnsi" w:eastAsia="Times New Roman" w:hAnsiTheme="minorHAnsi" w:cstheme="minorHAnsi"/>
                <w:b/>
                <w:bCs/>
                <w:color w:val="000000"/>
                <w:sz w:val="16"/>
                <w:szCs w:val="15"/>
                <w:lang w:eastAsia="es-MX"/>
              </w:rPr>
              <w:t>15,833,324,062</w:t>
            </w:r>
          </w:p>
        </w:tc>
        <w:tc>
          <w:tcPr>
            <w:tcW w:w="1174" w:type="dxa"/>
            <w:tcBorders>
              <w:top w:val="single" w:sz="8" w:space="0" w:color="auto"/>
              <w:left w:val="nil"/>
              <w:bottom w:val="single" w:sz="4" w:space="0" w:color="auto"/>
              <w:right w:val="single" w:sz="4" w:space="0" w:color="auto"/>
            </w:tcBorders>
            <w:shd w:val="clear" w:color="000000" w:fill="DDC9A3"/>
            <w:noWrap/>
            <w:vAlign w:val="center"/>
            <w:hideMark/>
          </w:tcPr>
          <w:p w14:paraId="1FAD51F8"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6"/>
                <w:szCs w:val="15"/>
                <w:lang w:eastAsia="es-MX"/>
              </w:rPr>
            </w:pPr>
            <w:r w:rsidRPr="00B43367">
              <w:rPr>
                <w:rFonts w:asciiTheme="minorHAnsi" w:eastAsia="Times New Roman" w:hAnsiTheme="minorHAnsi" w:cstheme="minorHAnsi"/>
                <w:b/>
                <w:bCs/>
                <w:color w:val="000000"/>
                <w:sz w:val="16"/>
                <w:szCs w:val="15"/>
                <w:lang w:eastAsia="es-MX"/>
              </w:rPr>
              <w:t> </w:t>
            </w:r>
          </w:p>
        </w:tc>
      </w:tr>
    </w:tbl>
    <w:p w14:paraId="73476230" w14:textId="6D82A693" w:rsidR="005C6B51" w:rsidRDefault="005C6B51" w:rsidP="00B07C73">
      <w:pPr>
        <w:tabs>
          <w:tab w:val="left" w:pos="829"/>
          <w:tab w:val="left" w:pos="945"/>
        </w:tabs>
        <w:rPr>
          <w:rFonts w:asciiTheme="minorHAnsi" w:eastAsia="Times New Roman" w:hAnsiTheme="minorHAnsi" w:cstheme="minorHAnsi"/>
          <w:b/>
          <w:sz w:val="18"/>
          <w:szCs w:val="18"/>
          <w:lang w:val="es-ES" w:eastAsia="es-ES"/>
        </w:rPr>
      </w:pPr>
    </w:p>
    <w:p w14:paraId="508FBCF2" w14:textId="4C81CAC6" w:rsidR="00B07C73" w:rsidRDefault="00D26F86" w:rsidP="00D26F86">
      <w:pPr>
        <w:pStyle w:val="Texto"/>
        <w:spacing w:after="0" w:line="240" w:lineRule="exact"/>
        <w:ind w:left="360" w:hanging="360"/>
        <w:jc w:val="left"/>
        <w:rPr>
          <w:rFonts w:asciiTheme="minorHAnsi" w:hAnsiTheme="minorHAnsi" w:cstheme="minorHAnsi"/>
          <w:b/>
          <w:szCs w:val="18"/>
          <w:lang w:val="es-MX"/>
        </w:rPr>
      </w:pPr>
      <w:r>
        <w:rPr>
          <w:rFonts w:asciiTheme="minorHAnsi" w:hAnsiTheme="minorHAnsi" w:cstheme="minorHAnsi"/>
          <w:b/>
          <w:szCs w:val="18"/>
          <w:lang w:val="es-MX"/>
        </w:rPr>
        <w:t xml:space="preserve">12.  </w:t>
      </w:r>
      <w:r w:rsidR="00B07C73" w:rsidRPr="005F45A3">
        <w:rPr>
          <w:rFonts w:asciiTheme="minorHAnsi" w:hAnsiTheme="minorHAnsi" w:cstheme="minorHAnsi"/>
          <w:b/>
          <w:szCs w:val="18"/>
          <w:lang w:val="es-MX"/>
        </w:rPr>
        <w:t>Calificaciones Otorgadas:</w:t>
      </w:r>
    </w:p>
    <w:p w14:paraId="63ECB654" w14:textId="77777777" w:rsidR="00D93ED6" w:rsidRDefault="00D93ED6" w:rsidP="00D93ED6">
      <w:pPr>
        <w:pStyle w:val="Texto"/>
        <w:spacing w:after="0" w:line="240" w:lineRule="exact"/>
        <w:ind w:left="284" w:firstLine="0"/>
        <w:rPr>
          <w:rFonts w:asciiTheme="minorHAnsi" w:hAnsiTheme="minorHAnsi" w:cstheme="minorHAnsi"/>
          <w:b/>
          <w:szCs w:val="18"/>
          <w:lang w:val="es-MX"/>
        </w:rPr>
      </w:pPr>
    </w:p>
    <w:p w14:paraId="59C98773" w14:textId="40D8E2EE" w:rsidR="00E13B30" w:rsidRDefault="00E13B30" w:rsidP="00E13B30">
      <w:pPr>
        <w:pStyle w:val="Texto"/>
        <w:spacing w:after="0" w:line="240" w:lineRule="exact"/>
        <w:ind w:left="284" w:firstLine="0"/>
        <w:rPr>
          <w:rFonts w:asciiTheme="minorHAnsi" w:hAnsiTheme="minorHAnsi" w:cstheme="minorHAnsi"/>
          <w:szCs w:val="18"/>
          <w:lang w:val="es-MX"/>
        </w:rPr>
      </w:pPr>
      <w:r w:rsidRPr="00E13B30">
        <w:rPr>
          <w:rFonts w:asciiTheme="minorHAnsi" w:hAnsiTheme="minorHAnsi" w:cstheme="minorHAnsi"/>
          <w:szCs w:val="18"/>
          <w:lang w:val="es-MX"/>
        </w:rPr>
        <w:t>Las calificaciones otorgadas por las calificadoras HR RATINGS Y FITCHS RATINGS tanto al Gobierno del Estado como a diferentes créditos contratados son las siguientes:</w:t>
      </w:r>
    </w:p>
    <w:p w14:paraId="5B86AEA2" w14:textId="77777777" w:rsidR="0013238D" w:rsidRPr="00E13B30" w:rsidRDefault="0013238D" w:rsidP="00E13B30">
      <w:pPr>
        <w:pStyle w:val="Texto"/>
        <w:spacing w:after="0" w:line="240" w:lineRule="exact"/>
        <w:ind w:left="284" w:firstLine="0"/>
        <w:rPr>
          <w:rFonts w:asciiTheme="minorHAnsi" w:hAnsiTheme="minorHAnsi" w:cstheme="minorHAnsi"/>
          <w:szCs w:val="18"/>
          <w:lang w:val="es-MX"/>
        </w:rPr>
      </w:pPr>
    </w:p>
    <w:p w14:paraId="35AF2B42" w14:textId="36B3D0B5" w:rsidR="00F256D9" w:rsidRPr="00E13B30" w:rsidRDefault="00F256D9" w:rsidP="00F256D9">
      <w:pPr>
        <w:pStyle w:val="Texto"/>
        <w:spacing w:after="0" w:line="240" w:lineRule="exact"/>
        <w:rPr>
          <w:rFonts w:asciiTheme="minorHAnsi" w:hAnsiTheme="minorHAnsi" w:cstheme="minorHAnsi"/>
          <w:szCs w:val="18"/>
          <w:lang w:val="es-MX"/>
        </w:rPr>
      </w:pPr>
    </w:p>
    <w:tbl>
      <w:tblPr>
        <w:tblW w:w="6637" w:type="dxa"/>
        <w:tblInd w:w="279" w:type="dxa"/>
        <w:tblCellMar>
          <w:left w:w="70" w:type="dxa"/>
          <w:right w:w="70" w:type="dxa"/>
        </w:tblCellMar>
        <w:tblLook w:val="04A0" w:firstRow="1" w:lastRow="0" w:firstColumn="1" w:lastColumn="0" w:noHBand="0" w:noVBand="1"/>
      </w:tblPr>
      <w:tblGrid>
        <w:gridCol w:w="1559"/>
        <w:gridCol w:w="3298"/>
        <w:gridCol w:w="1780"/>
      </w:tblGrid>
      <w:tr w:rsidR="00A1018A" w:rsidRPr="00A1018A" w14:paraId="060ABE16" w14:textId="77777777" w:rsidTr="00D26F86">
        <w:trPr>
          <w:trHeight w:val="420"/>
        </w:trPr>
        <w:tc>
          <w:tcPr>
            <w:tcW w:w="1559"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2A15FFE3" w14:textId="77777777" w:rsidR="00A1018A" w:rsidRPr="00A1018A" w:rsidRDefault="00A1018A" w:rsidP="00A1018A">
            <w:pPr>
              <w:spacing w:after="0" w:line="240" w:lineRule="auto"/>
              <w:jc w:val="center"/>
              <w:rPr>
                <w:rFonts w:eastAsia="Times New Roman" w:cs="Calibri"/>
                <w:b/>
                <w:bCs/>
                <w:color w:val="FFFFFF"/>
                <w:sz w:val="18"/>
                <w:szCs w:val="18"/>
                <w:lang w:eastAsia="es-MX"/>
              </w:rPr>
            </w:pPr>
            <w:r w:rsidRPr="00A1018A">
              <w:rPr>
                <w:rFonts w:eastAsia="Times New Roman" w:cs="Calibri"/>
                <w:b/>
                <w:bCs/>
                <w:color w:val="FFFFFF"/>
                <w:sz w:val="18"/>
                <w:szCs w:val="18"/>
                <w:lang w:eastAsia="es-MX"/>
              </w:rPr>
              <w:t>Calificadora</w:t>
            </w:r>
          </w:p>
        </w:tc>
        <w:tc>
          <w:tcPr>
            <w:tcW w:w="3298" w:type="dxa"/>
            <w:tcBorders>
              <w:top w:val="single" w:sz="4" w:space="0" w:color="auto"/>
              <w:left w:val="nil"/>
              <w:bottom w:val="single" w:sz="4" w:space="0" w:color="auto"/>
              <w:right w:val="single" w:sz="4" w:space="0" w:color="auto"/>
            </w:tcBorders>
            <w:shd w:val="clear" w:color="000000" w:fill="AB0033"/>
            <w:vAlign w:val="center"/>
            <w:hideMark/>
          </w:tcPr>
          <w:p w14:paraId="29067B29" w14:textId="77777777" w:rsidR="00A1018A" w:rsidRPr="00A1018A" w:rsidRDefault="00A1018A" w:rsidP="00A1018A">
            <w:pPr>
              <w:spacing w:after="0" w:line="240" w:lineRule="auto"/>
              <w:jc w:val="center"/>
              <w:rPr>
                <w:rFonts w:eastAsia="Times New Roman" w:cs="Calibri"/>
                <w:b/>
                <w:bCs/>
                <w:color w:val="FFFFFF"/>
                <w:sz w:val="18"/>
                <w:szCs w:val="18"/>
                <w:lang w:eastAsia="es-MX"/>
              </w:rPr>
            </w:pPr>
            <w:r w:rsidRPr="00A1018A">
              <w:rPr>
                <w:rFonts w:eastAsia="Times New Roman" w:cs="Calibri"/>
                <w:b/>
                <w:bCs/>
                <w:color w:val="FFFFFF"/>
                <w:sz w:val="18"/>
                <w:szCs w:val="18"/>
                <w:lang w:eastAsia="es-MX"/>
              </w:rPr>
              <w:t>Concepto</w:t>
            </w:r>
          </w:p>
        </w:tc>
        <w:tc>
          <w:tcPr>
            <w:tcW w:w="1780" w:type="dxa"/>
            <w:tcBorders>
              <w:top w:val="single" w:sz="4" w:space="0" w:color="auto"/>
              <w:left w:val="nil"/>
              <w:bottom w:val="single" w:sz="4" w:space="0" w:color="auto"/>
              <w:right w:val="single" w:sz="4" w:space="0" w:color="auto"/>
            </w:tcBorders>
            <w:shd w:val="clear" w:color="000000" w:fill="AB0033"/>
            <w:vAlign w:val="center"/>
            <w:hideMark/>
          </w:tcPr>
          <w:p w14:paraId="78AFA99C" w14:textId="77777777" w:rsidR="00A1018A" w:rsidRPr="00A1018A" w:rsidRDefault="00A1018A" w:rsidP="00A1018A">
            <w:pPr>
              <w:spacing w:after="0" w:line="240" w:lineRule="auto"/>
              <w:jc w:val="center"/>
              <w:rPr>
                <w:rFonts w:eastAsia="Times New Roman" w:cs="Calibri"/>
                <w:b/>
                <w:bCs/>
                <w:color w:val="FFFFFF"/>
                <w:sz w:val="18"/>
                <w:szCs w:val="18"/>
                <w:lang w:eastAsia="es-MX"/>
              </w:rPr>
            </w:pPr>
            <w:r w:rsidRPr="00A1018A">
              <w:rPr>
                <w:rFonts w:eastAsia="Times New Roman" w:cs="Calibri"/>
                <w:b/>
                <w:bCs/>
                <w:color w:val="FFFFFF"/>
                <w:sz w:val="18"/>
                <w:szCs w:val="18"/>
                <w:lang w:eastAsia="es-MX"/>
              </w:rPr>
              <w:t>Calificación</w:t>
            </w:r>
          </w:p>
        </w:tc>
      </w:tr>
      <w:tr w:rsidR="00A1018A" w:rsidRPr="00A1018A" w14:paraId="62B1CC66" w14:textId="77777777" w:rsidTr="00D26F86">
        <w:trPr>
          <w:trHeight w:val="300"/>
        </w:trPr>
        <w:tc>
          <w:tcPr>
            <w:tcW w:w="1559" w:type="dxa"/>
            <w:tcBorders>
              <w:top w:val="nil"/>
              <w:left w:val="single" w:sz="4" w:space="0" w:color="auto"/>
              <w:bottom w:val="nil"/>
              <w:right w:val="single" w:sz="4" w:space="0" w:color="auto"/>
            </w:tcBorders>
            <w:shd w:val="clear" w:color="000000" w:fill="FFFFFF"/>
            <w:noWrap/>
            <w:vAlign w:val="center"/>
            <w:hideMark/>
          </w:tcPr>
          <w:p w14:paraId="652B0192"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298" w:type="dxa"/>
            <w:tcBorders>
              <w:top w:val="nil"/>
              <w:left w:val="nil"/>
              <w:bottom w:val="single" w:sz="4" w:space="0" w:color="auto"/>
              <w:right w:val="single" w:sz="4" w:space="0" w:color="auto"/>
            </w:tcBorders>
            <w:shd w:val="clear" w:color="000000" w:fill="FFFFFF"/>
            <w:noWrap/>
            <w:vAlign w:val="center"/>
            <w:hideMark/>
          </w:tcPr>
          <w:p w14:paraId="3DE824FE"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Gobierno del Estado de Tamaulipas</w:t>
            </w:r>
          </w:p>
        </w:tc>
        <w:tc>
          <w:tcPr>
            <w:tcW w:w="1780" w:type="dxa"/>
            <w:tcBorders>
              <w:top w:val="nil"/>
              <w:left w:val="nil"/>
              <w:bottom w:val="single" w:sz="4" w:space="0" w:color="auto"/>
              <w:right w:val="single" w:sz="4" w:space="0" w:color="auto"/>
            </w:tcBorders>
            <w:shd w:val="clear" w:color="000000" w:fill="FFFFFF"/>
            <w:noWrap/>
            <w:vAlign w:val="center"/>
            <w:hideMark/>
          </w:tcPr>
          <w:p w14:paraId="0DDFEDC8"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BBB+</w:t>
            </w:r>
          </w:p>
        </w:tc>
      </w:tr>
      <w:tr w:rsidR="00A1018A" w:rsidRPr="00A1018A" w14:paraId="21F88840" w14:textId="77777777" w:rsidTr="00D26F86">
        <w:trPr>
          <w:trHeight w:val="300"/>
        </w:trPr>
        <w:tc>
          <w:tcPr>
            <w:tcW w:w="1559" w:type="dxa"/>
            <w:tcBorders>
              <w:top w:val="nil"/>
              <w:left w:val="single" w:sz="4" w:space="0" w:color="auto"/>
              <w:bottom w:val="nil"/>
              <w:right w:val="single" w:sz="4" w:space="0" w:color="auto"/>
            </w:tcBorders>
            <w:shd w:val="clear" w:color="000000" w:fill="FFFFFF"/>
            <w:noWrap/>
            <w:vAlign w:val="center"/>
            <w:hideMark/>
          </w:tcPr>
          <w:p w14:paraId="59FB4E7A"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298" w:type="dxa"/>
            <w:tcBorders>
              <w:top w:val="nil"/>
              <w:left w:val="nil"/>
              <w:bottom w:val="single" w:sz="4" w:space="0" w:color="auto"/>
              <w:right w:val="single" w:sz="4" w:space="0" w:color="auto"/>
            </w:tcBorders>
            <w:shd w:val="clear" w:color="000000" w:fill="FFFFFF"/>
            <w:noWrap/>
            <w:vAlign w:val="center"/>
            <w:hideMark/>
          </w:tcPr>
          <w:p w14:paraId="18FE8DF7"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xml:space="preserve">Crédito Banorte 2017- 5,461 mdp </w:t>
            </w:r>
          </w:p>
        </w:tc>
        <w:tc>
          <w:tcPr>
            <w:tcW w:w="1780" w:type="dxa"/>
            <w:tcBorders>
              <w:top w:val="nil"/>
              <w:left w:val="nil"/>
              <w:bottom w:val="single" w:sz="4" w:space="0" w:color="auto"/>
              <w:right w:val="single" w:sz="4" w:space="0" w:color="auto"/>
            </w:tcBorders>
            <w:shd w:val="clear" w:color="000000" w:fill="FFFFFF"/>
            <w:noWrap/>
            <w:vAlign w:val="center"/>
            <w:hideMark/>
          </w:tcPr>
          <w:p w14:paraId="789908EE"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60318132" w14:textId="77777777" w:rsidTr="00D26F86">
        <w:trPr>
          <w:trHeight w:val="300"/>
        </w:trPr>
        <w:tc>
          <w:tcPr>
            <w:tcW w:w="1559" w:type="dxa"/>
            <w:tcBorders>
              <w:top w:val="nil"/>
              <w:left w:val="single" w:sz="4" w:space="0" w:color="auto"/>
              <w:bottom w:val="nil"/>
              <w:right w:val="single" w:sz="4" w:space="0" w:color="auto"/>
            </w:tcBorders>
            <w:shd w:val="clear" w:color="000000" w:fill="FFFFFF"/>
            <w:noWrap/>
            <w:vAlign w:val="center"/>
            <w:hideMark/>
          </w:tcPr>
          <w:p w14:paraId="568FC768"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298" w:type="dxa"/>
            <w:tcBorders>
              <w:top w:val="nil"/>
              <w:left w:val="nil"/>
              <w:bottom w:val="single" w:sz="4" w:space="0" w:color="auto"/>
              <w:right w:val="single" w:sz="4" w:space="0" w:color="auto"/>
            </w:tcBorders>
            <w:shd w:val="clear" w:color="000000" w:fill="FFFFFF"/>
            <w:noWrap/>
            <w:vAlign w:val="center"/>
            <w:hideMark/>
          </w:tcPr>
          <w:p w14:paraId="64E1B78C"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Crédito Banorte 2017, 1,539 mdp</w:t>
            </w:r>
          </w:p>
        </w:tc>
        <w:tc>
          <w:tcPr>
            <w:tcW w:w="1780" w:type="dxa"/>
            <w:tcBorders>
              <w:top w:val="nil"/>
              <w:left w:val="nil"/>
              <w:bottom w:val="single" w:sz="4" w:space="0" w:color="auto"/>
              <w:right w:val="single" w:sz="4" w:space="0" w:color="auto"/>
            </w:tcBorders>
            <w:shd w:val="clear" w:color="000000" w:fill="FFFFFF"/>
            <w:noWrap/>
            <w:vAlign w:val="center"/>
            <w:hideMark/>
          </w:tcPr>
          <w:p w14:paraId="424B5CBC"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5FC7AB70" w14:textId="77777777" w:rsidTr="00D26F86">
        <w:trPr>
          <w:trHeight w:val="300"/>
        </w:trPr>
        <w:tc>
          <w:tcPr>
            <w:tcW w:w="1559" w:type="dxa"/>
            <w:tcBorders>
              <w:top w:val="nil"/>
              <w:left w:val="single" w:sz="4" w:space="0" w:color="auto"/>
              <w:bottom w:val="nil"/>
              <w:right w:val="single" w:sz="4" w:space="0" w:color="auto"/>
            </w:tcBorders>
            <w:shd w:val="clear" w:color="000000" w:fill="FFFFFF"/>
            <w:noWrap/>
            <w:vAlign w:val="center"/>
            <w:hideMark/>
          </w:tcPr>
          <w:p w14:paraId="66364064"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298" w:type="dxa"/>
            <w:tcBorders>
              <w:top w:val="nil"/>
              <w:left w:val="nil"/>
              <w:bottom w:val="single" w:sz="4" w:space="0" w:color="auto"/>
              <w:right w:val="single" w:sz="4" w:space="0" w:color="auto"/>
            </w:tcBorders>
            <w:shd w:val="clear" w:color="auto" w:fill="auto"/>
            <w:noWrap/>
            <w:vAlign w:val="center"/>
            <w:hideMark/>
          </w:tcPr>
          <w:p w14:paraId="4A512561"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BBVA 2017, 994 mdp</w:t>
            </w:r>
          </w:p>
        </w:tc>
        <w:tc>
          <w:tcPr>
            <w:tcW w:w="1780" w:type="dxa"/>
            <w:tcBorders>
              <w:top w:val="nil"/>
              <w:left w:val="nil"/>
              <w:bottom w:val="single" w:sz="4" w:space="0" w:color="auto"/>
              <w:right w:val="single" w:sz="4" w:space="0" w:color="auto"/>
            </w:tcBorders>
            <w:shd w:val="clear" w:color="auto" w:fill="auto"/>
            <w:noWrap/>
            <w:vAlign w:val="center"/>
            <w:hideMark/>
          </w:tcPr>
          <w:p w14:paraId="2613C70B"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318C81CD" w14:textId="77777777" w:rsidTr="00D26F86">
        <w:trPr>
          <w:trHeight w:val="300"/>
        </w:trPr>
        <w:tc>
          <w:tcPr>
            <w:tcW w:w="1559" w:type="dxa"/>
            <w:tcBorders>
              <w:top w:val="nil"/>
              <w:left w:val="single" w:sz="4" w:space="0" w:color="auto"/>
              <w:bottom w:val="nil"/>
              <w:right w:val="single" w:sz="4" w:space="0" w:color="auto"/>
            </w:tcBorders>
            <w:shd w:val="clear" w:color="000000" w:fill="FFFFFF"/>
            <w:noWrap/>
            <w:vAlign w:val="center"/>
            <w:hideMark/>
          </w:tcPr>
          <w:p w14:paraId="0A08DB9B"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298" w:type="dxa"/>
            <w:tcBorders>
              <w:top w:val="nil"/>
              <w:left w:val="nil"/>
              <w:bottom w:val="single" w:sz="4" w:space="0" w:color="auto"/>
              <w:right w:val="single" w:sz="4" w:space="0" w:color="auto"/>
            </w:tcBorders>
            <w:shd w:val="clear" w:color="000000" w:fill="FFFFFF"/>
            <w:noWrap/>
            <w:vAlign w:val="center"/>
            <w:hideMark/>
          </w:tcPr>
          <w:p w14:paraId="10DD7CB6"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Crédito Banamex  2017, 1,500 mdp</w:t>
            </w:r>
          </w:p>
        </w:tc>
        <w:tc>
          <w:tcPr>
            <w:tcW w:w="1780" w:type="dxa"/>
            <w:tcBorders>
              <w:top w:val="nil"/>
              <w:left w:val="nil"/>
              <w:bottom w:val="single" w:sz="4" w:space="0" w:color="auto"/>
              <w:right w:val="single" w:sz="4" w:space="0" w:color="auto"/>
            </w:tcBorders>
            <w:shd w:val="clear" w:color="000000" w:fill="FFFFFF"/>
            <w:noWrap/>
            <w:vAlign w:val="center"/>
            <w:hideMark/>
          </w:tcPr>
          <w:p w14:paraId="1C061CD3"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4C358776" w14:textId="77777777" w:rsidTr="00D26F86">
        <w:trPr>
          <w:trHeight w:val="300"/>
        </w:trPr>
        <w:tc>
          <w:tcPr>
            <w:tcW w:w="1559" w:type="dxa"/>
            <w:tcBorders>
              <w:top w:val="nil"/>
              <w:left w:val="single" w:sz="4" w:space="0" w:color="auto"/>
              <w:bottom w:val="nil"/>
              <w:right w:val="single" w:sz="4" w:space="0" w:color="auto"/>
            </w:tcBorders>
            <w:shd w:val="clear" w:color="000000" w:fill="FFFFFF"/>
            <w:noWrap/>
            <w:vAlign w:val="center"/>
            <w:hideMark/>
          </w:tcPr>
          <w:p w14:paraId="765C6352"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298" w:type="dxa"/>
            <w:tcBorders>
              <w:top w:val="nil"/>
              <w:left w:val="nil"/>
              <w:bottom w:val="single" w:sz="4" w:space="0" w:color="auto"/>
              <w:right w:val="single" w:sz="4" w:space="0" w:color="auto"/>
            </w:tcBorders>
            <w:shd w:val="clear" w:color="000000" w:fill="FFFFFF"/>
            <w:noWrap/>
            <w:vAlign w:val="center"/>
            <w:hideMark/>
          </w:tcPr>
          <w:p w14:paraId="515B366D"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Crédito Santander 2018, 1,650 mdp</w:t>
            </w:r>
          </w:p>
        </w:tc>
        <w:tc>
          <w:tcPr>
            <w:tcW w:w="1780" w:type="dxa"/>
            <w:tcBorders>
              <w:top w:val="nil"/>
              <w:left w:val="nil"/>
              <w:bottom w:val="single" w:sz="4" w:space="0" w:color="auto"/>
              <w:right w:val="single" w:sz="4" w:space="0" w:color="auto"/>
            </w:tcBorders>
            <w:shd w:val="clear" w:color="000000" w:fill="FFFFFF"/>
            <w:noWrap/>
            <w:vAlign w:val="center"/>
            <w:hideMark/>
          </w:tcPr>
          <w:p w14:paraId="3343D455"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34DF7116" w14:textId="77777777" w:rsidTr="00D26F86">
        <w:trPr>
          <w:trHeight w:val="300"/>
        </w:trPr>
        <w:tc>
          <w:tcPr>
            <w:tcW w:w="1559" w:type="dxa"/>
            <w:tcBorders>
              <w:top w:val="nil"/>
              <w:left w:val="single" w:sz="4" w:space="0" w:color="auto"/>
              <w:bottom w:val="nil"/>
              <w:right w:val="single" w:sz="4" w:space="0" w:color="auto"/>
            </w:tcBorders>
            <w:shd w:val="clear" w:color="000000" w:fill="FFFFFF"/>
            <w:noWrap/>
            <w:vAlign w:val="center"/>
            <w:hideMark/>
          </w:tcPr>
          <w:p w14:paraId="3C9A97C1"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Fitch Ratings</w:t>
            </w:r>
          </w:p>
        </w:tc>
        <w:tc>
          <w:tcPr>
            <w:tcW w:w="3298" w:type="dxa"/>
            <w:tcBorders>
              <w:top w:val="nil"/>
              <w:left w:val="nil"/>
              <w:bottom w:val="single" w:sz="4" w:space="0" w:color="auto"/>
              <w:right w:val="single" w:sz="4" w:space="0" w:color="auto"/>
            </w:tcBorders>
            <w:shd w:val="clear" w:color="000000" w:fill="FFFFFF"/>
            <w:noWrap/>
            <w:vAlign w:val="center"/>
            <w:hideMark/>
          </w:tcPr>
          <w:p w14:paraId="11BC9172"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Crédito BBVA 2018, 500 mdp</w:t>
            </w:r>
          </w:p>
        </w:tc>
        <w:tc>
          <w:tcPr>
            <w:tcW w:w="1780" w:type="dxa"/>
            <w:tcBorders>
              <w:top w:val="nil"/>
              <w:left w:val="nil"/>
              <w:bottom w:val="single" w:sz="4" w:space="0" w:color="auto"/>
              <w:right w:val="single" w:sz="4" w:space="0" w:color="auto"/>
            </w:tcBorders>
            <w:shd w:val="clear" w:color="000000" w:fill="FFFFFF"/>
            <w:noWrap/>
            <w:vAlign w:val="center"/>
            <w:hideMark/>
          </w:tcPr>
          <w:p w14:paraId="0A247D16"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3301A01A" w14:textId="77777777" w:rsidTr="00D26F86">
        <w:trPr>
          <w:trHeight w:val="300"/>
        </w:trPr>
        <w:tc>
          <w:tcPr>
            <w:tcW w:w="1559" w:type="dxa"/>
            <w:tcBorders>
              <w:top w:val="nil"/>
              <w:left w:val="single" w:sz="4" w:space="0" w:color="auto"/>
              <w:bottom w:val="nil"/>
              <w:right w:val="single" w:sz="4" w:space="0" w:color="auto"/>
            </w:tcBorders>
            <w:shd w:val="clear" w:color="000000" w:fill="FFFFFF"/>
            <w:noWrap/>
            <w:vAlign w:val="center"/>
            <w:hideMark/>
          </w:tcPr>
          <w:p w14:paraId="7B022664"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298" w:type="dxa"/>
            <w:tcBorders>
              <w:top w:val="nil"/>
              <w:left w:val="nil"/>
              <w:bottom w:val="single" w:sz="4" w:space="0" w:color="auto"/>
              <w:right w:val="single" w:sz="4" w:space="0" w:color="auto"/>
            </w:tcBorders>
            <w:shd w:val="clear" w:color="000000" w:fill="FFFFFF"/>
            <w:noWrap/>
            <w:vAlign w:val="center"/>
            <w:hideMark/>
          </w:tcPr>
          <w:p w14:paraId="1C87BC85"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Crédito Banamex 2018 1,000 mdp</w:t>
            </w:r>
          </w:p>
        </w:tc>
        <w:tc>
          <w:tcPr>
            <w:tcW w:w="1780" w:type="dxa"/>
            <w:tcBorders>
              <w:top w:val="nil"/>
              <w:left w:val="nil"/>
              <w:bottom w:val="single" w:sz="4" w:space="0" w:color="auto"/>
              <w:right w:val="single" w:sz="4" w:space="0" w:color="auto"/>
            </w:tcBorders>
            <w:shd w:val="clear" w:color="000000" w:fill="FFFFFF"/>
            <w:noWrap/>
            <w:vAlign w:val="center"/>
            <w:hideMark/>
          </w:tcPr>
          <w:p w14:paraId="1E580D44"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7A23F2A4" w14:textId="77777777" w:rsidTr="00D26F86">
        <w:trPr>
          <w:trHeight w:val="300"/>
        </w:trPr>
        <w:tc>
          <w:tcPr>
            <w:tcW w:w="1559" w:type="dxa"/>
            <w:tcBorders>
              <w:top w:val="nil"/>
              <w:left w:val="single" w:sz="4" w:space="0" w:color="auto"/>
              <w:bottom w:val="nil"/>
              <w:right w:val="single" w:sz="4" w:space="0" w:color="auto"/>
            </w:tcBorders>
            <w:shd w:val="clear" w:color="000000" w:fill="FFFFFF"/>
            <w:noWrap/>
            <w:vAlign w:val="center"/>
            <w:hideMark/>
          </w:tcPr>
          <w:p w14:paraId="6067DA56"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298" w:type="dxa"/>
            <w:tcBorders>
              <w:top w:val="nil"/>
              <w:left w:val="nil"/>
              <w:bottom w:val="single" w:sz="4" w:space="0" w:color="auto"/>
              <w:right w:val="single" w:sz="4" w:space="0" w:color="auto"/>
            </w:tcBorders>
            <w:shd w:val="clear" w:color="000000" w:fill="FFFFFF"/>
            <w:noWrap/>
            <w:vAlign w:val="center"/>
            <w:hideMark/>
          </w:tcPr>
          <w:p w14:paraId="0B300DBB"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Crédito BBVA 150 mdp (ITAVU)</w:t>
            </w:r>
          </w:p>
        </w:tc>
        <w:tc>
          <w:tcPr>
            <w:tcW w:w="1780" w:type="dxa"/>
            <w:tcBorders>
              <w:top w:val="nil"/>
              <w:left w:val="nil"/>
              <w:bottom w:val="single" w:sz="4" w:space="0" w:color="auto"/>
              <w:right w:val="single" w:sz="4" w:space="0" w:color="auto"/>
            </w:tcBorders>
            <w:shd w:val="clear" w:color="000000" w:fill="FFFFFF"/>
            <w:noWrap/>
            <w:vAlign w:val="center"/>
            <w:hideMark/>
          </w:tcPr>
          <w:p w14:paraId="4D8B7568"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w:t>
            </w:r>
          </w:p>
        </w:tc>
      </w:tr>
      <w:tr w:rsidR="00A1018A" w:rsidRPr="00A1018A" w14:paraId="3A18DA5C" w14:textId="77777777" w:rsidTr="00D26F86">
        <w:trPr>
          <w:trHeight w:val="300"/>
        </w:trPr>
        <w:tc>
          <w:tcPr>
            <w:tcW w:w="1559" w:type="dxa"/>
            <w:tcBorders>
              <w:top w:val="nil"/>
              <w:left w:val="single" w:sz="4" w:space="0" w:color="auto"/>
              <w:bottom w:val="nil"/>
              <w:right w:val="single" w:sz="4" w:space="0" w:color="auto"/>
            </w:tcBorders>
            <w:shd w:val="clear" w:color="000000" w:fill="FFFFFF"/>
            <w:noWrap/>
            <w:vAlign w:val="center"/>
            <w:hideMark/>
          </w:tcPr>
          <w:p w14:paraId="502071F1"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298" w:type="dxa"/>
            <w:tcBorders>
              <w:top w:val="nil"/>
              <w:left w:val="nil"/>
              <w:bottom w:val="single" w:sz="4" w:space="0" w:color="auto"/>
              <w:right w:val="single" w:sz="4" w:space="0" w:color="auto"/>
            </w:tcBorders>
            <w:shd w:val="clear" w:color="000000" w:fill="FFFFFF"/>
            <w:noWrap/>
            <w:vAlign w:val="center"/>
            <w:hideMark/>
          </w:tcPr>
          <w:p w14:paraId="07C007D7"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BBVA 2010, 724 mdp</w:t>
            </w:r>
          </w:p>
        </w:tc>
        <w:tc>
          <w:tcPr>
            <w:tcW w:w="1780" w:type="dxa"/>
            <w:tcBorders>
              <w:top w:val="nil"/>
              <w:left w:val="nil"/>
              <w:bottom w:val="single" w:sz="4" w:space="0" w:color="auto"/>
              <w:right w:val="single" w:sz="4" w:space="0" w:color="auto"/>
            </w:tcBorders>
            <w:shd w:val="clear" w:color="000000" w:fill="FFFFFF"/>
            <w:noWrap/>
            <w:vAlign w:val="center"/>
            <w:hideMark/>
          </w:tcPr>
          <w:p w14:paraId="6CF97C0C"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0A1F8D53" w14:textId="77777777" w:rsidTr="00D26F86">
        <w:trPr>
          <w:trHeight w:val="300"/>
        </w:trPr>
        <w:tc>
          <w:tcPr>
            <w:tcW w:w="1559" w:type="dxa"/>
            <w:tcBorders>
              <w:top w:val="nil"/>
              <w:left w:val="single" w:sz="4" w:space="0" w:color="auto"/>
              <w:bottom w:val="nil"/>
              <w:right w:val="single" w:sz="4" w:space="0" w:color="auto"/>
            </w:tcBorders>
            <w:shd w:val="clear" w:color="000000" w:fill="FFFFFF"/>
            <w:noWrap/>
            <w:vAlign w:val="center"/>
            <w:hideMark/>
          </w:tcPr>
          <w:p w14:paraId="667DDAF4"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298" w:type="dxa"/>
            <w:tcBorders>
              <w:top w:val="nil"/>
              <w:left w:val="nil"/>
              <w:bottom w:val="single" w:sz="4" w:space="0" w:color="auto"/>
              <w:right w:val="single" w:sz="4" w:space="0" w:color="auto"/>
            </w:tcBorders>
            <w:shd w:val="clear" w:color="000000" w:fill="FFFFFF"/>
            <w:noWrap/>
            <w:vAlign w:val="center"/>
            <w:hideMark/>
          </w:tcPr>
          <w:p w14:paraId="0545B330"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BBVA 2016, 968 mdp</w:t>
            </w:r>
          </w:p>
        </w:tc>
        <w:tc>
          <w:tcPr>
            <w:tcW w:w="1780" w:type="dxa"/>
            <w:tcBorders>
              <w:top w:val="nil"/>
              <w:left w:val="nil"/>
              <w:bottom w:val="single" w:sz="4" w:space="0" w:color="auto"/>
              <w:right w:val="single" w:sz="4" w:space="0" w:color="auto"/>
            </w:tcBorders>
            <w:shd w:val="clear" w:color="000000" w:fill="FFFFFF"/>
            <w:noWrap/>
            <w:vAlign w:val="center"/>
            <w:hideMark/>
          </w:tcPr>
          <w:p w14:paraId="5DF7E52B"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3C3F6ECD" w14:textId="77777777" w:rsidTr="00D26F86">
        <w:trPr>
          <w:trHeight w:val="300"/>
        </w:trPr>
        <w:tc>
          <w:tcPr>
            <w:tcW w:w="1559" w:type="dxa"/>
            <w:tcBorders>
              <w:top w:val="nil"/>
              <w:left w:val="single" w:sz="4" w:space="0" w:color="auto"/>
              <w:bottom w:val="nil"/>
              <w:right w:val="single" w:sz="4" w:space="0" w:color="auto"/>
            </w:tcBorders>
            <w:shd w:val="clear" w:color="000000" w:fill="FFFFFF"/>
            <w:noWrap/>
            <w:vAlign w:val="center"/>
            <w:hideMark/>
          </w:tcPr>
          <w:p w14:paraId="777D4F70"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298" w:type="dxa"/>
            <w:tcBorders>
              <w:top w:val="nil"/>
              <w:left w:val="nil"/>
              <w:bottom w:val="single" w:sz="4" w:space="0" w:color="auto"/>
              <w:right w:val="single" w:sz="4" w:space="0" w:color="auto"/>
            </w:tcBorders>
            <w:shd w:val="clear" w:color="000000" w:fill="FFFFFF"/>
            <w:noWrap/>
            <w:vAlign w:val="center"/>
            <w:hideMark/>
          </w:tcPr>
          <w:p w14:paraId="1D5D74ED"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Banorte 2020 1,500 mdp</w:t>
            </w:r>
          </w:p>
        </w:tc>
        <w:tc>
          <w:tcPr>
            <w:tcW w:w="1780" w:type="dxa"/>
            <w:tcBorders>
              <w:top w:val="nil"/>
              <w:left w:val="nil"/>
              <w:bottom w:val="single" w:sz="4" w:space="0" w:color="auto"/>
              <w:right w:val="single" w:sz="4" w:space="0" w:color="auto"/>
            </w:tcBorders>
            <w:shd w:val="clear" w:color="000000" w:fill="FFFFFF"/>
            <w:noWrap/>
            <w:vAlign w:val="center"/>
            <w:hideMark/>
          </w:tcPr>
          <w:p w14:paraId="255B57AE"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665418F5" w14:textId="77777777" w:rsidTr="00D26F86">
        <w:trPr>
          <w:trHeight w:val="300"/>
        </w:trPr>
        <w:tc>
          <w:tcPr>
            <w:tcW w:w="1559" w:type="dxa"/>
            <w:tcBorders>
              <w:top w:val="nil"/>
              <w:left w:val="single" w:sz="4" w:space="0" w:color="auto"/>
              <w:bottom w:val="nil"/>
              <w:right w:val="single" w:sz="4" w:space="0" w:color="auto"/>
            </w:tcBorders>
            <w:shd w:val="clear" w:color="000000" w:fill="FFFFFF"/>
            <w:noWrap/>
            <w:vAlign w:val="center"/>
            <w:hideMark/>
          </w:tcPr>
          <w:p w14:paraId="688A77FA"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298" w:type="dxa"/>
            <w:tcBorders>
              <w:top w:val="nil"/>
              <w:left w:val="nil"/>
              <w:bottom w:val="single" w:sz="4" w:space="0" w:color="auto"/>
              <w:right w:val="single" w:sz="4" w:space="0" w:color="auto"/>
            </w:tcBorders>
            <w:shd w:val="clear" w:color="000000" w:fill="FFFFFF"/>
            <w:noWrap/>
            <w:vAlign w:val="center"/>
            <w:hideMark/>
          </w:tcPr>
          <w:p w14:paraId="232992EE"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Banorte 2020 1,200 mdp</w:t>
            </w:r>
          </w:p>
        </w:tc>
        <w:tc>
          <w:tcPr>
            <w:tcW w:w="1780" w:type="dxa"/>
            <w:tcBorders>
              <w:top w:val="nil"/>
              <w:left w:val="nil"/>
              <w:bottom w:val="single" w:sz="4" w:space="0" w:color="auto"/>
              <w:right w:val="single" w:sz="4" w:space="0" w:color="auto"/>
            </w:tcBorders>
            <w:shd w:val="clear" w:color="000000" w:fill="FFFFFF"/>
            <w:noWrap/>
            <w:vAlign w:val="center"/>
            <w:hideMark/>
          </w:tcPr>
          <w:p w14:paraId="0CF67786"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3A04CABC" w14:textId="77777777" w:rsidTr="00D26F86">
        <w:trPr>
          <w:trHeight w:val="300"/>
        </w:trPr>
        <w:tc>
          <w:tcPr>
            <w:tcW w:w="1559" w:type="dxa"/>
            <w:tcBorders>
              <w:top w:val="single" w:sz="4" w:space="0" w:color="auto"/>
              <w:left w:val="single" w:sz="4" w:space="0" w:color="auto"/>
              <w:bottom w:val="single" w:sz="4" w:space="0" w:color="auto"/>
            </w:tcBorders>
            <w:shd w:val="clear" w:color="000000" w:fill="FFFFFF"/>
            <w:noWrap/>
            <w:vAlign w:val="center"/>
            <w:hideMark/>
          </w:tcPr>
          <w:p w14:paraId="434E6192"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w:t>
            </w:r>
          </w:p>
        </w:tc>
        <w:tc>
          <w:tcPr>
            <w:tcW w:w="3298" w:type="dxa"/>
            <w:tcBorders>
              <w:top w:val="single" w:sz="4" w:space="0" w:color="auto"/>
              <w:bottom w:val="single" w:sz="4" w:space="0" w:color="auto"/>
            </w:tcBorders>
            <w:shd w:val="clear" w:color="000000" w:fill="FFFFFF"/>
            <w:noWrap/>
            <w:vAlign w:val="center"/>
            <w:hideMark/>
          </w:tcPr>
          <w:p w14:paraId="3101ED77" w14:textId="77777777" w:rsidR="00A1018A" w:rsidRPr="00A1018A" w:rsidRDefault="00A1018A" w:rsidP="00A1018A">
            <w:pPr>
              <w:spacing w:after="0" w:line="240" w:lineRule="auto"/>
              <w:jc w:val="center"/>
              <w:rPr>
                <w:rFonts w:eastAsia="Times New Roman" w:cs="Calibri"/>
                <w:color w:val="000000"/>
                <w:sz w:val="14"/>
                <w:szCs w:val="14"/>
                <w:lang w:eastAsia="es-MX"/>
              </w:rPr>
            </w:pPr>
            <w:r w:rsidRPr="00A1018A">
              <w:rPr>
                <w:rFonts w:eastAsia="Times New Roman" w:cs="Calibri"/>
                <w:color w:val="000000"/>
                <w:sz w:val="14"/>
                <w:szCs w:val="14"/>
                <w:lang w:eastAsia="es-MX"/>
              </w:rPr>
              <w:t> </w:t>
            </w:r>
          </w:p>
        </w:tc>
        <w:tc>
          <w:tcPr>
            <w:tcW w:w="1780" w:type="dxa"/>
            <w:tcBorders>
              <w:top w:val="single" w:sz="4" w:space="0" w:color="auto"/>
              <w:bottom w:val="single" w:sz="4" w:space="0" w:color="auto"/>
              <w:right w:val="single" w:sz="4" w:space="0" w:color="auto"/>
            </w:tcBorders>
            <w:shd w:val="clear" w:color="auto" w:fill="auto"/>
            <w:vAlign w:val="center"/>
            <w:hideMark/>
          </w:tcPr>
          <w:p w14:paraId="31FFB663"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w:t>
            </w:r>
          </w:p>
        </w:tc>
      </w:tr>
      <w:tr w:rsidR="00A1018A" w:rsidRPr="00A1018A" w14:paraId="4E0BB7C0" w14:textId="77777777" w:rsidTr="00D26F86">
        <w:trPr>
          <w:trHeight w:val="300"/>
        </w:trPr>
        <w:tc>
          <w:tcPr>
            <w:tcW w:w="1559" w:type="dxa"/>
            <w:tcBorders>
              <w:top w:val="nil"/>
              <w:left w:val="single" w:sz="4" w:space="0" w:color="auto"/>
              <w:bottom w:val="nil"/>
              <w:right w:val="single" w:sz="4" w:space="0" w:color="auto"/>
            </w:tcBorders>
            <w:shd w:val="clear" w:color="000000" w:fill="FFFFFF"/>
            <w:noWrap/>
            <w:vAlign w:val="center"/>
            <w:hideMark/>
          </w:tcPr>
          <w:p w14:paraId="64E24ECF"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298" w:type="dxa"/>
            <w:tcBorders>
              <w:top w:val="nil"/>
              <w:left w:val="nil"/>
              <w:bottom w:val="single" w:sz="4" w:space="0" w:color="auto"/>
              <w:right w:val="single" w:sz="4" w:space="0" w:color="auto"/>
            </w:tcBorders>
            <w:shd w:val="clear" w:color="000000" w:fill="FFFFFF"/>
            <w:noWrap/>
            <w:vAlign w:val="center"/>
            <w:hideMark/>
          </w:tcPr>
          <w:p w14:paraId="58F64419"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Gobierno del Estado de Tamaulipas</w:t>
            </w:r>
          </w:p>
        </w:tc>
        <w:tc>
          <w:tcPr>
            <w:tcW w:w="1780" w:type="dxa"/>
            <w:tcBorders>
              <w:top w:val="nil"/>
              <w:left w:val="nil"/>
              <w:bottom w:val="single" w:sz="4" w:space="0" w:color="auto"/>
              <w:right w:val="single" w:sz="4" w:space="0" w:color="auto"/>
            </w:tcBorders>
            <w:shd w:val="clear" w:color="000000" w:fill="FFFFFF"/>
            <w:noWrap/>
            <w:vAlign w:val="center"/>
            <w:hideMark/>
          </w:tcPr>
          <w:p w14:paraId="7A9F584F"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w:t>
            </w:r>
          </w:p>
        </w:tc>
      </w:tr>
      <w:tr w:rsidR="00A1018A" w:rsidRPr="00A1018A" w14:paraId="170BD5AD" w14:textId="77777777" w:rsidTr="00D26F86">
        <w:trPr>
          <w:trHeight w:val="300"/>
        </w:trPr>
        <w:tc>
          <w:tcPr>
            <w:tcW w:w="1559" w:type="dxa"/>
            <w:tcBorders>
              <w:top w:val="nil"/>
              <w:left w:val="single" w:sz="4" w:space="0" w:color="auto"/>
              <w:bottom w:val="nil"/>
              <w:right w:val="single" w:sz="4" w:space="0" w:color="auto"/>
            </w:tcBorders>
            <w:shd w:val="clear" w:color="000000" w:fill="FFFFFF"/>
            <w:noWrap/>
            <w:vAlign w:val="center"/>
            <w:hideMark/>
          </w:tcPr>
          <w:p w14:paraId="32950DB4"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298" w:type="dxa"/>
            <w:tcBorders>
              <w:top w:val="nil"/>
              <w:left w:val="nil"/>
              <w:bottom w:val="single" w:sz="4" w:space="0" w:color="auto"/>
              <w:right w:val="single" w:sz="4" w:space="0" w:color="auto"/>
            </w:tcBorders>
            <w:shd w:val="clear" w:color="000000" w:fill="FFFFFF"/>
            <w:noWrap/>
            <w:vAlign w:val="center"/>
            <w:hideMark/>
          </w:tcPr>
          <w:p w14:paraId="1B3B7AC6"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BBVA 2016, 968 mdp</w:t>
            </w:r>
          </w:p>
        </w:tc>
        <w:tc>
          <w:tcPr>
            <w:tcW w:w="1780" w:type="dxa"/>
            <w:tcBorders>
              <w:top w:val="nil"/>
              <w:left w:val="nil"/>
              <w:bottom w:val="single" w:sz="4" w:space="0" w:color="auto"/>
              <w:right w:val="single" w:sz="4" w:space="0" w:color="auto"/>
            </w:tcBorders>
            <w:shd w:val="clear" w:color="000000" w:fill="FFFFFF"/>
            <w:noWrap/>
            <w:vAlign w:val="center"/>
            <w:hideMark/>
          </w:tcPr>
          <w:p w14:paraId="53E1C33D"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0F57C619" w14:textId="77777777" w:rsidTr="00D26F86">
        <w:trPr>
          <w:trHeight w:val="300"/>
        </w:trPr>
        <w:tc>
          <w:tcPr>
            <w:tcW w:w="1559" w:type="dxa"/>
            <w:tcBorders>
              <w:top w:val="nil"/>
              <w:left w:val="single" w:sz="4" w:space="0" w:color="auto"/>
              <w:bottom w:val="nil"/>
              <w:right w:val="single" w:sz="4" w:space="0" w:color="auto"/>
            </w:tcBorders>
            <w:shd w:val="clear" w:color="000000" w:fill="FFFFFF"/>
            <w:noWrap/>
            <w:vAlign w:val="center"/>
            <w:hideMark/>
          </w:tcPr>
          <w:p w14:paraId="3C111182"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298" w:type="dxa"/>
            <w:tcBorders>
              <w:top w:val="nil"/>
              <w:left w:val="nil"/>
              <w:bottom w:val="single" w:sz="4" w:space="0" w:color="auto"/>
              <w:right w:val="single" w:sz="4" w:space="0" w:color="auto"/>
            </w:tcBorders>
            <w:shd w:val="clear" w:color="000000" w:fill="FFFFFF"/>
            <w:noWrap/>
            <w:vAlign w:val="center"/>
            <w:hideMark/>
          </w:tcPr>
          <w:p w14:paraId="75D982E3"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Crédito Banorte 2017 - 5,461 mdp</w:t>
            </w:r>
          </w:p>
        </w:tc>
        <w:tc>
          <w:tcPr>
            <w:tcW w:w="1780" w:type="dxa"/>
            <w:tcBorders>
              <w:top w:val="nil"/>
              <w:left w:val="nil"/>
              <w:bottom w:val="single" w:sz="4" w:space="0" w:color="auto"/>
              <w:right w:val="single" w:sz="4" w:space="0" w:color="auto"/>
            </w:tcBorders>
            <w:shd w:val="clear" w:color="000000" w:fill="FFFFFF"/>
            <w:noWrap/>
            <w:vAlign w:val="center"/>
            <w:hideMark/>
          </w:tcPr>
          <w:p w14:paraId="347F366D"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AAA</w:t>
            </w:r>
          </w:p>
        </w:tc>
      </w:tr>
      <w:tr w:rsidR="00A1018A" w:rsidRPr="00A1018A" w14:paraId="5718A51F" w14:textId="77777777" w:rsidTr="00D26F86">
        <w:trPr>
          <w:trHeight w:val="300"/>
        </w:trPr>
        <w:tc>
          <w:tcPr>
            <w:tcW w:w="1559" w:type="dxa"/>
            <w:tcBorders>
              <w:top w:val="nil"/>
              <w:left w:val="single" w:sz="4" w:space="0" w:color="auto"/>
              <w:bottom w:val="nil"/>
              <w:right w:val="single" w:sz="4" w:space="0" w:color="auto"/>
            </w:tcBorders>
            <w:shd w:val="clear" w:color="000000" w:fill="FFFFFF"/>
            <w:noWrap/>
            <w:vAlign w:val="center"/>
            <w:hideMark/>
          </w:tcPr>
          <w:p w14:paraId="35576009"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298" w:type="dxa"/>
            <w:tcBorders>
              <w:top w:val="nil"/>
              <w:left w:val="nil"/>
              <w:bottom w:val="single" w:sz="4" w:space="0" w:color="auto"/>
              <w:right w:val="single" w:sz="4" w:space="0" w:color="auto"/>
            </w:tcBorders>
            <w:shd w:val="clear" w:color="000000" w:fill="FFFFFF"/>
            <w:noWrap/>
            <w:vAlign w:val="center"/>
            <w:hideMark/>
          </w:tcPr>
          <w:p w14:paraId="740C0086"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Crédito Banorte 2017- 1,539 mdp</w:t>
            </w:r>
          </w:p>
        </w:tc>
        <w:tc>
          <w:tcPr>
            <w:tcW w:w="1780" w:type="dxa"/>
            <w:tcBorders>
              <w:top w:val="nil"/>
              <w:left w:val="nil"/>
              <w:bottom w:val="single" w:sz="4" w:space="0" w:color="auto"/>
              <w:right w:val="single" w:sz="4" w:space="0" w:color="auto"/>
            </w:tcBorders>
            <w:shd w:val="clear" w:color="000000" w:fill="FFFFFF"/>
            <w:noWrap/>
            <w:vAlign w:val="center"/>
            <w:hideMark/>
          </w:tcPr>
          <w:p w14:paraId="0B7D0AEC"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AAA</w:t>
            </w:r>
          </w:p>
        </w:tc>
      </w:tr>
      <w:tr w:rsidR="00A1018A" w:rsidRPr="00A1018A" w14:paraId="5F3B2E69" w14:textId="77777777" w:rsidTr="00D26F86">
        <w:trPr>
          <w:trHeight w:val="300"/>
        </w:trPr>
        <w:tc>
          <w:tcPr>
            <w:tcW w:w="1559" w:type="dxa"/>
            <w:tcBorders>
              <w:top w:val="nil"/>
              <w:left w:val="single" w:sz="4" w:space="0" w:color="auto"/>
              <w:bottom w:val="nil"/>
              <w:right w:val="single" w:sz="4" w:space="0" w:color="auto"/>
            </w:tcBorders>
            <w:shd w:val="clear" w:color="000000" w:fill="FFFFFF"/>
            <w:noWrap/>
            <w:vAlign w:val="center"/>
            <w:hideMark/>
          </w:tcPr>
          <w:p w14:paraId="6783889A"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HR</w:t>
            </w:r>
          </w:p>
        </w:tc>
        <w:tc>
          <w:tcPr>
            <w:tcW w:w="3298" w:type="dxa"/>
            <w:tcBorders>
              <w:top w:val="nil"/>
              <w:left w:val="nil"/>
              <w:bottom w:val="single" w:sz="4" w:space="0" w:color="auto"/>
              <w:right w:val="single" w:sz="4" w:space="0" w:color="auto"/>
            </w:tcBorders>
            <w:shd w:val="clear" w:color="000000" w:fill="FFFFFF"/>
            <w:noWrap/>
            <w:vAlign w:val="center"/>
            <w:hideMark/>
          </w:tcPr>
          <w:p w14:paraId="3C1C5CD4"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BBVA 2017, 994 mdp</w:t>
            </w:r>
          </w:p>
        </w:tc>
        <w:tc>
          <w:tcPr>
            <w:tcW w:w="1780" w:type="dxa"/>
            <w:tcBorders>
              <w:top w:val="nil"/>
              <w:left w:val="nil"/>
              <w:bottom w:val="single" w:sz="4" w:space="0" w:color="auto"/>
              <w:right w:val="single" w:sz="4" w:space="0" w:color="auto"/>
            </w:tcBorders>
            <w:shd w:val="clear" w:color="000000" w:fill="FFFFFF"/>
            <w:noWrap/>
            <w:vAlign w:val="center"/>
            <w:hideMark/>
          </w:tcPr>
          <w:p w14:paraId="27220589"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7F592756" w14:textId="77777777" w:rsidTr="00D26F86">
        <w:trPr>
          <w:trHeight w:val="300"/>
        </w:trPr>
        <w:tc>
          <w:tcPr>
            <w:tcW w:w="1559" w:type="dxa"/>
            <w:tcBorders>
              <w:top w:val="nil"/>
              <w:left w:val="single" w:sz="4" w:space="0" w:color="auto"/>
              <w:bottom w:val="nil"/>
              <w:right w:val="single" w:sz="4" w:space="0" w:color="auto"/>
            </w:tcBorders>
            <w:shd w:val="clear" w:color="000000" w:fill="FFFFFF"/>
            <w:noWrap/>
            <w:vAlign w:val="center"/>
            <w:hideMark/>
          </w:tcPr>
          <w:p w14:paraId="7C706395"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298" w:type="dxa"/>
            <w:tcBorders>
              <w:top w:val="nil"/>
              <w:left w:val="nil"/>
              <w:bottom w:val="single" w:sz="4" w:space="0" w:color="auto"/>
              <w:right w:val="single" w:sz="4" w:space="0" w:color="auto"/>
            </w:tcBorders>
            <w:shd w:val="clear" w:color="000000" w:fill="FFFFFF"/>
            <w:noWrap/>
            <w:vAlign w:val="center"/>
            <w:hideMark/>
          </w:tcPr>
          <w:p w14:paraId="7EA94B7A"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Crédito BBVA 2010, 724 mdp</w:t>
            </w:r>
          </w:p>
        </w:tc>
        <w:tc>
          <w:tcPr>
            <w:tcW w:w="1780" w:type="dxa"/>
            <w:tcBorders>
              <w:top w:val="nil"/>
              <w:left w:val="nil"/>
              <w:bottom w:val="single" w:sz="4" w:space="0" w:color="auto"/>
              <w:right w:val="single" w:sz="4" w:space="0" w:color="auto"/>
            </w:tcBorders>
            <w:shd w:val="clear" w:color="000000" w:fill="FFFFFF"/>
            <w:noWrap/>
            <w:vAlign w:val="center"/>
            <w:hideMark/>
          </w:tcPr>
          <w:p w14:paraId="3FC18D5E"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3BEA0E22" w14:textId="77777777" w:rsidTr="00D26F86">
        <w:trPr>
          <w:trHeight w:val="300"/>
        </w:trPr>
        <w:tc>
          <w:tcPr>
            <w:tcW w:w="1559" w:type="dxa"/>
            <w:tcBorders>
              <w:top w:val="nil"/>
              <w:left w:val="single" w:sz="4" w:space="0" w:color="auto"/>
              <w:bottom w:val="nil"/>
              <w:right w:val="single" w:sz="4" w:space="0" w:color="auto"/>
            </w:tcBorders>
            <w:shd w:val="clear" w:color="000000" w:fill="FFFFFF"/>
            <w:noWrap/>
            <w:vAlign w:val="center"/>
            <w:hideMark/>
          </w:tcPr>
          <w:p w14:paraId="1A47066E"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298" w:type="dxa"/>
            <w:tcBorders>
              <w:top w:val="nil"/>
              <w:left w:val="nil"/>
              <w:bottom w:val="single" w:sz="4" w:space="0" w:color="auto"/>
              <w:right w:val="single" w:sz="4" w:space="0" w:color="auto"/>
            </w:tcBorders>
            <w:shd w:val="clear" w:color="000000" w:fill="FFFFFF"/>
            <w:noWrap/>
            <w:vAlign w:val="center"/>
            <w:hideMark/>
          </w:tcPr>
          <w:p w14:paraId="31CE6AED"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Crédito Santander 2018, 1,650 mdp</w:t>
            </w:r>
          </w:p>
        </w:tc>
        <w:tc>
          <w:tcPr>
            <w:tcW w:w="1780" w:type="dxa"/>
            <w:tcBorders>
              <w:top w:val="nil"/>
              <w:left w:val="nil"/>
              <w:bottom w:val="single" w:sz="4" w:space="0" w:color="auto"/>
              <w:right w:val="single" w:sz="4" w:space="0" w:color="auto"/>
            </w:tcBorders>
            <w:shd w:val="clear" w:color="000000" w:fill="FFFFFF"/>
            <w:noWrap/>
            <w:vAlign w:val="center"/>
            <w:hideMark/>
          </w:tcPr>
          <w:p w14:paraId="56E8CC14"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0AAC43FD" w14:textId="77777777" w:rsidTr="00D26F86">
        <w:trPr>
          <w:trHeight w:val="300"/>
        </w:trPr>
        <w:tc>
          <w:tcPr>
            <w:tcW w:w="1559" w:type="dxa"/>
            <w:tcBorders>
              <w:top w:val="nil"/>
              <w:left w:val="single" w:sz="4" w:space="0" w:color="auto"/>
              <w:bottom w:val="nil"/>
              <w:right w:val="single" w:sz="4" w:space="0" w:color="auto"/>
            </w:tcBorders>
            <w:shd w:val="clear" w:color="000000" w:fill="FFFFFF"/>
            <w:noWrap/>
            <w:vAlign w:val="center"/>
            <w:hideMark/>
          </w:tcPr>
          <w:p w14:paraId="1D2CF34A"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298" w:type="dxa"/>
            <w:tcBorders>
              <w:top w:val="nil"/>
              <w:left w:val="nil"/>
              <w:bottom w:val="single" w:sz="4" w:space="0" w:color="auto"/>
              <w:right w:val="single" w:sz="4" w:space="0" w:color="auto"/>
            </w:tcBorders>
            <w:shd w:val="clear" w:color="000000" w:fill="FFFFFF"/>
            <w:noWrap/>
            <w:vAlign w:val="center"/>
            <w:hideMark/>
          </w:tcPr>
          <w:p w14:paraId="607E158E"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Crédito BBVA 2018, 500 mdp</w:t>
            </w:r>
          </w:p>
        </w:tc>
        <w:tc>
          <w:tcPr>
            <w:tcW w:w="1780" w:type="dxa"/>
            <w:tcBorders>
              <w:top w:val="nil"/>
              <w:left w:val="nil"/>
              <w:bottom w:val="single" w:sz="4" w:space="0" w:color="auto"/>
              <w:right w:val="single" w:sz="4" w:space="0" w:color="auto"/>
            </w:tcBorders>
            <w:shd w:val="clear" w:color="000000" w:fill="FFFFFF"/>
            <w:noWrap/>
            <w:vAlign w:val="center"/>
            <w:hideMark/>
          </w:tcPr>
          <w:p w14:paraId="600DC0DA"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AAA</w:t>
            </w:r>
          </w:p>
        </w:tc>
      </w:tr>
      <w:tr w:rsidR="00A1018A" w:rsidRPr="00A1018A" w14:paraId="479382E1" w14:textId="77777777" w:rsidTr="00D26F86">
        <w:trPr>
          <w:trHeight w:val="300"/>
        </w:trPr>
        <w:tc>
          <w:tcPr>
            <w:tcW w:w="1559" w:type="dxa"/>
            <w:tcBorders>
              <w:top w:val="nil"/>
              <w:left w:val="single" w:sz="4" w:space="0" w:color="auto"/>
              <w:bottom w:val="nil"/>
              <w:right w:val="single" w:sz="4" w:space="0" w:color="auto"/>
            </w:tcBorders>
            <w:shd w:val="clear" w:color="000000" w:fill="FFFFFF"/>
            <w:noWrap/>
            <w:vAlign w:val="center"/>
            <w:hideMark/>
          </w:tcPr>
          <w:p w14:paraId="0DB8FDC1"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298" w:type="dxa"/>
            <w:tcBorders>
              <w:top w:val="nil"/>
              <w:left w:val="nil"/>
              <w:bottom w:val="single" w:sz="4" w:space="0" w:color="auto"/>
              <w:right w:val="single" w:sz="4" w:space="0" w:color="auto"/>
            </w:tcBorders>
            <w:shd w:val="clear" w:color="000000" w:fill="FFFFFF"/>
            <w:noWrap/>
            <w:vAlign w:val="center"/>
            <w:hideMark/>
          </w:tcPr>
          <w:p w14:paraId="0CEB9B79"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Banorte 2020 1,500 mdp</w:t>
            </w:r>
          </w:p>
        </w:tc>
        <w:tc>
          <w:tcPr>
            <w:tcW w:w="1780" w:type="dxa"/>
            <w:tcBorders>
              <w:top w:val="nil"/>
              <w:left w:val="nil"/>
              <w:bottom w:val="single" w:sz="4" w:space="0" w:color="auto"/>
              <w:right w:val="single" w:sz="4" w:space="0" w:color="auto"/>
            </w:tcBorders>
            <w:shd w:val="clear" w:color="000000" w:fill="FFFFFF"/>
            <w:noWrap/>
            <w:vAlign w:val="center"/>
            <w:hideMark/>
          </w:tcPr>
          <w:p w14:paraId="45B839F0"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40AE4174" w14:textId="77777777" w:rsidTr="00D26F86">
        <w:trPr>
          <w:trHeight w:val="300"/>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0110D1A7"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298" w:type="dxa"/>
            <w:tcBorders>
              <w:top w:val="nil"/>
              <w:left w:val="nil"/>
              <w:bottom w:val="single" w:sz="4" w:space="0" w:color="auto"/>
              <w:right w:val="single" w:sz="4" w:space="0" w:color="auto"/>
            </w:tcBorders>
            <w:shd w:val="clear" w:color="000000" w:fill="FFFFFF"/>
            <w:noWrap/>
            <w:vAlign w:val="center"/>
            <w:hideMark/>
          </w:tcPr>
          <w:p w14:paraId="7D4793F5"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Banorte 2020 1,200 mdp</w:t>
            </w:r>
          </w:p>
        </w:tc>
        <w:tc>
          <w:tcPr>
            <w:tcW w:w="1780" w:type="dxa"/>
            <w:tcBorders>
              <w:top w:val="nil"/>
              <w:left w:val="nil"/>
              <w:bottom w:val="single" w:sz="4" w:space="0" w:color="auto"/>
              <w:right w:val="single" w:sz="4" w:space="0" w:color="auto"/>
            </w:tcBorders>
            <w:shd w:val="clear" w:color="000000" w:fill="FFFFFF"/>
            <w:noWrap/>
            <w:vAlign w:val="center"/>
            <w:hideMark/>
          </w:tcPr>
          <w:p w14:paraId="3E042939"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bl>
    <w:p w14:paraId="0AA13C50" w14:textId="66938D2C" w:rsidR="00A1018A" w:rsidRDefault="00A1018A" w:rsidP="00F256D9">
      <w:pPr>
        <w:pStyle w:val="Texto"/>
        <w:spacing w:after="0" w:line="240" w:lineRule="exact"/>
        <w:rPr>
          <w:rFonts w:asciiTheme="minorHAnsi" w:hAnsiTheme="minorHAnsi" w:cstheme="minorHAnsi"/>
          <w:b/>
          <w:szCs w:val="18"/>
          <w:lang w:val="es-MX"/>
        </w:rPr>
      </w:pPr>
    </w:p>
    <w:p w14:paraId="7900434B" w14:textId="5DC4A8C8" w:rsidR="00F256D9" w:rsidRPr="005F45A3" w:rsidRDefault="00F256D9" w:rsidP="00F256D9">
      <w:pPr>
        <w:pStyle w:val="Texto"/>
        <w:spacing w:after="0" w:line="240" w:lineRule="exact"/>
        <w:rPr>
          <w:rFonts w:asciiTheme="minorHAnsi" w:hAnsiTheme="minorHAnsi" w:cstheme="minorHAnsi"/>
          <w:b/>
          <w:szCs w:val="18"/>
          <w:lang w:val="es-MX"/>
        </w:rPr>
      </w:pPr>
    </w:p>
    <w:p w14:paraId="6AEB18AA" w14:textId="3F186059" w:rsidR="00B07C73" w:rsidRPr="005F45A3" w:rsidRDefault="00B07C73" w:rsidP="00D26F86">
      <w:pPr>
        <w:pStyle w:val="Prrafodelista"/>
        <w:numPr>
          <w:ilvl w:val="0"/>
          <w:numId w:val="37"/>
        </w:numPr>
        <w:spacing w:after="0" w:line="240" w:lineRule="exact"/>
        <w:ind w:left="284"/>
        <w:jc w:val="both"/>
        <w:rPr>
          <w:rFonts w:asciiTheme="minorHAnsi" w:eastAsia="Times New Roman" w:hAnsiTheme="minorHAnsi" w:cstheme="minorHAnsi"/>
          <w:b/>
          <w:sz w:val="18"/>
          <w:szCs w:val="18"/>
          <w:lang w:eastAsia="es-ES"/>
        </w:rPr>
      </w:pPr>
      <w:r w:rsidRPr="005F45A3">
        <w:rPr>
          <w:rFonts w:asciiTheme="minorHAnsi" w:eastAsia="Times New Roman" w:hAnsiTheme="minorHAnsi" w:cstheme="minorHAnsi"/>
          <w:b/>
          <w:sz w:val="18"/>
          <w:szCs w:val="18"/>
          <w:lang w:eastAsia="es-ES"/>
        </w:rPr>
        <w:t>Proceso de Mejora</w:t>
      </w:r>
    </w:p>
    <w:p w14:paraId="581E2512" w14:textId="211C1DF9" w:rsidR="00B07C73" w:rsidRPr="005F45A3" w:rsidRDefault="00B07C73" w:rsidP="00B07C73">
      <w:pPr>
        <w:spacing w:after="0" w:line="240" w:lineRule="exact"/>
        <w:jc w:val="both"/>
        <w:rPr>
          <w:rFonts w:asciiTheme="minorHAnsi" w:eastAsia="Times New Roman" w:hAnsiTheme="minorHAnsi" w:cstheme="minorHAnsi"/>
          <w:b/>
          <w:sz w:val="18"/>
          <w:szCs w:val="18"/>
          <w:highlight w:val="yellow"/>
          <w:lang w:eastAsia="es-ES"/>
        </w:rPr>
      </w:pPr>
    </w:p>
    <w:p w14:paraId="1781125C" w14:textId="6412D7EE" w:rsidR="00B07C73" w:rsidRPr="005F45A3" w:rsidRDefault="00B07C73" w:rsidP="00D26F86">
      <w:pPr>
        <w:pStyle w:val="INCISO"/>
        <w:numPr>
          <w:ilvl w:val="1"/>
          <w:numId w:val="14"/>
        </w:numPr>
        <w:spacing w:after="0" w:line="240" w:lineRule="exact"/>
        <w:ind w:left="567"/>
        <w:rPr>
          <w:rFonts w:asciiTheme="minorHAnsi" w:hAnsiTheme="minorHAnsi" w:cstheme="minorHAnsi"/>
          <w:szCs w:val="16"/>
        </w:rPr>
      </w:pPr>
      <w:r w:rsidRPr="005F45A3">
        <w:rPr>
          <w:rFonts w:asciiTheme="minorHAnsi" w:hAnsiTheme="minorHAnsi" w:cstheme="minorHAnsi"/>
          <w:szCs w:val="16"/>
        </w:rPr>
        <w:t>Principales Políticas de control interno.</w:t>
      </w:r>
    </w:p>
    <w:p w14:paraId="4DAA1FB3" w14:textId="66E246CD" w:rsidR="00B07C73" w:rsidRPr="005F45A3" w:rsidRDefault="00B07C73" w:rsidP="00D26F86">
      <w:pPr>
        <w:pStyle w:val="INCISO"/>
        <w:spacing w:after="0" w:line="240" w:lineRule="exact"/>
        <w:ind w:left="567" w:firstLine="0"/>
        <w:rPr>
          <w:rFonts w:asciiTheme="minorHAnsi" w:hAnsiTheme="minorHAnsi" w:cstheme="minorHAnsi"/>
          <w:szCs w:val="16"/>
        </w:rPr>
      </w:pPr>
      <w:r w:rsidRPr="005F45A3">
        <w:rPr>
          <w:rFonts w:asciiTheme="minorHAnsi" w:hAnsiTheme="minorHAnsi" w:cstheme="minorHAnsi"/>
          <w:szCs w:val="16"/>
        </w:rPr>
        <w:t>El Gobierno del Estado aplica en el ejercicio del gasto la Normatividad establecida por la Contraloría Gubernamental, y en el caso de los Recursos Federales las que establecen las reglas de operación de los programas y/o convenios correspondientes.</w:t>
      </w:r>
    </w:p>
    <w:p w14:paraId="128EEC6C" w14:textId="61832BBC" w:rsidR="00B07C73" w:rsidRDefault="00B07C73" w:rsidP="00B07C73">
      <w:pPr>
        <w:pStyle w:val="INCISO"/>
        <w:spacing w:after="0" w:line="240" w:lineRule="exact"/>
        <w:ind w:left="720" w:firstLine="0"/>
        <w:rPr>
          <w:rFonts w:asciiTheme="minorHAnsi" w:hAnsiTheme="minorHAnsi" w:cstheme="minorHAnsi"/>
          <w:sz w:val="20"/>
        </w:rPr>
      </w:pPr>
    </w:p>
    <w:p w14:paraId="0031BB78" w14:textId="412BD3FF" w:rsidR="0013238D" w:rsidRDefault="0013238D" w:rsidP="00B07C73">
      <w:pPr>
        <w:pStyle w:val="INCISO"/>
        <w:spacing w:after="0" w:line="240" w:lineRule="exact"/>
        <w:ind w:left="720" w:firstLine="0"/>
        <w:rPr>
          <w:rFonts w:asciiTheme="minorHAnsi" w:hAnsiTheme="minorHAnsi" w:cstheme="minorHAnsi"/>
          <w:sz w:val="20"/>
        </w:rPr>
      </w:pPr>
    </w:p>
    <w:p w14:paraId="4970ADA9" w14:textId="67541729" w:rsidR="0013238D" w:rsidRDefault="0013238D" w:rsidP="00B07C73">
      <w:pPr>
        <w:pStyle w:val="INCISO"/>
        <w:spacing w:after="0" w:line="240" w:lineRule="exact"/>
        <w:ind w:left="720" w:firstLine="0"/>
        <w:rPr>
          <w:rFonts w:asciiTheme="minorHAnsi" w:hAnsiTheme="minorHAnsi" w:cstheme="minorHAnsi"/>
          <w:sz w:val="20"/>
        </w:rPr>
      </w:pPr>
    </w:p>
    <w:p w14:paraId="1010AF46" w14:textId="59F6AD9D" w:rsidR="00B07C73" w:rsidRPr="005F45A3" w:rsidRDefault="00B07C73" w:rsidP="00B07C73">
      <w:pPr>
        <w:pStyle w:val="INCISO"/>
        <w:spacing w:after="0" w:line="240" w:lineRule="exact"/>
        <w:ind w:left="0" w:firstLine="0"/>
        <w:rPr>
          <w:rFonts w:asciiTheme="minorHAnsi" w:hAnsiTheme="minorHAnsi" w:cstheme="minorHAnsi"/>
          <w:szCs w:val="16"/>
        </w:rPr>
      </w:pPr>
      <w:r w:rsidRPr="005F45A3">
        <w:rPr>
          <w:rFonts w:asciiTheme="minorHAnsi" w:hAnsiTheme="minorHAnsi" w:cstheme="minorHAnsi"/>
          <w:sz w:val="20"/>
        </w:rPr>
        <w:t xml:space="preserve">       b)</w:t>
      </w:r>
      <w:r w:rsidRPr="005F45A3">
        <w:rPr>
          <w:rFonts w:asciiTheme="minorHAnsi" w:hAnsiTheme="minorHAnsi" w:cstheme="minorHAnsi"/>
          <w:sz w:val="20"/>
        </w:rPr>
        <w:tab/>
      </w:r>
      <w:r w:rsidRPr="005F45A3">
        <w:rPr>
          <w:rFonts w:asciiTheme="minorHAnsi" w:hAnsiTheme="minorHAnsi" w:cstheme="minorHAnsi"/>
          <w:szCs w:val="16"/>
        </w:rPr>
        <w:t>Medidas de desempeño Financiero, metas y alcance.</w:t>
      </w:r>
    </w:p>
    <w:p w14:paraId="6B20C135" w14:textId="7D8CCDE4" w:rsidR="00B07C73" w:rsidRPr="005F45A3" w:rsidRDefault="00B07C73" w:rsidP="00B07C73">
      <w:pPr>
        <w:pStyle w:val="INCISO"/>
        <w:spacing w:after="0" w:line="240" w:lineRule="exact"/>
        <w:ind w:left="720" w:firstLine="0"/>
        <w:rPr>
          <w:rFonts w:asciiTheme="minorHAnsi" w:hAnsiTheme="minorHAnsi" w:cstheme="minorHAnsi"/>
          <w:szCs w:val="16"/>
        </w:rPr>
      </w:pPr>
      <w:r w:rsidRPr="005F45A3">
        <w:rPr>
          <w:rFonts w:asciiTheme="minorHAnsi" w:hAnsiTheme="minorHAnsi" w:cstheme="minorHAnsi"/>
          <w:szCs w:val="16"/>
        </w:rPr>
        <w:t>Con el propósito de avanzar en el uso transparente y eficaz de los recursos públicos y para dar continuidad a las acciones del Gobierno del Estado, se sigue promoviendo la aplicación de criterios de racionalidad, economía, eficacia, eficiencia y austeri</w:t>
      </w:r>
      <w:r w:rsidR="00F236ED" w:rsidRPr="005F45A3">
        <w:rPr>
          <w:rFonts w:asciiTheme="minorHAnsi" w:hAnsiTheme="minorHAnsi" w:cstheme="minorHAnsi"/>
          <w:szCs w:val="16"/>
        </w:rPr>
        <w:t xml:space="preserve">dad, durante este </w:t>
      </w:r>
      <w:r w:rsidR="009C6584">
        <w:rPr>
          <w:rFonts w:asciiTheme="minorHAnsi" w:hAnsiTheme="minorHAnsi" w:cstheme="minorHAnsi"/>
          <w:szCs w:val="16"/>
        </w:rPr>
        <w:t>cuarto</w:t>
      </w:r>
      <w:r w:rsidR="00BA4E23" w:rsidRPr="005F45A3">
        <w:rPr>
          <w:rFonts w:asciiTheme="minorHAnsi" w:hAnsiTheme="minorHAnsi" w:cstheme="minorHAnsi"/>
          <w:szCs w:val="16"/>
        </w:rPr>
        <w:t xml:space="preserve"> trimestre 2022</w:t>
      </w:r>
      <w:r w:rsidR="00F236ED" w:rsidRPr="005F45A3">
        <w:rPr>
          <w:rFonts w:asciiTheme="minorHAnsi" w:hAnsiTheme="minorHAnsi" w:cstheme="minorHAnsi"/>
          <w:szCs w:val="16"/>
        </w:rPr>
        <w:t>.</w:t>
      </w:r>
    </w:p>
    <w:p w14:paraId="654603AA" w14:textId="77777777" w:rsidR="00C2426C" w:rsidRPr="005F45A3" w:rsidRDefault="00C2426C" w:rsidP="00B07C73">
      <w:pPr>
        <w:spacing w:after="0" w:line="240" w:lineRule="exact"/>
        <w:jc w:val="both"/>
        <w:rPr>
          <w:rFonts w:asciiTheme="minorHAnsi" w:eastAsia="Times New Roman" w:hAnsiTheme="minorHAnsi" w:cstheme="minorHAnsi"/>
          <w:b/>
          <w:sz w:val="16"/>
          <w:szCs w:val="16"/>
          <w:highlight w:val="yellow"/>
          <w:lang w:eastAsia="es-ES"/>
        </w:rPr>
      </w:pPr>
    </w:p>
    <w:p w14:paraId="5361C21D" w14:textId="270B8847" w:rsidR="00B07C73" w:rsidRPr="005F45A3" w:rsidRDefault="00B07C73" w:rsidP="00D26F86">
      <w:pPr>
        <w:pStyle w:val="Prrafodelista"/>
        <w:numPr>
          <w:ilvl w:val="0"/>
          <w:numId w:val="37"/>
        </w:numPr>
        <w:spacing w:after="0" w:line="240" w:lineRule="exact"/>
        <w:ind w:left="426"/>
        <w:jc w:val="both"/>
        <w:rPr>
          <w:rFonts w:asciiTheme="minorHAnsi" w:eastAsia="Times New Roman" w:hAnsiTheme="minorHAnsi" w:cstheme="minorHAnsi"/>
          <w:b/>
          <w:sz w:val="18"/>
          <w:szCs w:val="18"/>
          <w:lang w:eastAsia="es-ES"/>
        </w:rPr>
      </w:pPr>
      <w:r w:rsidRPr="005F45A3">
        <w:rPr>
          <w:rFonts w:asciiTheme="minorHAnsi" w:eastAsia="Times New Roman" w:hAnsiTheme="minorHAnsi" w:cstheme="minorHAnsi"/>
          <w:b/>
          <w:sz w:val="18"/>
          <w:szCs w:val="18"/>
          <w:lang w:eastAsia="es-ES"/>
        </w:rPr>
        <w:t>Información por Segmentos</w:t>
      </w:r>
      <w:r w:rsidR="00022A83">
        <w:rPr>
          <w:rFonts w:asciiTheme="minorHAnsi" w:eastAsia="Times New Roman" w:hAnsiTheme="minorHAnsi" w:cstheme="minorHAnsi"/>
          <w:b/>
          <w:sz w:val="18"/>
          <w:szCs w:val="18"/>
          <w:lang w:eastAsia="es-ES"/>
        </w:rPr>
        <w:t xml:space="preserve">.  </w:t>
      </w:r>
    </w:p>
    <w:p w14:paraId="6860C792" w14:textId="047360CD" w:rsidR="00B07C73" w:rsidRPr="00F46E2A" w:rsidRDefault="00B07C73" w:rsidP="00F46E2A">
      <w:pPr>
        <w:tabs>
          <w:tab w:val="center" w:pos="4599"/>
        </w:tabs>
        <w:spacing w:after="0" w:line="240" w:lineRule="exact"/>
        <w:ind w:left="426"/>
        <w:jc w:val="both"/>
        <w:rPr>
          <w:rFonts w:asciiTheme="minorHAnsi" w:eastAsia="Times New Roman" w:hAnsiTheme="minorHAnsi" w:cstheme="minorHAnsi"/>
          <w:b/>
          <w:sz w:val="18"/>
          <w:szCs w:val="16"/>
          <w:lang w:eastAsia="es-ES"/>
        </w:rPr>
      </w:pPr>
      <w:r w:rsidRPr="00F46E2A">
        <w:rPr>
          <w:rFonts w:asciiTheme="minorHAnsi" w:eastAsia="Times New Roman" w:hAnsiTheme="minorHAnsi" w:cstheme="minorHAnsi"/>
          <w:b/>
          <w:sz w:val="18"/>
          <w:szCs w:val="16"/>
          <w:lang w:val="es-ES" w:eastAsia="es-ES"/>
        </w:rPr>
        <w:t>N</w:t>
      </w:r>
      <w:r w:rsidR="00F46E2A" w:rsidRPr="00F46E2A">
        <w:rPr>
          <w:rFonts w:asciiTheme="minorHAnsi" w:eastAsia="Times New Roman" w:hAnsiTheme="minorHAnsi" w:cstheme="minorHAnsi"/>
          <w:b/>
          <w:sz w:val="18"/>
          <w:szCs w:val="16"/>
          <w:lang w:val="es-ES" w:eastAsia="es-ES"/>
        </w:rPr>
        <w:t xml:space="preserve">o Aplica </w:t>
      </w:r>
      <w:r w:rsidRPr="00F46E2A">
        <w:rPr>
          <w:rFonts w:asciiTheme="minorHAnsi" w:eastAsia="Times New Roman" w:hAnsiTheme="minorHAnsi" w:cstheme="minorHAnsi"/>
          <w:b/>
          <w:sz w:val="18"/>
          <w:szCs w:val="16"/>
          <w:lang w:val="es-ES" w:eastAsia="es-ES"/>
        </w:rPr>
        <w:tab/>
      </w:r>
    </w:p>
    <w:p w14:paraId="63D5219A" w14:textId="5D7E0BEA" w:rsidR="00B07C73" w:rsidRPr="005F45A3" w:rsidRDefault="00B07C73" w:rsidP="00B07C73">
      <w:pPr>
        <w:pStyle w:val="Prrafodelista"/>
        <w:spacing w:after="0" w:line="240" w:lineRule="exact"/>
        <w:ind w:left="360"/>
        <w:jc w:val="both"/>
        <w:rPr>
          <w:rFonts w:asciiTheme="minorHAnsi" w:eastAsia="Times New Roman" w:hAnsiTheme="minorHAnsi" w:cstheme="minorHAnsi"/>
          <w:b/>
          <w:sz w:val="18"/>
          <w:szCs w:val="18"/>
          <w:lang w:eastAsia="es-ES"/>
        </w:rPr>
      </w:pPr>
    </w:p>
    <w:p w14:paraId="0276EA90" w14:textId="01E4F026" w:rsidR="00B07C73" w:rsidRPr="005F45A3" w:rsidRDefault="00B07C73" w:rsidP="00D26F86">
      <w:pPr>
        <w:pStyle w:val="Prrafodelista"/>
        <w:numPr>
          <w:ilvl w:val="0"/>
          <w:numId w:val="37"/>
        </w:numPr>
        <w:spacing w:after="0" w:line="240" w:lineRule="exact"/>
        <w:ind w:left="426"/>
        <w:jc w:val="both"/>
        <w:rPr>
          <w:rFonts w:asciiTheme="minorHAnsi" w:eastAsia="Times New Roman" w:hAnsiTheme="minorHAnsi" w:cstheme="minorHAnsi"/>
          <w:b/>
          <w:sz w:val="18"/>
          <w:szCs w:val="18"/>
          <w:lang w:eastAsia="es-ES"/>
        </w:rPr>
      </w:pPr>
      <w:r w:rsidRPr="005F45A3">
        <w:rPr>
          <w:rFonts w:asciiTheme="minorHAnsi" w:eastAsia="Times New Roman" w:hAnsiTheme="minorHAnsi" w:cstheme="minorHAnsi"/>
          <w:b/>
          <w:sz w:val="18"/>
          <w:szCs w:val="18"/>
          <w:lang w:eastAsia="es-ES"/>
        </w:rPr>
        <w:t>Eventos Posteriores al Cierre.</w:t>
      </w:r>
    </w:p>
    <w:p w14:paraId="27115315" w14:textId="430E4DF9" w:rsidR="00B07C73" w:rsidRPr="00F46E2A" w:rsidRDefault="00B07C73" w:rsidP="00B07C73">
      <w:pPr>
        <w:pStyle w:val="Prrafodelista"/>
        <w:spacing w:after="0" w:line="240" w:lineRule="exact"/>
        <w:ind w:left="360"/>
        <w:jc w:val="both"/>
        <w:rPr>
          <w:rFonts w:asciiTheme="minorHAnsi" w:eastAsia="Times New Roman" w:hAnsiTheme="minorHAnsi" w:cstheme="minorHAnsi"/>
          <w:b/>
          <w:sz w:val="20"/>
          <w:szCs w:val="18"/>
          <w:lang w:eastAsia="es-ES"/>
        </w:rPr>
      </w:pPr>
      <w:r w:rsidRPr="00F46E2A">
        <w:rPr>
          <w:rFonts w:asciiTheme="minorHAnsi" w:eastAsia="Times New Roman" w:hAnsiTheme="minorHAnsi" w:cstheme="minorHAnsi"/>
          <w:b/>
          <w:sz w:val="18"/>
          <w:szCs w:val="16"/>
          <w:lang w:val="es-ES" w:eastAsia="es-ES"/>
        </w:rPr>
        <w:t>N</w:t>
      </w:r>
      <w:r w:rsidR="00F46E2A" w:rsidRPr="00F46E2A">
        <w:rPr>
          <w:rFonts w:asciiTheme="minorHAnsi" w:eastAsia="Times New Roman" w:hAnsiTheme="minorHAnsi" w:cstheme="minorHAnsi"/>
          <w:b/>
          <w:sz w:val="18"/>
          <w:szCs w:val="16"/>
          <w:lang w:val="es-ES" w:eastAsia="es-ES"/>
        </w:rPr>
        <w:t xml:space="preserve">o </w:t>
      </w:r>
      <w:r w:rsidRPr="00F46E2A">
        <w:rPr>
          <w:rFonts w:asciiTheme="minorHAnsi" w:eastAsia="Times New Roman" w:hAnsiTheme="minorHAnsi" w:cstheme="minorHAnsi"/>
          <w:b/>
          <w:sz w:val="18"/>
          <w:szCs w:val="16"/>
          <w:lang w:val="es-ES" w:eastAsia="es-ES"/>
        </w:rPr>
        <w:t>A</w:t>
      </w:r>
      <w:r w:rsidR="00F46E2A" w:rsidRPr="00F46E2A">
        <w:rPr>
          <w:rFonts w:asciiTheme="minorHAnsi" w:eastAsia="Times New Roman" w:hAnsiTheme="minorHAnsi" w:cstheme="minorHAnsi"/>
          <w:b/>
          <w:sz w:val="18"/>
          <w:szCs w:val="16"/>
          <w:lang w:val="es-ES" w:eastAsia="es-ES"/>
        </w:rPr>
        <w:t xml:space="preserve">plica </w:t>
      </w:r>
    </w:p>
    <w:p w14:paraId="5EAD0C05" w14:textId="42A68DF8" w:rsidR="00B07C73" w:rsidRPr="005F45A3" w:rsidRDefault="00B07C73" w:rsidP="00B07C73">
      <w:pPr>
        <w:pStyle w:val="Prrafodelista"/>
        <w:spacing w:after="0" w:line="240" w:lineRule="exact"/>
        <w:ind w:left="360"/>
        <w:jc w:val="both"/>
        <w:rPr>
          <w:rFonts w:asciiTheme="minorHAnsi" w:eastAsia="Times New Roman" w:hAnsiTheme="minorHAnsi" w:cstheme="minorHAnsi"/>
          <w:b/>
          <w:sz w:val="18"/>
          <w:szCs w:val="18"/>
          <w:lang w:eastAsia="es-ES"/>
        </w:rPr>
      </w:pPr>
    </w:p>
    <w:p w14:paraId="0110CDFD" w14:textId="06C9E4DE" w:rsidR="00D861D2" w:rsidRPr="005F45A3" w:rsidRDefault="00D861D2" w:rsidP="00B07C73">
      <w:pPr>
        <w:pStyle w:val="Prrafodelista"/>
        <w:spacing w:after="0" w:line="240" w:lineRule="exact"/>
        <w:ind w:left="360"/>
        <w:jc w:val="both"/>
        <w:rPr>
          <w:rFonts w:asciiTheme="minorHAnsi" w:eastAsia="Times New Roman" w:hAnsiTheme="minorHAnsi" w:cstheme="minorHAnsi"/>
          <w:b/>
          <w:sz w:val="18"/>
          <w:szCs w:val="18"/>
          <w:lang w:eastAsia="es-ES"/>
        </w:rPr>
      </w:pPr>
    </w:p>
    <w:p w14:paraId="7CBB20CC" w14:textId="0077C45E" w:rsidR="00B07C73" w:rsidRPr="005F45A3" w:rsidRDefault="00B07C73" w:rsidP="00D26F86">
      <w:pPr>
        <w:pStyle w:val="Prrafodelista"/>
        <w:numPr>
          <w:ilvl w:val="0"/>
          <w:numId w:val="37"/>
        </w:numPr>
        <w:spacing w:after="0" w:line="240" w:lineRule="exact"/>
        <w:ind w:left="426"/>
        <w:jc w:val="both"/>
        <w:rPr>
          <w:rFonts w:asciiTheme="minorHAnsi" w:eastAsia="Times New Roman" w:hAnsiTheme="minorHAnsi" w:cstheme="minorHAnsi"/>
          <w:b/>
          <w:sz w:val="18"/>
          <w:szCs w:val="18"/>
          <w:lang w:eastAsia="es-ES"/>
        </w:rPr>
      </w:pPr>
      <w:r w:rsidRPr="005F45A3">
        <w:rPr>
          <w:rFonts w:asciiTheme="minorHAnsi" w:eastAsia="Times New Roman" w:hAnsiTheme="minorHAnsi" w:cstheme="minorHAnsi"/>
          <w:b/>
          <w:sz w:val="18"/>
          <w:szCs w:val="18"/>
          <w:lang w:eastAsia="es-ES"/>
        </w:rPr>
        <w:t>Partes Relacionadas</w:t>
      </w:r>
      <w:r w:rsidR="00022A83">
        <w:rPr>
          <w:rFonts w:asciiTheme="minorHAnsi" w:eastAsia="Times New Roman" w:hAnsiTheme="minorHAnsi" w:cstheme="minorHAnsi"/>
          <w:b/>
          <w:sz w:val="18"/>
          <w:szCs w:val="18"/>
          <w:lang w:eastAsia="es-ES"/>
        </w:rPr>
        <w:t>.</w:t>
      </w:r>
    </w:p>
    <w:p w14:paraId="31E633AA" w14:textId="11BAF62E" w:rsidR="00B07C73" w:rsidRPr="005F45A3" w:rsidRDefault="00B07C73" w:rsidP="00B07C73">
      <w:pPr>
        <w:pStyle w:val="Prrafodelista"/>
        <w:spacing w:after="0" w:line="240" w:lineRule="exact"/>
        <w:ind w:left="360"/>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Se manifiesta que no existen partes relacionadas que pudieran ejercen influencia significativa sobre la toma de decisiones Financieras y Operativas del Gobierno del Estado.</w:t>
      </w:r>
    </w:p>
    <w:p w14:paraId="6758C205" w14:textId="48145FBC" w:rsidR="00B07C73" w:rsidRPr="005F45A3" w:rsidRDefault="00B07C73" w:rsidP="00B07C73">
      <w:pPr>
        <w:spacing w:after="0" w:line="240" w:lineRule="exact"/>
        <w:jc w:val="both"/>
        <w:rPr>
          <w:rFonts w:asciiTheme="minorHAnsi" w:eastAsia="Times New Roman" w:hAnsiTheme="minorHAnsi" w:cstheme="minorHAnsi"/>
          <w:sz w:val="16"/>
          <w:szCs w:val="16"/>
          <w:lang w:val="es-ES" w:eastAsia="es-ES"/>
        </w:rPr>
      </w:pPr>
    </w:p>
    <w:p w14:paraId="53181BAC" w14:textId="0DB502F3" w:rsidR="00B07C73" w:rsidRDefault="00B07C73" w:rsidP="00B07C73">
      <w:pPr>
        <w:spacing w:after="0" w:line="240" w:lineRule="exact"/>
        <w:jc w:val="both"/>
        <w:rPr>
          <w:rFonts w:asciiTheme="minorHAnsi" w:eastAsia="Times New Roman" w:hAnsiTheme="minorHAnsi" w:cstheme="minorHAnsi"/>
          <w:sz w:val="16"/>
          <w:szCs w:val="16"/>
          <w:lang w:val="es-ES" w:eastAsia="es-ES"/>
        </w:rPr>
      </w:pPr>
    </w:p>
    <w:p w14:paraId="743ECB9D" w14:textId="2816393D" w:rsidR="00022A83" w:rsidRDefault="00022A83" w:rsidP="00B07C73">
      <w:pPr>
        <w:spacing w:after="0" w:line="240" w:lineRule="exact"/>
        <w:jc w:val="both"/>
        <w:rPr>
          <w:rFonts w:asciiTheme="minorHAnsi" w:eastAsia="Times New Roman" w:hAnsiTheme="minorHAnsi" w:cstheme="minorHAnsi"/>
          <w:sz w:val="16"/>
          <w:szCs w:val="16"/>
          <w:lang w:val="es-ES" w:eastAsia="es-ES"/>
        </w:rPr>
      </w:pPr>
    </w:p>
    <w:p w14:paraId="15FE1F3B" w14:textId="5C742DFB" w:rsidR="0005143A" w:rsidRDefault="0005143A" w:rsidP="00B07C73">
      <w:pPr>
        <w:spacing w:after="0" w:line="240" w:lineRule="exact"/>
        <w:jc w:val="both"/>
        <w:rPr>
          <w:rFonts w:asciiTheme="minorHAnsi" w:eastAsia="Times New Roman" w:hAnsiTheme="minorHAnsi" w:cstheme="minorHAnsi"/>
          <w:sz w:val="16"/>
          <w:szCs w:val="16"/>
          <w:lang w:val="es-ES" w:eastAsia="es-ES"/>
        </w:rPr>
      </w:pPr>
    </w:p>
    <w:p w14:paraId="7014CD8C" w14:textId="3E33F2DB" w:rsidR="0005143A" w:rsidRDefault="0005143A" w:rsidP="00B07C73">
      <w:pPr>
        <w:spacing w:after="0" w:line="240" w:lineRule="exact"/>
        <w:jc w:val="both"/>
        <w:rPr>
          <w:rFonts w:asciiTheme="minorHAnsi" w:eastAsia="Times New Roman" w:hAnsiTheme="minorHAnsi" w:cstheme="minorHAnsi"/>
          <w:sz w:val="16"/>
          <w:szCs w:val="16"/>
          <w:lang w:val="es-ES" w:eastAsia="es-ES"/>
        </w:rPr>
      </w:pPr>
    </w:p>
    <w:p w14:paraId="69F88E81" w14:textId="77777777" w:rsidR="0005143A" w:rsidRPr="005F45A3" w:rsidRDefault="0005143A" w:rsidP="00B07C73">
      <w:pPr>
        <w:spacing w:after="0" w:line="240" w:lineRule="exact"/>
        <w:jc w:val="both"/>
        <w:rPr>
          <w:rFonts w:asciiTheme="minorHAnsi" w:eastAsia="Times New Roman" w:hAnsiTheme="minorHAnsi" w:cstheme="minorHAnsi"/>
          <w:sz w:val="16"/>
          <w:szCs w:val="16"/>
          <w:lang w:val="es-ES" w:eastAsia="es-ES"/>
        </w:rPr>
      </w:pPr>
    </w:p>
    <w:p w14:paraId="5EEA77DD" w14:textId="7811DF7F" w:rsidR="007050B6" w:rsidRPr="005F45A3" w:rsidRDefault="007050B6" w:rsidP="007050B6">
      <w:pPr>
        <w:spacing w:after="0" w:line="240" w:lineRule="auto"/>
        <w:rPr>
          <w:rFonts w:asciiTheme="minorHAnsi" w:eastAsia="Times New Roman" w:hAnsiTheme="minorHAnsi" w:cstheme="minorHAnsi"/>
          <w:sz w:val="14"/>
          <w:szCs w:val="14"/>
          <w:lang w:val="es-ES" w:eastAsia="es-ES"/>
        </w:rPr>
      </w:pPr>
      <w:r w:rsidRPr="005F45A3">
        <w:rPr>
          <w:rFonts w:asciiTheme="minorHAnsi" w:eastAsia="Times New Roman" w:hAnsiTheme="minorHAnsi" w:cstheme="minorHAnsi"/>
          <w:sz w:val="14"/>
          <w:szCs w:val="14"/>
          <w:lang w:val="es-ES" w:eastAsia="es-ES"/>
        </w:rPr>
        <w:t>“ Bajo protesta de decir verdad declaramos que los Estados Financieros y sus Notas</w:t>
      </w:r>
      <w:r w:rsidR="00A1018A">
        <w:rPr>
          <w:rFonts w:asciiTheme="minorHAnsi" w:eastAsia="Times New Roman" w:hAnsiTheme="minorHAnsi" w:cstheme="minorHAnsi"/>
          <w:sz w:val="14"/>
          <w:szCs w:val="14"/>
          <w:lang w:val="es-ES" w:eastAsia="es-ES"/>
        </w:rPr>
        <w:t>,</w:t>
      </w:r>
      <w:r w:rsidRPr="005F45A3">
        <w:rPr>
          <w:rFonts w:asciiTheme="minorHAnsi" w:eastAsia="Times New Roman" w:hAnsiTheme="minorHAnsi" w:cstheme="minorHAnsi"/>
          <w:sz w:val="14"/>
          <w:szCs w:val="14"/>
          <w:lang w:val="es-ES" w:eastAsia="es-ES"/>
        </w:rPr>
        <w:t xml:space="preserve"> son razonablemente correctos y son responsabilidad del emisor “</w:t>
      </w:r>
    </w:p>
    <w:p w14:paraId="64054614" w14:textId="4C4055FB" w:rsidR="00B07C73" w:rsidRPr="005F45A3" w:rsidRDefault="00B07C73" w:rsidP="00B07C73">
      <w:pPr>
        <w:spacing w:after="0" w:line="240" w:lineRule="exact"/>
        <w:jc w:val="both"/>
        <w:rPr>
          <w:rFonts w:asciiTheme="minorHAnsi" w:eastAsia="Times New Roman" w:hAnsiTheme="minorHAnsi" w:cstheme="minorHAnsi"/>
          <w:sz w:val="16"/>
          <w:szCs w:val="16"/>
          <w:lang w:val="es-ES" w:eastAsia="es-ES"/>
        </w:rPr>
      </w:pPr>
    </w:p>
    <w:p w14:paraId="395E6394" w14:textId="767D9390" w:rsidR="00D861D2" w:rsidRPr="005F45A3" w:rsidRDefault="00D861D2" w:rsidP="00B07C73">
      <w:pPr>
        <w:spacing w:after="0" w:line="240" w:lineRule="exact"/>
        <w:jc w:val="both"/>
        <w:rPr>
          <w:rFonts w:asciiTheme="minorHAnsi" w:eastAsia="Times New Roman" w:hAnsiTheme="minorHAnsi" w:cstheme="minorHAnsi"/>
          <w:sz w:val="16"/>
          <w:szCs w:val="16"/>
          <w:lang w:val="es-ES" w:eastAsia="es-ES"/>
        </w:rPr>
      </w:pPr>
    </w:p>
    <w:p w14:paraId="751EF755" w14:textId="246FAC49" w:rsidR="00D861D2" w:rsidRPr="005F45A3" w:rsidRDefault="00D861D2" w:rsidP="00B07C73">
      <w:pPr>
        <w:spacing w:after="0" w:line="240" w:lineRule="exact"/>
        <w:jc w:val="both"/>
        <w:rPr>
          <w:rFonts w:asciiTheme="minorHAnsi" w:eastAsia="Times New Roman" w:hAnsiTheme="minorHAnsi" w:cstheme="minorHAnsi"/>
          <w:sz w:val="16"/>
          <w:szCs w:val="16"/>
          <w:lang w:val="es-ES" w:eastAsia="es-ES"/>
        </w:rPr>
      </w:pPr>
    </w:p>
    <w:p w14:paraId="40037E86" w14:textId="58502D4F" w:rsidR="00D861D2" w:rsidRPr="005F45A3" w:rsidRDefault="00D861D2" w:rsidP="00B07C73">
      <w:pPr>
        <w:spacing w:after="0" w:line="240" w:lineRule="exact"/>
        <w:jc w:val="both"/>
        <w:rPr>
          <w:rFonts w:asciiTheme="minorHAnsi" w:eastAsia="Times New Roman" w:hAnsiTheme="minorHAnsi" w:cstheme="minorHAnsi"/>
          <w:sz w:val="16"/>
          <w:szCs w:val="16"/>
          <w:lang w:val="es-ES" w:eastAsia="es-ES"/>
        </w:rPr>
      </w:pPr>
    </w:p>
    <w:p w14:paraId="348AC8D5" w14:textId="61092849" w:rsidR="007050B6" w:rsidRDefault="007050B6" w:rsidP="00B07C73">
      <w:pPr>
        <w:spacing w:after="0" w:line="240" w:lineRule="exact"/>
        <w:jc w:val="both"/>
        <w:rPr>
          <w:rFonts w:asciiTheme="minorHAnsi" w:eastAsia="Times New Roman" w:hAnsiTheme="minorHAnsi" w:cstheme="minorHAnsi"/>
          <w:sz w:val="16"/>
          <w:szCs w:val="16"/>
          <w:lang w:val="es-ES" w:eastAsia="es-ES"/>
        </w:rPr>
      </w:pPr>
    </w:p>
    <w:p w14:paraId="0AEE74C8" w14:textId="1CE0B01B" w:rsidR="007050B6" w:rsidRPr="005F45A3" w:rsidRDefault="007050B6" w:rsidP="00B07C73">
      <w:pPr>
        <w:spacing w:after="0" w:line="240" w:lineRule="exact"/>
        <w:jc w:val="both"/>
        <w:rPr>
          <w:rFonts w:asciiTheme="minorHAnsi" w:eastAsia="Times New Roman" w:hAnsiTheme="minorHAnsi" w:cstheme="minorHAnsi"/>
          <w:sz w:val="16"/>
          <w:szCs w:val="16"/>
          <w:lang w:val="es-ES" w:eastAsia="es-ES"/>
        </w:rPr>
      </w:pPr>
    </w:p>
    <w:p w14:paraId="7EBBC373" w14:textId="77777777" w:rsidR="0005143A" w:rsidRDefault="0005143A" w:rsidP="00B07C73">
      <w:pPr>
        <w:spacing w:after="0" w:line="240" w:lineRule="exact"/>
        <w:jc w:val="both"/>
        <w:rPr>
          <w:rFonts w:asciiTheme="minorHAnsi" w:eastAsia="Times New Roman" w:hAnsiTheme="minorHAnsi" w:cstheme="minorHAnsi"/>
          <w:sz w:val="16"/>
          <w:szCs w:val="16"/>
          <w:lang w:val="es-ES" w:eastAsia="es-ES"/>
        </w:rPr>
      </w:pPr>
    </w:p>
    <w:p w14:paraId="16E10AFF" w14:textId="08760B20" w:rsidR="0005143A" w:rsidRDefault="0005143A" w:rsidP="00B07C73">
      <w:pPr>
        <w:spacing w:after="0" w:line="240" w:lineRule="exact"/>
        <w:jc w:val="both"/>
        <w:rPr>
          <w:rFonts w:asciiTheme="minorHAnsi" w:eastAsia="Times New Roman" w:hAnsiTheme="minorHAnsi" w:cstheme="minorHAnsi"/>
          <w:sz w:val="16"/>
          <w:szCs w:val="16"/>
          <w:lang w:val="es-ES" w:eastAsia="es-ES"/>
        </w:rPr>
      </w:pPr>
    </w:p>
    <w:p w14:paraId="7902DDC4" w14:textId="2A55E476" w:rsidR="00B07C73" w:rsidRPr="005F45A3" w:rsidRDefault="00B07C73" w:rsidP="00B07C73">
      <w:pPr>
        <w:spacing w:after="0" w:line="240" w:lineRule="exact"/>
        <w:jc w:val="both"/>
        <w:rPr>
          <w:rFonts w:asciiTheme="minorHAnsi" w:eastAsia="Times New Roman" w:hAnsiTheme="minorHAnsi" w:cstheme="minorHAnsi"/>
          <w:sz w:val="16"/>
          <w:szCs w:val="16"/>
          <w:lang w:val="es-ES" w:eastAsia="es-ES"/>
        </w:rPr>
      </w:pPr>
    </w:p>
    <w:p w14:paraId="7E02A27C" w14:textId="7938DE5B" w:rsidR="00B07C73" w:rsidRPr="005F45A3" w:rsidRDefault="00B07C73" w:rsidP="00B07C73">
      <w:pPr>
        <w:spacing w:after="0" w:line="240" w:lineRule="exact"/>
        <w:jc w:val="both"/>
        <w:rPr>
          <w:rFonts w:asciiTheme="minorHAnsi" w:eastAsia="Times New Roman" w:hAnsiTheme="minorHAnsi" w:cstheme="minorHAnsi"/>
          <w:sz w:val="16"/>
          <w:szCs w:val="16"/>
          <w:lang w:val="es-ES" w:eastAsia="es-ES"/>
        </w:rPr>
      </w:pPr>
    </w:p>
    <w:p w14:paraId="08F9E57D" w14:textId="68F526BF" w:rsidR="00C73179" w:rsidRPr="005F45A3" w:rsidRDefault="00C73179" w:rsidP="00B07C73">
      <w:pPr>
        <w:pStyle w:val="Texto"/>
        <w:spacing w:after="0" w:line="200" w:lineRule="exact"/>
        <w:ind w:firstLine="0"/>
        <w:rPr>
          <w:rFonts w:asciiTheme="minorHAnsi" w:hAnsiTheme="minorHAnsi" w:cstheme="minorHAnsi"/>
          <w:sz w:val="14"/>
          <w:szCs w:val="14"/>
        </w:rPr>
      </w:pPr>
    </w:p>
    <w:p w14:paraId="75E59757" w14:textId="2C32B0C6" w:rsidR="000C22BB" w:rsidRPr="005F45A3" w:rsidRDefault="000C22BB" w:rsidP="00AA7087">
      <w:pPr>
        <w:spacing w:after="0" w:line="240" w:lineRule="exact"/>
        <w:jc w:val="both"/>
        <w:rPr>
          <w:rFonts w:asciiTheme="minorHAnsi" w:eastAsia="Times New Roman" w:hAnsiTheme="minorHAnsi" w:cstheme="minorHAnsi"/>
          <w:b/>
          <w:smallCaps/>
          <w:sz w:val="18"/>
          <w:szCs w:val="18"/>
          <w:lang w:eastAsia="es-ES"/>
        </w:rPr>
      </w:pPr>
      <w:bookmarkStart w:id="0" w:name="_GoBack"/>
      <w:bookmarkEnd w:id="0"/>
    </w:p>
    <w:sectPr w:rsidR="000C22BB" w:rsidRPr="005F45A3" w:rsidSect="00A6163E">
      <w:headerReference w:type="even" r:id="rId12"/>
      <w:headerReference w:type="default" r:id="rId13"/>
      <w:footerReference w:type="even" r:id="rId14"/>
      <w:footerReference w:type="default" r:id="rId15"/>
      <w:type w:val="continuous"/>
      <w:pgSz w:w="12240" w:h="15840" w:code="1"/>
      <w:pgMar w:top="1134" w:right="1418" w:bottom="851" w:left="1418" w:header="567" w:footer="567"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949FC" w14:textId="77777777" w:rsidR="00155D42" w:rsidRDefault="00155D42" w:rsidP="00EA5418">
      <w:pPr>
        <w:spacing w:after="0" w:line="240" w:lineRule="auto"/>
      </w:pPr>
      <w:r>
        <w:separator/>
      </w:r>
    </w:p>
  </w:endnote>
  <w:endnote w:type="continuationSeparator" w:id="0">
    <w:p w14:paraId="4227FD80" w14:textId="77777777" w:rsidR="00155D42" w:rsidRDefault="00155D4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notTrueType/>
    <w:pitch w:val="variable"/>
    <w:sig w:usb0="00000003" w:usb1="00000000" w:usb2="00000000" w:usb3="00000000" w:csb0="00000001" w:csb1="00000000"/>
  </w:font>
  <w:font w:name="DINPro-Regular">
    <w:panose1 w:val="00000000000000000000"/>
    <w:charset w:val="00"/>
    <w:family w:val="modern"/>
    <w:notTrueType/>
    <w:pitch w:val="variable"/>
    <w:sig w:usb0="800002AF" w:usb1="4000206A" w:usb2="00000000" w:usb3="00000000" w:csb0="0000009F" w:csb1="00000000"/>
  </w:font>
  <w:font w:name="Encode Sans">
    <w:panose1 w:val="00000000000000000000"/>
    <w:charset w:val="00"/>
    <w:family w:val="auto"/>
    <w:pitch w:val="variable"/>
    <w:sig w:usb0="A00000FF" w:usb1="4000207B" w:usb2="00000000" w:usb3="00000000" w:csb0="00000193" w:csb1="00000000"/>
  </w:font>
  <w:font w:name="HelveticaNeueLT Std Lt">
    <w:panose1 w:val="020B0403020202020204"/>
    <w:charset w:val="00"/>
    <w:family w:val="swiss"/>
    <w:notTrueType/>
    <w:pitch w:val="variable"/>
    <w:sig w:usb0="00000003" w:usb1="00000000" w:usb2="00000000" w:usb3="00000000" w:csb0="00000001" w:csb1="00000000"/>
  </w:font>
  <w:font w:name="DIN Pro Bold">
    <w:panose1 w:val="020B0804020101020102"/>
    <w:charset w:val="00"/>
    <w:family w:val="swiss"/>
    <w:pitch w:val="variable"/>
    <w:sig w:usb0="A00002BF" w:usb1="4000207B" w:usb2="00000008" w:usb3="00000000" w:csb0="0000009F" w:csb1="00000000"/>
  </w:font>
  <w:font w:name="HelveticaNeueLT Std">
    <w:panose1 w:val="020B0804020202020204"/>
    <w:charset w:val="00"/>
    <w:family w:val="swiss"/>
    <w:notTrueType/>
    <w:pitch w:val="variable"/>
    <w:sig w:usb0="00000003" w:usb1="00000000" w:usb2="00000000" w:usb3="00000000" w:csb0="00000001" w:csb1="00000000"/>
  </w:font>
  <w:font w:name="Encode Sans Medium">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5380E" w14:textId="24223FF4" w:rsidR="00155D42" w:rsidRDefault="00155D42"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90496" behindDoc="0" locked="0" layoutInCell="1" allowOverlap="1" wp14:anchorId="6A02A3F6" wp14:editId="083A3C50">
              <wp:simplePos x="0" y="0"/>
              <wp:positionH relativeFrom="column">
                <wp:posOffset>-142240</wp:posOffset>
              </wp:positionH>
              <wp:positionV relativeFrom="paragraph">
                <wp:posOffset>29210</wp:posOffset>
              </wp:positionV>
              <wp:extent cx="6192000" cy="0"/>
              <wp:effectExtent l="0" t="0" r="37465" b="19050"/>
              <wp:wrapNone/>
              <wp:docPr id="17" name="Conector recto 17"/>
              <wp:cNvGraphicFramePr/>
              <a:graphic xmlns:a="http://schemas.openxmlformats.org/drawingml/2006/main">
                <a:graphicData uri="http://schemas.microsoft.com/office/word/2010/wordprocessingShape">
                  <wps:wsp>
                    <wps:cNvCnPr/>
                    <wps:spPr>
                      <a:xfrm>
                        <a:off x="0" y="0"/>
                        <a:ext cx="6192000"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448982C" id="Conector recto 17"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pt,2.3pt" to="476.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" strokecolor="#bc955c" strokeweight="2pt">
              <v:stroke joinstyle="miter"/>
            </v:line>
          </w:pict>
        </mc:Fallback>
      </mc:AlternateContent>
    </w:r>
  </w:p>
  <w:p w14:paraId="4990EAB6" w14:textId="0A54CEAE" w:rsidR="00155D42" w:rsidRPr="00CB3BFA" w:rsidRDefault="00155D42" w:rsidP="0013011C">
    <w:pPr>
      <w:pStyle w:val="Piedepgina"/>
      <w:jc w:val="center"/>
      <w:rPr>
        <w:rFonts w:ascii="Encode Sans Medium" w:hAnsi="Encode Sans Medium" w:cs="Arial"/>
      </w:rPr>
    </w:pPr>
    <w:r w:rsidRPr="00CB3BFA">
      <w:rPr>
        <w:rFonts w:ascii="Encode Sans Medium" w:hAnsi="Encode Sans Medium" w:cs="Arial"/>
      </w:rPr>
      <w:t>Contable</w:t>
    </w:r>
  </w:p>
  <w:p w14:paraId="72899C76" w14:textId="77777777" w:rsidR="00155D42" w:rsidRPr="00C8516B" w:rsidRDefault="00155D42" w:rsidP="0013011C">
    <w:pPr>
      <w:pStyle w:val="Piedepgina"/>
      <w:jc w:val="center"/>
      <w:rPr>
        <w:rFonts w:ascii="Encode Sans" w:hAnsi="Encode Sans" w:cs="Arial"/>
      </w:rPr>
    </w:pPr>
  </w:p>
  <w:p w14:paraId="453E6AC7" w14:textId="77777777" w:rsidR="00155D42" w:rsidRDefault="00155D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2778F" w14:textId="266F498A" w:rsidR="00155D42" w:rsidRDefault="00155D42">
    <w:pPr>
      <w:pStyle w:val="Piedepgina"/>
      <w:jc w:val="center"/>
      <w:rPr>
        <w:rFonts w:ascii="HelveticaNeueLT Std Lt" w:hAnsi="HelveticaNeueLT Std Lt"/>
        <w:b/>
      </w:rPr>
    </w:pPr>
    <w:r>
      <w:rPr>
        <w:rFonts w:ascii="HelveticaNeueLT Std Lt" w:hAnsi="HelveticaNeueLT Std Lt" w:cs="Arial"/>
        <w:b/>
        <w:noProof/>
        <w:lang w:eastAsia="es-MX"/>
      </w:rPr>
      <mc:AlternateContent>
        <mc:Choice Requires="wps">
          <w:drawing>
            <wp:anchor distT="0" distB="0" distL="114300" distR="114300" simplePos="0" relativeHeight="251684352" behindDoc="0" locked="0" layoutInCell="1" allowOverlap="1" wp14:anchorId="28801C9B" wp14:editId="23B2F4B1">
              <wp:simplePos x="0" y="0"/>
              <wp:positionH relativeFrom="column">
                <wp:posOffset>-88569</wp:posOffset>
              </wp:positionH>
              <wp:positionV relativeFrom="paragraph">
                <wp:posOffset>50800</wp:posOffset>
              </wp:positionV>
              <wp:extent cx="6264000" cy="0"/>
              <wp:effectExtent l="0" t="0" r="22860" b="19050"/>
              <wp:wrapNone/>
              <wp:docPr id="13" name="Conector recto 13"/>
              <wp:cNvGraphicFramePr/>
              <a:graphic xmlns:a="http://schemas.openxmlformats.org/drawingml/2006/main">
                <a:graphicData uri="http://schemas.microsoft.com/office/word/2010/wordprocessingShape">
                  <wps:wsp>
                    <wps:cNvCnPr/>
                    <wps:spPr>
                      <a:xfrm>
                        <a:off x="0" y="0"/>
                        <a:ext cx="6264000"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FEC7CFE" id="Conector recto 13"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4pt" to="486.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" strokecolor="#bc955c" strokeweight="2pt">
              <v:stroke joinstyle="miter"/>
            </v:line>
          </w:pict>
        </mc:Fallback>
      </mc:AlternateContent>
    </w:r>
  </w:p>
  <w:p w14:paraId="57C19778" w14:textId="5EE80417" w:rsidR="00155D42" w:rsidRPr="003D2F77" w:rsidRDefault="00155D42">
    <w:pPr>
      <w:pStyle w:val="Piedepgina"/>
      <w:jc w:val="center"/>
      <w:rPr>
        <w:rFonts w:asciiTheme="minorHAnsi" w:hAnsiTheme="minorHAnsi" w:cstheme="minorHAnsi"/>
      </w:rPr>
    </w:pPr>
    <w:r w:rsidRPr="003D2F77">
      <w:rPr>
        <w:rFonts w:asciiTheme="minorHAnsi" w:hAnsiTheme="minorHAnsi" w:cstheme="minorHAnsi"/>
      </w:rPr>
      <w:t>Contable/</w:t>
    </w:r>
    <w:r w:rsidRPr="003D2F77">
      <w:rPr>
        <w:rFonts w:asciiTheme="minorHAnsi" w:hAnsiTheme="minorHAnsi" w:cstheme="minorHAnsi"/>
      </w:rPr>
      <w:fldChar w:fldCharType="begin"/>
    </w:r>
    <w:r w:rsidRPr="003D2F77">
      <w:rPr>
        <w:rFonts w:asciiTheme="minorHAnsi" w:hAnsiTheme="minorHAnsi" w:cstheme="minorHAnsi"/>
      </w:rPr>
      <w:instrText>PAGE   \* MERGEFORMAT</w:instrText>
    </w:r>
    <w:r w:rsidRPr="003D2F77">
      <w:rPr>
        <w:rFonts w:asciiTheme="minorHAnsi" w:hAnsiTheme="minorHAnsi" w:cstheme="minorHAnsi"/>
      </w:rPr>
      <w:fldChar w:fldCharType="separate"/>
    </w:r>
    <w:r w:rsidR="00457681" w:rsidRPr="00457681">
      <w:rPr>
        <w:rFonts w:asciiTheme="minorHAnsi" w:hAnsiTheme="minorHAnsi" w:cstheme="minorHAnsi"/>
        <w:noProof/>
        <w:lang w:val="es-ES"/>
      </w:rPr>
      <w:t>58</w:t>
    </w:r>
    <w:r w:rsidRPr="003D2F77">
      <w:rPr>
        <w:rFonts w:asciiTheme="minorHAnsi" w:hAnsiTheme="minorHAnsi" w:cstheme="minorHAnsi"/>
      </w:rPr>
      <w:fldChar w:fldCharType="end"/>
    </w:r>
  </w:p>
  <w:p w14:paraId="38DCAD5D" w14:textId="77777777" w:rsidR="00155D42" w:rsidRPr="000A5B2E" w:rsidRDefault="00155D42" w:rsidP="0024137D">
    <w:pPr>
      <w:jc w:val="center"/>
      <w:rPr>
        <w:rFonts w:ascii="HelveticaNeueLT Std Lt" w:hAnsi="HelveticaNeueLT Std Lt"/>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F19E2" w14:textId="77777777" w:rsidR="00155D42" w:rsidRDefault="00155D42" w:rsidP="00EA5418">
      <w:pPr>
        <w:spacing w:after="0" w:line="240" w:lineRule="auto"/>
      </w:pPr>
      <w:r>
        <w:separator/>
      </w:r>
    </w:p>
  </w:footnote>
  <w:footnote w:type="continuationSeparator" w:id="0">
    <w:p w14:paraId="3AA3879A" w14:textId="77777777" w:rsidR="00155D42" w:rsidRDefault="00155D4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9C261" w14:textId="4EC2EB5D" w:rsidR="00155D42" w:rsidRDefault="00155D42" w:rsidP="007E3A4C">
    <w:pPr>
      <w:pStyle w:val="Encabezado"/>
      <w:tabs>
        <w:tab w:val="left" w:pos="6023"/>
        <w:tab w:val="right" w:pos="6996"/>
      </w:tabs>
      <w:rPr>
        <w:rFonts w:ascii="HelveticaNeueLT Std" w:hAnsi="HelveticaNeueLT Std" w:cs="Arial"/>
        <w:sz w:val="28"/>
      </w:rPr>
    </w:pPr>
    <w:r>
      <w:rPr>
        <w:rFonts w:ascii="HelveticaNeueLT Std Lt" w:hAnsi="HelveticaNeueLT Std Lt" w:cs="DIN Pro Bold"/>
        <w:b/>
        <w:noProof/>
        <w:sz w:val="24"/>
        <w:szCs w:val="24"/>
        <w:lang w:eastAsia="es-MX"/>
      </w:rPr>
      <w:drawing>
        <wp:anchor distT="0" distB="0" distL="114300" distR="114300" simplePos="0" relativeHeight="251685376" behindDoc="0" locked="0" layoutInCell="1" allowOverlap="1" wp14:anchorId="184C95E8" wp14:editId="023C486C">
          <wp:simplePos x="0" y="0"/>
          <wp:positionH relativeFrom="column">
            <wp:posOffset>-214630</wp:posOffset>
          </wp:positionH>
          <wp:positionV relativeFrom="paragraph">
            <wp:posOffset>19050</wp:posOffset>
          </wp:positionV>
          <wp:extent cx="1985010" cy="75628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85010" cy="756285"/>
                  </a:xfrm>
                  <a:prstGeom prst="rect">
                    <a:avLst/>
                  </a:prstGeom>
                </pic:spPr>
              </pic:pic>
            </a:graphicData>
          </a:graphic>
        </wp:anchor>
      </w:drawing>
    </w:r>
    <w:r>
      <w:rPr>
        <w:rFonts w:ascii="HelveticaNeueLT Std" w:hAnsi="HelveticaNeueLT Std" w:cs="Arial"/>
        <w:sz w:val="28"/>
      </w:rPr>
      <w:tab/>
    </w:r>
  </w:p>
  <w:p w14:paraId="4367F6F5" w14:textId="26CC2F38" w:rsidR="00155D42" w:rsidRDefault="00155D42" w:rsidP="007E3A4C">
    <w:pPr>
      <w:pStyle w:val="Encabezado"/>
      <w:tabs>
        <w:tab w:val="left" w:pos="6023"/>
        <w:tab w:val="right" w:pos="6996"/>
      </w:tabs>
      <w:jc w:val="right"/>
      <w:rPr>
        <w:rFonts w:ascii="DIN Pro Bold" w:hAnsi="DIN Pro Bold" w:cs="DIN Pro Bold"/>
        <w:b/>
        <w:sz w:val="24"/>
        <w:szCs w:val="24"/>
      </w:rPr>
    </w:pPr>
    <w:r>
      <w:rPr>
        <w:rFonts w:ascii="HelveticaNeueLT Std Lt" w:hAnsi="HelveticaNeueLT Std Lt" w:cs="DIN Pro Bold"/>
        <w:b/>
        <w:noProof/>
        <w:sz w:val="24"/>
        <w:szCs w:val="24"/>
        <w:lang w:eastAsia="es-MX"/>
      </w:rPr>
      <mc:AlternateContent>
        <mc:Choice Requires="wps">
          <w:drawing>
            <wp:anchor distT="0" distB="0" distL="114300" distR="114300" simplePos="0" relativeHeight="251688448" behindDoc="0" locked="0" layoutInCell="1" allowOverlap="1" wp14:anchorId="0C8F6BEF" wp14:editId="758D020A">
              <wp:simplePos x="0" y="0"/>
              <wp:positionH relativeFrom="column">
                <wp:posOffset>5509895</wp:posOffset>
              </wp:positionH>
              <wp:positionV relativeFrom="paragraph">
                <wp:posOffset>37465</wp:posOffset>
              </wp:positionV>
              <wp:extent cx="0" cy="432000"/>
              <wp:effectExtent l="0" t="0" r="19050" b="25400"/>
              <wp:wrapNone/>
              <wp:docPr id="16" name="Conector recto 16"/>
              <wp:cNvGraphicFramePr/>
              <a:graphic xmlns:a="http://schemas.openxmlformats.org/drawingml/2006/main">
                <a:graphicData uri="http://schemas.microsoft.com/office/word/2010/wordprocessingShape">
                  <wps:wsp>
                    <wps:cNvCnPr/>
                    <wps:spPr>
                      <a:xfrm>
                        <a:off x="0" y="0"/>
                        <a:ext cx="0" cy="432000"/>
                      </a:xfrm>
                      <a:prstGeom prst="line">
                        <a:avLst/>
                      </a:prstGeom>
                      <a:ln w="15875">
                        <a:solidFill>
                          <a:srgbClr val="BC955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9047FE8" id="Conector recto 16"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85pt,2.95pt" to="433.8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" strokecolor="#bc955c" strokeweight="1.25pt">
              <v:stroke joinstyle="miter"/>
            </v:line>
          </w:pict>
        </mc:Fallback>
      </mc:AlternateContent>
    </w:r>
  </w:p>
  <w:p w14:paraId="1112CE78" w14:textId="7114BF4D" w:rsidR="00155D42" w:rsidRPr="00CB3BFA" w:rsidRDefault="00155D42" w:rsidP="00C8516B">
    <w:pPr>
      <w:pStyle w:val="Encabezado"/>
      <w:tabs>
        <w:tab w:val="left" w:pos="6023"/>
        <w:tab w:val="right" w:pos="6996"/>
      </w:tabs>
      <w:jc w:val="center"/>
      <w:rPr>
        <w:rFonts w:ascii="Encode Sans Medium" w:hAnsi="Encode Sans Medium" w:cs="DIN Pro Bold"/>
        <w:sz w:val="24"/>
        <w:szCs w:val="24"/>
      </w:rPr>
    </w:pPr>
    <w:r>
      <w:rPr>
        <w:rFonts w:ascii="Encode Sans" w:hAnsi="Encode Sans" w:cs="DIN Pro Bold"/>
        <w:sz w:val="24"/>
        <w:szCs w:val="24"/>
      </w:rPr>
      <w:t xml:space="preserve">                                                                                                          </w:t>
    </w:r>
    <w:r w:rsidRPr="00CB3BFA">
      <w:rPr>
        <w:rFonts w:ascii="Encode Sans Medium" w:hAnsi="Encode Sans Medium" w:cs="DIN Pro Bold"/>
        <w:sz w:val="24"/>
        <w:szCs w:val="24"/>
      </w:rPr>
      <w:t>TERCER TRIMESTRE    2022</w:t>
    </w:r>
  </w:p>
  <w:p w14:paraId="01253CE7" w14:textId="0ED84FBD" w:rsidR="00155D42" w:rsidRDefault="00155D42" w:rsidP="007E3A4C">
    <w:pPr>
      <w:pStyle w:val="Encabezado"/>
      <w:tabs>
        <w:tab w:val="left" w:pos="6023"/>
        <w:tab w:val="right" w:pos="6996"/>
      </w:tabs>
      <w:jc w:val="right"/>
      <w:rPr>
        <w:rFonts w:ascii="HelveticaNeueLT Std Lt" w:hAnsi="HelveticaNeueLT Std Lt" w:cs="DIN Pro Bold"/>
        <w:b/>
        <w:sz w:val="24"/>
        <w:szCs w:val="24"/>
      </w:rPr>
    </w:pPr>
    <w:r>
      <w:rPr>
        <w:rFonts w:ascii="HelveticaNeueLT Std Lt" w:hAnsi="HelveticaNeueLT Std Lt" w:cs="Arial"/>
        <w:b/>
        <w:noProof/>
        <w:lang w:eastAsia="es-MX"/>
      </w:rPr>
      <mc:AlternateContent>
        <mc:Choice Requires="wps">
          <w:drawing>
            <wp:anchor distT="0" distB="0" distL="114300" distR="114300" simplePos="0" relativeHeight="251687424" behindDoc="0" locked="0" layoutInCell="1" allowOverlap="1" wp14:anchorId="5C8F0EF5" wp14:editId="29CE19A0">
              <wp:simplePos x="0" y="0"/>
              <wp:positionH relativeFrom="column">
                <wp:posOffset>-157480</wp:posOffset>
              </wp:positionH>
              <wp:positionV relativeFrom="paragraph">
                <wp:posOffset>218440</wp:posOffset>
              </wp:positionV>
              <wp:extent cx="6192000" cy="0"/>
              <wp:effectExtent l="0" t="0" r="37465" b="19050"/>
              <wp:wrapNone/>
              <wp:docPr id="15" name="Conector recto 15"/>
              <wp:cNvGraphicFramePr/>
              <a:graphic xmlns:a="http://schemas.openxmlformats.org/drawingml/2006/main">
                <a:graphicData uri="http://schemas.microsoft.com/office/word/2010/wordprocessingShape">
                  <wps:wsp>
                    <wps:cNvCnPr/>
                    <wps:spPr>
                      <a:xfrm>
                        <a:off x="0" y="0"/>
                        <a:ext cx="6192000"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D0B84F4" id="Conector recto 15"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7.2pt" to="475.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" strokecolor="#bc955c" strokeweight="2pt">
              <v:stroke joinstyle="miter"/>
            </v:line>
          </w:pict>
        </mc:Fallback>
      </mc:AlternateContent>
    </w:r>
  </w:p>
  <w:p w14:paraId="0C9E1574" w14:textId="5632F84A" w:rsidR="00155D42" w:rsidRPr="007E2776" w:rsidRDefault="00155D42" w:rsidP="007E3A4C">
    <w:pPr>
      <w:pStyle w:val="Encabezado"/>
      <w:tabs>
        <w:tab w:val="left" w:pos="6023"/>
        <w:tab w:val="right" w:pos="6996"/>
      </w:tabs>
      <w:jc w:val="right"/>
      <w:rPr>
        <w:rFonts w:ascii="DIN Pro Bold" w:hAnsi="DIN Pro Bold" w:cs="DIN Pro Bold"/>
        <w:b/>
        <w:sz w:val="20"/>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DD9A5" w14:textId="24242028" w:rsidR="00155D42" w:rsidRDefault="00155D42" w:rsidP="00445E2F">
    <w:pPr>
      <w:pStyle w:val="Encabezado"/>
      <w:tabs>
        <w:tab w:val="left" w:pos="1670"/>
        <w:tab w:val="center" w:pos="4702"/>
      </w:tabs>
      <w:rPr>
        <w:rFonts w:ascii="Encode Sans Medium" w:hAnsi="Encode Sans Medium" w:cs="DIN Pro Bold"/>
        <w:sz w:val="24"/>
        <w:szCs w:val="24"/>
      </w:rPr>
    </w:pPr>
    <w:r>
      <w:rPr>
        <w:rFonts w:ascii="HelveticaNeueLT Std Lt" w:hAnsi="HelveticaNeueLT Std Lt" w:cs="Arial"/>
        <w:b/>
        <w:noProof/>
        <w:sz w:val="28"/>
        <w:lang w:eastAsia="es-MX"/>
      </w:rPr>
      <w:drawing>
        <wp:anchor distT="0" distB="0" distL="114300" distR="114300" simplePos="0" relativeHeight="251658240" behindDoc="0" locked="0" layoutInCell="1" allowOverlap="1" wp14:anchorId="3BB39AE7" wp14:editId="5748E00A">
          <wp:simplePos x="0" y="0"/>
          <wp:positionH relativeFrom="margin">
            <wp:posOffset>-339820</wp:posOffset>
          </wp:positionH>
          <wp:positionV relativeFrom="paragraph">
            <wp:posOffset>62027</wp:posOffset>
          </wp:positionV>
          <wp:extent cx="1880235" cy="638175"/>
          <wp:effectExtent l="0" t="0" r="5715" b="9525"/>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rotWithShape="1">
                  <a:blip r:embed="rId1">
                    <a:extLst>
                      <a:ext uri="{28A0092B-C50C-407E-A947-70E740481C1C}">
                        <a14:useLocalDpi xmlns:a14="http://schemas.microsoft.com/office/drawing/2010/main" val="0"/>
                      </a:ext>
                    </a:extLst>
                  </a:blip>
                  <a:srcRect t="10266" b="7742"/>
                  <a:stretch/>
                </pic:blipFill>
                <pic:spPr bwMode="auto">
                  <a:xfrm>
                    <a:off x="0" y="0"/>
                    <a:ext cx="1880235"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Encode Sans" w:hAnsi="Encode Sans" w:cs="DIN Pro Bold"/>
        <w:sz w:val="24"/>
        <w:szCs w:val="24"/>
      </w:rPr>
      <w:t xml:space="preserve">   </w:t>
    </w:r>
    <w:r>
      <w:rPr>
        <w:rFonts w:ascii="Encode Sans" w:hAnsi="Encode Sans" w:cs="DIN Pro Bold"/>
        <w:sz w:val="24"/>
        <w:szCs w:val="24"/>
      </w:rPr>
      <w:tab/>
      <w:t xml:space="preserve">          </w:t>
    </w:r>
    <w:r w:rsidRPr="00CB3BFA">
      <w:rPr>
        <w:rFonts w:ascii="Encode Sans Medium" w:hAnsi="Encode Sans Medium" w:cs="DIN Pro Bold"/>
        <w:sz w:val="24"/>
        <w:szCs w:val="24"/>
      </w:rPr>
      <w:t>PODER EJECUTIVO</w:t>
    </w:r>
    <w:r>
      <w:rPr>
        <w:rFonts w:ascii="Encode Sans Medium" w:hAnsi="Encode Sans Medium" w:cs="DIN Pro Bold"/>
        <w:sz w:val="24"/>
        <w:szCs w:val="24"/>
      </w:rPr>
      <w:t xml:space="preserve">            </w:t>
    </w:r>
  </w:p>
  <w:p w14:paraId="5EDFADCC" w14:textId="370BB5C4" w:rsidR="00155D42" w:rsidRDefault="00155D42" w:rsidP="00445E2F">
    <w:pPr>
      <w:pStyle w:val="Encabezado"/>
      <w:tabs>
        <w:tab w:val="left" w:pos="1670"/>
        <w:tab w:val="center" w:pos="4702"/>
      </w:tabs>
      <w:rPr>
        <w:rFonts w:ascii="Encode Sans Medium" w:hAnsi="Encode Sans Medium" w:cs="DIN Pro Bold"/>
        <w:sz w:val="24"/>
        <w:szCs w:val="24"/>
      </w:rPr>
    </w:pPr>
    <w:r>
      <w:rPr>
        <w:rFonts w:ascii="Encode Sans" w:hAnsi="Encode Sans" w:cs="DIN Pro Bold"/>
        <w:noProof/>
        <w:sz w:val="24"/>
        <w:szCs w:val="24"/>
        <w:lang w:eastAsia="es-MX"/>
      </w:rPr>
      <mc:AlternateContent>
        <mc:Choice Requires="wps">
          <w:drawing>
            <wp:anchor distT="0" distB="0" distL="114300" distR="114300" simplePos="0" relativeHeight="251660288" behindDoc="0" locked="0" layoutInCell="1" allowOverlap="1" wp14:anchorId="272B2B6A" wp14:editId="2A010CD9">
              <wp:simplePos x="0" y="0"/>
              <wp:positionH relativeFrom="column">
                <wp:posOffset>5447665</wp:posOffset>
              </wp:positionH>
              <wp:positionV relativeFrom="paragraph">
                <wp:posOffset>103241</wp:posOffset>
              </wp:positionV>
              <wp:extent cx="0" cy="36195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0" cy="361950"/>
                      </a:xfrm>
                      <a:prstGeom prst="line">
                        <a:avLst/>
                      </a:prstGeom>
                      <a:ln w="15875">
                        <a:solidFill>
                          <a:srgbClr val="BC955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C00AE52" id="Conector recto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8.95pt,8.15pt" to="428.9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" strokecolor="#bc955c" strokeweight="1.25pt">
              <v:stroke joinstyle="miter"/>
            </v:line>
          </w:pict>
        </mc:Fallback>
      </mc:AlternateContent>
    </w:r>
    <w:r>
      <w:rPr>
        <w:rFonts w:ascii="Encode Sans Medium" w:hAnsi="Encode Sans Medium" w:cs="DIN Pro Bold"/>
        <w:sz w:val="24"/>
        <w:szCs w:val="24"/>
      </w:rPr>
      <w:t xml:space="preserve">                                                                      </w:t>
    </w:r>
  </w:p>
  <w:p w14:paraId="3699BD3B" w14:textId="6762A9F8" w:rsidR="00155D42" w:rsidRDefault="00155D42" w:rsidP="00445E2F">
    <w:pPr>
      <w:pStyle w:val="Encabezado"/>
      <w:tabs>
        <w:tab w:val="left" w:pos="1670"/>
        <w:tab w:val="center" w:pos="4702"/>
      </w:tabs>
      <w:rPr>
        <w:rFonts w:ascii="Encode Sans Medium" w:hAnsi="Encode Sans Medium" w:cs="DIN Pro Bold"/>
        <w:sz w:val="24"/>
        <w:szCs w:val="24"/>
      </w:rPr>
    </w:pPr>
    <w:r>
      <w:rPr>
        <w:rFonts w:ascii="Encode Sans Medium" w:hAnsi="Encode Sans Medium" w:cs="DIN Pro Bold"/>
        <w:sz w:val="24"/>
        <w:szCs w:val="24"/>
      </w:rPr>
      <w:t xml:space="preserve">                                                                       </w:t>
    </w:r>
    <w:r w:rsidRPr="00C143B8">
      <w:rPr>
        <w:rFonts w:ascii="Encode Sans Medium" w:hAnsi="Encode Sans Medium" w:cs="DIN Pro Bold"/>
        <w:sz w:val="20"/>
        <w:szCs w:val="20"/>
      </w:rPr>
      <w:t xml:space="preserve">CUENTA PÚBLICA </w:t>
    </w:r>
    <w:r>
      <w:rPr>
        <w:rFonts w:ascii="Encode Sans Medium" w:hAnsi="Encode Sans Medium" w:cs="DIN Pro Bold"/>
        <w:sz w:val="24"/>
        <w:szCs w:val="24"/>
      </w:rPr>
      <w:t xml:space="preserve">   </w:t>
    </w:r>
    <w:r w:rsidRPr="00C143B8">
      <w:rPr>
        <w:rFonts w:ascii="Encode Sans Medium" w:hAnsi="Encode Sans Medium" w:cs="DIN Pro Bold"/>
        <w:b/>
        <w:sz w:val="28"/>
        <w:szCs w:val="24"/>
      </w:rPr>
      <w:t>2022</w:t>
    </w:r>
  </w:p>
  <w:p w14:paraId="019AEC38" w14:textId="6C9011FB" w:rsidR="00155D42" w:rsidRPr="007A6147" w:rsidRDefault="00155D42" w:rsidP="007A6147">
    <w:pPr>
      <w:pStyle w:val="Encabezado"/>
      <w:jc w:val="right"/>
      <w:rPr>
        <w:rFonts w:ascii="Encode Sans Medium" w:hAnsi="Encode Sans Medium" w:cs="DIN Pro Bold"/>
        <w:szCs w:val="24"/>
      </w:rPr>
    </w:pPr>
    <w:r>
      <w:rPr>
        <w:rFonts w:ascii="Encode Sans Medium" w:hAnsi="Encode Sans Medium" w:cs="DIN Pro Bold"/>
        <w:szCs w:val="24"/>
      </w:rPr>
      <w:t xml:space="preserve">     </w:t>
    </w:r>
  </w:p>
  <w:p w14:paraId="3FCBEBC0" w14:textId="548BDF1F" w:rsidR="00155D42" w:rsidRDefault="00155D42" w:rsidP="00907108">
    <w:pPr>
      <w:pStyle w:val="Encabezado"/>
      <w:jc w:val="center"/>
      <w:rPr>
        <w:rFonts w:ascii="HelveticaNeueLT Std Lt" w:hAnsi="HelveticaNeueLT Std Lt" w:cs="Arial"/>
        <w:b/>
      </w:rPr>
    </w:pPr>
    <w:r>
      <w:rPr>
        <w:rFonts w:ascii="HelveticaNeueLT Std Lt" w:hAnsi="HelveticaNeueLT Std Lt" w:cs="Arial"/>
        <w:b/>
        <w:noProof/>
        <w:lang w:eastAsia="es-MX"/>
      </w:rPr>
      <mc:AlternateContent>
        <mc:Choice Requires="wps">
          <w:drawing>
            <wp:anchor distT="0" distB="0" distL="114300" distR="114300" simplePos="0" relativeHeight="251682304" behindDoc="0" locked="0" layoutInCell="1" allowOverlap="1" wp14:anchorId="74409F46" wp14:editId="391D661C">
              <wp:simplePos x="0" y="0"/>
              <wp:positionH relativeFrom="column">
                <wp:posOffset>-134289</wp:posOffset>
              </wp:positionH>
              <wp:positionV relativeFrom="paragraph">
                <wp:posOffset>66040</wp:posOffset>
              </wp:positionV>
              <wp:extent cx="6192000" cy="0"/>
              <wp:effectExtent l="0" t="0" r="37465" b="19050"/>
              <wp:wrapNone/>
              <wp:docPr id="12" name="Conector recto 12"/>
              <wp:cNvGraphicFramePr/>
              <a:graphic xmlns:a="http://schemas.openxmlformats.org/drawingml/2006/main">
                <a:graphicData uri="http://schemas.microsoft.com/office/word/2010/wordprocessingShape">
                  <wps:wsp>
                    <wps:cNvCnPr/>
                    <wps:spPr>
                      <a:xfrm>
                        <a:off x="0" y="0"/>
                        <a:ext cx="6192000"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77CECFE" id="Conector recto 1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pt,5.2pt" to="47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" strokecolor="#bc955c" strokeweight="2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AC6"/>
    <w:multiLevelType w:val="hybridMultilevel"/>
    <w:tmpl w:val="FB105AA6"/>
    <w:lvl w:ilvl="0" w:tplc="16807BCC">
      <w:start w:val="1"/>
      <w:numFmt w:val="lowerLetter"/>
      <w:lvlText w:val="%1)"/>
      <w:lvlJc w:val="left"/>
      <w:pPr>
        <w:ind w:left="360" w:hanging="360"/>
      </w:pPr>
      <w:rPr>
        <w:rFonts w:hint="default"/>
      </w:rPr>
    </w:lvl>
    <w:lvl w:ilvl="1" w:tplc="16807BCC">
      <w:start w:val="1"/>
      <w:numFmt w:val="lowerLetter"/>
      <w:lvlText w:val="%2)"/>
      <w:lvlJc w:val="left"/>
      <w:pPr>
        <w:ind w:left="1080" w:hanging="360"/>
      </w:pPr>
      <w:rPr>
        <w:rFonts w:hint="default"/>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0BF58B8"/>
    <w:multiLevelType w:val="multilevel"/>
    <w:tmpl w:val="E784358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40A1"/>
    <w:multiLevelType w:val="hybridMultilevel"/>
    <w:tmpl w:val="46CA1116"/>
    <w:lvl w:ilvl="0" w:tplc="50565B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593B13"/>
    <w:multiLevelType w:val="hybridMultilevel"/>
    <w:tmpl w:val="F97A839C"/>
    <w:lvl w:ilvl="0" w:tplc="E14CD124">
      <w:start w:val="1"/>
      <w:numFmt w:val="upperRoman"/>
      <w:lvlText w:val="%1."/>
      <w:lvlJc w:val="left"/>
      <w:pPr>
        <w:ind w:left="1008" w:hanging="360"/>
      </w:pPr>
      <w:rPr>
        <w:rFonts w:hint="default"/>
        <w:sz w:val="18"/>
        <w:szCs w:val="18"/>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03370423"/>
    <w:multiLevelType w:val="hybridMultilevel"/>
    <w:tmpl w:val="88F0DD60"/>
    <w:lvl w:ilvl="0" w:tplc="2C982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34A4CA4"/>
    <w:multiLevelType w:val="hybridMultilevel"/>
    <w:tmpl w:val="55E221C8"/>
    <w:lvl w:ilvl="0" w:tplc="080A000F">
      <w:start w:val="8"/>
      <w:numFmt w:val="decimal"/>
      <w:lvlText w:val="%1."/>
      <w:lvlJc w:val="left"/>
      <w:pPr>
        <w:ind w:left="1006" w:hanging="360"/>
      </w:pPr>
      <w:rPr>
        <w:rFonts w:hint="default"/>
      </w:rPr>
    </w:lvl>
    <w:lvl w:ilvl="1" w:tplc="080A0019" w:tentative="1">
      <w:start w:val="1"/>
      <w:numFmt w:val="lowerLetter"/>
      <w:lvlText w:val="%2."/>
      <w:lvlJc w:val="left"/>
      <w:pPr>
        <w:ind w:left="1726" w:hanging="360"/>
      </w:pPr>
    </w:lvl>
    <w:lvl w:ilvl="2" w:tplc="080A001B" w:tentative="1">
      <w:start w:val="1"/>
      <w:numFmt w:val="lowerRoman"/>
      <w:lvlText w:val="%3."/>
      <w:lvlJc w:val="right"/>
      <w:pPr>
        <w:ind w:left="2446" w:hanging="180"/>
      </w:pPr>
    </w:lvl>
    <w:lvl w:ilvl="3" w:tplc="080A000F" w:tentative="1">
      <w:start w:val="1"/>
      <w:numFmt w:val="decimal"/>
      <w:lvlText w:val="%4."/>
      <w:lvlJc w:val="left"/>
      <w:pPr>
        <w:ind w:left="3166" w:hanging="360"/>
      </w:pPr>
    </w:lvl>
    <w:lvl w:ilvl="4" w:tplc="080A0019" w:tentative="1">
      <w:start w:val="1"/>
      <w:numFmt w:val="lowerLetter"/>
      <w:lvlText w:val="%5."/>
      <w:lvlJc w:val="left"/>
      <w:pPr>
        <w:ind w:left="3886" w:hanging="360"/>
      </w:pPr>
    </w:lvl>
    <w:lvl w:ilvl="5" w:tplc="080A001B" w:tentative="1">
      <w:start w:val="1"/>
      <w:numFmt w:val="lowerRoman"/>
      <w:lvlText w:val="%6."/>
      <w:lvlJc w:val="right"/>
      <w:pPr>
        <w:ind w:left="4606" w:hanging="180"/>
      </w:pPr>
    </w:lvl>
    <w:lvl w:ilvl="6" w:tplc="080A000F" w:tentative="1">
      <w:start w:val="1"/>
      <w:numFmt w:val="decimal"/>
      <w:lvlText w:val="%7."/>
      <w:lvlJc w:val="left"/>
      <w:pPr>
        <w:ind w:left="5326" w:hanging="360"/>
      </w:pPr>
    </w:lvl>
    <w:lvl w:ilvl="7" w:tplc="080A0019" w:tentative="1">
      <w:start w:val="1"/>
      <w:numFmt w:val="lowerLetter"/>
      <w:lvlText w:val="%8."/>
      <w:lvlJc w:val="left"/>
      <w:pPr>
        <w:ind w:left="6046" w:hanging="360"/>
      </w:pPr>
    </w:lvl>
    <w:lvl w:ilvl="8" w:tplc="080A001B" w:tentative="1">
      <w:start w:val="1"/>
      <w:numFmt w:val="lowerRoman"/>
      <w:lvlText w:val="%9."/>
      <w:lvlJc w:val="right"/>
      <w:pPr>
        <w:ind w:left="6766" w:hanging="180"/>
      </w:pPr>
    </w:lvl>
  </w:abstractNum>
  <w:abstractNum w:abstractNumId="6" w15:restartNumberingAfterBreak="0">
    <w:nsid w:val="05566545"/>
    <w:multiLevelType w:val="hybridMultilevel"/>
    <w:tmpl w:val="83668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93558B7"/>
    <w:multiLevelType w:val="hybridMultilevel"/>
    <w:tmpl w:val="9DFEB978"/>
    <w:lvl w:ilvl="0" w:tplc="B1885A7E">
      <w:start w:val="3"/>
      <w:numFmt w:val="decimal"/>
      <w:lvlText w:val="%1."/>
      <w:lvlJc w:val="left"/>
      <w:pPr>
        <w:ind w:left="360" w:hanging="360"/>
      </w:pPr>
      <w:rPr>
        <w:rFonts w:asciiTheme="minorHAnsi" w:hAnsiTheme="minorHAnsi" w:cstheme="minorHAnsi"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34260"/>
    <w:multiLevelType w:val="hybridMultilevel"/>
    <w:tmpl w:val="3DC4056C"/>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9" w15:restartNumberingAfterBreak="0">
    <w:nsid w:val="0B7819E8"/>
    <w:multiLevelType w:val="hybridMultilevel"/>
    <w:tmpl w:val="BB728310"/>
    <w:lvl w:ilvl="0" w:tplc="74BA6CAC">
      <w:start w:val="1"/>
      <w:numFmt w:val="upperRoman"/>
      <w:lvlText w:val="%1."/>
      <w:lvlJc w:val="right"/>
      <w:pPr>
        <w:ind w:left="1080" w:hanging="360"/>
      </w:pPr>
      <w:rPr>
        <w:rFonts w:hint="default"/>
        <w:sz w:val="18"/>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3B65B74"/>
    <w:multiLevelType w:val="hybridMultilevel"/>
    <w:tmpl w:val="0AD4B112"/>
    <w:lvl w:ilvl="0" w:tplc="6C02F6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AB7BF9"/>
    <w:multiLevelType w:val="hybridMultilevel"/>
    <w:tmpl w:val="490A9B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AC1D7D"/>
    <w:multiLevelType w:val="hybridMultilevel"/>
    <w:tmpl w:val="FC54B9C8"/>
    <w:lvl w:ilvl="0" w:tplc="9790EF9E">
      <w:start w:val="13"/>
      <w:numFmt w:val="decimal"/>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B221DA"/>
    <w:multiLevelType w:val="hybridMultilevel"/>
    <w:tmpl w:val="C664A270"/>
    <w:lvl w:ilvl="0" w:tplc="4B86D036">
      <w:start w:val="2"/>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1679C5"/>
    <w:multiLevelType w:val="hybridMultilevel"/>
    <w:tmpl w:val="3CB435DA"/>
    <w:lvl w:ilvl="0" w:tplc="610A1A5A">
      <w:start w:val="5"/>
      <w:numFmt w:val="decimal"/>
      <w:lvlText w:val="%1."/>
      <w:lvlJc w:val="left"/>
      <w:pPr>
        <w:ind w:left="36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685E1E"/>
    <w:multiLevelType w:val="hybridMultilevel"/>
    <w:tmpl w:val="8BF02248"/>
    <w:lvl w:ilvl="0" w:tplc="B3CA0260">
      <w:start w:val="28"/>
      <w:numFmt w:val="decimal"/>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892529"/>
    <w:multiLevelType w:val="hybridMultilevel"/>
    <w:tmpl w:val="119040BC"/>
    <w:lvl w:ilvl="0" w:tplc="783AD6D4">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7E78D9"/>
    <w:multiLevelType w:val="hybridMultilevel"/>
    <w:tmpl w:val="6504C008"/>
    <w:lvl w:ilvl="0" w:tplc="BF90759C">
      <w:start w:val="7"/>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2DC5245C"/>
    <w:multiLevelType w:val="hybridMultilevel"/>
    <w:tmpl w:val="5E988C50"/>
    <w:lvl w:ilvl="0" w:tplc="DC1A61E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5F611A"/>
    <w:multiLevelType w:val="hybridMultilevel"/>
    <w:tmpl w:val="DFC664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2443DE"/>
    <w:multiLevelType w:val="hybridMultilevel"/>
    <w:tmpl w:val="F418E97A"/>
    <w:lvl w:ilvl="0" w:tplc="55F89EB4">
      <w:start w:val="6"/>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4B51AF4"/>
    <w:multiLevelType w:val="hybridMultilevel"/>
    <w:tmpl w:val="7F30BEF4"/>
    <w:lvl w:ilvl="0" w:tplc="839802CC">
      <w:start w:val="3"/>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4C5A662E"/>
    <w:multiLevelType w:val="hybridMultilevel"/>
    <w:tmpl w:val="96C0C7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8D5139"/>
    <w:multiLevelType w:val="hybridMultilevel"/>
    <w:tmpl w:val="887EC952"/>
    <w:lvl w:ilvl="0" w:tplc="E6A25D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6A04CA"/>
    <w:multiLevelType w:val="multilevel"/>
    <w:tmpl w:val="3B20C0C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3D722FB"/>
    <w:multiLevelType w:val="hybridMultilevel"/>
    <w:tmpl w:val="DC8ED6A2"/>
    <w:lvl w:ilvl="0" w:tplc="504002B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546A3B33"/>
    <w:multiLevelType w:val="hybridMultilevel"/>
    <w:tmpl w:val="89D65EFE"/>
    <w:lvl w:ilvl="0" w:tplc="2D1E208A">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A33CC4"/>
    <w:multiLevelType w:val="hybridMultilevel"/>
    <w:tmpl w:val="61125F1C"/>
    <w:lvl w:ilvl="0" w:tplc="0F188B4C">
      <w:start w:val="1"/>
      <w:numFmt w:val="lowerLetter"/>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9B08BA"/>
    <w:multiLevelType w:val="hybridMultilevel"/>
    <w:tmpl w:val="F916442E"/>
    <w:lvl w:ilvl="0" w:tplc="080A000F">
      <w:start w:val="1"/>
      <w:numFmt w:val="decimal"/>
      <w:lvlText w:val="%1."/>
      <w:lvlJc w:val="left"/>
      <w:pPr>
        <w:ind w:left="1068" w:hanging="360"/>
      </w:pPr>
      <w:rPr>
        <w:rFonts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689D0D53"/>
    <w:multiLevelType w:val="hybridMultilevel"/>
    <w:tmpl w:val="866C4D32"/>
    <w:lvl w:ilvl="0" w:tplc="E14CD124">
      <w:start w:val="1"/>
      <w:numFmt w:val="upperRoman"/>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6658FC"/>
    <w:multiLevelType w:val="hybridMultilevel"/>
    <w:tmpl w:val="ED78AD46"/>
    <w:lvl w:ilvl="0" w:tplc="2D1E208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CE0147"/>
    <w:multiLevelType w:val="hybridMultilevel"/>
    <w:tmpl w:val="4E7E9AD6"/>
    <w:lvl w:ilvl="0" w:tplc="AC90841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920EE6"/>
    <w:multiLevelType w:val="hybridMultilevel"/>
    <w:tmpl w:val="4EEE7AF0"/>
    <w:lvl w:ilvl="0" w:tplc="B5E6B73E">
      <w:start w:val="1"/>
      <w:numFmt w:val="lowerLetter"/>
      <w:lvlText w:val="%1)"/>
      <w:lvlJc w:val="left"/>
      <w:pPr>
        <w:ind w:left="720" w:hanging="360"/>
      </w:pPr>
      <w:rPr>
        <w:rFonts w:hint="default"/>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5951B9"/>
    <w:multiLevelType w:val="hybridMultilevel"/>
    <w:tmpl w:val="0B6EF782"/>
    <w:lvl w:ilvl="0" w:tplc="720EE2C4">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A673A0"/>
    <w:multiLevelType w:val="hybridMultilevel"/>
    <w:tmpl w:val="DFAC88FE"/>
    <w:lvl w:ilvl="0" w:tplc="38BCD5E2">
      <w:start w:val="1"/>
      <w:numFmt w:val="decimal"/>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C952A8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9F5694"/>
    <w:multiLevelType w:val="hybridMultilevel"/>
    <w:tmpl w:val="98489BA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5"/>
  </w:num>
  <w:num w:numId="2">
    <w:abstractNumId w:val="27"/>
  </w:num>
  <w:num w:numId="3">
    <w:abstractNumId w:val="32"/>
  </w:num>
  <w:num w:numId="4">
    <w:abstractNumId w:val="16"/>
  </w:num>
  <w:num w:numId="5">
    <w:abstractNumId w:val="21"/>
  </w:num>
  <w:num w:numId="6">
    <w:abstractNumId w:val="24"/>
  </w:num>
  <w:num w:numId="7">
    <w:abstractNumId w:val="0"/>
  </w:num>
  <w:num w:numId="8">
    <w:abstractNumId w:val="18"/>
  </w:num>
  <w:num w:numId="9">
    <w:abstractNumId w:val="13"/>
  </w:num>
  <w:num w:numId="10">
    <w:abstractNumId w:val="26"/>
  </w:num>
  <w:num w:numId="11">
    <w:abstractNumId w:val="30"/>
  </w:num>
  <w:num w:numId="12">
    <w:abstractNumId w:val="33"/>
  </w:num>
  <w:num w:numId="13">
    <w:abstractNumId w:val="19"/>
  </w:num>
  <w:num w:numId="14">
    <w:abstractNumId w:val="1"/>
  </w:num>
  <w:num w:numId="15">
    <w:abstractNumId w:val="29"/>
  </w:num>
  <w:num w:numId="16">
    <w:abstractNumId w:val="36"/>
  </w:num>
  <w:num w:numId="17">
    <w:abstractNumId w:val="31"/>
  </w:num>
  <w:num w:numId="18">
    <w:abstractNumId w:val="11"/>
  </w:num>
  <w:num w:numId="19">
    <w:abstractNumId w:val="8"/>
  </w:num>
  <w:num w:numId="20">
    <w:abstractNumId w:val="34"/>
  </w:num>
  <w:num w:numId="21">
    <w:abstractNumId w:val="23"/>
  </w:num>
  <w:num w:numId="22">
    <w:abstractNumId w:val="20"/>
  </w:num>
  <w:num w:numId="23">
    <w:abstractNumId w:val="14"/>
  </w:num>
  <w:num w:numId="24">
    <w:abstractNumId w:val="9"/>
  </w:num>
  <w:num w:numId="25">
    <w:abstractNumId w:val="7"/>
  </w:num>
  <w:num w:numId="26">
    <w:abstractNumId w:val="5"/>
  </w:num>
  <w:num w:numId="27">
    <w:abstractNumId w:val="28"/>
  </w:num>
  <w:num w:numId="28">
    <w:abstractNumId w:val="17"/>
  </w:num>
  <w:num w:numId="29">
    <w:abstractNumId w:val="3"/>
  </w:num>
  <w:num w:numId="30">
    <w:abstractNumId w:val="15"/>
  </w:num>
  <w:num w:numId="31">
    <w:abstractNumId w:val="10"/>
  </w:num>
  <w:num w:numId="32">
    <w:abstractNumId w:val="4"/>
  </w:num>
  <w:num w:numId="33">
    <w:abstractNumId w:val="2"/>
  </w:num>
  <w:num w:numId="34">
    <w:abstractNumId w:val="22"/>
  </w:num>
  <w:num w:numId="35">
    <w:abstractNumId w:val="25"/>
  </w:num>
  <w:num w:numId="36">
    <w:abstractNumId w:val="6"/>
  </w:num>
  <w:num w:numId="37">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55297">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001"/>
    <w:rsid w:val="00001951"/>
    <w:rsid w:val="00002C30"/>
    <w:rsid w:val="0000377F"/>
    <w:rsid w:val="00004066"/>
    <w:rsid w:val="000044C0"/>
    <w:rsid w:val="00004603"/>
    <w:rsid w:val="00004727"/>
    <w:rsid w:val="00004A07"/>
    <w:rsid w:val="0000501B"/>
    <w:rsid w:val="000052AF"/>
    <w:rsid w:val="00005881"/>
    <w:rsid w:val="000064C0"/>
    <w:rsid w:val="00007A8B"/>
    <w:rsid w:val="00011A77"/>
    <w:rsid w:val="000128A6"/>
    <w:rsid w:val="000128DD"/>
    <w:rsid w:val="00013B93"/>
    <w:rsid w:val="00016C4F"/>
    <w:rsid w:val="00016D73"/>
    <w:rsid w:val="00017B64"/>
    <w:rsid w:val="00021FC3"/>
    <w:rsid w:val="00022289"/>
    <w:rsid w:val="00022A83"/>
    <w:rsid w:val="00022DD2"/>
    <w:rsid w:val="00024B19"/>
    <w:rsid w:val="00025207"/>
    <w:rsid w:val="0002552E"/>
    <w:rsid w:val="0003211B"/>
    <w:rsid w:val="00034C52"/>
    <w:rsid w:val="000350E3"/>
    <w:rsid w:val="000368A3"/>
    <w:rsid w:val="00040466"/>
    <w:rsid w:val="00040F0F"/>
    <w:rsid w:val="00041E4C"/>
    <w:rsid w:val="0004279F"/>
    <w:rsid w:val="00043DCF"/>
    <w:rsid w:val="000441C0"/>
    <w:rsid w:val="0004437B"/>
    <w:rsid w:val="0004471C"/>
    <w:rsid w:val="0004649B"/>
    <w:rsid w:val="000501AA"/>
    <w:rsid w:val="0005068B"/>
    <w:rsid w:val="0005143A"/>
    <w:rsid w:val="0005189B"/>
    <w:rsid w:val="0005214F"/>
    <w:rsid w:val="0005368F"/>
    <w:rsid w:val="00056BDD"/>
    <w:rsid w:val="00057597"/>
    <w:rsid w:val="000616DD"/>
    <w:rsid w:val="000620CC"/>
    <w:rsid w:val="00064173"/>
    <w:rsid w:val="00064B67"/>
    <w:rsid w:val="00064EDC"/>
    <w:rsid w:val="00065E94"/>
    <w:rsid w:val="0006786A"/>
    <w:rsid w:val="00070DBD"/>
    <w:rsid w:val="0007447E"/>
    <w:rsid w:val="0007549D"/>
    <w:rsid w:val="00076105"/>
    <w:rsid w:val="000803D2"/>
    <w:rsid w:val="00082482"/>
    <w:rsid w:val="00082553"/>
    <w:rsid w:val="000825A2"/>
    <w:rsid w:val="00082889"/>
    <w:rsid w:val="00082F2C"/>
    <w:rsid w:val="0008481F"/>
    <w:rsid w:val="00084A14"/>
    <w:rsid w:val="00084CD5"/>
    <w:rsid w:val="00084E4C"/>
    <w:rsid w:val="00085E33"/>
    <w:rsid w:val="00086675"/>
    <w:rsid w:val="000908A0"/>
    <w:rsid w:val="00091CFC"/>
    <w:rsid w:val="000923A5"/>
    <w:rsid w:val="000928B8"/>
    <w:rsid w:val="0009322F"/>
    <w:rsid w:val="0009335F"/>
    <w:rsid w:val="00094E52"/>
    <w:rsid w:val="00095078"/>
    <w:rsid w:val="0009559B"/>
    <w:rsid w:val="00095ACA"/>
    <w:rsid w:val="00096139"/>
    <w:rsid w:val="000969C5"/>
    <w:rsid w:val="00097C11"/>
    <w:rsid w:val="00097C29"/>
    <w:rsid w:val="000A066E"/>
    <w:rsid w:val="000A0FF4"/>
    <w:rsid w:val="000A13A0"/>
    <w:rsid w:val="000A1B50"/>
    <w:rsid w:val="000A4638"/>
    <w:rsid w:val="000A4F7B"/>
    <w:rsid w:val="000A53D1"/>
    <w:rsid w:val="000A5B2E"/>
    <w:rsid w:val="000A6616"/>
    <w:rsid w:val="000A692A"/>
    <w:rsid w:val="000A695F"/>
    <w:rsid w:val="000A77E6"/>
    <w:rsid w:val="000A78B1"/>
    <w:rsid w:val="000A79CD"/>
    <w:rsid w:val="000A7FE3"/>
    <w:rsid w:val="000B02D6"/>
    <w:rsid w:val="000B0A18"/>
    <w:rsid w:val="000B2900"/>
    <w:rsid w:val="000B2F9A"/>
    <w:rsid w:val="000B3FF6"/>
    <w:rsid w:val="000B544D"/>
    <w:rsid w:val="000B5805"/>
    <w:rsid w:val="000B588E"/>
    <w:rsid w:val="000C09EB"/>
    <w:rsid w:val="000C20BD"/>
    <w:rsid w:val="000C212D"/>
    <w:rsid w:val="000C22BB"/>
    <w:rsid w:val="000C2C4B"/>
    <w:rsid w:val="000C4919"/>
    <w:rsid w:val="000C5510"/>
    <w:rsid w:val="000C7859"/>
    <w:rsid w:val="000D1459"/>
    <w:rsid w:val="000D15E5"/>
    <w:rsid w:val="000D3337"/>
    <w:rsid w:val="000D368C"/>
    <w:rsid w:val="000D3C35"/>
    <w:rsid w:val="000D5252"/>
    <w:rsid w:val="000D5EFE"/>
    <w:rsid w:val="000D6054"/>
    <w:rsid w:val="000D6A43"/>
    <w:rsid w:val="000D6AE5"/>
    <w:rsid w:val="000E064F"/>
    <w:rsid w:val="000E13F2"/>
    <w:rsid w:val="000E1666"/>
    <w:rsid w:val="000E20EB"/>
    <w:rsid w:val="000E2FE0"/>
    <w:rsid w:val="000E3AB8"/>
    <w:rsid w:val="000E3D7B"/>
    <w:rsid w:val="000E4BF4"/>
    <w:rsid w:val="000E60FC"/>
    <w:rsid w:val="000E639F"/>
    <w:rsid w:val="000E6439"/>
    <w:rsid w:val="000E7075"/>
    <w:rsid w:val="000E7CDD"/>
    <w:rsid w:val="000F2AF8"/>
    <w:rsid w:val="000F2B2D"/>
    <w:rsid w:val="000F3AAD"/>
    <w:rsid w:val="000F5346"/>
    <w:rsid w:val="000F5E8E"/>
    <w:rsid w:val="000F7F51"/>
    <w:rsid w:val="00100166"/>
    <w:rsid w:val="00101260"/>
    <w:rsid w:val="00101A53"/>
    <w:rsid w:val="0010398F"/>
    <w:rsid w:val="00105C75"/>
    <w:rsid w:val="00106F0B"/>
    <w:rsid w:val="00106F9F"/>
    <w:rsid w:val="00107AD4"/>
    <w:rsid w:val="001102B4"/>
    <w:rsid w:val="00111D22"/>
    <w:rsid w:val="001121E3"/>
    <w:rsid w:val="0011269B"/>
    <w:rsid w:val="0011306D"/>
    <w:rsid w:val="00113935"/>
    <w:rsid w:val="00113C34"/>
    <w:rsid w:val="001141E3"/>
    <w:rsid w:val="001142BB"/>
    <w:rsid w:val="001146C7"/>
    <w:rsid w:val="001152FF"/>
    <w:rsid w:val="001162CD"/>
    <w:rsid w:val="00116523"/>
    <w:rsid w:val="00116CD1"/>
    <w:rsid w:val="00121086"/>
    <w:rsid w:val="00121935"/>
    <w:rsid w:val="0012267C"/>
    <w:rsid w:val="00122A92"/>
    <w:rsid w:val="0013011C"/>
    <w:rsid w:val="001313DB"/>
    <w:rsid w:val="001315CE"/>
    <w:rsid w:val="0013238D"/>
    <w:rsid w:val="0013312A"/>
    <w:rsid w:val="00134EDE"/>
    <w:rsid w:val="00136F28"/>
    <w:rsid w:val="001372BD"/>
    <w:rsid w:val="00140B46"/>
    <w:rsid w:val="00141B65"/>
    <w:rsid w:val="00141E79"/>
    <w:rsid w:val="00146AC6"/>
    <w:rsid w:val="001474EA"/>
    <w:rsid w:val="00147D80"/>
    <w:rsid w:val="00150B53"/>
    <w:rsid w:val="00152B47"/>
    <w:rsid w:val="0015571B"/>
    <w:rsid w:val="00155D42"/>
    <w:rsid w:val="00156B52"/>
    <w:rsid w:val="00160502"/>
    <w:rsid w:val="0016099A"/>
    <w:rsid w:val="00162F3A"/>
    <w:rsid w:val="00163C54"/>
    <w:rsid w:val="00163D1A"/>
    <w:rsid w:val="00163D6C"/>
    <w:rsid w:val="001655D3"/>
    <w:rsid w:val="001656A9"/>
    <w:rsid w:val="00165814"/>
    <w:rsid w:val="00166B2D"/>
    <w:rsid w:val="00170F2A"/>
    <w:rsid w:val="0017153B"/>
    <w:rsid w:val="00172013"/>
    <w:rsid w:val="00174108"/>
    <w:rsid w:val="001741C8"/>
    <w:rsid w:val="00176872"/>
    <w:rsid w:val="001769F0"/>
    <w:rsid w:val="00177655"/>
    <w:rsid w:val="00180714"/>
    <w:rsid w:val="00180E5C"/>
    <w:rsid w:val="00181642"/>
    <w:rsid w:val="001819BD"/>
    <w:rsid w:val="001823C5"/>
    <w:rsid w:val="001833B9"/>
    <w:rsid w:val="00184072"/>
    <w:rsid w:val="0018416F"/>
    <w:rsid w:val="00184B32"/>
    <w:rsid w:val="00184D21"/>
    <w:rsid w:val="00185224"/>
    <w:rsid w:val="0018666F"/>
    <w:rsid w:val="00186C07"/>
    <w:rsid w:val="00186F82"/>
    <w:rsid w:val="00192239"/>
    <w:rsid w:val="001926FF"/>
    <w:rsid w:val="00192852"/>
    <w:rsid w:val="00192923"/>
    <w:rsid w:val="00192CDA"/>
    <w:rsid w:val="00193DBB"/>
    <w:rsid w:val="0019538E"/>
    <w:rsid w:val="00196063"/>
    <w:rsid w:val="001A00F8"/>
    <w:rsid w:val="001A185F"/>
    <w:rsid w:val="001A28E7"/>
    <w:rsid w:val="001A2BE2"/>
    <w:rsid w:val="001A657E"/>
    <w:rsid w:val="001A7075"/>
    <w:rsid w:val="001A755C"/>
    <w:rsid w:val="001B03F0"/>
    <w:rsid w:val="001B1B72"/>
    <w:rsid w:val="001B1F23"/>
    <w:rsid w:val="001B368C"/>
    <w:rsid w:val="001B4BF5"/>
    <w:rsid w:val="001B5AEB"/>
    <w:rsid w:val="001B65AF"/>
    <w:rsid w:val="001B69AF"/>
    <w:rsid w:val="001B734B"/>
    <w:rsid w:val="001B770B"/>
    <w:rsid w:val="001B7C10"/>
    <w:rsid w:val="001C0DB5"/>
    <w:rsid w:val="001C1A55"/>
    <w:rsid w:val="001C2F26"/>
    <w:rsid w:val="001C3F37"/>
    <w:rsid w:val="001C4513"/>
    <w:rsid w:val="001C46FC"/>
    <w:rsid w:val="001C639B"/>
    <w:rsid w:val="001C6A89"/>
    <w:rsid w:val="001C6FD8"/>
    <w:rsid w:val="001C760F"/>
    <w:rsid w:val="001D0EC3"/>
    <w:rsid w:val="001D134B"/>
    <w:rsid w:val="001D1440"/>
    <w:rsid w:val="001D43BD"/>
    <w:rsid w:val="001D44B0"/>
    <w:rsid w:val="001D4D88"/>
    <w:rsid w:val="001D6AE0"/>
    <w:rsid w:val="001D6F98"/>
    <w:rsid w:val="001D7610"/>
    <w:rsid w:val="001D7822"/>
    <w:rsid w:val="001D7EE8"/>
    <w:rsid w:val="001E05D3"/>
    <w:rsid w:val="001E087A"/>
    <w:rsid w:val="001E1604"/>
    <w:rsid w:val="001E1630"/>
    <w:rsid w:val="001E2701"/>
    <w:rsid w:val="001E3171"/>
    <w:rsid w:val="001E33C6"/>
    <w:rsid w:val="001E4416"/>
    <w:rsid w:val="001E604D"/>
    <w:rsid w:val="001E734D"/>
    <w:rsid w:val="001E737D"/>
    <w:rsid w:val="001F00A8"/>
    <w:rsid w:val="001F180F"/>
    <w:rsid w:val="001F1976"/>
    <w:rsid w:val="001F3097"/>
    <w:rsid w:val="001F3D5A"/>
    <w:rsid w:val="001F6CC9"/>
    <w:rsid w:val="001F6E9B"/>
    <w:rsid w:val="001F7850"/>
    <w:rsid w:val="001F7A17"/>
    <w:rsid w:val="002017DA"/>
    <w:rsid w:val="002030A0"/>
    <w:rsid w:val="0020310F"/>
    <w:rsid w:val="00204583"/>
    <w:rsid w:val="0020537B"/>
    <w:rsid w:val="00206225"/>
    <w:rsid w:val="00206933"/>
    <w:rsid w:val="0020783A"/>
    <w:rsid w:val="00207C9C"/>
    <w:rsid w:val="00212449"/>
    <w:rsid w:val="002136C1"/>
    <w:rsid w:val="0021440B"/>
    <w:rsid w:val="00214C84"/>
    <w:rsid w:val="002168CE"/>
    <w:rsid w:val="0021737E"/>
    <w:rsid w:val="00220061"/>
    <w:rsid w:val="00221B58"/>
    <w:rsid w:val="00221F80"/>
    <w:rsid w:val="00222093"/>
    <w:rsid w:val="0022296C"/>
    <w:rsid w:val="00222A74"/>
    <w:rsid w:val="00223068"/>
    <w:rsid w:val="00224195"/>
    <w:rsid w:val="00224847"/>
    <w:rsid w:val="00225D43"/>
    <w:rsid w:val="002261FB"/>
    <w:rsid w:val="00227900"/>
    <w:rsid w:val="00227D01"/>
    <w:rsid w:val="00230A1E"/>
    <w:rsid w:val="002315F2"/>
    <w:rsid w:val="00232086"/>
    <w:rsid w:val="00232887"/>
    <w:rsid w:val="00233CD8"/>
    <w:rsid w:val="002348B9"/>
    <w:rsid w:val="00234BFD"/>
    <w:rsid w:val="00234D5D"/>
    <w:rsid w:val="00236391"/>
    <w:rsid w:val="0023660A"/>
    <w:rsid w:val="00237037"/>
    <w:rsid w:val="00240625"/>
    <w:rsid w:val="00240F40"/>
    <w:rsid w:val="0024137D"/>
    <w:rsid w:val="00241903"/>
    <w:rsid w:val="00241D8F"/>
    <w:rsid w:val="0024446D"/>
    <w:rsid w:val="00244705"/>
    <w:rsid w:val="00245207"/>
    <w:rsid w:val="00245CD9"/>
    <w:rsid w:val="00246E03"/>
    <w:rsid w:val="00247028"/>
    <w:rsid w:val="002472D3"/>
    <w:rsid w:val="00247904"/>
    <w:rsid w:val="0025065D"/>
    <w:rsid w:val="00250D2A"/>
    <w:rsid w:val="00251578"/>
    <w:rsid w:val="00253343"/>
    <w:rsid w:val="00254643"/>
    <w:rsid w:val="00255004"/>
    <w:rsid w:val="002556D0"/>
    <w:rsid w:val="00255C09"/>
    <w:rsid w:val="00255C12"/>
    <w:rsid w:val="00256160"/>
    <w:rsid w:val="0025744A"/>
    <w:rsid w:val="0025799F"/>
    <w:rsid w:val="00257A02"/>
    <w:rsid w:val="00257AE2"/>
    <w:rsid w:val="00261DD5"/>
    <w:rsid w:val="00262B82"/>
    <w:rsid w:val="00264F1F"/>
    <w:rsid w:val="00265C09"/>
    <w:rsid w:val="00265FD9"/>
    <w:rsid w:val="0026652C"/>
    <w:rsid w:val="00266D9C"/>
    <w:rsid w:val="002716FD"/>
    <w:rsid w:val="00272AEA"/>
    <w:rsid w:val="00272FF2"/>
    <w:rsid w:val="00274BBA"/>
    <w:rsid w:val="00275A38"/>
    <w:rsid w:val="00276A7C"/>
    <w:rsid w:val="00276C9A"/>
    <w:rsid w:val="00277074"/>
    <w:rsid w:val="00277641"/>
    <w:rsid w:val="002778AD"/>
    <w:rsid w:val="002808A4"/>
    <w:rsid w:val="00280945"/>
    <w:rsid w:val="0028222E"/>
    <w:rsid w:val="00283828"/>
    <w:rsid w:val="00283D9C"/>
    <w:rsid w:val="00285415"/>
    <w:rsid w:val="0028672C"/>
    <w:rsid w:val="00287309"/>
    <w:rsid w:val="00290E6D"/>
    <w:rsid w:val="00291961"/>
    <w:rsid w:val="00291DC2"/>
    <w:rsid w:val="0029211B"/>
    <w:rsid w:val="002927F6"/>
    <w:rsid w:val="00293824"/>
    <w:rsid w:val="00294102"/>
    <w:rsid w:val="002949B5"/>
    <w:rsid w:val="0029599B"/>
    <w:rsid w:val="00295AC0"/>
    <w:rsid w:val="00296078"/>
    <w:rsid w:val="00296411"/>
    <w:rsid w:val="00296E71"/>
    <w:rsid w:val="002A019F"/>
    <w:rsid w:val="002A02A4"/>
    <w:rsid w:val="002A2275"/>
    <w:rsid w:val="002A424E"/>
    <w:rsid w:val="002A43C5"/>
    <w:rsid w:val="002A58A0"/>
    <w:rsid w:val="002A6D06"/>
    <w:rsid w:val="002A70B3"/>
    <w:rsid w:val="002A7599"/>
    <w:rsid w:val="002A7E29"/>
    <w:rsid w:val="002A7F66"/>
    <w:rsid w:val="002B0684"/>
    <w:rsid w:val="002B1226"/>
    <w:rsid w:val="002B1A07"/>
    <w:rsid w:val="002B201B"/>
    <w:rsid w:val="002B2215"/>
    <w:rsid w:val="002C32EA"/>
    <w:rsid w:val="002C3BA7"/>
    <w:rsid w:val="002C3F43"/>
    <w:rsid w:val="002C45F7"/>
    <w:rsid w:val="002C4FA0"/>
    <w:rsid w:val="002C5479"/>
    <w:rsid w:val="002C576A"/>
    <w:rsid w:val="002C6395"/>
    <w:rsid w:val="002C75B9"/>
    <w:rsid w:val="002D015C"/>
    <w:rsid w:val="002D0696"/>
    <w:rsid w:val="002D08E6"/>
    <w:rsid w:val="002D1422"/>
    <w:rsid w:val="002D1E75"/>
    <w:rsid w:val="002D202D"/>
    <w:rsid w:val="002D257C"/>
    <w:rsid w:val="002D63C0"/>
    <w:rsid w:val="002D77E0"/>
    <w:rsid w:val="002D7A6B"/>
    <w:rsid w:val="002E1300"/>
    <w:rsid w:val="002E3F8E"/>
    <w:rsid w:val="002E61A4"/>
    <w:rsid w:val="002E62CA"/>
    <w:rsid w:val="002E75EC"/>
    <w:rsid w:val="002F269F"/>
    <w:rsid w:val="002F3062"/>
    <w:rsid w:val="002F3D6E"/>
    <w:rsid w:val="002F4438"/>
    <w:rsid w:val="002F56DC"/>
    <w:rsid w:val="002F5A52"/>
    <w:rsid w:val="002F66C6"/>
    <w:rsid w:val="002F6DBD"/>
    <w:rsid w:val="00301CC0"/>
    <w:rsid w:val="003023BF"/>
    <w:rsid w:val="00303D0D"/>
    <w:rsid w:val="003065E0"/>
    <w:rsid w:val="00306FD6"/>
    <w:rsid w:val="00307E4E"/>
    <w:rsid w:val="003107D9"/>
    <w:rsid w:val="00311181"/>
    <w:rsid w:val="003119AB"/>
    <w:rsid w:val="003126E7"/>
    <w:rsid w:val="003142D7"/>
    <w:rsid w:val="00314530"/>
    <w:rsid w:val="00317C2E"/>
    <w:rsid w:val="00317E99"/>
    <w:rsid w:val="0032021D"/>
    <w:rsid w:val="003203F0"/>
    <w:rsid w:val="00321309"/>
    <w:rsid w:val="00322F48"/>
    <w:rsid w:val="003230E9"/>
    <w:rsid w:val="003233F9"/>
    <w:rsid w:val="00323E09"/>
    <w:rsid w:val="00325C86"/>
    <w:rsid w:val="0032672A"/>
    <w:rsid w:val="0032703A"/>
    <w:rsid w:val="003279C6"/>
    <w:rsid w:val="00330416"/>
    <w:rsid w:val="0033058C"/>
    <w:rsid w:val="00330AF2"/>
    <w:rsid w:val="003312DE"/>
    <w:rsid w:val="00331509"/>
    <w:rsid w:val="00331E80"/>
    <w:rsid w:val="0033559C"/>
    <w:rsid w:val="00335E76"/>
    <w:rsid w:val="0033648E"/>
    <w:rsid w:val="0033782F"/>
    <w:rsid w:val="00341221"/>
    <w:rsid w:val="00341604"/>
    <w:rsid w:val="00342001"/>
    <w:rsid w:val="00342CA1"/>
    <w:rsid w:val="00343951"/>
    <w:rsid w:val="00343DFF"/>
    <w:rsid w:val="003475FD"/>
    <w:rsid w:val="00351467"/>
    <w:rsid w:val="003556AB"/>
    <w:rsid w:val="0035649A"/>
    <w:rsid w:val="00356F46"/>
    <w:rsid w:val="00357175"/>
    <w:rsid w:val="00360158"/>
    <w:rsid w:val="00361C25"/>
    <w:rsid w:val="00363D97"/>
    <w:rsid w:val="00364B08"/>
    <w:rsid w:val="00364C20"/>
    <w:rsid w:val="00364D9E"/>
    <w:rsid w:val="00366396"/>
    <w:rsid w:val="003669E2"/>
    <w:rsid w:val="00367F16"/>
    <w:rsid w:val="003700E7"/>
    <w:rsid w:val="00371800"/>
    <w:rsid w:val="00372473"/>
    <w:rsid w:val="00372F40"/>
    <w:rsid w:val="00374E55"/>
    <w:rsid w:val="00375BBC"/>
    <w:rsid w:val="003819AE"/>
    <w:rsid w:val="003820C8"/>
    <w:rsid w:val="00382981"/>
    <w:rsid w:val="00383453"/>
    <w:rsid w:val="00383528"/>
    <w:rsid w:val="003850D0"/>
    <w:rsid w:val="00386280"/>
    <w:rsid w:val="00390AE2"/>
    <w:rsid w:val="00390EC8"/>
    <w:rsid w:val="00391E25"/>
    <w:rsid w:val="0039237E"/>
    <w:rsid w:val="003924FC"/>
    <w:rsid w:val="003926B9"/>
    <w:rsid w:val="0039289D"/>
    <w:rsid w:val="003937A5"/>
    <w:rsid w:val="003942F6"/>
    <w:rsid w:val="00394410"/>
    <w:rsid w:val="0039612B"/>
    <w:rsid w:val="00396A2F"/>
    <w:rsid w:val="003971F2"/>
    <w:rsid w:val="003976FF"/>
    <w:rsid w:val="003A0303"/>
    <w:rsid w:val="003A1713"/>
    <w:rsid w:val="003A2D78"/>
    <w:rsid w:val="003A3CBE"/>
    <w:rsid w:val="003A4A48"/>
    <w:rsid w:val="003A5C06"/>
    <w:rsid w:val="003A6170"/>
    <w:rsid w:val="003A756E"/>
    <w:rsid w:val="003B08F1"/>
    <w:rsid w:val="003B1BBB"/>
    <w:rsid w:val="003B2245"/>
    <w:rsid w:val="003B403C"/>
    <w:rsid w:val="003B6621"/>
    <w:rsid w:val="003B663B"/>
    <w:rsid w:val="003B74B5"/>
    <w:rsid w:val="003C02E7"/>
    <w:rsid w:val="003C1806"/>
    <w:rsid w:val="003C18C7"/>
    <w:rsid w:val="003C1BE5"/>
    <w:rsid w:val="003C1F50"/>
    <w:rsid w:val="003C2697"/>
    <w:rsid w:val="003C3AD6"/>
    <w:rsid w:val="003C73E8"/>
    <w:rsid w:val="003D042F"/>
    <w:rsid w:val="003D111F"/>
    <w:rsid w:val="003D2F77"/>
    <w:rsid w:val="003D2FF8"/>
    <w:rsid w:val="003D32A8"/>
    <w:rsid w:val="003D4DFD"/>
    <w:rsid w:val="003D58F8"/>
    <w:rsid w:val="003D5A9C"/>
    <w:rsid w:val="003D5DBF"/>
    <w:rsid w:val="003D69C1"/>
    <w:rsid w:val="003D7ABC"/>
    <w:rsid w:val="003D7B22"/>
    <w:rsid w:val="003E0E06"/>
    <w:rsid w:val="003E1814"/>
    <w:rsid w:val="003E225A"/>
    <w:rsid w:val="003E3314"/>
    <w:rsid w:val="003E46AF"/>
    <w:rsid w:val="003E6B6E"/>
    <w:rsid w:val="003E6C19"/>
    <w:rsid w:val="003E7FD0"/>
    <w:rsid w:val="003F071E"/>
    <w:rsid w:val="003F0973"/>
    <w:rsid w:val="003F1AD8"/>
    <w:rsid w:val="003F2281"/>
    <w:rsid w:val="003F26E2"/>
    <w:rsid w:val="003F2731"/>
    <w:rsid w:val="003F3036"/>
    <w:rsid w:val="003F39C5"/>
    <w:rsid w:val="003F4E94"/>
    <w:rsid w:val="003F6C4E"/>
    <w:rsid w:val="00400101"/>
    <w:rsid w:val="00402CC7"/>
    <w:rsid w:val="00404D97"/>
    <w:rsid w:val="00405167"/>
    <w:rsid w:val="004056BA"/>
    <w:rsid w:val="00406699"/>
    <w:rsid w:val="00406C3E"/>
    <w:rsid w:val="004077BF"/>
    <w:rsid w:val="00411B1E"/>
    <w:rsid w:val="00412D50"/>
    <w:rsid w:val="00413F43"/>
    <w:rsid w:val="00414433"/>
    <w:rsid w:val="004152B3"/>
    <w:rsid w:val="00415CCF"/>
    <w:rsid w:val="00420E26"/>
    <w:rsid w:val="0042130D"/>
    <w:rsid w:val="00421CDA"/>
    <w:rsid w:val="004224CD"/>
    <w:rsid w:val="00422B74"/>
    <w:rsid w:val="004234B4"/>
    <w:rsid w:val="00423EF6"/>
    <w:rsid w:val="00424A19"/>
    <w:rsid w:val="00424D99"/>
    <w:rsid w:val="00426A84"/>
    <w:rsid w:val="00427752"/>
    <w:rsid w:val="00427E2C"/>
    <w:rsid w:val="00431412"/>
    <w:rsid w:val="00433716"/>
    <w:rsid w:val="00433B41"/>
    <w:rsid w:val="00433D01"/>
    <w:rsid w:val="004343A1"/>
    <w:rsid w:val="004352F1"/>
    <w:rsid w:val="0043533A"/>
    <w:rsid w:val="00435AA3"/>
    <w:rsid w:val="00436847"/>
    <w:rsid w:val="00436D0D"/>
    <w:rsid w:val="004375ED"/>
    <w:rsid w:val="00437BAE"/>
    <w:rsid w:val="00437C61"/>
    <w:rsid w:val="00441652"/>
    <w:rsid w:val="0044253C"/>
    <w:rsid w:val="00442610"/>
    <w:rsid w:val="00442C78"/>
    <w:rsid w:val="004438B5"/>
    <w:rsid w:val="0044555F"/>
    <w:rsid w:val="00445BDE"/>
    <w:rsid w:val="00445E2F"/>
    <w:rsid w:val="00447A2A"/>
    <w:rsid w:val="00451D35"/>
    <w:rsid w:val="00452900"/>
    <w:rsid w:val="00452EEE"/>
    <w:rsid w:val="0045448A"/>
    <w:rsid w:val="004565A8"/>
    <w:rsid w:val="00457681"/>
    <w:rsid w:val="00457BB0"/>
    <w:rsid w:val="004602DF"/>
    <w:rsid w:val="00460462"/>
    <w:rsid w:val="00461C02"/>
    <w:rsid w:val="004629A1"/>
    <w:rsid w:val="00463654"/>
    <w:rsid w:val="004637C0"/>
    <w:rsid w:val="00464891"/>
    <w:rsid w:val="00466952"/>
    <w:rsid w:val="00467F29"/>
    <w:rsid w:val="004712B0"/>
    <w:rsid w:val="0047150A"/>
    <w:rsid w:val="00471BE6"/>
    <w:rsid w:val="0047201F"/>
    <w:rsid w:val="00472689"/>
    <w:rsid w:val="00472B28"/>
    <w:rsid w:val="00472FDA"/>
    <w:rsid w:val="004740FF"/>
    <w:rsid w:val="0047696F"/>
    <w:rsid w:val="00476DA1"/>
    <w:rsid w:val="00477790"/>
    <w:rsid w:val="00480F92"/>
    <w:rsid w:val="004817C0"/>
    <w:rsid w:val="00482214"/>
    <w:rsid w:val="00482D27"/>
    <w:rsid w:val="00482F8C"/>
    <w:rsid w:val="0048332E"/>
    <w:rsid w:val="00484C0D"/>
    <w:rsid w:val="00486A30"/>
    <w:rsid w:val="0049071E"/>
    <w:rsid w:val="00490ADF"/>
    <w:rsid w:val="004910DC"/>
    <w:rsid w:val="004916CF"/>
    <w:rsid w:val="00491D83"/>
    <w:rsid w:val="0049231F"/>
    <w:rsid w:val="00492551"/>
    <w:rsid w:val="00493508"/>
    <w:rsid w:val="00495FDA"/>
    <w:rsid w:val="0049640B"/>
    <w:rsid w:val="004974F2"/>
    <w:rsid w:val="0049767D"/>
    <w:rsid w:val="00497D8B"/>
    <w:rsid w:val="004A0B1F"/>
    <w:rsid w:val="004A15B9"/>
    <w:rsid w:val="004A1CCA"/>
    <w:rsid w:val="004A20B6"/>
    <w:rsid w:val="004A5AEA"/>
    <w:rsid w:val="004A7221"/>
    <w:rsid w:val="004B0FD4"/>
    <w:rsid w:val="004B121C"/>
    <w:rsid w:val="004B121F"/>
    <w:rsid w:val="004B1908"/>
    <w:rsid w:val="004B1ABA"/>
    <w:rsid w:val="004B3A22"/>
    <w:rsid w:val="004B45D3"/>
    <w:rsid w:val="004B4D76"/>
    <w:rsid w:val="004B7270"/>
    <w:rsid w:val="004C1AC1"/>
    <w:rsid w:val="004C5687"/>
    <w:rsid w:val="004C579E"/>
    <w:rsid w:val="004C5D7F"/>
    <w:rsid w:val="004C6880"/>
    <w:rsid w:val="004D077C"/>
    <w:rsid w:val="004D12A1"/>
    <w:rsid w:val="004D1C9A"/>
    <w:rsid w:val="004D2CB8"/>
    <w:rsid w:val="004D41B8"/>
    <w:rsid w:val="004D4A02"/>
    <w:rsid w:val="004D512D"/>
    <w:rsid w:val="004D5359"/>
    <w:rsid w:val="004D5594"/>
    <w:rsid w:val="004D690F"/>
    <w:rsid w:val="004D76F7"/>
    <w:rsid w:val="004D78C4"/>
    <w:rsid w:val="004E005A"/>
    <w:rsid w:val="004E0672"/>
    <w:rsid w:val="004E235B"/>
    <w:rsid w:val="004E2C34"/>
    <w:rsid w:val="004E32CD"/>
    <w:rsid w:val="004E6A33"/>
    <w:rsid w:val="004E76FA"/>
    <w:rsid w:val="004F5A6E"/>
    <w:rsid w:val="004F66B1"/>
    <w:rsid w:val="004F6770"/>
    <w:rsid w:val="004F6B1B"/>
    <w:rsid w:val="004F7586"/>
    <w:rsid w:val="005003ED"/>
    <w:rsid w:val="00500CEB"/>
    <w:rsid w:val="00502294"/>
    <w:rsid w:val="0050250A"/>
    <w:rsid w:val="00502A8F"/>
    <w:rsid w:val="00503505"/>
    <w:rsid w:val="0050364A"/>
    <w:rsid w:val="0050539A"/>
    <w:rsid w:val="0050567F"/>
    <w:rsid w:val="0050603D"/>
    <w:rsid w:val="005136E6"/>
    <w:rsid w:val="00513DC4"/>
    <w:rsid w:val="00514FE7"/>
    <w:rsid w:val="00516DA2"/>
    <w:rsid w:val="005205C0"/>
    <w:rsid w:val="00522632"/>
    <w:rsid w:val="005227B9"/>
    <w:rsid w:val="005235B3"/>
    <w:rsid w:val="005241E3"/>
    <w:rsid w:val="00524BD1"/>
    <w:rsid w:val="005264EA"/>
    <w:rsid w:val="00526677"/>
    <w:rsid w:val="00526924"/>
    <w:rsid w:val="00526AA8"/>
    <w:rsid w:val="00526CF9"/>
    <w:rsid w:val="00526EC3"/>
    <w:rsid w:val="0052769C"/>
    <w:rsid w:val="00530E48"/>
    <w:rsid w:val="00530FDA"/>
    <w:rsid w:val="0053125C"/>
    <w:rsid w:val="005314B3"/>
    <w:rsid w:val="00532260"/>
    <w:rsid w:val="00533098"/>
    <w:rsid w:val="00533617"/>
    <w:rsid w:val="005336FC"/>
    <w:rsid w:val="005363DD"/>
    <w:rsid w:val="00536DCC"/>
    <w:rsid w:val="0053722B"/>
    <w:rsid w:val="00540418"/>
    <w:rsid w:val="0054062C"/>
    <w:rsid w:val="00541CA4"/>
    <w:rsid w:val="005425A9"/>
    <w:rsid w:val="0054433F"/>
    <w:rsid w:val="00544E42"/>
    <w:rsid w:val="00544EB0"/>
    <w:rsid w:val="0054696E"/>
    <w:rsid w:val="005472BC"/>
    <w:rsid w:val="005478C7"/>
    <w:rsid w:val="00547AA9"/>
    <w:rsid w:val="00551568"/>
    <w:rsid w:val="00551763"/>
    <w:rsid w:val="005517B6"/>
    <w:rsid w:val="005520BE"/>
    <w:rsid w:val="00554103"/>
    <w:rsid w:val="00554C1B"/>
    <w:rsid w:val="005551A8"/>
    <w:rsid w:val="0055553D"/>
    <w:rsid w:val="005558A8"/>
    <w:rsid w:val="005608CA"/>
    <w:rsid w:val="00561A55"/>
    <w:rsid w:val="00561BF4"/>
    <w:rsid w:val="00563BBA"/>
    <w:rsid w:val="0056467D"/>
    <w:rsid w:val="0056493E"/>
    <w:rsid w:val="005655B2"/>
    <w:rsid w:val="00565965"/>
    <w:rsid w:val="00565E65"/>
    <w:rsid w:val="00565F60"/>
    <w:rsid w:val="00566E03"/>
    <w:rsid w:val="00567EFC"/>
    <w:rsid w:val="005701F7"/>
    <w:rsid w:val="00570B72"/>
    <w:rsid w:val="00570CE4"/>
    <w:rsid w:val="00570D09"/>
    <w:rsid w:val="00571035"/>
    <w:rsid w:val="005728E2"/>
    <w:rsid w:val="0057338F"/>
    <w:rsid w:val="005746A5"/>
    <w:rsid w:val="00574BCB"/>
    <w:rsid w:val="00574F40"/>
    <w:rsid w:val="005750E3"/>
    <w:rsid w:val="0057619B"/>
    <w:rsid w:val="00576CE3"/>
    <w:rsid w:val="005774F0"/>
    <w:rsid w:val="005809F8"/>
    <w:rsid w:val="00581340"/>
    <w:rsid w:val="00581FEB"/>
    <w:rsid w:val="00582F5D"/>
    <w:rsid w:val="00585E37"/>
    <w:rsid w:val="00585F02"/>
    <w:rsid w:val="00586A6A"/>
    <w:rsid w:val="00587F1E"/>
    <w:rsid w:val="005906CF"/>
    <w:rsid w:val="00590721"/>
    <w:rsid w:val="0059111C"/>
    <w:rsid w:val="005916F8"/>
    <w:rsid w:val="005918D7"/>
    <w:rsid w:val="00592BC0"/>
    <w:rsid w:val="005947D3"/>
    <w:rsid w:val="00594F5E"/>
    <w:rsid w:val="00596F28"/>
    <w:rsid w:val="00597EEB"/>
    <w:rsid w:val="005A137F"/>
    <w:rsid w:val="005A274E"/>
    <w:rsid w:val="005A43B6"/>
    <w:rsid w:val="005A4DA4"/>
    <w:rsid w:val="005A6676"/>
    <w:rsid w:val="005A6B7C"/>
    <w:rsid w:val="005A6E93"/>
    <w:rsid w:val="005A6F61"/>
    <w:rsid w:val="005B05B8"/>
    <w:rsid w:val="005B07BA"/>
    <w:rsid w:val="005B0914"/>
    <w:rsid w:val="005B24BE"/>
    <w:rsid w:val="005B404D"/>
    <w:rsid w:val="005B434B"/>
    <w:rsid w:val="005B4FE6"/>
    <w:rsid w:val="005B507B"/>
    <w:rsid w:val="005B601A"/>
    <w:rsid w:val="005C0B5F"/>
    <w:rsid w:val="005C3812"/>
    <w:rsid w:val="005C3939"/>
    <w:rsid w:val="005C3F40"/>
    <w:rsid w:val="005C6845"/>
    <w:rsid w:val="005C6B51"/>
    <w:rsid w:val="005D18E9"/>
    <w:rsid w:val="005D334F"/>
    <w:rsid w:val="005D33DD"/>
    <w:rsid w:val="005D40DC"/>
    <w:rsid w:val="005D4A7C"/>
    <w:rsid w:val="005D4A9A"/>
    <w:rsid w:val="005D7E4E"/>
    <w:rsid w:val="005E017C"/>
    <w:rsid w:val="005E0D6D"/>
    <w:rsid w:val="005E1643"/>
    <w:rsid w:val="005E26E4"/>
    <w:rsid w:val="005E298B"/>
    <w:rsid w:val="005E5558"/>
    <w:rsid w:val="005E5FEB"/>
    <w:rsid w:val="005E73FF"/>
    <w:rsid w:val="005E794B"/>
    <w:rsid w:val="005E7C05"/>
    <w:rsid w:val="005F1A09"/>
    <w:rsid w:val="005F21AD"/>
    <w:rsid w:val="005F233B"/>
    <w:rsid w:val="005F407F"/>
    <w:rsid w:val="005F43B9"/>
    <w:rsid w:val="005F45A3"/>
    <w:rsid w:val="005F50DF"/>
    <w:rsid w:val="005F56E4"/>
    <w:rsid w:val="005F5A90"/>
    <w:rsid w:val="005F61A0"/>
    <w:rsid w:val="005F6951"/>
    <w:rsid w:val="005F6ABC"/>
    <w:rsid w:val="005F6FDD"/>
    <w:rsid w:val="005F7110"/>
    <w:rsid w:val="005F788C"/>
    <w:rsid w:val="005F7BE2"/>
    <w:rsid w:val="0060090F"/>
    <w:rsid w:val="00601AB9"/>
    <w:rsid w:val="00601D41"/>
    <w:rsid w:val="0060439C"/>
    <w:rsid w:val="006047DD"/>
    <w:rsid w:val="006066E5"/>
    <w:rsid w:val="00607439"/>
    <w:rsid w:val="00607A2F"/>
    <w:rsid w:val="006110C2"/>
    <w:rsid w:val="006111B0"/>
    <w:rsid w:val="00611BBC"/>
    <w:rsid w:val="006120D1"/>
    <w:rsid w:val="00612C0A"/>
    <w:rsid w:val="0061352F"/>
    <w:rsid w:val="0061637D"/>
    <w:rsid w:val="0061708E"/>
    <w:rsid w:val="00617270"/>
    <w:rsid w:val="00617275"/>
    <w:rsid w:val="00617E42"/>
    <w:rsid w:val="00622CDF"/>
    <w:rsid w:val="00622CED"/>
    <w:rsid w:val="00624C7D"/>
    <w:rsid w:val="006261BD"/>
    <w:rsid w:val="00630DFF"/>
    <w:rsid w:val="00631346"/>
    <w:rsid w:val="00631D97"/>
    <w:rsid w:val="006338E4"/>
    <w:rsid w:val="0063411B"/>
    <w:rsid w:val="00634205"/>
    <w:rsid w:val="00634298"/>
    <w:rsid w:val="00636A28"/>
    <w:rsid w:val="00641B8C"/>
    <w:rsid w:val="00642BCC"/>
    <w:rsid w:val="00642CB2"/>
    <w:rsid w:val="00642D75"/>
    <w:rsid w:val="00642EF9"/>
    <w:rsid w:val="0064312B"/>
    <w:rsid w:val="00643961"/>
    <w:rsid w:val="00644149"/>
    <w:rsid w:val="00646E48"/>
    <w:rsid w:val="00646E8F"/>
    <w:rsid w:val="0064735A"/>
    <w:rsid w:val="00647883"/>
    <w:rsid w:val="0065078A"/>
    <w:rsid w:val="00651512"/>
    <w:rsid w:val="00653D0B"/>
    <w:rsid w:val="0065628C"/>
    <w:rsid w:val="00656A55"/>
    <w:rsid w:val="00657EFB"/>
    <w:rsid w:val="00661547"/>
    <w:rsid w:val="0066165A"/>
    <w:rsid w:val="00663272"/>
    <w:rsid w:val="006674B5"/>
    <w:rsid w:val="006702D4"/>
    <w:rsid w:val="0067173C"/>
    <w:rsid w:val="00671D7E"/>
    <w:rsid w:val="00672156"/>
    <w:rsid w:val="006724EB"/>
    <w:rsid w:val="0067445A"/>
    <w:rsid w:val="0067518C"/>
    <w:rsid w:val="006758F5"/>
    <w:rsid w:val="0067711B"/>
    <w:rsid w:val="00677336"/>
    <w:rsid w:val="00677DDA"/>
    <w:rsid w:val="006802CA"/>
    <w:rsid w:val="006829BC"/>
    <w:rsid w:val="00682F61"/>
    <w:rsid w:val="00683D0A"/>
    <w:rsid w:val="00683F21"/>
    <w:rsid w:val="00684777"/>
    <w:rsid w:val="00686668"/>
    <w:rsid w:val="00686B86"/>
    <w:rsid w:val="00690283"/>
    <w:rsid w:val="006910E1"/>
    <w:rsid w:val="0069250B"/>
    <w:rsid w:val="00692B98"/>
    <w:rsid w:val="006952E9"/>
    <w:rsid w:val="0069681A"/>
    <w:rsid w:val="006976BB"/>
    <w:rsid w:val="006A080A"/>
    <w:rsid w:val="006A30B4"/>
    <w:rsid w:val="006A4676"/>
    <w:rsid w:val="006A7927"/>
    <w:rsid w:val="006A7B11"/>
    <w:rsid w:val="006B0618"/>
    <w:rsid w:val="006B15C0"/>
    <w:rsid w:val="006B2399"/>
    <w:rsid w:val="006B33B2"/>
    <w:rsid w:val="006B3D50"/>
    <w:rsid w:val="006B3D80"/>
    <w:rsid w:val="006B55C2"/>
    <w:rsid w:val="006B60D8"/>
    <w:rsid w:val="006B663B"/>
    <w:rsid w:val="006C01DB"/>
    <w:rsid w:val="006C1916"/>
    <w:rsid w:val="006C3B11"/>
    <w:rsid w:val="006C5AC2"/>
    <w:rsid w:val="006C79AD"/>
    <w:rsid w:val="006D023C"/>
    <w:rsid w:val="006D08A0"/>
    <w:rsid w:val="006D2FB6"/>
    <w:rsid w:val="006D3ECE"/>
    <w:rsid w:val="006D40BE"/>
    <w:rsid w:val="006D4C20"/>
    <w:rsid w:val="006D5337"/>
    <w:rsid w:val="006D5D62"/>
    <w:rsid w:val="006D62A5"/>
    <w:rsid w:val="006D6927"/>
    <w:rsid w:val="006D7E5D"/>
    <w:rsid w:val="006E1FB4"/>
    <w:rsid w:val="006E3BA4"/>
    <w:rsid w:val="006E3E86"/>
    <w:rsid w:val="006E437A"/>
    <w:rsid w:val="006E54BF"/>
    <w:rsid w:val="006E75F7"/>
    <w:rsid w:val="006E77DD"/>
    <w:rsid w:val="006E7E43"/>
    <w:rsid w:val="006F1E6B"/>
    <w:rsid w:val="006F278F"/>
    <w:rsid w:val="006F2C8B"/>
    <w:rsid w:val="006F3DAF"/>
    <w:rsid w:val="006F5229"/>
    <w:rsid w:val="006F5EC0"/>
    <w:rsid w:val="006F7341"/>
    <w:rsid w:val="006F7FB0"/>
    <w:rsid w:val="00700E87"/>
    <w:rsid w:val="00701784"/>
    <w:rsid w:val="00702823"/>
    <w:rsid w:val="0070292B"/>
    <w:rsid w:val="00702FD6"/>
    <w:rsid w:val="00703372"/>
    <w:rsid w:val="007041A0"/>
    <w:rsid w:val="0070443B"/>
    <w:rsid w:val="007050B6"/>
    <w:rsid w:val="00705987"/>
    <w:rsid w:val="007062CE"/>
    <w:rsid w:val="0070709C"/>
    <w:rsid w:val="007117B4"/>
    <w:rsid w:val="00712AD2"/>
    <w:rsid w:val="007133C0"/>
    <w:rsid w:val="00713775"/>
    <w:rsid w:val="0071402E"/>
    <w:rsid w:val="0071564A"/>
    <w:rsid w:val="007161E1"/>
    <w:rsid w:val="00720E8B"/>
    <w:rsid w:val="00721674"/>
    <w:rsid w:val="007219D8"/>
    <w:rsid w:val="00722B19"/>
    <w:rsid w:val="00722BD3"/>
    <w:rsid w:val="00724622"/>
    <w:rsid w:val="00724751"/>
    <w:rsid w:val="00725F56"/>
    <w:rsid w:val="0072609E"/>
    <w:rsid w:val="007270B0"/>
    <w:rsid w:val="00730775"/>
    <w:rsid w:val="007311B0"/>
    <w:rsid w:val="007320A7"/>
    <w:rsid w:val="00732CE9"/>
    <w:rsid w:val="0074009F"/>
    <w:rsid w:val="00741903"/>
    <w:rsid w:val="007429AD"/>
    <w:rsid w:val="00742AD7"/>
    <w:rsid w:val="00742D41"/>
    <w:rsid w:val="007440C9"/>
    <w:rsid w:val="00745B7B"/>
    <w:rsid w:val="00745E50"/>
    <w:rsid w:val="007466B5"/>
    <w:rsid w:val="007473C9"/>
    <w:rsid w:val="007506CA"/>
    <w:rsid w:val="00751D58"/>
    <w:rsid w:val="00752542"/>
    <w:rsid w:val="007532ED"/>
    <w:rsid w:val="007549B3"/>
    <w:rsid w:val="00755763"/>
    <w:rsid w:val="007563EB"/>
    <w:rsid w:val="00757061"/>
    <w:rsid w:val="007572BB"/>
    <w:rsid w:val="00760A56"/>
    <w:rsid w:val="00760F8E"/>
    <w:rsid w:val="00761609"/>
    <w:rsid w:val="007628AC"/>
    <w:rsid w:val="00763F8F"/>
    <w:rsid w:val="00764EBC"/>
    <w:rsid w:val="007658CB"/>
    <w:rsid w:val="00765CF3"/>
    <w:rsid w:val="00765F92"/>
    <w:rsid w:val="00771BCC"/>
    <w:rsid w:val="007720B4"/>
    <w:rsid w:val="00772182"/>
    <w:rsid w:val="00772890"/>
    <w:rsid w:val="007732BE"/>
    <w:rsid w:val="0077348F"/>
    <w:rsid w:val="0077375F"/>
    <w:rsid w:val="00773C4D"/>
    <w:rsid w:val="00775086"/>
    <w:rsid w:val="00775DE0"/>
    <w:rsid w:val="00777FC9"/>
    <w:rsid w:val="00780893"/>
    <w:rsid w:val="00780F86"/>
    <w:rsid w:val="007818C6"/>
    <w:rsid w:val="00783651"/>
    <w:rsid w:val="00784884"/>
    <w:rsid w:val="00785CA7"/>
    <w:rsid w:val="00786789"/>
    <w:rsid w:val="0078695D"/>
    <w:rsid w:val="00787533"/>
    <w:rsid w:val="0079002B"/>
    <w:rsid w:val="0079080C"/>
    <w:rsid w:val="00790C88"/>
    <w:rsid w:val="007912E4"/>
    <w:rsid w:val="00792084"/>
    <w:rsid w:val="007926CE"/>
    <w:rsid w:val="007934DC"/>
    <w:rsid w:val="007943FE"/>
    <w:rsid w:val="00794F51"/>
    <w:rsid w:val="0079582C"/>
    <w:rsid w:val="00795B7D"/>
    <w:rsid w:val="00796AE4"/>
    <w:rsid w:val="00797474"/>
    <w:rsid w:val="007A2524"/>
    <w:rsid w:val="007A2A2D"/>
    <w:rsid w:val="007A345A"/>
    <w:rsid w:val="007A4102"/>
    <w:rsid w:val="007A4321"/>
    <w:rsid w:val="007A51EA"/>
    <w:rsid w:val="007A5B39"/>
    <w:rsid w:val="007A6147"/>
    <w:rsid w:val="007A6501"/>
    <w:rsid w:val="007A693C"/>
    <w:rsid w:val="007A736C"/>
    <w:rsid w:val="007A7653"/>
    <w:rsid w:val="007B00F0"/>
    <w:rsid w:val="007B055C"/>
    <w:rsid w:val="007B1A52"/>
    <w:rsid w:val="007C1582"/>
    <w:rsid w:val="007C20BD"/>
    <w:rsid w:val="007C211B"/>
    <w:rsid w:val="007C41C1"/>
    <w:rsid w:val="007C4D2C"/>
    <w:rsid w:val="007C5D79"/>
    <w:rsid w:val="007C7D26"/>
    <w:rsid w:val="007C7E8E"/>
    <w:rsid w:val="007D099F"/>
    <w:rsid w:val="007D12AE"/>
    <w:rsid w:val="007D1EE8"/>
    <w:rsid w:val="007D2008"/>
    <w:rsid w:val="007D219E"/>
    <w:rsid w:val="007D2648"/>
    <w:rsid w:val="007D5522"/>
    <w:rsid w:val="007D5B71"/>
    <w:rsid w:val="007D5EE2"/>
    <w:rsid w:val="007D6B48"/>
    <w:rsid w:val="007D6E9A"/>
    <w:rsid w:val="007D7D3C"/>
    <w:rsid w:val="007D7E36"/>
    <w:rsid w:val="007E1E4D"/>
    <w:rsid w:val="007E2776"/>
    <w:rsid w:val="007E3A4C"/>
    <w:rsid w:val="007E4A53"/>
    <w:rsid w:val="007E4F6D"/>
    <w:rsid w:val="007E5D6E"/>
    <w:rsid w:val="007E7240"/>
    <w:rsid w:val="007F04E0"/>
    <w:rsid w:val="007F08FA"/>
    <w:rsid w:val="007F0DA3"/>
    <w:rsid w:val="007F1884"/>
    <w:rsid w:val="007F2A2A"/>
    <w:rsid w:val="007F2F8D"/>
    <w:rsid w:val="007F2FB6"/>
    <w:rsid w:val="007F3464"/>
    <w:rsid w:val="007F4668"/>
    <w:rsid w:val="007F590E"/>
    <w:rsid w:val="007F6332"/>
    <w:rsid w:val="007F6651"/>
    <w:rsid w:val="007F76E3"/>
    <w:rsid w:val="008013A1"/>
    <w:rsid w:val="00801D27"/>
    <w:rsid w:val="008025FF"/>
    <w:rsid w:val="008027E0"/>
    <w:rsid w:val="008034E5"/>
    <w:rsid w:val="008043A6"/>
    <w:rsid w:val="008052A1"/>
    <w:rsid w:val="008053E5"/>
    <w:rsid w:val="00806F32"/>
    <w:rsid w:val="00807FE8"/>
    <w:rsid w:val="0081087C"/>
    <w:rsid w:val="00810897"/>
    <w:rsid w:val="00810A7E"/>
    <w:rsid w:val="00811DAC"/>
    <w:rsid w:val="00813145"/>
    <w:rsid w:val="00813500"/>
    <w:rsid w:val="008135C2"/>
    <w:rsid w:val="00814F30"/>
    <w:rsid w:val="008165B0"/>
    <w:rsid w:val="0081677E"/>
    <w:rsid w:val="00816B35"/>
    <w:rsid w:val="00816B9F"/>
    <w:rsid w:val="00820190"/>
    <w:rsid w:val="0082143F"/>
    <w:rsid w:val="008223EB"/>
    <w:rsid w:val="00822F3B"/>
    <w:rsid w:val="008230F5"/>
    <w:rsid w:val="00823B51"/>
    <w:rsid w:val="00824880"/>
    <w:rsid w:val="00825670"/>
    <w:rsid w:val="008307ED"/>
    <w:rsid w:val="00830FC3"/>
    <w:rsid w:val="0083243E"/>
    <w:rsid w:val="00832F3C"/>
    <w:rsid w:val="008346B7"/>
    <w:rsid w:val="00834A68"/>
    <w:rsid w:val="008366D9"/>
    <w:rsid w:val="0083688E"/>
    <w:rsid w:val="00837566"/>
    <w:rsid w:val="00841211"/>
    <w:rsid w:val="00842847"/>
    <w:rsid w:val="00843996"/>
    <w:rsid w:val="00843B81"/>
    <w:rsid w:val="00844BAD"/>
    <w:rsid w:val="00846C3B"/>
    <w:rsid w:val="00847907"/>
    <w:rsid w:val="00847B0D"/>
    <w:rsid w:val="00847DAC"/>
    <w:rsid w:val="00850438"/>
    <w:rsid w:val="00850715"/>
    <w:rsid w:val="008514D3"/>
    <w:rsid w:val="008517E0"/>
    <w:rsid w:val="00852B94"/>
    <w:rsid w:val="00852DFB"/>
    <w:rsid w:val="0085414C"/>
    <w:rsid w:val="00855796"/>
    <w:rsid w:val="00855C55"/>
    <w:rsid w:val="0085677D"/>
    <w:rsid w:val="00856E32"/>
    <w:rsid w:val="008570AA"/>
    <w:rsid w:val="008574DF"/>
    <w:rsid w:val="00857BC8"/>
    <w:rsid w:val="00857C3C"/>
    <w:rsid w:val="00860E24"/>
    <w:rsid w:val="0086177A"/>
    <w:rsid w:val="00862235"/>
    <w:rsid w:val="00862675"/>
    <w:rsid w:val="00862A0D"/>
    <w:rsid w:val="00862CFA"/>
    <w:rsid w:val="0086349C"/>
    <w:rsid w:val="00863EF7"/>
    <w:rsid w:val="00866442"/>
    <w:rsid w:val="00866AFB"/>
    <w:rsid w:val="00867519"/>
    <w:rsid w:val="008708D2"/>
    <w:rsid w:val="00872BE6"/>
    <w:rsid w:val="00872D46"/>
    <w:rsid w:val="00872E30"/>
    <w:rsid w:val="00873BDC"/>
    <w:rsid w:val="00873FAD"/>
    <w:rsid w:val="00874D66"/>
    <w:rsid w:val="008757F2"/>
    <w:rsid w:val="00876FA6"/>
    <w:rsid w:val="00877DE8"/>
    <w:rsid w:val="00880044"/>
    <w:rsid w:val="00880BAC"/>
    <w:rsid w:val="00881591"/>
    <w:rsid w:val="008830F2"/>
    <w:rsid w:val="00885B59"/>
    <w:rsid w:val="00885D1F"/>
    <w:rsid w:val="008861F9"/>
    <w:rsid w:val="00887436"/>
    <w:rsid w:val="00890055"/>
    <w:rsid w:val="008901FE"/>
    <w:rsid w:val="0089028A"/>
    <w:rsid w:val="00891351"/>
    <w:rsid w:val="008913B6"/>
    <w:rsid w:val="00891564"/>
    <w:rsid w:val="008936BF"/>
    <w:rsid w:val="00895DB7"/>
    <w:rsid w:val="0089688E"/>
    <w:rsid w:val="00897462"/>
    <w:rsid w:val="008A07C3"/>
    <w:rsid w:val="008A120B"/>
    <w:rsid w:val="008A1FFC"/>
    <w:rsid w:val="008A5AD9"/>
    <w:rsid w:val="008A6E4D"/>
    <w:rsid w:val="008A7CC9"/>
    <w:rsid w:val="008A7EC0"/>
    <w:rsid w:val="008B0017"/>
    <w:rsid w:val="008B0188"/>
    <w:rsid w:val="008B2B61"/>
    <w:rsid w:val="008B3251"/>
    <w:rsid w:val="008B32B3"/>
    <w:rsid w:val="008B398A"/>
    <w:rsid w:val="008B41CF"/>
    <w:rsid w:val="008B5E0A"/>
    <w:rsid w:val="008B6955"/>
    <w:rsid w:val="008B7CF5"/>
    <w:rsid w:val="008C1959"/>
    <w:rsid w:val="008C216A"/>
    <w:rsid w:val="008C2399"/>
    <w:rsid w:val="008C27BD"/>
    <w:rsid w:val="008C28AD"/>
    <w:rsid w:val="008C37BD"/>
    <w:rsid w:val="008C5A0A"/>
    <w:rsid w:val="008C65AA"/>
    <w:rsid w:val="008C6C87"/>
    <w:rsid w:val="008D0C7E"/>
    <w:rsid w:val="008D16BD"/>
    <w:rsid w:val="008D1AA3"/>
    <w:rsid w:val="008D28EC"/>
    <w:rsid w:val="008D3A0F"/>
    <w:rsid w:val="008D4940"/>
    <w:rsid w:val="008D52A3"/>
    <w:rsid w:val="008D616F"/>
    <w:rsid w:val="008E0446"/>
    <w:rsid w:val="008E23EB"/>
    <w:rsid w:val="008E2802"/>
    <w:rsid w:val="008E2E08"/>
    <w:rsid w:val="008E3652"/>
    <w:rsid w:val="008E3DEE"/>
    <w:rsid w:val="008E40C2"/>
    <w:rsid w:val="008E4774"/>
    <w:rsid w:val="008E70C3"/>
    <w:rsid w:val="008F0530"/>
    <w:rsid w:val="008F31D6"/>
    <w:rsid w:val="008F3658"/>
    <w:rsid w:val="008F37A0"/>
    <w:rsid w:val="008F3D20"/>
    <w:rsid w:val="008F466D"/>
    <w:rsid w:val="008F49A2"/>
    <w:rsid w:val="008F4AD9"/>
    <w:rsid w:val="008F4E3A"/>
    <w:rsid w:val="008F4E3B"/>
    <w:rsid w:val="008F56B7"/>
    <w:rsid w:val="008F5EBF"/>
    <w:rsid w:val="008F6D58"/>
    <w:rsid w:val="0090064D"/>
    <w:rsid w:val="00901096"/>
    <w:rsid w:val="00901A86"/>
    <w:rsid w:val="00907108"/>
    <w:rsid w:val="0090794A"/>
    <w:rsid w:val="0091039E"/>
    <w:rsid w:val="00910AF6"/>
    <w:rsid w:val="00911A46"/>
    <w:rsid w:val="009121C0"/>
    <w:rsid w:val="00912F13"/>
    <w:rsid w:val="009155A4"/>
    <w:rsid w:val="0091664D"/>
    <w:rsid w:val="00916ADD"/>
    <w:rsid w:val="00917CDD"/>
    <w:rsid w:val="00920BEF"/>
    <w:rsid w:val="009210C1"/>
    <w:rsid w:val="00922C2C"/>
    <w:rsid w:val="00924057"/>
    <w:rsid w:val="00924CC9"/>
    <w:rsid w:val="00925C1D"/>
    <w:rsid w:val="00927157"/>
    <w:rsid w:val="0093032F"/>
    <w:rsid w:val="0093065C"/>
    <w:rsid w:val="00930D11"/>
    <w:rsid w:val="00931343"/>
    <w:rsid w:val="009314BF"/>
    <w:rsid w:val="00931F91"/>
    <w:rsid w:val="009325D7"/>
    <w:rsid w:val="00933DD3"/>
    <w:rsid w:val="0093427E"/>
    <w:rsid w:val="0093443F"/>
    <w:rsid w:val="00934A35"/>
    <w:rsid w:val="00935012"/>
    <w:rsid w:val="0093530B"/>
    <w:rsid w:val="00935B86"/>
    <w:rsid w:val="00936030"/>
    <w:rsid w:val="009360A7"/>
    <w:rsid w:val="0093692A"/>
    <w:rsid w:val="0093727E"/>
    <w:rsid w:val="0094019C"/>
    <w:rsid w:val="00940C82"/>
    <w:rsid w:val="0094172C"/>
    <w:rsid w:val="00942D6E"/>
    <w:rsid w:val="0094361F"/>
    <w:rsid w:val="0094427D"/>
    <w:rsid w:val="009448D4"/>
    <w:rsid w:val="009452B1"/>
    <w:rsid w:val="0094547F"/>
    <w:rsid w:val="0094677A"/>
    <w:rsid w:val="00952D5F"/>
    <w:rsid w:val="00953731"/>
    <w:rsid w:val="00954262"/>
    <w:rsid w:val="00954EF5"/>
    <w:rsid w:val="00955C1A"/>
    <w:rsid w:val="009566E6"/>
    <w:rsid w:val="0095719F"/>
    <w:rsid w:val="00957395"/>
    <w:rsid w:val="009604A7"/>
    <w:rsid w:val="00961E3E"/>
    <w:rsid w:val="0096238A"/>
    <w:rsid w:val="00965429"/>
    <w:rsid w:val="009670FB"/>
    <w:rsid w:val="00967E2F"/>
    <w:rsid w:val="009715BC"/>
    <w:rsid w:val="00973991"/>
    <w:rsid w:val="00974908"/>
    <w:rsid w:val="00974AD0"/>
    <w:rsid w:val="00975776"/>
    <w:rsid w:val="00976607"/>
    <w:rsid w:val="00977D81"/>
    <w:rsid w:val="009804A4"/>
    <w:rsid w:val="00980760"/>
    <w:rsid w:val="00980E36"/>
    <w:rsid w:val="00981BE0"/>
    <w:rsid w:val="00981FBD"/>
    <w:rsid w:val="009825AE"/>
    <w:rsid w:val="00982959"/>
    <w:rsid w:val="00982ABC"/>
    <w:rsid w:val="009841F8"/>
    <w:rsid w:val="00985693"/>
    <w:rsid w:val="00985A20"/>
    <w:rsid w:val="00985D2F"/>
    <w:rsid w:val="00986526"/>
    <w:rsid w:val="0098750F"/>
    <w:rsid w:val="0098767B"/>
    <w:rsid w:val="00990AC7"/>
    <w:rsid w:val="00993F42"/>
    <w:rsid w:val="00993F63"/>
    <w:rsid w:val="00994738"/>
    <w:rsid w:val="009949C3"/>
    <w:rsid w:val="0099643A"/>
    <w:rsid w:val="009A0E20"/>
    <w:rsid w:val="009A0E94"/>
    <w:rsid w:val="009A23D3"/>
    <w:rsid w:val="009A3001"/>
    <w:rsid w:val="009A3BC2"/>
    <w:rsid w:val="009A4AE3"/>
    <w:rsid w:val="009A5A96"/>
    <w:rsid w:val="009A5A97"/>
    <w:rsid w:val="009A5DC7"/>
    <w:rsid w:val="009B0257"/>
    <w:rsid w:val="009B054F"/>
    <w:rsid w:val="009B06C1"/>
    <w:rsid w:val="009B0B62"/>
    <w:rsid w:val="009B271C"/>
    <w:rsid w:val="009B291C"/>
    <w:rsid w:val="009B3320"/>
    <w:rsid w:val="009B4B8A"/>
    <w:rsid w:val="009B54B0"/>
    <w:rsid w:val="009C068D"/>
    <w:rsid w:val="009C10F1"/>
    <w:rsid w:val="009C45A4"/>
    <w:rsid w:val="009C5536"/>
    <w:rsid w:val="009C5644"/>
    <w:rsid w:val="009C5CC4"/>
    <w:rsid w:val="009C5F2A"/>
    <w:rsid w:val="009C6584"/>
    <w:rsid w:val="009C68DC"/>
    <w:rsid w:val="009C7E47"/>
    <w:rsid w:val="009D01FB"/>
    <w:rsid w:val="009D4787"/>
    <w:rsid w:val="009D687F"/>
    <w:rsid w:val="009E07CB"/>
    <w:rsid w:val="009E2673"/>
    <w:rsid w:val="009E2DBA"/>
    <w:rsid w:val="009E30A2"/>
    <w:rsid w:val="009E339A"/>
    <w:rsid w:val="009E5D84"/>
    <w:rsid w:val="009E61A6"/>
    <w:rsid w:val="009E6F8E"/>
    <w:rsid w:val="009E72E1"/>
    <w:rsid w:val="009E78C2"/>
    <w:rsid w:val="009F1F6C"/>
    <w:rsid w:val="009F1F7B"/>
    <w:rsid w:val="009F2632"/>
    <w:rsid w:val="009F2BCD"/>
    <w:rsid w:val="009F52CE"/>
    <w:rsid w:val="009F645E"/>
    <w:rsid w:val="009F655C"/>
    <w:rsid w:val="009F76F6"/>
    <w:rsid w:val="009F7973"/>
    <w:rsid w:val="009F7F3B"/>
    <w:rsid w:val="00A00E5E"/>
    <w:rsid w:val="00A019F9"/>
    <w:rsid w:val="00A01AB9"/>
    <w:rsid w:val="00A01B29"/>
    <w:rsid w:val="00A0231E"/>
    <w:rsid w:val="00A0246F"/>
    <w:rsid w:val="00A030AB"/>
    <w:rsid w:val="00A05FDB"/>
    <w:rsid w:val="00A0694D"/>
    <w:rsid w:val="00A06C6E"/>
    <w:rsid w:val="00A06D3D"/>
    <w:rsid w:val="00A0739A"/>
    <w:rsid w:val="00A1018A"/>
    <w:rsid w:val="00A14229"/>
    <w:rsid w:val="00A153F4"/>
    <w:rsid w:val="00A16AD3"/>
    <w:rsid w:val="00A21552"/>
    <w:rsid w:val="00A21572"/>
    <w:rsid w:val="00A22450"/>
    <w:rsid w:val="00A24CED"/>
    <w:rsid w:val="00A26067"/>
    <w:rsid w:val="00A27A92"/>
    <w:rsid w:val="00A30242"/>
    <w:rsid w:val="00A31D90"/>
    <w:rsid w:val="00A3438F"/>
    <w:rsid w:val="00A348D1"/>
    <w:rsid w:val="00A35095"/>
    <w:rsid w:val="00A354D8"/>
    <w:rsid w:val="00A36AC6"/>
    <w:rsid w:val="00A41ADC"/>
    <w:rsid w:val="00A438A4"/>
    <w:rsid w:val="00A44FBF"/>
    <w:rsid w:val="00A456B4"/>
    <w:rsid w:val="00A45B78"/>
    <w:rsid w:val="00A50924"/>
    <w:rsid w:val="00A50BDC"/>
    <w:rsid w:val="00A51514"/>
    <w:rsid w:val="00A52C1A"/>
    <w:rsid w:val="00A5485C"/>
    <w:rsid w:val="00A5538C"/>
    <w:rsid w:val="00A55F0D"/>
    <w:rsid w:val="00A57461"/>
    <w:rsid w:val="00A60A76"/>
    <w:rsid w:val="00A6163E"/>
    <w:rsid w:val="00A6176A"/>
    <w:rsid w:val="00A63340"/>
    <w:rsid w:val="00A637AA"/>
    <w:rsid w:val="00A65B07"/>
    <w:rsid w:val="00A6679A"/>
    <w:rsid w:val="00A667B9"/>
    <w:rsid w:val="00A66F4B"/>
    <w:rsid w:val="00A67343"/>
    <w:rsid w:val="00A6754A"/>
    <w:rsid w:val="00A67A9C"/>
    <w:rsid w:val="00A70C47"/>
    <w:rsid w:val="00A71371"/>
    <w:rsid w:val="00A715D0"/>
    <w:rsid w:val="00A71628"/>
    <w:rsid w:val="00A73911"/>
    <w:rsid w:val="00A74F12"/>
    <w:rsid w:val="00A75029"/>
    <w:rsid w:val="00A75C19"/>
    <w:rsid w:val="00A75D48"/>
    <w:rsid w:val="00A76D5B"/>
    <w:rsid w:val="00A77374"/>
    <w:rsid w:val="00A7781A"/>
    <w:rsid w:val="00A80A7F"/>
    <w:rsid w:val="00A80AAF"/>
    <w:rsid w:val="00A811BB"/>
    <w:rsid w:val="00A819B8"/>
    <w:rsid w:val="00A81AD3"/>
    <w:rsid w:val="00A82A69"/>
    <w:rsid w:val="00A82E19"/>
    <w:rsid w:val="00A84A76"/>
    <w:rsid w:val="00A86532"/>
    <w:rsid w:val="00A869D5"/>
    <w:rsid w:val="00A86F42"/>
    <w:rsid w:val="00A86F8B"/>
    <w:rsid w:val="00A91AFF"/>
    <w:rsid w:val="00A91EC6"/>
    <w:rsid w:val="00A93BAC"/>
    <w:rsid w:val="00A94199"/>
    <w:rsid w:val="00A9440C"/>
    <w:rsid w:val="00A9460E"/>
    <w:rsid w:val="00A94882"/>
    <w:rsid w:val="00A95971"/>
    <w:rsid w:val="00A9621E"/>
    <w:rsid w:val="00A969F9"/>
    <w:rsid w:val="00A97450"/>
    <w:rsid w:val="00AA1965"/>
    <w:rsid w:val="00AA1CD9"/>
    <w:rsid w:val="00AA21BC"/>
    <w:rsid w:val="00AA2839"/>
    <w:rsid w:val="00AA297A"/>
    <w:rsid w:val="00AA2A8D"/>
    <w:rsid w:val="00AA3616"/>
    <w:rsid w:val="00AA4113"/>
    <w:rsid w:val="00AA6972"/>
    <w:rsid w:val="00AA7087"/>
    <w:rsid w:val="00AA7ADD"/>
    <w:rsid w:val="00AB23AE"/>
    <w:rsid w:val="00AB2B27"/>
    <w:rsid w:val="00AB2EFC"/>
    <w:rsid w:val="00AB364F"/>
    <w:rsid w:val="00AB37F4"/>
    <w:rsid w:val="00AB4DA0"/>
    <w:rsid w:val="00AB5D67"/>
    <w:rsid w:val="00AB5FAC"/>
    <w:rsid w:val="00AC0359"/>
    <w:rsid w:val="00AC0592"/>
    <w:rsid w:val="00AC078C"/>
    <w:rsid w:val="00AC0EB7"/>
    <w:rsid w:val="00AC1034"/>
    <w:rsid w:val="00AC1286"/>
    <w:rsid w:val="00AC1410"/>
    <w:rsid w:val="00AC2046"/>
    <w:rsid w:val="00AC2680"/>
    <w:rsid w:val="00AC3479"/>
    <w:rsid w:val="00AC6876"/>
    <w:rsid w:val="00AC6F2F"/>
    <w:rsid w:val="00AC7C7A"/>
    <w:rsid w:val="00AC7D32"/>
    <w:rsid w:val="00AD0728"/>
    <w:rsid w:val="00AD0940"/>
    <w:rsid w:val="00AD1EAE"/>
    <w:rsid w:val="00AD28AB"/>
    <w:rsid w:val="00AD3BBE"/>
    <w:rsid w:val="00AD3F1F"/>
    <w:rsid w:val="00AD4632"/>
    <w:rsid w:val="00AD49FC"/>
    <w:rsid w:val="00AD5287"/>
    <w:rsid w:val="00AD60AE"/>
    <w:rsid w:val="00AD6B30"/>
    <w:rsid w:val="00AD75EA"/>
    <w:rsid w:val="00AD7853"/>
    <w:rsid w:val="00AE04BD"/>
    <w:rsid w:val="00AE1492"/>
    <w:rsid w:val="00AE2171"/>
    <w:rsid w:val="00AE2249"/>
    <w:rsid w:val="00AE49DA"/>
    <w:rsid w:val="00AE564D"/>
    <w:rsid w:val="00AE5A61"/>
    <w:rsid w:val="00AE6036"/>
    <w:rsid w:val="00AE608D"/>
    <w:rsid w:val="00AE6095"/>
    <w:rsid w:val="00AE659F"/>
    <w:rsid w:val="00AE69FC"/>
    <w:rsid w:val="00AE79C0"/>
    <w:rsid w:val="00AE7EDD"/>
    <w:rsid w:val="00AF13BC"/>
    <w:rsid w:val="00AF2F48"/>
    <w:rsid w:val="00AF3888"/>
    <w:rsid w:val="00AF4193"/>
    <w:rsid w:val="00AF4298"/>
    <w:rsid w:val="00AF42AF"/>
    <w:rsid w:val="00AF4722"/>
    <w:rsid w:val="00AF554C"/>
    <w:rsid w:val="00AF5730"/>
    <w:rsid w:val="00AF5E98"/>
    <w:rsid w:val="00AF638B"/>
    <w:rsid w:val="00AF73DF"/>
    <w:rsid w:val="00AF7996"/>
    <w:rsid w:val="00B00193"/>
    <w:rsid w:val="00B00AFD"/>
    <w:rsid w:val="00B00CFD"/>
    <w:rsid w:val="00B01A96"/>
    <w:rsid w:val="00B020BF"/>
    <w:rsid w:val="00B038D8"/>
    <w:rsid w:val="00B03ED4"/>
    <w:rsid w:val="00B04353"/>
    <w:rsid w:val="00B04C2E"/>
    <w:rsid w:val="00B054F6"/>
    <w:rsid w:val="00B0725A"/>
    <w:rsid w:val="00B07C73"/>
    <w:rsid w:val="00B1018B"/>
    <w:rsid w:val="00B10695"/>
    <w:rsid w:val="00B10C8F"/>
    <w:rsid w:val="00B12547"/>
    <w:rsid w:val="00B126E5"/>
    <w:rsid w:val="00B12B3C"/>
    <w:rsid w:val="00B152C1"/>
    <w:rsid w:val="00B15836"/>
    <w:rsid w:val="00B15B16"/>
    <w:rsid w:val="00B16016"/>
    <w:rsid w:val="00B16A00"/>
    <w:rsid w:val="00B173FF"/>
    <w:rsid w:val="00B20B68"/>
    <w:rsid w:val="00B20BDD"/>
    <w:rsid w:val="00B20E12"/>
    <w:rsid w:val="00B212E7"/>
    <w:rsid w:val="00B21707"/>
    <w:rsid w:val="00B2184D"/>
    <w:rsid w:val="00B2185F"/>
    <w:rsid w:val="00B21E2E"/>
    <w:rsid w:val="00B21F34"/>
    <w:rsid w:val="00B2282F"/>
    <w:rsid w:val="00B2304C"/>
    <w:rsid w:val="00B23A4D"/>
    <w:rsid w:val="00B23B36"/>
    <w:rsid w:val="00B23BA0"/>
    <w:rsid w:val="00B2440F"/>
    <w:rsid w:val="00B24AEF"/>
    <w:rsid w:val="00B25F05"/>
    <w:rsid w:val="00B261AA"/>
    <w:rsid w:val="00B26248"/>
    <w:rsid w:val="00B269F9"/>
    <w:rsid w:val="00B316CC"/>
    <w:rsid w:val="00B333C7"/>
    <w:rsid w:val="00B34B21"/>
    <w:rsid w:val="00B35F7F"/>
    <w:rsid w:val="00B368BA"/>
    <w:rsid w:val="00B37511"/>
    <w:rsid w:val="00B37954"/>
    <w:rsid w:val="00B37C6C"/>
    <w:rsid w:val="00B40859"/>
    <w:rsid w:val="00B40FA9"/>
    <w:rsid w:val="00B42D12"/>
    <w:rsid w:val="00B42EF1"/>
    <w:rsid w:val="00B43367"/>
    <w:rsid w:val="00B43541"/>
    <w:rsid w:val="00B44681"/>
    <w:rsid w:val="00B4473A"/>
    <w:rsid w:val="00B45524"/>
    <w:rsid w:val="00B46E26"/>
    <w:rsid w:val="00B46E68"/>
    <w:rsid w:val="00B46FFA"/>
    <w:rsid w:val="00B4706F"/>
    <w:rsid w:val="00B511FE"/>
    <w:rsid w:val="00B52B54"/>
    <w:rsid w:val="00B5317A"/>
    <w:rsid w:val="00B53887"/>
    <w:rsid w:val="00B53C91"/>
    <w:rsid w:val="00B5460F"/>
    <w:rsid w:val="00B54A4F"/>
    <w:rsid w:val="00B5591A"/>
    <w:rsid w:val="00B564C5"/>
    <w:rsid w:val="00B6177C"/>
    <w:rsid w:val="00B61848"/>
    <w:rsid w:val="00B63E7D"/>
    <w:rsid w:val="00B64720"/>
    <w:rsid w:val="00B64970"/>
    <w:rsid w:val="00B6745C"/>
    <w:rsid w:val="00B67E6E"/>
    <w:rsid w:val="00B7020D"/>
    <w:rsid w:val="00B70909"/>
    <w:rsid w:val="00B71586"/>
    <w:rsid w:val="00B71A3E"/>
    <w:rsid w:val="00B71FC5"/>
    <w:rsid w:val="00B73275"/>
    <w:rsid w:val="00B73312"/>
    <w:rsid w:val="00B73CA3"/>
    <w:rsid w:val="00B73DF3"/>
    <w:rsid w:val="00B74FBE"/>
    <w:rsid w:val="00B7555A"/>
    <w:rsid w:val="00B7607C"/>
    <w:rsid w:val="00B771B3"/>
    <w:rsid w:val="00B80336"/>
    <w:rsid w:val="00B80E55"/>
    <w:rsid w:val="00B83880"/>
    <w:rsid w:val="00B838B2"/>
    <w:rsid w:val="00B848B7"/>
    <w:rsid w:val="00B849EE"/>
    <w:rsid w:val="00B86851"/>
    <w:rsid w:val="00B86F87"/>
    <w:rsid w:val="00B878DA"/>
    <w:rsid w:val="00B913A2"/>
    <w:rsid w:val="00B93238"/>
    <w:rsid w:val="00B93A01"/>
    <w:rsid w:val="00B94637"/>
    <w:rsid w:val="00B9489D"/>
    <w:rsid w:val="00B948C3"/>
    <w:rsid w:val="00B9564B"/>
    <w:rsid w:val="00B96218"/>
    <w:rsid w:val="00B96C4F"/>
    <w:rsid w:val="00B96CCC"/>
    <w:rsid w:val="00BA27E3"/>
    <w:rsid w:val="00BA2940"/>
    <w:rsid w:val="00BA4800"/>
    <w:rsid w:val="00BA4D17"/>
    <w:rsid w:val="00BA4E23"/>
    <w:rsid w:val="00BA51BD"/>
    <w:rsid w:val="00BB06F0"/>
    <w:rsid w:val="00BB08C8"/>
    <w:rsid w:val="00BB19FC"/>
    <w:rsid w:val="00BB2143"/>
    <w:rsid w:val="00BB2359"/>
    <w:rsid w:val="00BB2ECD"/>
    <w:rsid w:val="00BB3988"/>
    <w:rsid w:val="00BB3F62"/>
    <w:rsid w:val="00BB3FC4"/>
    <w:rsid w:val="00BB3FDD"/>
    <w:rsid w:val="00BB4124"/>
    <w:rsid w:val="00BB4C9D"/>
    <w:rsid w:val="00BB51AD"/>
    <w:rsid w:val="00BB544D"/>
    <w:rsid w:val="00BB72DD"/>
    <w:rsid w:val="00BB794D"/>
    <w:rsid w:val="00BC2E65"/>
    <w:rsid w:val="00BC3F27"/>
    <w:rsid w:val="00BC5761"/>
    <w:rsid w:val="00BC6618"/>
    <w:rsid w:val="00BC69E6"/>
    <w:rsid w:val="00BC7783"/>
    <w:rsid w:val="00BC7E07"/>
    <w:rsid w:val="00BD0024"/>
    <w:rsid w:val="00BD0A2E"/>
    <w:rsid w:val="00BD0E8E"/>
    <w:rsid w:val="00BD137E"/>
    <w:rsid w:val="00BD16CD"/>
    <w:rsid w:val="00BD1898"/>
    <w:rsid w:val="00BD2762"/>
    <w:rsid w:val="00BD2837"/>
    <w:rsid w:val="00BD4F75"/>
    <w:rsid w:val="00BD4FEF"/>
    <w:rsid w:val="00BD5C34"/>
    <w:rsid w:val="00BD5FF6"/>
    <w:rsid w:val="00BD6292"/>
    <w:rsid w:val="00BD63DC"/>
    <w:rsid w:val="00BD74FC"/>
    <w:rsid w:val="00BD7E33"/>
    <w:rsid w:val="00BE02D0"/>
    <w:rsid w:val="00BE0F37"/>
    <w:rsid w:val="00BE16EB"/>
    <w:rsid w:val="00BE2761"/>
    <w:rsid w:val="00BE27AE"/>
    <w:rsid w:val="00BE4949"/>
    <w:rsid w:val="00BE6581"/>
    <w:rsid w:val="00BE6B88"/>
    <w:rsid w:val="00BE7225"/>
    <w:rsid w:val="00BF0B31"/>
    <w:rsid w:val="00BF0ED8"/>
    <w:rsid w:val="00BF16E8"/>
    <w:rsid w:val="00BF1D63"/>
    <w:rsid w:val="00BF2283"/>
    <w:rsid w:val="00BF4C47"/>
    <w:rsid w:val="00BF5CA7"/>
    <w:rsid w:val="00BF6419"/>
    <w:rsid w:val="00BF6973"/>
    <w:rsid w:val="00BF778F"/>
    <w:rsid w:val="00C016E6"/>
    <w:rsid w:val="00C03395"/>
    <w:rsid w:val="00C04308"/>
    <w:rsid w:val="00C049F3"/>
    <w:rsid w:val="00C05381"/>
    <w:rsid w:val="00C07D59"/>
    <w:rsid w:val="00C11164"/>
    <w:rsid w:val="00C11E97"/>
    <w:rsid w:val="00C143B8"/>
    <w:rsid w:val="00C16B3F"/>
    <w:rsid w:val="00C16C2B"/>
    <w:rsid w:val="00C1753D"/>
    <w:rsid w:val="00C1785B"/>
    <w:rsid w:val="00C20630"/>
    <w:rsid w:val="00C212A1"/>
    <w:rsid w:val="00C21C5A"/>
    <w:rsid w:val="00C23F15"/>
    <w:rsid w:val="00C241B5"/>
    <w:rsid w:val="00C2426C"/>
    <w:rsid w:val="00C24FF3"/>
    <w:rsid w:val="00C25059"/>
    <w:rsid w:val="00C250D2"/>
    <w:rsid w:val="00C254F8"/>
    <w:rsid w:val="00C2567A"/>
    <w:rsid w:val="00C318E4"/>
    <w:rsid w:val="00C32377"/>
    <w:rsid w:val="00C326B0"/>
    <w:rsid w:val="00C340DF"/>
    <w:rsid w:val="00C34A0D"/>
    <w:rsid w:val="00C407ED"/>
    <w:rsid w:val="00C40F2B"/>
    <w:rsid w:val="00C41F55"/>
    <w:rsid w:val="00C42536"/>
    <w:rsid w:val="00C42F33"/>
    <w:rsid w:val="00C4510D"/>
    <w:rsid w:val="00C45188"/>
    <w:rsid w:val="00C477B9"/>
    <w:rsid w:val="00C51F6E"/>
    <w:rsid w:val="00C523F4"/>
    <w:rsid w:val="00C526FE"/>
    <w:rsid w:val="00C52722"/>
    <w:rsid w:val="00C5273E"/>
    <w:rsid w:val="00C5348C"/>
    <w:rsid w:val="00C544EF"/>
    <w:rsid w:val="00C54A8D"/>
    <w:rsid w:val="00C55913"/>
    <w:rsid w:val="00C55E5C"/>
    <w:rsid w:val="00C56022"/>
    <w:rsid w:val="00C56138"/>
    <w:rsid w:val="00C57258"/>
    <w:rsid w:val="00C57840"/>
    <w:rsid w:val="00C57995"/>
    <w:rsid w:val="00C57D3B"/>
    <w:rsid w:val="00C60B77"/>
    <w:rsid w:val="00C61F67"/>
    <w:rsid w:val="00C628F6"/>
    <w:rsid w:val="00C63EF6"/>
    <w:rsid w:val="00C658D1"/>
    <w:rsid w:val="00C70AEF"/>
    <w:rsid w:val="00C70C6D"/>
    <w:rsid w:val="00C70CA9"/>
    <w:rsid w:val="00C7263C"/>
    <w:rsid w:val="00C73179"/>
    <w:rsid w:val="00C73D0F"/>
    <w:rsid w:val="00C74803"/>
    <w:rsid w:val="00C77181"/>
    <w:rsid w:val="00C7736C"/>
    <w:rsid w:val="00C80663"/>
    <w:rsid w:val="00C80BCD"/>
    <w:rsid w:val="00C81415"/>
    <w:rsid w:val="00C81BF0"/>
    <w:rsid w:val="00C820CB"/>
    <w:rsid w:val="00C8321C"/>
    <w:rsid w:val="00C832B5"/>
    <w:rsid w:val="00C83552"/>
    <w:rsid w:val="00C849E9"/>
    <w:rsid w:val="00C8516B"/>
    <w:rsid w:val="00C8684C"/>
    <w:rsid w:val="00C870B8"/>
    <w:rsid w:val="00C874B0"/>
    <w:rsid w:val="00C87528"/>
    <w:rsid w:val="00C9092F"/>
    <w:rsid w:val="00C914D2"/>
    <w:rsid w:val="00C925BF"/>
    <w:rsid w:val="00C93593"/>
    <w:rsid w:val="00C93E71"/>
    <w:rsid w:val="00C941D7"/>
    <w:rsid w:val="00C94957"/>
    <w:rsid w:val="00C94BFF"/>
    <w:rsid w:val="00C95058"/>
    <w:rsid w:val="00C95C93"/>
    <w:rsid w:val="00C95D2C"/>
    <w:rsid w:val="00C96306"/>
    <w:rsid w:val="00C97B78"/>
    <w:rsid w:val="00CA0E00"/>
    <w:rsid w:val="00CA137F"/>
    <w:rsid w:val="00CA25EA"/>
    <w:rsid w:val="00CA2DF7"/>
    <w:rsid w:val="00CA3007"/>
    <w:rsid w:val="00CA37F3"/>
    <w:rsid w:val="00CA5CF4"/>
    <w:rsid w:val="00CA6A89"/>
    <w:rsid w:val="00CA6C9C"/>
    <w:rsid w:val="00CB08F2"/>
    <w:rsid w:val="00CB1393"/>
    <w:rsid w:val="00CB3BFA"/>
    <w:rsid w:val="00CB4F9A"/>
    <w:rsid w:val="00CB5076"/>
    <w:rsid w:val="00CB5904"/>
    <w:rsid w:val="00CB6213"/>
    <w:rsid w:val="00CB66AF"/>
    <w:rsid w:val="00CB7DAA"/>
    <w:rsid w:val="00CB7DD5"/>
    <w:rsid w:val="00CC2371"/>
    <w:rsid w:val="00CC33C1"/>
    <w:rsid w:val="00CC5E7A"/>
    <w:rsid w:val="00CC65D7"/>
    <w:rsid w:val="00CC790B"/>
    <w:rsid w:val="00CD0037"/>
    <w:rsid w:val="00CD2E5C"/>
    <w:rsid w:val="00CD4994"/>
    <w:rsid w:val="00CD6D12"/>
    <w:rsid w:val="00CD6E28"/>
    <w:rsid w:val="00CE067E"/>
    <w:rsid w:val="00CE25AB"/>
    <w:rsid w:val="00CE2893"/>
    <w:rsid w:val="00CE2BD2"/>
    <w:rsid w:val="00CE3896"/>
    <w:rsid w:val="00CE51A6"/>
    <w:rsid w:val="00CE6443"/>
    <w:rsid w:val="00CE66E4"/>
    <w:rsid w:val="00CE74C6"/>
    <w:rsid w:val="00CF05A4"/>
    <w:rsid w:val="00CF2135"/>
    <w:rsid w:val="00CF3B67"/>
    <w:rsid w:val="00CF3DBE"/>
    <w:rsid w:val="00CF4E75"/>
    <w:rsid w:val="00CF5194"/>
    <w:rsid w:val="00CF733D"/>
    <w:rsid w:val="00CF7CBF"/>
    <w:rsid w:val="00D00568"/>
    <w:rsid w:val="00D01B53"/>
    <w:rsid w:val="00D0206A"/>
    <w:rsid w:val="00D03B74"/>
    <w:rsid w:val="00D03BEA"/>
    <w:rsid w:val="00D03EAA"/>
    <w:rsid w:val="00D04918"/>
    <w:rsid w:val="00D04F8A"/>
    <w:rsid w:val="00D055EC"/>
    <w:rsid w:val="00D05E1D"/>
    <w:rsid w:val="00D06D2B"/>
    <w:rsid w:val="00D06E30"/>
    <w:rsid w:val="00D07703"/>
    <w:rsid w:val="00D1015C"/>
    <w:rsid w:val="00D10273"/>
    <w:rsid w:val="00D11110"/>
    <w:rsid w:val="00D1125C"/>
    <w:rsid w:val="00D124A4"/>
    <w:rsid w:val="00D14875"/>
    <w:rsid w:val="00D15B4C"/>
    <w:rsid w:val="00D15B97"/>
    <w:rsid w:val="00D15E87"/>
    <w:rsid w:val="00D16B23"/>
    <w:rsid w:val="00D171B1"/>
    <w:rsid w:val="00D17EA2"/>
    <w:rsid w:val="00D204E5"/>
    <w:rsid w:val="00D21629"/>
    <w:rsid w:val="00D2187B"/>
    <w:rsid w:val="00D2311C"/>
    <w:rsid w:val="00D23EE9"/>
    <w:rsid w:val="00D242D7"/>
    <w:rsid w:val="00D24652"/>
    <w:rsid w:val="00D26158"/>
    <w:rsid w:val="00D26F86"/>
    <w:rsid w:val="00D272E9"/>
    <w:rsid w:val="00D30FA3"/>
    <w:rsid w:val="00D33A18"/>
    <w:rsid w:val="00D34646"/>
    <w:rsid w:val="00D35E2B"/>
    <w:rsid w:val="00D3634F"/>
    <w:rsid w:val="00D36867"/>
    <w:rsid w:val="00D371F4"/>
    <w:rsid w:val="00D40A9B"/>
    <w:rsid w:val="00D417B2"/>
    <w:rsid w:val="00D41EE9"/>
    <w:rsid w:val="00D42ACD"/>
    <w:rsid w:val="00D446B0"/>
    <w:rsid w:val="00D44A89"/>
    <w:rsid w:val="00D459CC"/>
    <w:rsid w:val="00D45EF7"/>
    <w:rsid w:val="00D471FF"/>
    <w:rsid w:val="00D505AB"/>
    <w:rsid w:val="00D50632"/>
    <w:rsid w:val="00D50710"/>
    <w:rsid w:val="00D51F6E"/>
    <w:rsid w:val="00D524E8"/>
    <w:rsid w:val="00D536BD"/>
    <w:rsid w:val="00D54BF8"/>
    <w:rsid w:val="00D550D0"/>
    <w:rsid w:val="00D55DD8"/>
    <w:rsid w:val="00D565ED"/>
    <w:rsid w:val="00D5786E"/>
    <w:rsid w:val="00D57E69"/>
    <w:rsid w:val="00D57F35"/>
    <w:rsid w:val="00D57F3A"/>
    <w:rsid w:val="00D60B32"/>
    <w:rsid w:val="00D617AF"/>
    <w:rsid w:val="00D6207F"/>
    <w:rsid w:val="00D621F4"/>
    <w:rsid w:val="00D62AE9"/>
    <w:rsid w:val="00D65A60"/>
    <w:rsid w:val="00D662D8"/>
    <w:rsid w:val="00D677B3"/>
    <w:rsid w:val="00D703B7"/>
    <w:rsid w:val="00D7179A"/>
    <w:rsid w:val="00D736A8"/>
    <w:rsid w:val="00D73B87"/>
    <w:rsid w:val="00D75599"/>
    <w:rsid w:val="00D755B5"/>
    <w:rsid w:val="00D75C52"/>
    <w:rsid w:val="00D76275"/>
    <w:rsid w:val="00D80994"/>
    <w:rsid w:val="00D81B10"/>
    <w:rsid w:val="00D82AE5"/>
    <w:rsid w:val="00D8306F"/>
    <w:rsid w:val="00D841CC"/>
    <w:rsid w:val="00D84B13"/>
    <w:rsid w:val="00D858A5"/>
    <w:rsid w:val="00D85982"/>
    <w:rsid w:val="00D85D48"/>
    <w:rsid w:val="00D85F71"/>
    <w:rsid w:val="00D861A1"/>
    <w:rsid w:val="00D861D2"/>
    <w:rsid w:val="00D865F3"/>
    <w:rsid w:val="00D9138F"/>
    <w:rsid w:val="00D916E7"/>
    <w:rsid w:val="00D9176A"/>
    <w:rsid w:val="00D931ED"/>
    <w:rsid w:val="00D93E07"/>
    <w:rsid w:val="00D93ED6"/>
    <w:rsid w:val="00D95394"/>
    <w:rsid w:val="00D953E3"/>
    <w:rsid w:val="00D962DD"/>
    <w:rsid w:val="00D96917"/>
    <w:rsid w:val="00D97E57"/>
    <w:rsid w:val="00DA197F"/>
    <w:rsid w:val="00DA20CC"/>
    <w:rsid w:val="00DA3215"/>
    <w:rsid w:val="00DA5519"/>
    <w:rsid w:val="00DA77F1"/>
    <w:rsid w:val="00DB1245"/>
    <w:rsid w:val="00DB1A46"/>
    <w:rsid w:val="00DB21D1"/>
    <w:rsid w:val="00DB2F1C"/>
    <w:rsid w:val="00DB3A9A"/>
    <w:rsid w:val="00DB3EE0"/>
    <w:rsid w:val="00DB705F"/>
    <w:rsid w:val="00DC053B"/>
    <w:rsid w:val="00DC0DB8"/>
    <w:rsid w:val="00DC1088"/>
    <w:rsid w:val="00DC1F62"/>
    <w:rsid w:val="00DC243F"/>
    <w:rsid w:val="00DC53C5"/>
    <w:rsid w:val="00DC6C08"/>
    <w:rsid w:val="00DC6E11"/>
    <w:rsid w:val="00DC7154"/>
    <w:rsid w:val="00DC7666"/>
    <w:rsid w:val="00DC7906"/>
    <w:rsid w:val="00DD102C"/>
    <w:rsid w:val="00DD1D29"/>
    <w:rsid w:val="00DD2940"/>
    <w:rsid w:val="00DD4EE4"/>
    <w:rsid w:val="00DE09B1"/>
    <w:rsid w:val="00DE114F"/>
    <w:rsid w:val="00DE145D"/>
    <w:rsid w:val="00DE1549"/>
    <w:rsid w:val="00DE2458"/>
    <w:rsid w:val="00DE267A"/>
    <w:rsid w:val="00DE34EF"/>
    <w:rsid w:val="00DE3CD8"/>
    <w:rsid w:val="00DE58B6"/>
    <w:rsid w:val="00DE5BAB"/>
    <w:rsid w:val="00DE6611"/>
    <w:rsid w:val="00DE76EB"/>
    <w:rsid w:val="00DF166B"/>
    <w:rsid w:val="00DF1BB8"/>
    <w:rsid w:val="00DF1BC2"/>
    <w:rsid w:val="00DF1D82"/>
    <w:rsid w:val="00DF4153"/>
    <w:rsid w:val="00DF5A43"/>
    <w:rsid w:val="00DF79E1"/>
    <w:rsid w:val="00E00252"/>
    <w:rsid w:val="00E00968"/>
    <w:rsid w:val="00E02C86"/>
    <w:rsid w:val="00E02CF7"/>
    <w:rsid w:val="00E03A27"/>
    <w:rsid w:val="00E03E08"/>
    <w:rsid w:val="00E04874"/>
    <w:rsid w:val="00E0559B"/>
    <w:rsid w:val="00E05A33"/>
    <w:rsid w:val="00E07C35"/>
    <w:rsid w:val="00E07EC7"/>
    <w:rsid w:val="00E1039C"/>
    <w:rsid w:val="00E108CB"/>
    <w:rsid w:val="00E11288"/>
    <w:rsid w:val="00E11941"/>
    <w:rsid w:val="00E13B30"/>
    <w:rsid w:val="00E164B8"/>
    <w:rsid w:val="00E179E3"/>
    <w:rsid w:val="00E20BDA"/>
    <w:rsid w:val="00E212C6"/>
    <w:rsid w:val="00E21D29"/>
    <w:rsid w:val="00E231C9"/>
    <w:rsid w:val="00E24D93"/>
    <w:rsid w:val="00E26D12"/>
    <w:rsid w:val="00E27958"/>
    <w:rsid w:val="00E279DA"/>
    <w:rsid w:val="00E30E86"/>
    <w:rsid w:val="00E3120B"/>
    <w:rsid w:val="00E31606"/>
    <w:rsid w:val="00E32708"/>
    <w:rsid w:val="00E33018"/>
    <w:rsid w:val="00E34488"/>
    <w:rsid w:val="00E36C08"/>
    <w:rsid w:val="00E37868"/>
    <w:rsid w:val="00E40FB0"/>
    <w:rsid w:val="00E41106"/>
    <w:rsid w:val="00E428AC"/>
    <w:rsid w:val="00E43684"/>
    <w:rsid w:val="00E437C5"/>
    <w:rsid w:val="00E44252"/>
    <w:rsid w:val="00E442FE"/>
    <w:rsid w:val="00E44C28"/>
    <w:rsid w:val="00E4535D"/>
    <w:rsid w:val="00E459CD"/>
    <w:rsid w:val="00E45BC6"/>
    <w:rsid w:val="00E463BE"/>
    <w:rsid w:val="00E4642D"/>
    <w:rsid w:val="00E46FDE"/>
    <w:rsid w:val="00E50D07"/>
    <w:rsid w:val="00E51BD8"/>
    <w:rsid w:val="00E53BAC"/>
    <w:rsid w:val="00E545C7"/>
    <w:rsid w:val="00E54D22"/>
    <w:rsid w:val="00E553A1"/>
    <w:rsid w:val="00E55E2B"/>
    <w:rsid w:val="00E5681F"/>
    <w:rsid w:val="00E5737E"/>
    <w:rsid w:val="00E6081D"/>
    <w:rsid w:val="00E60EAE"/>
    <w:rsid w:val="00E60FDB"/>
    <w:rsid w:val="00E61564"/>
    <w:rsid w:val="00E62147"/>
    <w:rsid w:val="00E637F4"/>
    <w:rsid w:val="00E66FB5"/>
    <w:rsid w:val="00E67EC5"/>
    <w:rsid w:val="00E70E27"/>
    <w:rsid w:val="00E71435"/>
    <w:rsid w:val="00E71540"/>
    <w:rsid w:val="00E7165B"/>
    <w:rsid w:val="00E7359E"/>
    <w:rsid w:val="00E7497F"/>
    <w:rsid w:val="00E75E3C"/>
    <w:rsid w:val="00E76221"/>
    <w:rsid w:val="00E7663D"/>
    <w:rsid w:val="00E771CF"/>
    <w:rsid w:val="00E81277"/>
    <w:rsid w:val="00E8142C"/>
    <w:rsid w:val="00E824CF"/>
    <w:rsid w:val="00E82555"/>
    <w:rsid w:val="00E83A5C"/>
    <w:rsid w:val="00E850D6"/>
    <w:rsid w:val="00E853DA"/>
    <w:rsid w:val="00E8567B"/>
    <w:rsid w:val="00E863A2"/>
    <w:rsid w:val="00E8662C"/>
    <w:rsid w:val="00E86EC7"/>
    <w:rsid w:val="00E87178"/>
    <w:rsid w:val="00E874AB"/>
    <w:rsid w:val="00E90627"/>
    <w:rsid w:val="00E918E4"/>
    <w:rsid w:val="00E9229D"/>
    <w:rsid w:val="00E92540"/>
    <w:rsid w:val="00E92EC1"/>
    <w:rsid w:val="00E93741"/>
    <w:rsid w:val="00E94DFA"/>
    <w:rsid w:val="00E96120"/>
    <w:rsid w:val="00E972C7"/>
    <w:rsid w:val="00EA05EB"/>
    <w:rsid w:val="00EA0708"/>
    <w:rsid w:val="00EA07F4"/>
    <w:rsid w:val="00EA0D7E"/>
    <w:rsid w:val="00EA26C3"/>
    <w:rsid w:val="00EA2B33"/>
    <w:rsid w:val="00EA4DD1"/>
    <w:rsid w:val="00EA5418"/>
    <w:rsid w:val="00EA6C49"/>
    <w:rsid w:val="00EA730B"/>
    <w:rsid w:val="00EA7F4A"/>
    <w:rsid w:val="00EB112C"/>
    <w:rsid w:val="00EB195C"/>
    <w:rsid w:val="00EB1AE1"/>
    <w:rsid w:val="00EB1E3F"/>
    <w:rsid w:val="00EB26B0"/>
    <w:rsid w:val="00EB2FA4"/>
    <w:rsid w:val="00EB37D6"/>
    <w:rsid w:val="00EB3EC7"/>
    <w:rsid w:val="00EB415F"/>
    <w:rsid w:val="00EB4383"/>
    <w:rsid w:val="00EB4758"/>
    <w:rsid w:val="00EB4870"/>
    <w:rsid w:val="00EB4BF6"/>
    <w:rsid w:val="00EB5241"/>
    <w:rsid w:val="00EC129E"/>
    <w:rsid w:val="00EC1345"/>
    <w:rsid w:val="00EC1BE8"/>
    <w:rsid w:val="00EC3BD4"/>
    <w:rsid w:val="00EC6297"/>
    <w:rsid w:val="00EC685B"/>
    <w:rsid w:val="00EC7550"/>
    <w:rsid w:val="00ED0042"/>
    <w:rsid w:val="00ED0C09"/>
    <w:rsid w:val="00ED10D9"/>
    <w:rsid w:val="00ED118F"/>
    <w:rsid w:val="00ED3358"/>
    <w:rsid w:val="00ED58DD"/>
    <w:rsid w:val="00ED61D8"/>
    <w:rsid w:val="00ED7A33"/>
    <w:rsid w:val="00EE06DD"/>
    <w:rsid w:val="00EE093A"/>
    <w:rsid w:val="00EE0FFF"/>
    <w:rsid w:val="00EE11C3"/>
    <w:rsid w:val="00EE2EE1"/>
    <w:rsid w:val="00EE3691"/>
    <w:rsid w:val="00EE3ADD"/>
    <w:rsid w:val="00EE5E03"/>
    <w:rsid w:val="00EE6183"/>
    <w:rsid w:val="00EE6256"/>
    <w:rsid w:val="00EE64E5"/>
    <w:rsid w:val="00EF09CB"/>
    <w:rsid w:val="00EF1A76"/>
    <w:rsid w:val="00EF287E"/>
    <w:rsid w:val="00EF2E9D"/>
    <w:rsid w:val="00EF339B"/>
    <w:rsid w:val="00EF363D"/>
    <w:rsid w:val="00EF3F46"/>
    <w:rsid w:val="00EF428D"/>
    <w:rsid w:val="00EF615E"/>
    <w:rsid w:val="00EF689B"/>
    <w:rsid w:val="00EF6CE1"/>
    <w:rsid w:val="00F00093"/>
    <w:rsid w:val="00F02959"/>
    <w:rsid w:val="00F029BA"/>
    <w:rsid w:val="00F02AAA"/>
    <w:rsid w:val="00F02AE3"/>
    <w:rsid w:val="00F05495"/>
    <w:rsid w:val="00F055B7"/>
    <w:rsid w:val="00F0714A"/>
    <w:rsid w:val="00F07C70"/>
    <w:rsid w:val="00F1092D"/>
    <w:rsid w:val="00F10DBD"/>
    <w:rsid w:val="00F11213"/>
    <w:rsid w:val="00F12A4D"/>
    <w:rsid w:val="00F12BFB"/>
    <w:rsid w:val="00F13436"/>
    <w:rsid w:val="00F139F7"/>
    <w:rsid w:val="00F162A6"/>
    <w:rsid w:val="00F1679E"/>
    <w:rsid w:val="00F2036F"/>
    <w:rsid w:val="00F23349"/>
    <w:rsid w:val="00F236ED"/>
    <w:rsid w:val="00F23C2F"/>
    <w:rsid w:val="00F23DD3"/>
    <w:rsid w:val="00F25306"/>
    <w:rsid w:val="00F256D9"/>
    <w:rsid w:val="00F26A36"/>
    <w:rsid w:val="00F27032"/>
    <w:rsid w:val="00F30265"/>
    <w:rsid w:val="00F30568"/>
    <w:rsid w:val="00F325B6"/>
    <w:rsid w:val="00F340BF"/>
    <w:rsid w:val="00F34B45"/>
    <w:rsid w:val="00F35FD0"/>
    <w:rsid w:val="00F36460"/>
    <w:rsid w:val="00F37B98"/>
    <w:rsid w:val="00F37BEB"/>
    <w:rsid w:val="00F41B6F"/>
    <w:rsid w:val="00F4255E"/>
    <w:rsid w:val="00F426F2"/>
    <w:rsid w:val="00F443BE"/>
    <w:rsid w:val="00F4590B"/>
    <w:rsid w:val="00F45C83"/>
    <w:rsid w:val="00F463E2"/>
    <w:rsid w:val="00F46E2A"/>
    <w:rsid w:val="00F51489"/>
    <w:rsid w:val="00F515BA"/>
    <w:rsid w:val="00F52172"/>
    <w:rsid w:val="00F5403B"/>
    <w:rsid w:val="00F54DCB"/>
    <w:rsid w:val="00F54DFC"/>
    <w:rsid w:val="00F55039"/>
    <w:rsid w:val="00F55184"/>
    <w:rsid w:val="00F60415"/>
    <w:rsid w:val="00F6056C"/>
    <w:rsid w:val="00F608DA"/>
    <w:rsid w:val="00F614E3"/>
    <w:rsid w:val="00F62B93"/>
    <w:rsid w:val="00F62E1E"/>
    <w:rsid w:val="00F633FC"/>
    <w:rsid w:val="00F63AF7"/>
    <w:rsid w:val="00F64304"/>
    <w:rsid w:val="00F645C4"/>
    <w:rsid w:val="00F64709"/>
    <w:rsid w:val="00F65748"/>
    <w:rsid w:val="00F70870"/>
    <w:rsid w:val="00F70CB6"/>
    <w:rsid w:val="00F7239F"/>
    <w:rsid w:val="00F73162"/>
    <w:rsid w:val="00F73E11"/>
    <w:rsid w:val="00F7603D"/>
    <w:rsid w:val="00F77D25"/>
    <w:rsid w:val="00F810CB"/>
    <w:rsid w:val="00F81630"/>
    <w:rsid w:val="00F81C4E"/>
    <w:rsid w:val="00F81E20"/>
    <w:rsid w:val="00F82560"/>
    <w:rsid w:val="00F825AE"/>
    <w:rsid w:val="00F84522"/>
    <w:rsid w:val="00F8513D"/>
    <w:rsid w:val="00F8540D"/>
    <w:rsid w:val="00F85C19"/>
    <w:rsid w:val="00F8628C"/>
    <w:rsid w:val="00F86990"/>
    <w:rsid w:val="00F87B4E"/>
    <w:rsid w:val="00F87B75"/>
    <w:rsid w:val="00F91207"/>
    <w:rsid w:val="00F91A30"/>
    <w:rsid w:val="00F9307A"/>
    <w:rsid w:val="00F93339"/>
    <w:rsid w:val="00F93730"/>
    <w:rsid w:val="00F93BA3"/>
    <w:rsid w:val="00F94836"/>
    <w:rsid w:val="00F94C9F"/>
    <w:rsid w:val="00F95426"/>
    <w:rsid w:val="00F9761B"/>
    <w:rsid w:val="00F97FB1"/>
    <w:rsid w:val="00FA0EA5"/>
    <w:rsid w:val="00FA328D"/>
    <w:rsid w:val="00FA3619"/>
    <w:rsid w:val="00FA3D5D"/>
    <w:rsid w:val="00FA4F5F"/>
    <w:rsid w:val="00FA5947"/>
    <w:rsid w:val="00FA60D8"/>
    <w:rsid w:val="00FA6F97"/>
    <w:rsid w:val="00FA7471"/>
    <w:rsid w:val="00FA799F"/>
    <w:rsid w:val="00FA7DDB"/>
    <w:rsid w:val="00FA7F60"/>
    <w:rsid w:val="00FB07C0"/>
    <w:rsid w:val="00FB0F81"/>
    <w:rsid w:val="00FB1010"/>
    <w:rsid w:val="00FB1C2D"/>
    <w:rsid w:val="00FB1EBF"/>
    <w:rsid w:val="00FB23F0"/>
    <w:rsid w:val="00FB26A6"/>
    <w:rsid w:val="00FB27AF"/>
    <w:rsid w:val="00FB3ABB"/>
    <w:rsid w:val="00FB6049"/>
    <w:rsid w:val="00FB6304"/>
    <w:rsid w:val="00FB70AC"/>
    <w:rsid w:val="00FB7DB5"/>
    <w:rsid w:val="00FC1869"/>
    <w:rsid w:val="00FC1D7D"/>
    <w:rsid w:val="00FC2084"/>
    <w:rsid w:val="00FC34D2"/>
    <w:rsid w:val="00FC5C37"/>
    <w:rsid w:val="00FC611C"/>
    <w:rsid w:val="00FC663D"/>
    <w:rsid w:val="00FC691C"/>
    <w:rsid w:val="00FD02A9"/>
    <w:rsid w:val="00FD1BAE"/>
    <w:rsid w:val="00FD2E1D"/>
    <w:rsid w:val="00FD47EF"/>
    <w:rsid w:val="00FD5830"/>
    <w:rsid w:val="00FD5AC0"/>
    <w:rsid w:val="00FD6ECC"/>
    <w:rsid w:val="00FD702F"/>
    <w:rsid w:val="00FE1B99"/>
    <w:rsid w:val="00FE38CE"/>
    <w:rsid w:val="00FE4136"/>
    <w:rsid w:val="00FE4685"/>
    <w:rsid w:val="00FE4A87"/>
    <w:rsid w:val="00FE504A"/>
    <w:rsid w:val="00FE6592"/>
    <w:rsid w:val="00FE6A08"/>
    <w:rsid w:val="00FF0AAA"/>
    <w:rsid w:val="00FF159D"/>
    <w:rsid w:val="00FF240F"/>
    <w:rsid w:val="00FF2D61"/>
    <w:rsid w:val="00FF382E"/>
    <w:rsid w:val="00FF3B1D"/>
    <w:rsid w:val="00FF3C3F"/>
    <w:rsid w:val="00FF4908"/>
    <w:rsid w:val="00FF4F14"/>
    <w:rsid w:val="00FF5A41"/>
    <w:rsid w:val="00FF5BE8"/>
    <w:rsid w:val="00FF649B"/>
    <w:rsid w:val="00FF7663"/>
    <w:rsid w:val="00FF7C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5297">
      <o:colormru v:ext="edit" colors="#40b4e5,#005cb9,#95d600,#0064a7,#97c93d"/>
    </o:shapedefaults>
    <o:shapelayout v:ext="edit">
      <o:idmap v:ext="edit" data="1"/>
    </o:shapelayout>
  </w:shapeDefaults>
  <w:decimalSymbol w:val="."/>
  <w:listSeparator w:val=","/>
  <w14:docId w14:val="442C77FA"/>
  <w15:docId w15:val="{426AA761-BAEB-4F98-A19D-7E7963EA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link w:val="Ttulo1Car"/>
    <w:uiPriority w:val="1"/>
    <w:qFormat/>
    <w:rsid w:val="002F3062"/>
    <w:pPr>
      <w:widowControl w:val="0"/>
      <w:spacing w:after="0" w:line="240" w:lineRule="auto"/>
      <w:ind w:left="282"/>
      <w:outlineLvl w:val="0"/>
    </w:pPr>
    <w:rPr>
      <w:rFonts w:ascii="Arial" w:eastAsia="Arial" w:hAnsi="Arial" w:cstheme="minorBidi"/>
      <w:b/>
      <w:bCs/>
      <w:sz w:val="24"/>
      <w:szCs w:val="24"/>
      <w:lang w:val="en-US"/>
    </w:rPr>
  </w:style>
  <w:style w:type="paragraph" w:styleId="Ttulo2">
    <w:name w:val="heading 2"/>
    <w:basedOn w:val="Normal"/>
    <w:next w:val="Normal"/>
    <w:link w:val="Ttulo2Car"/>
    <w:uiPriority w:val="9"/>
    <w:semiHidden/>
    <w:unhideWhenUsed/>
    <w:qFormat/>
    <w:rsid w:val="00B20E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C01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F3062"/>
    <w:rPr>
      <w:rFonts w:ascii="Arial" w:eastAsia="Arial" w:hAnsi="Arial" w:cstheme="minorBidi"/>
      <w:b/>
      <w:bCs/>
      <w:sz w:val="24"/>
      <w:szCs w:val="24"/>
      <w:lang w:val="en-US" w:eastAsia="en-US"/>
    </w:rPr>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character" w:customStyle="1" w:styleId="PrrafodelistaCar">
    <w:name w:val="Párrafo de lista Car"/>
    <w:link w:val="Prrafodelista"/>
    <w:uiPriority w:val="34"/>
    <w:rsid w:val="00F25306"/>
    <w:rPr>
      <w:sz w:val="22"/>
      <w:szCs w:val="22"/>
      <w:lang w:eastAsia="en-US"/>
    </w:r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table" w:styleId="Tablaconcuadrcula">
    <w:name w:val="Table Grid"/>
    <w:basedOn w:val="Tablanormal"/>
    <w:uiPriority w:val="3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3951"/>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uiPriority w:val="2"/>
    <w:semiHidden/>
    <w:unhideWhenUsed/>
    <w:qFormat/>
    <w:rsid w:val="002F306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F3062"/>
    <w:pPr>
      <w:widowControl w:val="0"/>
      <w:spacing w:after="0" w:line="240" w:lineRule="auto"/>
      <w:ind w:left="282"/>
    </w:pPr>
    <w:rPr>
      <w:rFonts w:ascii="Arial" w:eastAsia="Arial" w:hAnsi="Arial" w:cstheme="minorBidi"/>
      <w:sz w:val="24"/>
      <w:szCs w:val="24"/>
      <w:lang w:val="en-US"/>
    </w:rPr>
  </w:style>
  <w:style w:type="character" w:customStyle="1" w:styleId="TextoindependienteCar">
    <w:name w:val="Texto independiente Car"/>
    <w:basedOn w:val="Fuentedeprrafopredeter"/>
    <w:link w:val="Textoindependiente"/>
    <w:uiPriority w:val="1"/>
    <w:rsid w:val="002F3062"/>
    <w:rPr>
      <w:rFonts w:ascii="Arial" w:eastAsia="Arial" w:hAnsi="Arial" w:cstheme="minorBidi"/>
      <w:sz w:val="24"/>
      <w:szCs w:val="24"/>
      <w:lang w:val="en-US" w:eastAsia="en-US"/>
    </w:rPr>
  </w:style>
  <w:style w:type="paragraph" w:customStyle="1" w:styleId="TableParagraph">
    <w:name w:val="Table Paragraph"/>
    <w:basedOn w:val="Normal"/>
    <w:uiPriority w:val="1"/>
    <w:qFormat/>
    <w:rsid w:val="002F3062"/>
    <w:pPr>
      <w:widowControl w:val="0"/>
      <w:spacing w:after="0" w:line="240" w:lineRule="auto"/>
    </w:pPr>
    <w:rPr>
      <w:rFonts w:asciiTheme="minorHAnsi" w:eastAsiaTheme="minorHAnsi" w:hAnsiTheme="minorHAnsi" w:cstheme="minorBidi"/>
      <w:lang w:val="en-US"/>
    </w:rPr>
  </w:style>
  <w:style w:type="paragraph" w:styleId="Sinespaciado">
    <w:name w:val="No Spacing"/>
    <w:uiPriority w:val="1"/>
    <w:qFormat/>
    <w:rsid w:val="002F3062"/>
    <w:pPr>
      <w:widowControl w:val="0"/>
    </w:pPr>
    <w:rPr>
      <w:rFonts w:asciiTheme="minorHAnsi" w:eastAsiaTheme="minorHAnsi" w:hAnsiTheme="minorHAnsi" w:cstheme="minorBidi"/>
      <w:sz w:val="22"/>
      <w:szCs w:val="22"/>
      <w:lang w:val="en-US" w:eastAsia="en-US"/>
    </w:rPr>
  </w:style>
  <w:style w:type="character" w:styleId="Refdecomentario">
    <w:name w:val="annotation reference"/>
    <w:basedOn w:val="Fuentedeprrafopredeter"/>
    <w:uiPriority w:val="99"/>
    <w:semiHidden/>
    <w:unhideWhenUsed/>
    <w:rsid w:val="002F3062"/>
    <w:rPr>
      <w:sz w:val="16"/>
      <w:szCs w:val="16"/>
    </w:rPr>
  </w:style>
  <w:style w:type="paragraph" w:styleId="Textocomentario">
    <w:name w:val="annotation text"/>
    <w:basedOn w:val="Normal"/>
    <w:link w:val="TextocomentarioCar"/>
    <w:uiPriority w:val="99"/>
    <w:semiHidden/>
    <w:unhideWhenUsed/>
    <w:rsid w:val="002F3062"/>
    <w:pPr>
      <w:widowControl w:val="0"/>
      <w:spacing w:after="0" w:line="240" w:lineRule="auto"/>
    </w:pPr>
    <w:rPr>
      <w:rFonts w:asciiTheme="minorHAnsi" w:eastAsiaTheme="minorHAnsi" w:hAnsiTheme="minorHAnsi" w:cstheme="minorBidi"/>
      <w:sz w:val="20"/>
      <w:szCs w:val="20"/>
      <w:lang w:val="en-US"/>
    </w:rPr>
  </w:style>
  <w:style w:type="character" w:customStyle="1" w:styleId="TextocomentarioCar">
    <w:name w:val="Texto comentario Car"/>
    <w:basedOn w:val="Fuentedeprrafopredeter"/>
    <w:link w:val="Textocomentario"/>
    <w:uiPriority w:val="99"/>
    <w:semiHidden/>
    <w:rsid w:val="002F3062"/>
    <w:rPr>
      <w:rFonts w:asciiTheme="minorHAnsi" w:eastAsiaTheme="minorHAnsi" w:hAnsiTheme="minorHAnsi" w:cstheme="minorBidi"/>
      <w:lang w:val="en-US" w:eastAsia="en-US"/>
    </w:rPr>
  </w:style>
  <w:style w:type="paragraph" w:styleId="Asuntodelcomentario">
    <w:name w:val="annotation subject"/>
    <w:basedOn w:val="Textocomentario"/>
    <w:next w:val="Textocomentario"/>
    <w:link w:val="AsuntodelcomentarioCar"/>
    <w:uiPriority w:val="99"/>
    <w:semiHidden/>
    <w:unhideWhenUsed/>
    <w:rsid w:val="002F3062"/>
    <w:rPr>
      <w:b/>
      <w:bCs/>
    </w:rPr>
  </w:style>
  <w:style w:type="character" w:customStyle="1" w:styleId="AsuntodelcomentarioCar">
    <w:name w:val="Asunto del comentario Car"/>
    <w:basedOn w:val="TextocomentarioCar"/>
    <w:link w:val="Asuntodelcomentario"/>
    <w:uiPriority w:val="99"/>
    <w:semiHidden/>
    <w:rsid w:val="002F3062"/>
    <w:rPr>
      <w:rFonts w:asciiTheme="minorHAnsi" w:eastAsiaTheme="minorHAnsi" w:hAnsiTheme="minorHAnsi" w:cstheme="minorBidi"/>
      <w:b/>
      <w:bCs/>
      <w:lang w:val="en-US" w:eastAsia="en-US"/>
    </w:rPr>
  </w:style>
  <w:style w:type="paragraph" w:customStyle="1" w:styleId="Default">
    <w:name w:val="Default"/>
    <w:rsid w:val="002F3062"/>
    <w:pPr>
      <w:autoSpaceDE w:val="0"/>
      <w:autoSpaceDN w:val="0"/>
      <w:adjustRightInd w:val="0"/>
    </w:pPr>
    <w:rPr>
      <w:rFonts w:ascii="Arial" w:eastAsiaTheme="minorHAnsi" w:hAnsi="Arial" w:cs="Arial"/>
      <w:color w:val="000000"/>
      <w:sz w:val="24"/>
      <w:szCs w:val="24"/>
      <w:lang w:eastAsia="en-US"/>
    </w:rPr>
  </w:style>
  <w:style w:type="character" w:styleId="Hipervnculo">
    <w:name w:val="Hyperlink"/>
    <w:basedOn w:val="Fuentedeprrafopredeter"/>
    <w:uiPriority w:val="99"/>
    <w:unhideWhenUsed/>
    <w:rsid w:val="002F3062"/>
    <w:rPr>
      <w:color w:val="0563C1" w:themeColor="hyperlink"/>
      <w:u w:val="single"/>
    </w:rPr>
  </w:style>
  <w:style w:type="character" w:customStyle="1" w:styleId="UnresolvedMention">
    <w:name w:val="Unresolved Mention"/>
    <w:basedOn w:val="Fuentedeprrafopredeter"/>
    <w:uiPriority w:val="99"/>
    <w:semiHidden/>
    <w:unhideWhenUsed/>
    <w:rsid w:val="002F3062"/>
    <w:rPr>
      <w:color w:val="605E5C"/>
      <w:shd w:val="clear" w:color="auto" w:fill="E1DFDD"/>
    </w:rPr>
  </w:style>
  <w:style w:type="character" w:styleId="Textoennegrita">
    <w:name w:val="Strong"/>
    <w:basedOn w:val="Fuentedeprrafopredeter"/>
    <w:uiPriority w:val="22"/>
    <w:qFormat/>
    <w:rsid w:val="00742D41"/>
    <w:rPr>
      <w:b/>
      <w:bCs/>
    </w:rPr>
  </w:style>
  <w:style w:type="character" w:customStyle="1" w:styleId="Ttulo2Car">
    <w:name w:val="Título 2 Car"/>
    <w:basedOn w:val="Fuentedeprrafopredeter"/>
    <w:link w:val="Ttulo2"/>
    <w:uiPriority w:val="9"/>
    <w:semiHidden/>
    <w:rsid w:val="00B20E12"/>
    <w:rPr>
      <w:rFonts w:asciiTheme="majorHAnsi" w:eastAsiaTheme="majorEastAsia" w:hAnsiTheme="majorHAnsi" w:cstheme="majorBidi"/>
      <w:color w:val="2E74B5" w:themeColor="accent1" w:themeShade="BF"/>
      <w:sz w:val="26"/>
      <w:szCs w:val="26"/>
      <w:lang w:eastAsia="en-US"/>
    </w:rPr>
  </w:style>
  <w:style w:type="character" w:customStyle="1" w:styleId="Ttulo3Car">
    <w:name w:val="Título 3 Car"/>
    <w:basedOn w:val="Fuentedeprrafopredeter"/>
    <w:link w:val="Ttulo3"/>
    <w:uiPriority w:val="9"/>
    <w:rsid w:val="006C01DB"/>
    <w:rPr>
      <w:rFonts w:asciiTheme="majorHAnsi" w:eastAsiaTheme="majorEastAsia" w:hAnsiTheme="majorHAnsi" w:cstheme="majorBidi"/>
      <w:color w:val="1F4D78" w:themeColor="accent1" w:themeShade="7F"/>
      <w:sz w:val="24"/>
      <w:szCs w:val="24"/>
      <w:lang w:eastAsia="en-US"/>
    </w:rPr>
  </w:style>
  <w:style w:type="character" w:styleId="CitaHTML">
    <w:name w:val="HTML Cite"/>
    <w:basedOn w:val="Fuentedeprrafopredeter"/>
    <w:uiPriority w:val="99"/>
    <w:semiHidden/>
    <w:unhideWhenUsed/>
    <w:rsid w:val="006C01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371">
      <w:bodyDiv w:val="1"/>
      <w:marLeft w:val="0"/>
      <w:marRight w:val="0"/>
      <w:marTop w:val="0"/>
      <w:marBottom w:val="0"/>
      <w:divBdr>
        <w:top w:val="none" w:sz="0" w:space="0" w:color="auto"/>
        <w:left w:val="none" w:sz="0" w:space="0" w:color="auto"/>
        <w:bottom w:val="none" w:sz="0" w:space="0" w:color="auto"/>
        <w:right w:val="none" w:sz="0" w:space="0" w:color="auto"/>
      </w:divBdr>
    </w:div>
    <w:div w:id="9570567">
      <w:bodyDiv w:val="1"/>
      <w:marLeft w:val="0"/>
      <w:marRight w:val="0"/>
      <w:marTop w:val="0"/>
      <w:marBottom w:val="0"/>
      <w:divBdr>
        <w:top w:val="none" w:sz="0" w:space="0" w:color="auto"/>
        <w:left w:val="none" w:sz="0" w:space="0" w:color="auto"/>
        <w:bottom w:val="none" w:sz="0" w:space="0" w:color="auto"/>
        <w:right w:val="none" w:sz="0" w:space="0" w:color="auto"/>
      </w:divBdr>
    </w:div>
    <w:div w:id="12849356">
      <w:bodyDiv w:val="1"/>
      <w:marLeft w:val="0"/>
      <w:marRight w:val="0"/>
      <w:marTop w:val="0"/>
      <w:marBottom w:val="0"/>
      <w:divBdr>
        <w:top w:val="none" w:sz="0" w:space="0" w:color="auto"/>
        <w:left w:val="none" w:sz="0" w:space="0" w:color="auto"/>
        <w:bottom w:val="none" w:sz="0" w:space="0" w:color="auto"/>
        <w:right w:val="none" w:sz="0" w:space="0" w:color="auto"/>
      </w:divBdr>
    </w:div>
    <w:div w:id="18627367">
      <w:bodyDiv w:val="1"/>
      <w:marLeft w:val="0"/>
      <w:marRight w:val="0"/>
      <w:marTop w:val="0"/>
      <w:marBottom w:val="0"/>
      <w:divBdr>
        <w:top w:val="none" w:sz="0" w:space="0" w:color="auto"/>
        <w:left w:val="none" w:sz="0" w:space="0" w:color="auto"/>
        <w:bottom w:val="none" w:sz="0" w:space="0" w:color="auto"/>
        <w:right w:val="none" w:sz="0" w:space="0" w:color="auto"/>
      </w:divBdr>
    </w:div>
    <w:div w:id="21517801">
      <w:bodyDiv w:val="1"/>
      <w:marLeft w:val="0"/>
      <w:marRight w:val="0"/>
      <w:marTop w:val="0"/>
      <w:marBottom w:val="0"/>
      <w:divBdr>
        <w:top w:val="none" w:sz="0" w:space="0" w:color="auto"/>
        <w:left w:val="none" w:sz="0" w:space="0" w:color="auto"/>
        <w:bottom w:val="none" w:sz="0" w:space="0" w:color="auto"/>
        <w:right w:val="none" w:sz="0" w:space="0" w:color="auto"/>
      </w:divBdr>
    </w:div>
    <w:div w:id="29111037">
      <w:bodyDiv w:val="1"/>
      <w:marLeft w:val="0"/>
      <w:marRight w:val="0"/>
      <w:marTop w:val="0"/>
      <w:marBottom w:val="0"/>
      <w:divBdr>
        <w:top w:val="none" w:sz="0" w:space="0" w:color="auto"/>
        <w:left w:val="none" w:sz="0" w:space="0" w:color="auto"/>
        <w:bottom w:val="none" w:sz="0" w:space="0" w:color="auto"/>
        <w:right w:val="none" w:sz="0" w:space="0" w:color="auto"/>
      </w:divBdr>
    </w:div>
    <w:div w:id="43871421">
      <w:bodyDiv w:val="1"/>
      <w:marLeft w:val="0"/>
      <w:marRight w:val="0"/>
      <w:marTop w:val="0"/>
      <w:marBottom w:val="0"/>
      <w:divBdr>
        <w:top w:val="none" w:sz="0" w:space="0" w:color="auto"/>
        <w:left w:val="none" w:sz="0" w:space="0" w:color="auto"/>
        <w:bottom w:val="none" w:sz="0" w:space="0" w:color="auto"/>
        <w:right w:val="none" w:sz="0" w:space="0" w:color="auto"/>
      </w:divBdr>
    </w:div>
    <w:div w:id="49619660">
      <w:bodyDiv w:val="1"/>
      <w:marLeft w:val="0"/>
      <w:marRight w:val="0"/>
      <w:marTop w:val="0"/>
      <w:marBottom w:val="0"/>
      <w:divBdr>
        <w:top w:val="none" w:sz="0" w:space="0" w:color="auto"/>
        <w:left w:val="none" w:sz="0" w:space="0" w:color="auto"/>
        <w:bottom w:val="none" w:sz="0" w:space="0" w:color="auto"/>
        <w:right w:val="none" w:sz="0" w:space="0" w:color="auto"/>
      </w:divBdr>
    </w:div>
    <w:div w:id="51583661">
      <w:bodyDiv w:val="1"/>
      <w:marLeft w:val="0"/>
      <w:marRight w:val="0"/>
      <w:marTop w:val="0"/>
      <w:marBottom w:val="0"/>
      <w:divBdr>
        <w:top w:val="none" w:sz="0" w:space="0" w:color="auto"/>
        <w:left w:val="none" w:sz="0" w:space="0" w:color="auto"/>
        <w:bottom w:val="none" w:sz="0" w:space="0" w:color="auto"/>
        <w:right w:val="none" w:sz="0" w:space="0" w:color="auto"/>
      </w:divBdr>
    </w:div>
    <w:div w:id="54748076">
      <w:bodyDiv w:val="1"/>
      <w:marLeft w:val="0"/>
      <w:marRight w:val="0"/>
      <w:marTop w:val="0"/>
      <w:marBottom w:val="0"/>
      <w:divBdr>
        <w:top w:val="none" w:sz="0" w:space="0" w:color="auto"/>
        <w:left w:val="none" w:sz="0" w:space="0" w:color="auto"/>
        <w:bottom w:val="none" w:sz="0" w:space="0" w:color="auto"/>
        <w:right w:val="none" w:sz="0" w:space="0" w:color="auto"/>
      </w:divBdr>
    </w:div>
    <w:div w:id="58022215">
      <w:bodyDiv w:val="1"/>
      <w:marLeft w:val="0"/>
      <w:marRight w:val="0"/>
      <w:marTop w:val="0"/>
      <w:marBottom w:val="0"/>
      <w:divBdr>
        <w:top w:val="none" w:sz="0" w:space="0" w:color="auto"/>
        <w:left w:val="none" w:sz="0" w:space="0" w:color="auto"/>
        <w:bottom w:val="none" w:sz="0" w:space="0" w:color="auto"/>
        <w:right w:val="none" w:sz="0" w:space="0" w:color="auto"/>
      </w:divBdr>
    </w:div>
    <w:div w:id="58404359">
      <w:bodyDiv w:val="1"/>
      <w:marLeft w:val="0"/>
      <w:marRight w:val="0"/>
      <w:marTop w:val="0"/>
      <w:marBottom w:val="0"/>
      <w:divBdr>
        <w:top w:val="none" w:sz="0" w:space="0" w:color="auto"/>
        <w:left w:val="none" w:sz="0" w:space="0" w:color="auto"/>
        <w:bottom w:val="none" w:sz="0" w:space="0" w:color="auto"/>
        <w:right w:val="none" w:sz="0" w:space="0" w:color="auto"/>
      </w:divBdr>
    </w:div>
    <w:div w:id="62996701">
      <w:bodyDiv w:val="1"/>
      <w:marLeft w:val="0"/>
      <w:marRight w:val="0"/>
      <w:marTop w:val="0"/>
      <w:marBottom w:val="0"/>
      <w:divBdr>
        <w:top w:val="none" w:sz="0" w:space="0" w:color="auto"/>
        <w:left w:val="none" w:sz="0" w:space="0" w:color="auto"/>
        <w:bottom w:val="none" w:sz="0" w:space="0" w:color="auto"/>
        <w:right w:val="none" w:sz="0" w:space="0" w:color="auto"/>
      </w:divBdr>
    </w:div>
    <w:div w:id="67969670">
      <w:bodyDiv w:val="1"/>
      <w:marLeft w:val="0"/>
      <w:marRight w:val="0"/>
      <w:marTop w:val="0"/>
      <w:marBottom w:val="0"/>
      <w:divBdr>
        <w:top w:val="none" w:sz="0" w:space="0" w:color="auto"/>
        <w:left w:val="none" w:sz="0" w:space="0" w:color="auto"/>
        <w:bottom w:val="none" w:sz="0" w:space="0" w:color="auto"/>
        <w:right w:val="none" w:sz="0" w:space="0" w:color="auto"/>
      </w:divBdr>
    </w:div>
    <w:div w:id="75514500">
      <w:bodyDiv w:val="1"/>
      <w:marLeft w:val="0"/>
      <w:marRight w:val="0"/>
      <w:marTop w:val="0"/>
      <w:marBottom w:val="0"/>
      <w:divBdr>
        <w:top w:val="none" w:sz="0" w:space="0" w:color="auto"/>
        <w:left w:val="none" w:sz="0" w:space="0" w:color="auto"/>
        <w:bottom w:val="none" w:sz="0" w:space="0" w:color="auto"/>
        <w:right w:val="none" w:sz="0" w:space="0" w:color="auto"/>
      </w:divBdr>
    </w:div>
    <w:div w:id="78018346">
      <w:bodyDiv w:val="1"/>
      <w:marLeft w:val="0"/>
      <w:marRight w:val="0"/>
      <w:marTop w:val="0"/>
      <w:marBottom w:val="0"/>
      <w:divBdr>
        <w:top w:val="none" w:sz="0" w:space="0" w:color="auto"/>
        <w:left w:val="none" w:sz="0" w:space="0" w:color="auto"/>
        <w:bottom w:val="none" w:sz="0" w:space="0" w:color="auto"/>
        <w:right w:val="none" w:sz="0" w:space="0" w:color="auto"/>
      </w:divBdr>
    </w:div>
    <w:div w:id="84619420">
      <w:bodyDiv w:val="1"/>
      <w:marLeft w:val="0"/>
      <w:marRight w:val="0"/>
      <w:marTop w:val="0"/>
      <w:marBottom w:val="0"/>
      <w:divBdr>
        <w:top w:val="none" w:sz="0" w:space="0" w:color="auto"/>
        <w:left w:val="none" w:sz="0" w:space="0" w:color="auto"/>
        <w:bottom w:val="none" w:sz="0" w:space="0" w:color="auto"/>
        <w:right w:val="none" w:sz="0" w:space="0" w:color="auto"/>
      </w:divBdr>
    </w:div>
    <w:div w:id="86119620">
      <w:bodyDiv w:val="1"/>
      <w:marLeft w:val="0"/>
      <w:marRight w:val="0"/>
      <w:marTop w:val="0"/>
      <w:marBottom w:val="0"/>
      <w:divBdr>
        <w:top w:val="none" w:sz="0" w:space="0" w:color="auto"/>
        <w:left w:val="none" w:sz="0" w:space="0" w:color="auto"/>
        <w:bottom w:val="none" w:sz="0" w:space="0" w:color="auto"/>
        <w:right w:val="none" w:sz="0" w:space="0" w:color="auto"/>
      </w:divBdr>
    </w:div>
    <w:div w:id="89669728">
      <w:bodyDiv w:val="1"/>
      <w:marLeft w:val="0"/>
      <w:marRight w:val="0"/>
      <w:marTop w:val="0"/>
      <w:marBottom w:val="0"/>
      <w:divBdr>
        <w:top w:val="none" w:sz="0" w:space="0" w:color="auto"/>
        <w:left w:val="none" w:sz="0" w:space="0" w:color="auto"/>
        <w:bottom w:val="none" w:sz="0" w:space="0" w:color="auto"/>
        <w:right w:val="none" w:sz="0" w:space="0" w:color="auto"/>
      </w:divBdr>
    </w:div>
    <w:div w:id="91173485">
      <w:bodyDiv w:val="1"/>
      <w:marLeft w:val="0"/>
      <w:marRight w:val="0"/>
      <w:marTop w:val="0"/>
      <w:marBottom w:val="0"/>
      <w:divBdr>
        <w:top w:val="none" w:sz="0" w:space="0" w:color="auto"/>
        <w:left w:val="none" w:sz="0" w:space="0" w:color="auto"/>
        <w:bottom w:val="none" w:sz="0" w:space="0" w:color="auto"/>
        <w:right w:val="none" w:sz="0" w:space="0" w:color="auto"/>
      </w:divBdr>
    </w:div>
    <w:div w:id="94135915">
      <w:bodyDiv w:val="1"/>
      <w:marLeft w:val="0"/>
      <w:marRight w:val="0"/>
      <w:marTop w:val="0"/>
      <w:marBottom w:val="0"/>
      <w:divBdr>
        <w:top w:val="none" w:sz="0" w:space="0" w:color="auto"/>
        <w:left w:val="none" w:sz="0" w:space="0" w:color="auto"/>
        <w:bottom w:val="none" w:sz="0" w:space="0" w:color="auto"/>
        <w:right w:val="none" w:sz="0" w:space="0" w:color="auto"/>
      </w:divBdr>
    </w:div>
    <w:div w:id="100758429">
      <w:bodyDiv w:val="1"/>
      <w:marLeft w:val="0"/>
      <w:marRight w:val="0"/>
      <w:marTop w:val="0"/>
      <w:marBottom w:val="0"/>
      <w:divBdr>
        <w:top w:val="none" w:sz="0" w:space="0" w:color="auto"/>
        <w:left w:val="none" w:sz="0" w:space="0" w:color="auto"/>
        <w:bottom w:val="none" w:sz="0" w:space="0" w:color="auto"/>
        <w:right w:val="none" w:sz="0" w:space="0" w:color="auto"/>
      </w:divBdr>
    </w:div>
    <w:div w:id="102192704">
      <w:bodyDiv w:val="1"/>
      <w:marLeft w:val="0"/>
      <w:marRight w:val="0"/>
      <w:marTop w:val="0"/>
      <w:marBottom w:val="0"/>
      <w:divBdr>
        <w:top w:val="none" w:sz="0" w:space="0" w:color="auto"/>
        <w:left w:val="none" w:sz="0" w:space="0" w:color="auto"/>
        <w:bottom w:val="none" w:sz="0" w:space="0" w:color="auto"/>
        <w:right w:val="none" w:sz="0" w:space="0" w:color="auto"/>
      </w:divBdr>
    </w:div>
    <w:div w:id="103814543">
      <w:bodyDiv w:val="1"/>
      <w:marLeft w:val="0"/>
      <w:marRight w:val="0"/>
      <w:marTop w:val="0"/>
      <w:marBottom w:val="0"/>
      <w:divBdr>
        <w:top w:val="none" w:sz="0" w:space="0" w:color="auto"/>
        <w:left w:val="none" w:sz="0" w:space="0" w:color="auto"/>
        <w:bottom w:val="none" w:sz="0" w:space="0" w:color="auto"/>
        <w:right w:val="none" w:sz="0" w:space="0" w:color="auto"/>
      </w:divBdr>
    </w:div>
    <w:div w:id="106244761">
      <w:bodyDiv w:val="1"/>
      <w:marLeft w:val="0"/>
      <w:marRight w:val="0"/>
      <w:marTop w:val="0"/>
      <w:marBottom w:val="0"/>
      <w:divBdr>
        <w:top w:val="none" w:sz="0" w:space="0" w:color="auto"/>
        <w:left w:val="none" w:sz="0" w:space="0" w:color="auto"/>
        <w:bottom w:val="none" w:sz="0" w:space="0" w:color="auto"/>
        <w:right w:val="none" w:sz="0" w:space="0" w:color="auto"/>
      </w:divBdr>
    </w:div>
    <w:div w:id="108285222">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17381410">
      <w:bodyDiv w:val="1"/>
      <w:marLeft w:val="0"/>
      <w:marRight w:val="0"/>
      <w:marTop w:val="0"/>
      <w:marBottom w:val="0"/>
      <w:divBdr>
        <w:top w:val="none" w:sz="0" w:space="0" w:color="auto"/>
        <w:left w:val="none" w:sz="0" w:space="0" w:color="auto"/>
        <w:bottom w:val="none" w:sz="0" w:space="0" w:color="auto"/>
        <w:right w:val="none" w:sz="0" w:space="0" w:color="auto"/>
      </w:divBdr>
    </w:div>
    <w:div w:id="118576834">
      <w:bodyDiv w:val="1"/>
      <w:marLeft w:val="0"/>
      <w:marRight w:val="0"/>
      <w:marTop w:val="0"/>
      <w:marBottom w:val="0"/>
      <w:divBdr>
        <w:top w:val="none" w:sz="0" w:space="0" w:color="auto"/>
        <w:left w:val="none" w:sz="0" w:space="0" w:color="auto"/>
        <w:bottom w:val="none" w:sz="0" w:space="0" w:color="auto"/>
        <w:right w:val="none" w:sz="0" w:space="0" w:color="auto"/>
      </w:divBdr>
    </w:div>
    <w:div w:id="118652255">
      <w:bodyDiv w:val="1"/>
      <w:marLeft w:val="0"/>
      <w:marRight w:val="0"/>
      <w:marTop w:val="0"/>
      <w:marBottom w:val="0"/>
      <w:divBdr>
        <w:top w:val="none" w:sz="0" w:space="0" w:color="auto"/>
        <w:left w:val="none" w:sz="0" w:space="0" w:color="auto"/>
        <w:bottom w:val="none" w:sz="0" w:space="0" w:color="auto"/>
        <w:right w:val="none" w:sz="0" w:space="0" w:color="auto"/>
      </w:divBdr>
    </w:div>
    <w:div w:id="128479708">
      <w:bodyDiv w:val="1"/>
      <w:marLeft w:val="0"/>
      <w:marRight w:val="0"/>
      <w:marTop w:val="0"/>
      <w:marBottom w:val="0"/>
      <w:divBdr>
        <w:top w:val="none" w:sz="0" w:space="0" w:color="auto"/>
        <w:left w:val="none" w:sz="0" w:space="0" w:color="auto"/>
        <w:bottom w:val="none" w:sz="0" w:space="0" w:color="auto"/>
        <w:right w:val="none" w:sz="0" w:space="0" w:color="auto"/>
      </w:divBdr>
    </w:div>
    <w:div w:id="129326942">
      <w:bodyDiv w:val="1"/>
      <w:marLeft w:val="0"/>
      <w:marRight w:val="0"/>
      <w:marTop w:val="0"/>
      <w:marBottom w:val="0"/>
      <w:divBdr>
        <w:top w:val="none" w:sz="0" w:space="0" w:color="auto"/>
        <w:left w:val="none" w:sz="0" w:space="0" w:color="auto"/>
        <w:bottom w:val="none" w:sz="0" w:space="0" w:color="auto"/>
        <w:right w:val="none" w:sz="0" w:space="0" w:color="auto"/>
      </w:divBdr>
    </w:div>
    <w:div w:id="141234941">
      <w:bodyDiv w:val="1"/>
      <w:marLeft w:val="0"/>
      <w:marRight w:val="0"/>
      <w:marTop w:val="0"/>
      <w:marBottom w:val="0"/>
      <w:divBdr>
        <w:top w:val="none" w:sz="0" w:space="0" w:color="auto"/>
        <w:left w:val="none" w:sz="0" w:space="0" w:color="auto"/>
        <w:bottom w:val="none" w:sz="0" w:space="0" w:color="auto"/>
        <w:right w:val="none" w:sz="0" w:space="0" w:color="auto"/>
      </w:divBdr>
    </w:div>
    <w:div w:id="142894418">
      <w:bodyDiv w:val="1"/>
      <w:marLeft w:val="0"/>
      <w:marRight w:val="0"/>
      <w:marTop w:val="0"/>
      <w:marBottom w:val="0"/>
      <w:divBdr>
        <w:top w:val="none" w:sz="0" w:space="0" w:color="auto"/>
        <w:left w:val="none" w:sz="0" w:space="0" w:color="auto"/>
        <w:bottom w:val="none" w:sz="0" w:space="0" w:color="auto"/>
        <w:right w:val="none" w:sz="0" w:space="0" w:color="auto"/>
      </w:divBdr>
    </w:div>
    <w:div w:id="145754387">
      <w:bodyDiv w:val="1"/>
      <w:marLeft w:val="0"/>
      <w:marRight w:val="0"/>
      <w:marTop w:val="0"/>
      <w:marBottom w:val="0"/>
      <w:divBdr>
        <w:top w:val="none" w:sz="0" w:space="0" w:color="auto"/>
        <w:left w:val="none" w:sz="0" w:space="0" w:color="auto"/>
        <w:bottom w:val="none" w:sz="0" w:space="0" w:color="auto"/>
        <w:right w:val="none" w:sz="0" w:space="0" w:color="auto"/>
      </w:divBdr>
    </w:div>
    <w:div w:id="149249000">
      <w:bodyDiv w:val="1"/>
      <w:marLeft w:val="0"/>
      <w:marRight w:val="0"/>
      <w:marTop w:val="0"/>
      <w:marBottom w:val="0"/>
      <w:divBdr>
        <w:top w:val="none" w:sz="0" w:space="0" w:color="auto"/>
        <w:left w:val="none" w:sz="0" w:space="0" w:color="auto"/>
        <w:bottom w:val="none" w:sz="0" w:space="0" w:color="auto"/>
        <w:right w:val="none" w:sz="0" w:space="0" w:color="auto"/>
      </w:divBdr>
    </w:div>
    <w:div w:id="149833879">
      <w:bodyDiv w:val="1"/>
      <w:marLeft w:val="0"/>
      <w:marRight w:val="0"/>
      <w:marTop w:val="0"/>
      <w:marBottom w:val="0"/>
      <w:divBdr>
        <w:top w:val="none" w:sz="0" w:space="0" w:color="auto"/>
        <w:left w:val="none" w:sz="0" w:space="0" w:color="auto"/>
        <w:bottom w:val="none" w:sz="0" w:space="0" w:color="auto"/>
        <w:right w:val="none" w:sz="0" w:space="0" w:color="auto"/>
      </w:divBdr>
    </w:div>
    <w:div w:id="149834521">
      <w:bodyDiv w:val="1"/>
      <w:marLeft w:val="0"/>
      <w:marRight w:val="0"/>
      <w:marTop w:val="0"/>
      <w:marBottom w:val="0"/>
      <w:divBdr>
        <w:top w:val="none" w:sz="0" w:space="0" w:color="auto"/>
        <w:left w:val="none" w:sz="0" w:space="0" w:color="auto"/>
        <w:bottom w:val="none" w:sz="0" w:space="0" w:color="auto"/>
        <w:right w:val="none" w:sz="0" w:space="0" w:color="auto"/>
      </w:divBdr>
    </w:div>
    <w:div w:id="151988900">
      <w:bodyDiv w:val="1"/>
      <w:marLeft w:val="0"/>
      <w:marRight w:val="0"/>
      <w:marTop w:val="0"/>
      <w:marBottom w:val="0"/>
      <w:divBdr>
        <w:top w:val="none" w:sz="0" w:space="0" w:color="auto"/>
        <w:left w:val="none" w:sz="0" w:space="0" w:color="auto"/>
        <w:bottom w:val="none" w:sz="0" w:space="0" w:color="auto"/>
        <w:right w:val="none" w:sz="0" w:space="0" w:color="auto"/>
      </w:divBdr>
    </w:div>
    <w:div w:id="155876630">
      <w:bodyDiv w:val="1"/>
      <w:marLeft w:val="0"/>
      <w:marRight w:val="0"/>
      <w:marTop w:val="0"/>
      <w:marBottom w:val="0"/>
      <w:divBdr>
        <w:top w:val="none" w:sz="0" w:space="0" w:color="auto"/>
        <w:left w:val="none" w:sz="0" w:space="0" w:color="auto"/>
        <w:bottom w:val="none" w:sz="0" w:space="0" w:color="auto"/>
        <w:right w:val="none" w:sz="0" w:space="0" w:color="auto"/>
      </w:divBdr>
    </w:div>
    <w:div w:id="160632185">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68913155">
      <w:bodyDiv w:val="1"/>
      <w:marLeft w:val="0"/>
      <w:marRight w:val="0"/>
      <w:marTop w:val="0"/>
      <w:marBottom w:val="0"/>
      <w:divBdr>
        <w:top w:val="none" w:sz="0" w:space="0" w:color="auto"/>
        <w:left w:val="none" w:sz="0" w:space="0" w:color="auto"/>
        <w:bottom w:val="none" w:sz="0" w:space="0" w:color="auto"/>
        <w:right w:val="none" w:sz="0" w:space="0" w:color="auto"/>
      </w:divBdr>
    </w:div>
    <w:div w:id="179978272">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181281566">
      <w:bodyDiv w:val="1"/>
      <w:marLeft w:val="0"/>
      <w:marRight w:val="0"/>
      <w:marTop w:val="0"/>
      <w:marBottom w:val="0"/>
      <w:divBdr>
        <w:top w:val="none" w:sz="0" w:space="0" w:color="auto"/>
        <w:left w:val="none" w:sz="0" w:space="0" w:color="auto"/>
        <w:bottom w:val="none" w:sz="0" w:space="0" w:color="auto"/>
        <w:right w:val="none" w:sz="0" w:space="0" w:color="auto"/>
      </w:divBdr>
    </w:div>
    <w:div w:id="181482381">
      <w:bodyDiv w:val="1"/>
      <w:marLeft w:val="0"/>
      <w:marRight w:val="0"/>
      <w:marTop w:val="0"/>
      <w:marBottom w:val="0"/>
      <w:divBdr>
        <w:top w:val="none" w:sz="0" w:space="0" w:color="auto"/>
        <w:left w:val="none" w:sz="0" w:space="0" w:color="auto"/>
        <w:bottom w:val="none" w:sz="0" w:space="0" w:color="auto"/>
        <w:right w:val="none" w:sz="0" w:space="0" w:color="auto"/>
      </w:divBdr>
    </w:div>
    <w:div w:id="181626875">
      <w:bodyDiv w:val="1"/>
      <w:marLeft w:val="0"/>
      <w:marRight w:val="0"/>
      <w:marTop w:val="0"/>
      <w:marBottom w:val="0"/>
      <w:divBdr>
        <w:top w:val="none" w:sz="0" w:space="0" w:color="auto"/>
        <w:left w:val="none" w:sz="0" w:space="0" w:color="auto"/>
        <w:bottom w:val="none" w:sz="0" w:space="0" w:color="auto"/>
        <w:right w:val="none" w:sz="0" w:space="0" w:color="auto"/>
      </w:divBdr>
    </w:div>
    <w:div w:id="183983597">
      <w:bodyDiv w:val="1"/>
      <w:marLeft w:val="0"/>
      <w:marRight w:val="0"/>
      <w:marTop w:val="0"/>
      <w:marBottom w:val="0"/>
      <w:divBdr>
        <w:top w:val="none" w:sz="0" w:space="0" w:color="auto"/>
        <w:left w:val="none" w:sz="0" w:space="0" w:color="auto"/>
        <w:bottom w:val="none" w:sz="0" w:space="0" w:color="auto"/>
        <w:right w:val="none" w:sz="0" w:space="0" w:color="auto"/>
      </w:divBdr>
    </w:div>
    <w:div w:id="185481190">
      <w:bodyDiv w:val="1"/>
      <w:marLeft w:val="0"/>
      <w:marRight w:val="0"/>
      <w:marTop w:val="0"/>
      <w:marBottom w:val="0"/>
      <w:divBdr>
        <w:top w:val="none" w:sz="0" w:space="0" w:color="auto"/>
        <w:left w:val="none" w:sz="0" w:space="0" w:color="auto"/>
        <w:bottom w:val="none" w:sz="0" w:space="0" w:color="auto"/>
        <w:right w:val="none" w:sz="0" w:space="0" w:color="auto"/>
      </w:divBdr>
    </w:div>
    <w:div w:id="188877526">
      <w:bodyDiv w:val="1"/>
      <w:marLeft w:val="0"/>
      <w:marRight w:val="0"/>
      <w:marTop w:val="0"/>
      <w:marBottom w:val="0"/>
      <w:divBdr>
        <w:top w:val="none" w:sz="0" w:space="0" w:color="auto"/>
        <w:left w:val="none" w:sz="0" w:space="0" w:color="auto"/>
        <w:bottom w:val="none" w:sz="0" w:space="0" w:color="auto"/>
        <w:right w:val="none" w:sz="0" w:space="0" w:color="auto"/>
      </w:divBdr>
    </w:div>
    <w:div w:id="192884079">
      <w:bodyDiv w:val="1"/>
      <w:marLeft w:val="0"/>
      <w:marRight w:val="0"/>
      <w:marTop w:val="0"/>
      <w:marBottom w:val="0"/>
      <w:divBdr>
        <w:top w:val="none" w:sz="0" w:space="0" w:color="auto"/>
        <w:left w:val="none" w:sz="0" w:space="0" w:color="auto"/>
        <w:bottom w:val="none" w:sz="0" w:space="0" w:color="auto"/>
        <w:right w:val="none" w:sz="0" w:space="0" w:color="auto"/>
      </w:divBdr>
    </w:div>
    <w:div w:id="195435819">
      <w:bodyDiv w:val="1"/>
      <w:marLeft w:val="0"/>
      <w:marRight w:val="0"/>
      <w:marTop w:val="0"/>
      <w:marBottom w:val="0"/>
      <w:divBdr>
        <w:top w:val="none" w:sz="0" w:space="0" w:color="auto"/>
        <w:left w:val="none" w:sz="0" w:space="0" w:color="auto"/>
        <w:bottom w:val="none" w:sz="0" w:space="0" w:color="auto"/>
        <w:right w:val="none" w:sz="0" w:space="0" w:color="auto"/>
      </w:divBdr>
    </w:div>
    <w:div w:id="198705643">
      <w:bodyDiv w:val="1"/>
      <w:marLeft w:val="0"/>
      <w:marRight w:val="0"/>
      <w:marTop w:val="0"/>
      <w:marBottom w:val="0"/>
      <w:divBdr>
        <w:top w:val="none" w:sz="0" w:space="0" w:color="auto"/>
        <w:left w:val="none" w:sz="0" w:space="0" w:color="auto"/>
        <w:bottom w:val="none" w:sz="0" w:space="0" w:color="auto"/>
        <w:right w:val="none" w:sz="0" w:space="0" w:color="auto"/>
      </w:divBdr>
    </w:div>
    <w:div w:id="203715008">
      <w:bodyDiv w:val="1"/>
      <w:marLeft w:val="0"/>
      <w:marRight w:val="0"/>
      <w:marTop w:val="0"/>
      <w:marBottom w:val="0"/>
      <w:divBdr>
        <w:top w:val="none" w:sz="0" w:space="0" w:color="auto"/>
        <w:left w:val="none" w:sz="0" w:space="0" w:color="auto"/>
        <w:bottom w:val="none" w:sz="0" w:space="0" w:color="auto"/>
        <w:right w:val="none" w:sz="0" w:space="0" w:color="auto"/>
      </w:divBdr>
    </w:div>
    <w:div w:id="208495176">
      <w:bodyDiv w:val="1"/>
      <w:marLeft w:val="0"/>
      <w:marRight w:val="0"/>
      <w:marTop w:val="0"/>
      <w:marBottom w:val="0"/>
      <w:divBdr>
        <w:top w:val="none" w:sz="0" w:space="0" w:color="auto"/>
        <w:left w:val="none" w:sz="0" w:space="0" w:color="auto"/>
        <w:bottom w:val="none" w:sz="0" w:space="0" w:color="auto"/>
        <w:right w:val="none" w:sz="0" w:space="0" w:color="auto"/>
      </w:divBdr>
    </w:div>
    <w:div w:id="212272479">
      <w:bodyDiv w:val="1"/>
      <w:marLeft w:val="0"/>
      <w:marRight w:val="0"/>
      <w:marTop w:val="0"/>
      <w:marBottom w:val="0"/>
      <w:divBdr>
        <w:top w:val="none" w:sz="0" w:space="0" w:color="auto"/>
        <w:left w:val="none" w:sz="0" w:space="0" w:color="auto"/>
        <w:bottom w:val="none" w:sz="0" w:space="0" w:color="auto"/>
        <w:right w:val="none" w:sz="0" w:space="0" w:color="auto"/>
      </w:divBdr>
    </w:div>
    <w:div w:id="213661004">
      <w:bodyDiv w:val="1"/>
      <w:marLeft w:val="0"/>
      <w:marRight w:val="0"/>
      <w:marTop w:val="0"/>
      <w:marBottom w:val="0"/>
      <w:divBdr>
        <w:top w:val="none" w:sz="0" w:space="0" w:color="auto"/>
        <w:left w:val="none" w:sz="0" w:space="0" w:color="auto"/>
        <w:bottom w:val="none" w:sz="0" w:space="0" w:color="auto"/>
        <w:right w:val="none" w:sz="0" w:space="0" w:color="auto"/>
      </w:divBdr>
    </w:div>
    <w:div w:id="219052863">
      <w:bodyDiv w:val="1"/>
      <w:marLeft w:val="0"/>
      <w:marRight w:val="0"/>
      <w:marTop w:val="0"/>
      <w:marBottom w:val="0"/>
      <w:divBdr>
        <w:top w:val="none" w:sz="0" w:space="0" w:color="auto"/>
        <w:left w:val="none" w:sz="0" w:space="0" w:color="auto"/>
        <w:bottom w:val="none" w:sz="0" w:space="0" w:color="auto"/>
        <w:right w:val="none" w:sz="0" w:space="0" w:color="auto"/>
      </w:divBdr>
    </w:div>
    <w:div w:id="220407983">
      <w:bodyDiv w:val="1"/>
      <w:marLeft w:val="0"/>
      <w:marRight w:val="0"/>
      <w:marTop w:val="0"/>
      <w:marBottom w:val="0"/>
      <w:divBdr>
        <w:top w:val="none" w:sz="0" w:space="0" w:color="auto"/>
        <w:left w:val="none" w:sz="0" w:space="0" w:color="auto"/>
        <w:bottom w:val="none" w:sz="0" w:space="0" w:color="auto"/>
        <w:right w:val="none" w:sz="0" w:space="0" w:color="auto"/>
      </w:divBdr>
    </w:div>
    <w:div w:id="221261684">
      <w:bodyDiv w:val="1"/>
      <w:marLeft w:val="0"/>
      <w:marRight w:val="0"/>
      <w:marTop w:val="0"/>
      <w:marBottom w:val="0"/>
      <w:divBdr>
        <w:top w:val="none" w:sz="0" w:space="0" w:color="auto"/>
        <w:left w:val="none" w:sz="0" w:space="0" w:color="auto"/>
        <w:bottom w:val="none" w:sz="0" w:space="0" w:color="auto"/>
        <w:right w:val="none" w:sz="0" w:space="0" w:color="auto"/>
      </w:divBdr>
    </w:div>
    <w:div w:id="224679941">
      <w:bodyDiv w:val="1"/>
      <w:marLeft w:val="0"/>
      <w:marRight w:val="0"/>
      <w:marTop w:val="0"/>
      <w:marBottom w:val="0"/>
      <w:divBdr>
        <w:top w:val="none" w:sz="0" w:space="0" w:color="auto"/>
        <w:left w:val="none" w:sz="0" w:space="0" w:color="auto"/>
        <w:bottom w:val="none" w:sz="0" w:space="0" w:color="auto"/>
        <w:right w:val="none" w:sz="0" w:space="0" w:color="auto"/>
      </w:divBdr>
    </w:div>
    <w:div w:id="225535079">
      <w:bodyDiv w:val="1"/>
      <w:marLeft w:val="0"/>
      <w:marRight w:val="0"/>
      <w:marTop w:val="0"/>
      <w:marBottom w:val="0"/>
      <w:divBdr>
        <w:top w:val="none" w:sz="0" w:space="0" w:color="auto"/>
        <w:left w:val="none" w:sz="0" w:space="0" w:color="auto"/>
        <w:bottom w:val="none" w:sz="0" w:space="0" w:color="auto"/>
        <w:right w:val="none" w:sz="0" w:space="0" w:color="auto"/>
      </w:divBdr>
    </w:div>
    <w:div w:id="228880450">
      <w:bodyDiv w:val="1"/>
      <w:marLeft w:val="0"/>
      <w:marRight w:val="0"/>
      <w:marTop w:val="0"/>
      <w:marBottom w:val="0"/>
      <w:divBdr>
        <w:top w:val="none" w:sz="0" w:space="0" w:color="auto"/>
        <w:left w:val="none" w:sz="0" w:space="0" w:color="auto"/>
        <w:bottom w:val="none" w:sz="0" w:space="0" w:color="auto"/>
        <w:right w:val="none" w:sz="0" w:space="0" w:color="auto"/>
      </w:divBdr>
    </w:div>
    <w:div w:id="237131845">
      <w:bodyDiv w:val="1"/>
      <w:marLeft w:val="0"/>
      <w:marRight w:val="0"/>
      <w:marTop w:val="0"/>
      <w:marBottom w:val="0"/>
      <w:divBdr>
        <w:top w:val="none" w:sz="0" w:space="0" w:color="auto"/>
        <w:left w:val="none" w:sz="0" w:space="0" w:color="auto"/>
        <w:bottom w:val="none" w:sz="0" w:space="0" w:color="auto"/>
        <w:right w:val="none" w:sz="0" w:space="0" w:color="auto"/>
      </w:divBdr>
    </w:div>
    <w:div w:id="243733710">
      <w:bodyDiv w:val="1"/>
      <w:marLeft w:val="0"/>
      <w:marRight w:val="0"/>
      <w:marTop w:val="0"/>
      <w:marBottom w:val="0"/>
      <w:divBdr>
        <w:top w:val="none" w:sz="0" w:space="0" w:color="auto"/>
        <w:left w:val="none" w:sz="0" w:space="0" w:color="auto"/>
        <w:bottom w:val="none" w:sz="0" w:space="0" w:color="auto"/>
        <w:right w:val="none" w:sz="0" w:space="0" w:color="auto"/>
      </w:divBdr>
    </w:div>
    <w:div w:id="244926564">
      <w:bodyDiv w:val="1"/>
      <w:marLeft w:val="0"/>
      <w:marRight w:val="0"/>
      <w:marTop w:val="0"/>
      <w:marBottom w:val="0"/>
      <w:divBdr>
        <w:top w:val="none" w:sz="0" w:space="0" w:color="auto"/>
        <w:left w:val="none" w:sz="0" w:space="0" w:color="auto"/>
        <w:bottom w:val="none" w:sz="0" w:space="0" w:color="auto"/>
        <w:right w:val="none" w:sz="0" w:space="0" w:color="auto"/>
      </w:divBdr>
    </w:div>
    <w:div w:id="245766077">
      <w:bodyDiv w:val="1"/>
      <w:marLeft w:val="0"/>
      <w:marRight w:val="0"/>
      <w:marTop w:val="0"/>
      <w:marBottom w:val="0"/>
      <w:divBdr>
        <w:top w:val="none" w:sz="0" w:space="0" w:color="auto"/>
        <w:left w:val="none" w:sz="0" w:space="0" w:color="auto"/>
        <w:bottom w:val="none" w:sz="0" w:space="0" w:color="auto"/>
        <w:right w:val="none" w:sz="0" w:space="0" w:color="auto"/>
      </w:divBdr>
    </w:div>
    <w:div w:id="248582064">
      <w:bodyDiv w:val="1"/>
      <w:marLeft w:val="0"/>
      <w:marRight w:val="0"/>
      <w:marTop w:val="0"/>
      <w:marBottom w:val="0"/>
      <w:divBdr>
        <w:top w:val="none" w:sz="0" w:space="0" w:color="auto"/>
        <w:left w:val="none" w:sz="0" w:space="0" w:color="auto"/>
        <w:bottom w:val="none" w:sz="0" w:space="0" w:color="auto"/>
        <w:right w:val="none" w:sz="0" w:space="0" w:color="auto"/>
      </w:divBdr>
    </w:div>
    <w:div w:id="250283313">
      <w:bodyDiv w:val="1"/>
      <w:marLeft w:val="0"/>
      <w:marRight w:val="0"/>
      <w:marTop w:val="0"/>
      <w:marBottom w:val="0"/>
      <w:divBdr>
        <w:top w:val="none" w:sz="0" w:space="0" w:color="auto"/>
        <w:left w:val="none" w:sz="0" w:space="0" w:color="auto"/>
        <w:bottom w:val="none" w:sz="0" w:space="0" w:color="auto"/>
        <w:right w:val="none" w:sz="0" w:space="0" w:color="auto"/>
      </w:divBdr>
    </w:div>
    <w:div w:id="250509265">
      <w:bodyDiv w:val="1"/>
      <w:marLeft w:val="0"/>
      <w:marRight w:val="0"/>
      <w:marTop w:val="0"/>
      <w:marBottom w:val="0"/>
      <w:divBdr>
        <w:top w:val="none" w:sz="0" w:space="0" w:color="auto"/>
        <w:left w:val="none" w:sz="0" w:space="0" w:color="auto"/>
        <w:bottom w:val="none" w:sz="0" w:space="0" w:color="auto"/>
        <w:right w:val="none" w:sz="0" w:space="0" w:color="auto"/>
      </w:divBdr>
    </w:div>
    <w:div w:id="255478645">
      <w:bodyDiv w:val="1"/>
      <w:marLeft w:val="0"/>
      <w:marRight w:val="0"/>
      <w:marTop w:val="0"/>
      <w:marBottom w:val="0"/>
      <w:divBdr>
        <w:top w:val="none" w:sz="0" w:space="0" w:color="auto"/>
        <w:left w:val="none" w:sz="0" w:space="0" w:color="auto"/>
        <w:bottom w:val="none" w:sz="0" w:space="0" w:color="auto"/>
        <w:right w:val="none" w:sz="0" w:space="0" w:color="auto"/>
      </w:divBdr>
    </w:div>
    <w:div w:id="261570456">
      <w:bodyDiv w:val="1"/>
      <w:marLeft w:val="0"/>
      <w:marRight w:val="0"/>
      <w:marTop w:val="0"/>
      <w:marBottom w:val="0"/>
      <w:divBdr>
        <w:top w:val="none" w:sz="0" w:space="0" w:color="auto"/>
        <w:left w:val="none" w:sz="0" w:space="0" w:color="auto"/>
        <w:bottom w:val="none" w:sz="0" w:space="0" w:color="auto"/>
        <w:right w:val="none" w:sz="0" w:space="0" w:color="auto"/>
      </w:divBdr>
    </w:div>
    <w:div w:id="261885692">
      <w:bodyDiv w:val="1"/>
      <w:marLeft w:val="0"/>
      <w:marRight w:val="0"/>
      <w:marTop w:val="0"/>
      <w:marBottom w:val="0"/>
      <w:divBdr>
        <w:top w:val="none" w:sz="0" w:space="0" w:color="auto"/>
        <w:left w:val="none" w:sz="0" w:space="0" w:color="auto"/>
        <w:bottom w:val="none" w:sz="0" w:space="0" w:color="auto"/>
        <w:right w:val="none" w:sz="0" w:space="0" w:color="auto"/>
      </w:divBdr>
    </w:div>
    <w:div w:id="262805249">
      <w:bodyDiv w:val="1"/>
      <w:marLeft w:val="0"/>
      <w:marRight w:val="0"/>
      <w:marTop w:val="0"/>
      <w:marBottom w:val="0"/>
      <w:divBdr>
        <w:top w:val="none" w:sz="0" w:space="0" w:color="auto"/>
        <w:left w:val="none" w:sz="0" w:space="0" w:color="auto"/>
        <w:bottom w:val="none" w:sz="0" w:space="0" w:color="auto"/>
        <w:right w:val="none" w:sz="0" w:space="0" w:color="auto"/>
      </w:divBdr>
    </w:div>
    <w:div w:id="264851895">
      <w:bodyDiv w:val="1"/>
      <w:marLeft w:val="0"/>
      <w:marRight w:val="0"/>
      <w:marTop w:val="0"/>
      <w:marBottom w:val="0"/>
      <w:divBdr>
        <w:top w:val="none" w:sz="0" w:space="0" w:color="auto"/>
        <w:left w:val="none" w:sz="0" w:space="0" w:color="auto"/>
        <w:bottom w:val="none" w:sz="0" w:space="0" w:color="auto"/>
        <w:right w:val="none" w:sz="0" w:space="0" w:color="auto"/>
      </w:divBdr>
    </w:div>
    <w:div w:id="269166205">
      <w:bodyDiv w:val="1"/>
      <w:marLeft w:val="0"/>
      <w:marRight w:val="0"/>
      <w:marTop w:val="0"/>
      <w:marBottom w:val="0"/>
      <w:divBdr>
        <w:top w:val="none" w:sz="0" w:space="0" w:color="auto"/>
        <w:left w:val="none" w:sz="0" w:space="0" w:color="auto"/>
        <w:bottom w:val="none" w:sz="0" w:space="0" w:color="auto"/>
        <w:right w:val="none" w:sz="0" w:space="0" w:color="auto"/>
      </w:divBdr>
    </w:div>
    <w:div w:id="274138231">
      <w:bodyDiv w:val="1"/>
      <w:marLeft w:val="0"/>
      <w:marRight w:val="0"/>
      <w:marTop w:val="0"/>
      <w:marBottom w:val="0"/>
      <w:divBdr>
        <w:top w:val="none" w:sz="0" w:space="0" w:color="auto"/>
        <w:left w:val="none" w:sz="0" w:space="0" w:color="auto"/>
        <w:bottom w:val="none" w:sz="0" w:space="0" w:color="auto"/>
        <w:right w:val="none" w:sz="0" w:space="0" w:color="auto"/>
      </w:divBdr>
    </w:div>
    <w:div w:id="278536747">
      <w:bodyDiv w:val="1"/>
      <w:marLeft w:val="0"/>
      <w:marRight w:val="0"/>
      <w:marTop w:val="0"/>
      <w:marBottom w:val="0"/>
      <w:divBdr>
        <w:top w:val="none" w:sz="0" w:space="0" w:color="auto"/>
        <w:left w:val="none" w:sz="0" w:space="0" w:color="auto"/>
        <w:bottom w:val="none" w:sz="0" w:space="0" w:color="auto"/>
        <w:right w:val="none" w:sz="0" w:space="0" w:color="auto"/>
      </w:divBdr>
    </w:div>
    <w:div w:id="280918820">
      <w:bodyDiv w:val="1"/>
      <w:marLeft w:val="0"/>
      <w:marRight w:val="0"/>
      <w:marTop w:val="0"/>
      <w:marBottom w:val="0"/>
      <w:divBdr>
        <w:top w:val="none" w:sz="0" w:space="0" w:color="auto"/>
        <w:left w:val="none" w:sz="0" w:space="0" w:color="auto"/>
        <w:bottom w:val="none" w:sz="0" w:space="0" w:color="auto"/>
        <w:right w:val="none" w:sz="0" w:space="0" w:color="auto"/>
      </w:divBdr>
    </w:div>
    <w:div w:id="281152041">
      <w:bodyDiv w:val="1"/>
      <w:marLeft w:val="0"/>
      <w:marRight w:val="0"/>
      <w:marTop w:val="0"/>
      <w:marBottom w:val="0"/>
      <w:divBdr>
        <w:top w:val="none" w:sz="0" w:space="0" w:color="auto"/>
        <w:left w:val="none" w:sz="0" w:space="0" w:color="auto"/>
        <w:bottom w:val="none" w:sz="0" w:space="0" w:color="auto"/>
        <w:right w:val="none" w:sz="0" w:space="0" w:color="auto"/>
      </w:divBdr>
    </w:div>
    <w:div w:id="283119062">
      <w:bodyDiv w:val="1"/>
      <w:marLeft w:val="0"/>
      <w:marRight w:val="0"/>
      <w:marTop w:val="0"/>
      <w:marBottom w:val="0"/>
      <w:divBdr>
        <w:top w:val="none" w:sz="0" w:space="0" w:color="auto"/>
        <w:left w:val="none" w:sz="0" w:space="0" w:color="auto"/>
        <w:bottom w:val="none" w:sz="0" w:space="0" w:color="auto"/>
        <w:right w:val="none" w:sz="0" w:space="0" w:color="auto"/>
      </w:divBdr>
    </w:div>
    <w:div w:id="287317429">
      <w:bodyDiv w:val="1"/>
      <w:marLeft w:val="0"/>
      <w:marRight w:val="0"/>
      <w:marTop w:val="0"/>
      <w:marBottom w:val="0"/>
      <w:divBdr>
        <w:top w:val="none" w:sz="0" w:space="0" w:color="auto"/>
        <w:left w:val="none" w:sz="0" w:space="0" w:color="auto"/>
        <w:bottom w:val="none" w:sz="0" w:space="0" w:color="auto"/>
        <w:right w:val="none" w:sz="0" w:space="0" w:color="auto"/>
      </w:divBdr>
    </w:div>
    <w:div w:id="289167816">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522594">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292948472">
      <w:bodyDiv w:val="1"/>
      <w:marLeft w:val="0"/>
      <w:marRight w:val="0"/>
      <w:marTop w:val="0"/>
      <w:marBottom w:val="0"/>
      <w:divBdr>
        <w:top w:val="none" w:sz="0" w:space="0" w:color="auto"/>
        <w:left w:val="none" w:sz="0" w:space="0" w:color="auto"/>
        <w:bottom w:val="none" w:sz="0" w:space="0" w:color="auto"/>
        <w:right w:val="none" w:sz="0" w:space="0" w:color="auto"/>
      </w:divBdr>
    </w:div>
    <w:div w:id="293604013">
      <w:bodyDiv w:val="1"/>
      <w:marLeft w:val="0"/>
      <w:marRight w:val="0"/>
      <w:marTop w:val="0"/>
      <w:marBottom w:val="0"/>
      <w:divBdr>
        <w:top w:val="none" w:sz="0" w:space="0" w:color="auto"/>
        <w:left w:val="none" w:sz="0" w:space="0" w:color="auto"/>
        <w:bottom w:val="none" w:sz="0" w:space="0" w:color="auto"/>
        <w:right w:val="none" w:sz="0" w:space="0" w:color="auto"/>
      </w:divBdr>
    </w:div>
    <w:div w:id="296838446">
      <w:bodyDiv w:val="1"/>
      <w:marLeft w:val="0"/>
      <w:marRight w:val="0"/>
      <w:marTop w:val="0"/>
      <w:marBottom w:val="0"/>
      <w:divBdr>
        <w:top w:val="none" w:sz="0" w:space="0" w:color="auto"/>
        <w:left w:val="none" w:sz="0" w:space="0" w:color="auto"/>
        <w:bottom w:val="none" w:sz="0" w:space="0" w:color="auto"/>
        <w:right w:val="none" w:sz="0" w:space="0" w:color="auto"/>
      </w:divBdr>
    </w:div>
    <w:div w:id="300111240">
      <w:bodyDiv w:val="1"/>
      <w:marLeft w:val="0"/>
      <w:marRight w:val="0"/>
      <w:marTop w:val="0"/>
      <w:marBottom w:val="0"/>
      <w:divBdr>
        <w:top w:val="none" w:sz="0" w:space="0" w:color="auto"/>
        <w:left w:val="none" w:sz="0" w:space="0" w:color="auto"/>
        <w:bottom w:val="none" w:sz="0" w:space="0" w:color="auto"/>
        <w:right w:val="none" w:sz="0" w:space="0" w:color="auto"/>
      </w:divBdr>
    </w:div>
    <w:div w:id="301353342">
      <w:bodyDiv w:val="1"/>
      <w:marLeft w:val="0"/>
      <w:marRight w:val="0"/>
      <w:marTop w:val="0"/>
      <w:marBottom w:val="0"/>
      <w:divBdr>
        <w:top w:val="none" w:sz="0" w:space="0" w:color="auto"/>
        <w:left w:val="none" w:sz="0" w:space="0" w:color="auto"/>
        <w:bottom w:val="none" w:sz="0" w:space="0" w:color="auto"/>
        <w:right w:val="none" w:sz="0" w:space="0" w:color="auto"/>
      </w:divBdr>
    </w:div>
    <w:div w:id="302974404">
      <w:bodyDiv w:val="1"/>
      <w:marLeft w:val="0"/>
      <w:marRight w:val="0"/>
      <w:marTop w:val="0"/>
      <w:marBottom w:val="0"/>
      <w:divBdr>
        <w:top w:val="none" w:sz="0" w:space="0" w:color="auto"/>
        <w:left w:val="none" w:sz="0" w:space="0" w:color="auto"/>
        <w:bottom w:val="none" w:sz="0" w:space="0" w:color="auto"/>
        <w:right w:val="none" w:sz="0" w:space="0" w:color="auto"/>
      </w:divBdr>
    </w:div>
    <w:div w:id="307787903">
      <w:bodyDiv w:val="1"/>
      <w:marLeft w:val="0"/>
      <w:marRight w:val="0"/>
      <w:marTop w:val="0"/>
      <w:marBottom w:val="0"/>
      <w:divBdr>
        <w:top w:val="none" w:sz="0" w:space="0" w:color="auto"/>
        <w:left w:val="none" w:sz="0" w:space="0" w:color="auto"/>
        <w:bottom w:val="none" w:sz="0" w:space="0" w:color="auto"/>
        <w:right w:val="none" w:sz="0" w:space="0" w:color="auto"/>
      </w:divBdr>
    </w:div>
    <w:div w:id="316110537">
      <w:bodyDiv w:val="1"/>
      <w:marLeft w:val="0"/>
      <w:marRight w:val="0"/>
      <w:marTop w:val="0"/>
      <w:marBottom w:val="0"/>
      <w:divBdr>
        <w:top w:val="none" w:sz="0" w:space="0" w:color="auto"/>
        <w:left w:val="none" w:sz="0" w:space="0" w:color="auto"/>
        <w:bottom w:val="none" w:sz="0" w:space="0" w:color="auto"/>
        <w:right w:val="none" w:sz="0" w:space="0" w:color="auto"/>
      </w:divBdr>
    </w:div>
    <w:div w:id="319113289">
      <w:bodyDiv w:val="1"/>
      <w:marLeft w:val="0"/>
      <w:marRight w:val="0"/>
      <w:marTop w:val="0"/>
      <w:marBottom w:val="0"/>
      <w:divBdr>
        <w:top w:val="none" w:sz="0" w:space="0" w:color="auto"/>
        <w:left w:val="none" w:sz="0" w:space="0" w:color="auto"/>
        <w:bottom w:val="none" w:sz="0" w:space="0" w:color="auto"/>
        <w:right w:val="none" w:sz="0" w:space="0" w:color="auto"/>
      </w:divBdr>
    </w:div>
    <w:div w:id="320472109">
      <w:bodyDiv w:val="1"/>
      <w:marLeft w:val="0"/>
      <w:marRight w:val="0"/>
      <w:marTop w:val="0"/>
      <w:marBottom w:val="0"/>
      <w:divBdr>
        <w:top w:val="none" w:sz="0" w:space="0" w:color="auto"/>
        <w:left w:val="none" w:sz="0" w:space="0" w:color="auto"/>
        <w:bottom w:val="none" w:sz="0" w:space="0" w:color="auto"/>
        <w:right w:val="none" w:sz="0" w:space="0" w:color="auto"/>
      </w:divBdr>
    </w:div>
    <w:div w:id="332611026">
      <w:bodyDiv w:val="1"/>
      <w:marLeft w:val="0"/>
      <w:marRight w:val="0"/>
      <w:marTop w:val="0"/>
      <w:marBottom w:val="0"/>
      <w:divBdr>
        <w:top w:val="none" w:sz="0" w:space="0" w:color="auto"/>
        <w:left w:val="none" w:sz="0" w:space="0" w:color="auto"/>
        <w:bottom w:val="none" w:sz="0" w:space="0" w:color="auto"/>
        <w:right w:val="none" w:sz="0" w:space="0" w:color="auto"/>
      </w:divBdr>
    </w:div>
    <w:div w:id="339813932">
      <w:bodyDiv w:val="1"/>
      <w:marLeft w:val="0"/>
      <w:marRight w:val="0"/>
      <w:marTop w:val="0"/>
      <w:marBottom w:val="0"/>
      <w:divBdr>
        <w:top w:val="none" w:sz="0" w:space="0" w:color="auto"/>
        <w:left w:val="none" w:sz="0" w:space="0" w:color="auto"/>
        <w:bottom w:val="none" w:sz="0" w:space="0" w:color="auto"/>
        <w:right w:val="none" w:sz="0" w:space="0" w:color="auto"/>
      </w:divBdr>
    </w:div>
    <w:div w:id="345179439">
      <w:bodyDiv w:val="1"/>
      <w:marLeft w:val="0"/>
      <w:marRight w:val="0"/>
      <w:marTop w:val="0"/>
      <w:marBottom w:val="0"/>
      <w:divBdr>
        <w:top w:val="none" w:sz="0" w:space="0" w:color="auto"/>
        <w:left w:val="none" w:sz="0" w:space="0" w:color="auto"/>
        <w:bottom w:val="none" w:sz="0" w:space="0" w:color="auto"/>
        <w:right w:val="none" w:sz="0" w:space="0" w:color="auto"/>
      </w:divBdr>
    </w:div>
    <w:div w:id="352536833">
      <w:bodyDiv w:val="1"/>
      <w:marLeft w:val="0"/>
      <w:marRight w:val="0"/>
      <w:marTop w:val="0"/>
      <w:marBottom w:val="0"/>
      <w:divBdr>
        <w:top w:val="none" w:sz="0" w:space="0" w:color="auto"/>
        <w:left w:val="none" w:sz="0" w:space="0" w:color="auto"/>
        <w:bottom w:val="none" w:sz="0" w:space="0" w:color="auto"/>
        <w:right w:val="none" w:sz="0" w:space="0" w:color="auto"/>
      </w:divBdr>
    </w:div>
    <w:div w:id="354620151">
      <w:bodyDiv w:val="1"/>
      <w:marLeft w:val="0"/>
      <w:marRight w:val="0"/>
      <w:marTop w:val="0"/>
      <w:marBottom w:val="0"/>
      <w:divBdr>
        <w:top w:val="none" w:sz="0" w:space="0" w:color="auto"/>
        <w:left w:val="none" w:sz="0" w:space="0" w:color="auto"/>
        <w:bottom w:val="none" w:sz="0" w:space="0" w:color="auto"/>
        <w:right w:val="none" w:sz="0" w:space="0" w:color="auto"/>
      </w:divBdr>
    </w:div>
    <w:div w:id="358090721">
      <w:bodyDiv w:val="1"/>
      <w:marLeft w:val="0"/>
      <w:marRight w:val="0"/>
      <w:marTop w:val="0"/>
      <w:marBottom w:val="0"/>
      <w:divBdr>
        <w:top w:val="none" w:sz="0" w:space="0" w:color="auto"/>
        <w:left w:val="none" w:sz="0" w:space="0" w:color="auto"/>
        <w:bottom w:val="none" w:sz="0" w:space="0" w:color="auto"/>
        <w:right w:val="none" w:sz="0" w:space="0" w:color="auto"/>
      </w:divBdr>
    </w:div>
    <w:div w:id="364184821">
      <w:bodyDiv w:val="1"/>
      <w:marLeft w:val="0"/>
      <w:marRight w:val="0"/>
      <w:marTop w:val="0"/>
      <w:marBottom w:val="0"/>
      <w:divBdr>
        <w:top w:val="none" w:sz="0" w:space="0" w:color="auto"/>
        <w:left w:val="none" w:sz="0" w:space="0" w:color="auto"/>
        <w:bottom w:val="none" w:sz="0" w:space="0" w:color="auto"/>
        <w:right w:val="none" w:sz="0" w:space="0" w:color="auto"/>
      </w:divBdr>
    </w:div>
    <w:div w:id="369232999">
      <w:bodyDiv w:val="1"/>
      <w:marLeft w:val="0"/>
      <w:marRight w:val="0"/>
      <w:marTop w:val="0"/>
      <w:marBottom w:val="0"/>
      <w:divBdr>
        <w:top w:val="none" w:sz="0" w:space="0" w:color="auto"/>
        <w:left w:val="none" w:sz="0" w:space="0" w:color="auto"/>
        <w:bottom w:val="none" w:sz="0" w:space="0" w:color="auto"/>
        <w:right w:val="none" w:sz="0" w:space="0" w:color="auto"/>
      </w:divBdr>
    </w:div>
    <w:div w:id="370426475">
      <w:bodyDiv w:val="1"/>
      <w:marLeft w:val="0"/>
      <w:marRight w:val="0"/>
      <w:marTop w:val="0"/>
      <w:marBottom w:val="0"/>
      <w:divBdr>
        <w:top w:val="none" w:sz="0" w:space="0" w:color="auto"/>
        <w:left w:val="none" w:sz="0" w:space="0" w:color="auto"/>
        <w:bottom w:val="none" w:sz="0" w:space="0" w:color="auto"/>
        <w:right w:val="none" w:sz="0" w:space="0" w:color="auto"/>
      </w:divBdr>
    </w:div>
    <w:div w:id="373047096">
      <w:bodyDiv w:val="1"/>
      <w:marLeft w:val="0"/>
      <w:marRight w:val="0"/>
      <w:marTop w:val="0"/>
      <w:marBottom w:val="0"/>
      <w:divBdr>
        <w:top w:val="none" w:sz="0" w:space="0" w:color="auto"/>
        <w:left w:val="none" w:sz="0" w:space="0" w:color="auto"/>
        <w:bottom w:val="none" w:sz="0" w:space="0" w:color="auto"/>
        <w:right w:val="none" w:sz="0" w:space="0" w:color="auto"/>
      </w:divBdr>
    </w:div>
    <w:div w:id="379404276">
      <w:bodyDiv w:val="1"/>
      <w:marLeft w:val="0"/>
      <w:marRight w:val="0"/>
      <w:marTop w:val="0"/>
      <w:marBottom w:val="0"/>
      <w:divBdr>
        <w:top w:val="none" w:sz="0" w:space="0" w:color="auto"/>
        <w:left w:val="none" w:sz="0" w:space="0" w:color="auto"/>
        <w:bottom w:val="none" w:sz="0" w:space="0" w:color="auto"/>
        <w:right w:val="none" w:sz="0" w:space="0" w:color="auto"/>
      </w:divBdr>
    </w:div>
    <w:div w:id="394206826">
      <w:bodyDiv w:val="1"/>
      <w:marLeft w:val="0"/>
      <w:marRight w:val="0"/>
      <w:marTop w:val="0"/>
      <w:marBottom w:val="0"/>
      <w:divBdr>
        <w:top w:val="none" w:sz="0" w:space="0" w:color="auto"/>
        <w:left w:val="none" w:sz="0" w:space="0" w:color="auto"/>
        <w:bottom w:val="none" w:sz="0" w:space="0" w:color="auto"/>
        <w:right w:val="none" w:sz="0" w:space="0" w:color="auto"/>
      </w:divBdr>
    </w:div>
    <w:div w:id="395516828">
      <w:bodyDiv w:val="1"/>
      <w:marLeft w:val="0"/>
      <w:marRight w:val="0"/>
      <w:marTop w:val="0"/>
      <w:marBottom w:val="0"/>
      <w:divBdr>
        <w:top w:val="none" w:sz="0" w:space="0" w:color="auto"/>
        <w:left w:val="none" w:sz="0" w:space="0" w:color="auto"/>
        <w:bottom w:val="none" w:sz="0" w:space="0" w:color="auto"/>
        <w:right w:val="none" w:sz="0" w:space="0" w:color="auto"/>
      </w:divBdr>
    </w:div>
    <w:div w:id="395860731">
      <w:bodyDiv w:val="1"/>
      <w:marLeft w:val="0"/>
      <w:marRight w:val="0"/>
      <w:marTop w:val="0"/>
      <w:marBottom w:val="0"/>
      <w:divBdr>
        <w:top w:val="none" w:sz="0" w:space="0" w:color="auto"/>
        <w:left w:val="none" w:sz="0" w:space="0" w:color="auto"/>
        <w:bottom w:val="none" w:sz="0" w:space="0" w:color="auto"/>
        <w:right w:val="none" w:sz="0" w:space="0" w:color="auto"/>
      </w:divBdr>
    </w:div>
    <w:div w:id="397705068">
      <w:bodyDiv w:val="1"/>
      <w:marLeft w:val="0"/>
      <w:marRight w:val="0"/>
      <w:marTop w:val="0"/>
      <w:marBottom w:val="0"/>
      <w:divBdr>
        <w:top w:val="none" w:sz="0" w:space="0" w:color="auto"/>
        <w:left w:val="none" w:sz="0" w:space="0" w:color="auto"/>
        <w:bottom w:val="none" w:sz="0" w:space="0" w:color="auto"/>
        <w:right w:val="none" w:sz="0" w:space="0" w:color="auto"/>
      </w:divBdr>
    </w:div>
    <w:div w:id="404301048">
      <w:bodyDiv w:val="1"/>
      <w:marLeft w:val="0"/>
      <w:marRight w:val="0"/>
      <w:marTop w:val="0"/>
      <w:marBottom w:val="0"/>
      <w:divBdr>
        <w:top w:val="none" w:sz="0" w:space="0" w:color="auto"/>
        <w:left w:val="none" w:sz="0" w:space="0" w:color="auto"/>
        <w:bottom w:val="none" w:sz="0" w:space="0" w:color="auto"/>
        <w:right w:val="none" w:sz="0" w:space="0" w:color="auto"/>
      </w:divBdr>
    </w:div>
    <w:div w:id="416639194">
      <w:bodyDiv w:val="1"/>
      <w:marLeft w:val="0"/>
      <w:marRight w:val="0"/>
      <w:marTop w:val="0"/>
      <w:marBottom w:val="0"/>
      <w:divBdr>
        <w:top w:val="none" w:sz="0" w:space="0" w:color="auto"/>
        <w:left w:val="none" w:sz="0" w:space="0" w:color="auto"/>
        <w:bottom w:val="none" w:sz="0" w:space="0" w:color="auto"/>
        <w:right w:val="none" w:sz="0" w:space="0" w:color="auto"/>
      </w:divBdr>
    </w:div>
    <w:div w:id="418984223">
      <w:bodyDiv w:val="1"/>
      <w:marLeft w:val="0"/>
      <w:marRight w:val="0"/>
      <w:marTop w:val="0"/>
      <w:marBottom w:val="0"/>
      <w:divBdr>
        <w:top w:val="none" w:sz="0" w:space="0" w:color="auto"/>
        <w:left w:val="none" w:sz="0" w:space="0" w:color="auto"/>
        <w:bottom w:val="none" w:sz="0" w:space="0" w:color="auto"/>
        <w:right w:val="none" w:sz="0" w:space="0" w:color="auto"/>
      </w:divBdr>
    </w:div>
    <w:div w:id="420181913">
      <w:bodyDiv w:val="1"/>
      <w:marLeft w:val="0"/>
      <w:marRight w:val="0"/>
      <w:marTop w:val="0"/>
      <w:marBottom w:val="0"/>
      <w:divBdr>
        <w:top w:val="none" w:sz="0" w:space="0" w:color="auto"/>
        <w:left w:val="none" w:sz="0" w:space="0" w:color="auto"/>
        <w:bottom w:val="none" w:sz="0" w:space="0" w:color="auto"/>
        <w:right w:val="none" w:sz="0" w:space="0" w:color="auto"/>
      </w:divBdr>
    </w:div>
    <w:div w:id="423258838">
      <w:bodyDiv w:val="1"/>
      <w:marLeft w:val="0"/>
      <w:marRight w:val="0"/>
      <w:marTop w:val="0"/>
      <w:marBottom w:val="0"/>
      <w:divBdr>
        <w:top w:val="none" w:sz="0" w:space="0" w:color="auto"/>
        <w:left w:val="none" w:sz="0" w:space="0" w:color="auto"/>
        <w:bottom w:val="none" w:sz="0" w:space="0" w:color="auto"/>
        <w:right w:val="none" w:sz="0" w:space="0" w:color="auto"/>
      </w:divBdr>
    </w:div>
    <w:div w:id="424805489">
      <w:bodyDiv w:val="1"/>
      <w:marLeft w:val="0"/>
      <w:marRight w:val="0"/>
      <w:marTop w:val="0"/>
      <w:marBottom w:val="0"/>
      <w:divBdr>
        <w:top w:val="none" w:sz="0" w:space="0" w:color="auto"/>
        <w:left w:val="none" w:sz="0" w:space="0" w:color="auto"/>
        <w:bottom w:val="none" w:sz="0" w:space="0" w:color="auto"/>
        <w:right w:val="none" w:sz="0" w:space="0" w:color="auto"/>
      </w:divBdr>
    </w:div>
    <w:div w:id="431904050">
      <w:bodyDiv w:val="1"/>
      <w:marLeft w:val="0"/>
      <w:marRight w:val="0"/>
      <w:marTop w:val="0"/>
      <w:marBottom w:val="0"/>
      <w:divBdr>
        <w:top w:val="none" w:sz="0" w:space="0" w:color="auto"/>
        <w:left w:val="none" w:sz="0" w:space="0" w:color="auto"/>
        <w:bottom w:val="none" w:sz="0" w:space="0" w:color="auto"/>
        <w:right w:val="none" w:sz="0" w:space="0" w:color="auto"/>
      </w:divBdr>
    </w:div>
    <w:div w:id="434327706">
      <w:bodyDiv w:val="1"/>
      <w:marLeft w:val="0"/>
      <w:marRight w:val="0"/>
      <w:marTop w:val="0"/>
      <w:marBottom w:val="0"/>
      <w:divBdr>
        <w:top w:val="none" w:sz="0" w:space="0" w:color="auto"/>
        <w:left w:val="none" w:sz="0" w:space="0" w:color="auto"/>
        <w:bottom w:val="none" w:sz="0" w:space="0" w:color="auto"/>
        <w:right w:val="none" w:sz="0" w:space="0" w:color="auto"/>
      </w:divBdr>
    </w:div>
    <w:div w:id="434860476">
      <w:bodyDiv w:val="1"/>
      <w:marLeft w:val="0"/>
      <w:marRight w:val="0"/>
      <w:marTop w:val="0"/>
      <w:marBottom w:val="0"/>
      <w:divBdr>
        <w:top w:val="none" w:sz="0" w:space="0" w:color="auto"/>
        <w:left w:val="none" w:sz="0" w:space="0" w:color="auto"/>
        <w:bottom w:val="none" w:sz="0" w:space="0" w:color="auto"/>
        <w:right w:val="none" w:sz="0" w:space="0" w:color="auto"/>
      </w:divBdr>
    </w:div>
    <w:div w:id="437407539">
      <w:bodyDiv w:val="1"/>
      <w:marLeft w:val="0"/>
      <w:marRight w:val="0"/>
      <w:marTop w:val="0"/>
      <w:marBottom w:val="0"/>
      <w:divBdr>
        <w:top w:val="none" w:sz="0" w:space="0" w:color="auto"/>
        <w:left w:val="none" w:sz="0" w:space="0" w:color="auto"/>
        <w:bottom w:val="none" w:sz="0" w:space="0" w:color="auto"/>
        <w:right w:val="none" w:sz="0" w:space="0" w:color="auto"/>
      </w:divBdr>
    </w:div>
    <w:div w:id="438109990">
      <w:bodyDiv w:val="1"/>
      <w:marLeft w:val="0"/>
      <w:marRight w:val="0"/>
      <w:marTop w:val="0"/>
      <w:marBottom w:val="0"/>
      <w:divBdr>
        <w:top w:val="none" w:sz="0" w:space="0" w:color="auto"/>
        <w:left w:val="none" w:sz="0" w:space="0" w:color="auto"/>
        <w:bottom w:val="none" w:sz="0" w:space="0" w:color="auto"/>
        <w:right w:val="none" w:sz="0" w:space="0" w:color="auto"/>
      </w:divBdr>
    </w:div>
    <w:div w:id="441342544">
      <w:bodyDiv w:val="1"/>
      <w:marLeft w:val="0"/>
      <w:marRight w:val="0"/>
      <w:marTop w:val="0"/>
      <w:marBottom w:val="0"/>
      <w:divBdr>
        <w:top w:val="none" w:sz="0" w:space="0" w:color="auto"/>
        <w:left w:val="none" w:sz="0" w:space="0" w:color="auto"/>
        <w:bottom w:val="none" w:sz="0" w:space="0" w:color="auto"/>
        <w:right w:val="none" w:sz="0" w:space="0" w:color="auto"/>
      </w:divBdr>
    </w:div>
    <w:div w:id="444496903">
      <w:bodyDiv w:val="1"/>
      <w:marLeft w:val="0"/>
      <w:marRight w:val="0"/>
      <w:marTop w:val="0"/>
      <w:marBottom w:val="0"/>
      <w:divBdr>
        <w:top w:val="none" w:sz="0" w:space="0" w:color="auto"/>
        <w:left w:val="none" w:sz="0" w:space="0" w:color="auto"/>
        <w:bottom w:val="none" w:sz="0" w:space="0" w:color="auto"/>
        <w:right w:val="none" w:sz="0" w:space="0" w:color="auto"/>
      </w:divBdr>
    </w:div>
    <w:div w:id="445318079">
      <w:bodyDiv w:val="1"/>
      <w:marLeft w:val="0"/>
      <w:marRight w:val="0"/>
      <w:marTop w:val="0"/>
      <w:marBottom w:val="0"/>
      <w:divBdr>
        <w:top w:val="none" w:sz="0" w:space="0" w:color="auto"/>
        <w:left w:val="none" w:sz="0" w:space="0" w:color="auto"/>
        <w:bottom w:val="none" w:sz="0" w:space="0" w:color="auto"/>
        <w:right w:val="none" w:sz="0" w:space="0" w:color="auto"/>
      </w:divBdr>
    </w:div>
    <w:div w:id="448361311">
      <w:bodyDiv w:val="1"/>
      <w:marLeft w:val="0"/>
      <w:marRight w:val="0"/>
      <w:marTop w:val="0"/>
      <w:marBottom w:val="0"/>
      <w:divBdr>
        <w:top w:val="none" w:sz="0" w:space="0" w:color="auto"/>
        <w:left w:val="none" w:sz="0" w:space="0" w:color="auto"/>
        <w:bottom w:val="none" w:sz="0" w:space="0" w:color="auto"/>
        <w:right w:val="none" w:sz="0" w:space="0" w:color="auto"/>
      </w:divBdr>
    </w:div>
    <w:div w:id="450131576">
      <w:bodyDiv w:val="1"/>
      <w:marLeft w:val="0"/>
      <w:marRight w:val="0"/>
      <w:marTop w:val="0"/>
      <w:marBottom w:val="0"/>
      <w:divBdr>
        <w:top w:val="none" w:sz="0" w:space="0" w:color="auto"/>
        <w:left w:val="none" w:sz="0" w:space="0" w:color="auto"/>
        <w:bottom w:val="none" w:sz="0" w:space="0" w:color="auto"/>
        <w:right w:val="none" w:sz="0" w:space="0" w:color="auto"/>
      </w:divBdr>
    </w:div>
    <w:div w:id="451560923">
      <w:bodyDiv w:val="1"/>
      <w:marLeft w:val="0"/>
      <w:marRight w:val="0"/>
      <w:marTop w:val="0"/>
      <w:marBottom w:val="0"/>
      <w:divBdr>
        <w:top w:val="none" w:sz="0" w:space="0" w:color="auto"/>
        <w:left w:val="none" w:sz="0" w:space="0" w:color="auto"/>
        <w:bottom w:val="none" w:sz="0" w:space="0" w:color="auto"/>
        <w:right w:val="none" w:sz="0" w:space="0" w:color="auto"/>
      </w:divBdr>
    </w:div>
    <w:div w:id="457648939">
      <w:bodyDiv w:val="1"/>
      <w:marLeft w:val="0"/>
      <w:marRight w:val="0"/>
      <w:marTop w:val="0"/>
      <w:marBottom w:val="0"/>
      <w:divBdr>
        <w:top w:val="none" w:sz="0" w:space="0" w:color="auto"/>
        <w:left w:val="none" w:sz="0" w:space="0" w:color="auto"/>
        <w:bottom w:val="none" w:sz="0" w:space="0" w:color="auto"/>
        <w:right w:val="none" w:sz="0" w:space="0" w:color="auto"/>
      </w:divBdr>
    </w:div>
    <w:div w:id="460878765">
      <w:bodyDiv w:val="1"/>
      <w:marLeft w:val="0"/>
      <w:marRight w:val="0"/>
      <w:marTop w:val="0"/>
      <w:marBottom w:val="0"/>
      <w:divBdr>
        <w:top w:val="none" w:sz="0" w:space="0" w:color="auto"/>
        <w:left w:val="none" w:sz="0" w:space="0" w:color="auto"/>
        <w:bottom w:val="none" w:sz="0" w:space="0" w:color="auto"/>
        <w:right w:val="none" w:sz="0" w:space="0" w:color="auto"/>
      </w:divBdr>
    </w:div>
    <w:div w:id="462120498">
      <w:bodyDiv w:val="1"/>
      <w:marLeft w:val="0"/>
      <w:marRight w:val="0"/>
      <w:marTop w:val="0"/>
      <w:marBottom w:val="0"/>
      <w:divBdr>
        <w:top w:val="none" w:sz="0" w:space="0" w:color="auto"/>
        <w:left w:val="none" w:sz="0" w:space="0" w:color="auto"/>
        <w:bottom w:val="none" w:sz="0" w:space="0" w:color="auto"/>
        <w:right w:val="none" w:sz="0" w:space="0" w:color="auto"/>
      </w:divBdr>
    </w:div>
    <w:div w:id="462700043">
      <w:bodyDiv w:val="1"/>
      <w:marLeft w:val="0"/>
      <w:marRight w:val="0"/>
      <w:marTop w:val="0"/>
      <w:marBottom w:val="0"/>
      <w:divBdr>
        <w:top w:val="none" w:sz="0" w:space="0" w:color="auto"/>
        <w:left w:val="none" w:sz="0" w:space="0" w:color="auto"/>
        <w:bottom w:val="none" w:sz="0" w:space="0" w:color="auto"/>
        <w:right w:val="none" w:sz="0" w:space="0" w:color="auto"/>
      </w:divBdr>
    </w:div>
    <w:div w:id="463743061">
      <w:bodyDiv w:val="1"/>
      <w:marLeft w:val="0"/>
      <w:marRight w:val="0"/>
      <w:marTop w:val="0"/>
      <w:marBottom w:val="0"/>
      <w:divBdr>
        <w:top w:val="none" w:sz="0" w:space="0" w:color="auto"/>
        <w:left w:val="none" w:sz="0" w:space="0" w:color="auto"/>
        <w:bottom w:val="none" w:sz="0" w:space="0" w:color="auto"/>
        <w:right w:val="none" w:sz="0" w:space="0" w:color="auto"/>
      </w:divBdr>
    </w:div>
    <w:div w:id="470169863">
      <w:bodyDiv w:val="1"/>
      <w:marLeft w:val="0"/>
      <w:marRight w:val="0"/>
      <w:marTop w:val="0"/>
      <w:marBottom w:val="0"/>
      <w:divBdr>
        <w:top w:val="none" w:sz="0" w:space="0" w:color="auto"/>
        <w:left w:val="none" w:sz="0" w:space="0" w:color="auto"/>
        <w:bottom w:val="none" w:sz="0" w:space="0" w:color="auto"/>
        <w:right w:val="none" w:sz="0" w:space="0" w:color="auto"/>
      </w:divBdr>
    </w:div>
    <w:div w:id="472257247">
      <w:bodyDiv w:val="1"/>
      <w:marLeft w:val="0"/>
      <w:marRight w:val="0"/>
      <w:marTop w:val="0"/>
      <w:marBottom w:val="0"/>
      <w:divBdr>
        <w:top w:val="none" w:sz="0" w:space="0" w:color="auto"/>
        <w:left w:val="none" w:sz="0" w:space="0" w:color="auto"/>
        <w:bottom w:val="none" w:sz="0" w:space="0" w:color="auto"/>
        <w:right w:val="none" w:sz="0" w:space="0" w:color="auto"/>
      </w:divBdr>
    </w:div>
    <w:div w:id="477572682">
      <w:bodyDiv w:val="1"/>
      <w:marLeft w:val="0"/>
      <w:marRight w:val="0"/>
      <w:marTop w:val="0"/>
      <w:marBottom w:val="0"/>
      <w:divBdr>
        <w:top w:val="none" w:sz="0" w:space="0" w:color="auto"/>
        <w:left w:val="none" w:sz="0" w:space="0" w:color="auto"/>
        <w:bottom w:val="none" w:sz="0" w:space="0" w:color="auto"/>
        <w:right w:val="none" w:sz="0" w:space="0" w:color="auto"/>
      </w:divBdr>
    </w:div>
    <w:div w:id="479273248">
      <w:bodyDiv w:val="1"/>
      <w:marLeft w:val="0"/>
      <w:marRight w:val="0"/>
      <w:marTop w:val="0"/>
      <w:marBottom w:val="0"/>
      <w:divBdr>
        <w:top w:val="none" w:sz="0" w:space="0" w:color="auto"/>
        <w:left w:val="none" w:sz="0" w:space="0" w:color="auto"/>
        <w:bottom w:val="none" w:sz="0" w:space="0" w:color="auto"/>
        <w:right w:val="none" w:sz="0" w:space="0" w:color="auto"/>
      </w:divBdr>
    </w:div>
    <w:div w:id="483013558">
      <w:bodyDiv w:val="1"/>
      <w:marLeft w:val="0"/>
      <w:marRight w:val="0"/>
      <w:marTop w:val="0"/>
      <w:marBottom w:val="0"/>
      <w:divBdr>
        <w:top w:val="none" w:sz="0" w:space="0" w:color="auto"/>
        <w:left w:val="none" w:sz="0" w:space="0" w:color="auto"/>
        <w:bottom w:val="none" w:sz="0" w:space="0" w:color="auto"/>
        <w:right w:val="none" w:sz="0" w:space="0" w:color="auto"/>
      </w:divBdr>
    </w:div>
    <w:div w:id="491412232">
      <w:bodyDiv w:val="1"/>
      <w:marLeft w:val="0"/>
      <w:marRight w:val="0"/>
      <w:marTop w:val="0"/>
      <w:marBottom w:val="0"/>
      <w:divBdr>
        <w:top w:val="none" w:sz="0" w:space="0" w:color="auto"/>
        <w:left w:val="none" w:sz="0" w:space="0" w:color="auto"/>
        <w:bottom w:val="none" w:sz="0" w:space="0" w:color="auto"/>
        <w:right w:val="none" w:sz="0" w:space="0" w:color="auto"/>
      </w:divBdr>
    </w:div>
    <w:div w:id="496238821">
      <w:bodyDiv w:val="1"/>
      <w:marLeft w:val="0"/>
      <w:marRight w:val="0"/>
      <w:marTop w:val="0"/>
      <w:marBottom w:val="0"/>
      <w:divBdr>
        <w:top w:val="none" w:sz="0" w:space="0" w:color="auto"/>
        <w:left w:val="none" w:sz="0" w:space="0" w:color="auto"/>
        <w:bottom w:val="none" w:sz="0" w:space="0" w:color="auto"/>
        <w:right w:val="none" w:sz="0" w:space="0" w:color="auto"/>
      </w:divBdr>
    </w:div>
    <w:div w:id="496271204">
      <w:bodyDiv w:val="1"/>
      <w:marLeft w:val="0"/>
      <w:marRight w:val="0"/>
      <w:marTop w:val="0"/>
      <w:marBottom w:val="0"/>
      <w:divBdr>
        <w:top w:val="none" w:sz="0" w:space="0" w:color="auto"/>
        <w:left w:val="none" w:sz="0" w:space="0" w:color="auto"/>
        <w:bottom w:val="none" w:sz="0" w:space="0" w:color="auto"/>
        <w:right w:val="none" w:sz="0" w:space="0" w:color="auto"/>
      </w:divBdr>
    </w:div>
    <w:div w:id="496456820">
      <w:bodyDiv w:val="1"/>
      <w:marLeft w:val="0"/>
      <w:marRight w:val="0"/>
      <w:marTop w:val="0"/>
      <w:marBottom w:val="0"/>
      <w:divBdr>
        <w:top w:val="none" w:sz="0" w:space="0" w:color="auto"/>
        <w:left w:val="none" w:sz="0" w:space="0" w:color="auto"/>
        <w:bottom w:val="none" w:sz="0" w:space="0" w:color="auto"/>
        <w:right w:val="none" w:sz="0" w:space="0" w:color="auto"/>
      </w:divBdr>
    </w:div>
    <w:div w:id="499543842">
      <w:bodyDiv w:val="1"/>
      <w:marLeft w:val="0"/>
      <w:marRight w:val="0"/>
      <w:marTop w:val="0"/>
      <w:marBottom w:val="0"/>
      <w:divBdr>
        <w:top w:val="none" w:sz="0" w:space="0" w:color="auto"/>
        <w:left w:val="none" w:sz="0" w:space="0" w:color="auto"/>
        <w:bottom w:val="none" w:sz="0" w:space="0" w:color="auto"/>
        <w:right w:val="none" w:sz="0" w:space="0" w:color="auto"/>
      </w:divBdr>
    </w:div>
    <w:div w:id="501242909">
      <w:bodyDiv w:val="1"/>
      <w:marLeft w:val="0"/>
      <w:marRight w:val="0"/>
      <w:marTop w:val="0"/>
      <w:marBottom w:val="0"/>
      <w:divBdr>
        <w:top w:val="none" w:sz="0" w:space="0" w:color="auto"/>
        <w:left w:val="none" w:sz="0" w:space="0" w:color="auto"/>
        <w:bottom w:val="none" w:sz="0" w:space="0" w:color="auto"/>
        <w:right w:val="none" w:sz="0" w:space="0" w:color="auto"/>
      </w:divBdr>
    </w:div>
    <w:div w:id="501430896">
      <w:bodyDiv w:val="1"/>
      <w:marLeft w:val="0"/>
      <w:marRight w:val="0"/>
      <w:marTop w:val="0"/>
      <w:marBottom w:val="0"/>
      <w:divBdr>
        <w:top w:val="none" w:sz="0" w:space="0" w:color="auto"/>
        <w:left w:val="none" w:sz="0" w:space="0" w:color="auto"/>
        <w:bottom w:val="none" w:sz="0" w:space="0" w:color="auto"/>
        <w:right w:val="none" w:sz="0" w:space="0" w:color="auto"/>
      </w:divBdr>
    </w:div>
    <w:div w:id="504905570">
      <w:bodyDiv w:val="1"/>
      <w:marLeft w:val="0"/>
      <w:marRight w:val="0"/>
      <w:marTop w:val="0"/>
      <w:marBottom w:val="0"/>
      <w:divBdr>
        <w:top w:val="none" w:sz="0" w:space="0" w:color="auto"/>
        <w:left w:val="none" w:sz="0" w:space="0" w:color="auto"/>
        <w:bottom w:val="none" w:sz="0" w:space="0" w:color="auto"/>
        <w:right w:val="none" w:sz="0" w:space="0" w:color="auto"/>
      </w:divBdr>
    </w:div>
    <w:div w:id="511796340">
      <w:bodyDiv w:val="1"/>
      <w:marLeft w:val="0"/>
      <w:marRight w:val="0"/>
      <w:marTop w:val="0"/>
      <w:marBottom w:val="0"/>
      <w:divBdr>
        <w:top w:val="none" w:sz="0" w:space="0" w:color="auto"/>
        <w:left w:val="none" w:sz="0" w:space="0" w:color="auto"/>
        <w:bottom w:val="none" w:sz="0" w:space="0" w:color="auto"/>
        <w:right w:val="none" w:sz="0" w:space="0" w:color="auto"/>
      </w:divBdr>
    </w:div>
    <w:div w:id="523632831">
      <w:bodyDiv w:val="1"/>
      <w:marLeft w:val="0"/>
      <w:marRight w:val="0"/>
      <w:marTop w:val="0"/>
      <w:marBottom w:val="0"/>
      <w:divBdr>
        <w:top w:val="none" w:sz="0" w:space="0" w:color="auto"/>
        <w:left w:val="none" w:sz="0" w:space="0" w:color="auto"/>
        <w:bottom w:val="none" w:sz="0" w:space="0" w:color="auto"/>
        <w:right w:val="none" w:sz="0" w:space="0" w:color="auto"/>
      </w:divBdr>
    </w:div>
    <w:div w:id="526911309">
      <w:bodyDiv w:val="1"/>
      <w:marLeft w:val="0"/>
      <w:marRight w:val="0"/>
      <w:marTop w:val="0"/>
      <w:marBottom w:val="0"/>
      <w:divBdr>
        <w:top w:val="none" w:sz="0" w:space="0" w:color="auto"/>
        <w:left w:val="none" w:sz="0" w:space="0" w:color="auto"/>
        <w:bottom w:val="none" w:sz="0" w:space="0" w:color="auto"/>
        <w:right w:val="none" w:sz="0" w:space="0" w:color="auto"/>
      </w:divBdr>
    </w:div>
    <w:div w:id="528033217">
      <w:bodyDiv w:val="1"/>
      <w:marLeft w:val="0"/>
      <w:marRight w:val="0"/>
      <w:marTop w:val="0"/>
      <w:marBottom w:val="0"/>
      <w:divBdr>
        <w:top w:val="none" w:sz="0" w:space="0" w:color="auto"/>
        <w:left w:val="none" w:sz="0" w:space="0" w:color="auto"/>
        <w:bottom w:val="none" w:sz="0" w:space="0" w:color="auto"/>
        <w:right w:val="none" w:sz="0" w:space="0" w:color="auto"/>
      </w:divBdr>
    </w:div>
    <w:div w:id="529491041">
      <w:bodyDiv w:val="1"/>
      <w:marLeft w:val="0"/>
      <w:marRight w:val="0"/>
      <w:marTop w:val="0"/>
      <w:marBottom w:val="0"/>
      <w:divBdr>
        <w:top w:val="none" w:sz="0" w:space="0" w:color="auto"/>
        <w:left w:val="none" w:sz="0" w:space="0" w:color="auto"/>
        <w:bottom w:val="none" w:sz="0" w:space="0" w:color="auto"/>
        <w:right w:val="none" w:sz="0" w:space="0" w:color="auto"/>
      </w:divBdr>
    </w:div>
    <w:div w:id="533806978">
      <w:bodyDiv w:val="1"/>
      <w:marLeft w:val="0"/>
      <w:marRight w:val="0"/>
      <w:marTop w:val="0"/>
      <w:marBottom w:val="0"/>
      <w:divBdr>
        <w:top w:val="none" w:sz="0" w:space="0" w:color="auto"/>
        <w:left w:val="none" w:sz="0" w:space="0" w:color="auto"/>
        <w:bottom w:val="none" w:sz="0" w:space="0" w:color="auto"/>
        <w:right w:val="none" w:sz="0" w:space="0" w:color="auto"/>
      </w:divBdr>
    </w:div>
    <w:div w:id="535435982">
      <w:bodyDiv w:val="1"/>
      <w:marLeft w:val="0"/>
      <w:marRight w:val="0"/>
      <w:marTop w:val="0"/>
      <w:marBottom w:val="0"/>
      <w:divBdr>
        <w:top w:val="none" w:sz="0" w:space="0" w:color="auto"/>
        <w:left w:val="none" w:sz="0" w:space="0" w:color="auto"/>
        <w:bottom w:val="none" w:sz="0" w:space="0" w:color="auto"/>
        <w:right w:val="none" w:sz="0" w:space="0" w:color="auto"/>
      </w:divBdr>
    </w:div>
    <w:div w:id="535965705">
      <w:bodyDiv w:val="1"/>
      <w:marLeft w:val="0"/>
      <w:marRight w:val="0"/>
      <w:marTop w:val="0"/>
      <w:marBottom w:val="0"/>
      <w:divBdr>
        <w:top w:val="none" w:sz="0" w:space="0" w:color="auto"/>
        <w:left w:val="none" w:sz="0" w:space="0" w:color="auto"/>
        <w:bottom w:val="none" w:sz="0" w:space="0" w:color="auto"/>
        <w:right w:val="none" w:sz="0" w:space="0" w:color="auto"/>
      </w:divBdr>
    </w:div>
    <w:div w:id="537278464">
      <w:bodyDiv w:val="1"/>
      <w:marLeft w:val="0"/>
      <w:marRight w:val="0"/>
      <w:marTop w:val="0"/>
      <w:marBottom w:val="0"/>
      <w:divBdr>
        <w:top w:val="none" w:sz="0" w:space="0" w:color="auto"/>
        <w:left w:val="none" w:sz="0" w:space="0" w:color="auto"/>
        <w:bottom w:val="none" w:sz="0" w:space="0" w:color="auto"/>
        <w:right w:val="none" w:sz="0" w:space="0" w:color="auto"/>
      </w:divBdr>
    </w:div>
    <w:div w:id="543490955">
      <w:bodyDiv w:val="1"/>
      <w:marLeft w:val="0"/>
      <w:marRight w:val="0"/>
      <w:marTop w:val="0"/>
      <w:marBottom w:val="0"/>
      <w:divBdr>
        <w:top w:val="none" w:sz="0" w:space="0" w:color="auto"/>
        <w:left w:val="none" w:sz="0" w:space="0" w:color="auto"/>
        <w:bottom w:val="none" w:sz="0" w:space="0" w:color="auto"/>
        <w:right w:val="none" w:sz="0" w:space="0" w:color="auto"/>
      </w:divBdr>
    </w:div>
    <w:div w:id="544562807">
      <w:bodyDiv w:val="1"/>
      <w:marLeft w:val="0"/>
      <w:marRight w:val="0"/>
      <w:marTop w:val="0"/>
      <w:marBottom w:val="0"/>
      <w:divBdr>
        <w:top w:val="none" w:sz="0" w:space="0" w:color="auto"/>
        <w:left w:val="none" w:sz="0" w:space="0" w:color="auto"/>
        <w:bottom w:val="none" w:sz="0" w:space="0" w:color="auto"/>
        <w:right w:val="none" w:sz="0" w:space="0" w:color="auto"/>
      </w:divBdr>
    </w:div>
    <w:div w:id="545918841">
      <w:bodyDiv w:val="1"/>
      <w:marLeft w:val="0"/>
      <w:marRight w:val="0"/>
      <w:marTop w:val="0"/>
      <w:marBottom w:val="0"/>
      <w:divBdr>
        <w:top w:val="none" w:sz="0" w:space="0" w:color="auto"/>
        <w:left w:val="none" w:sz="0" w:space="0" w:color="auto"/>
        <w:bottom w:val="none" w:sz="0" w:space="0" w:color="auto"/>
        <w:right w:val="none" w:sz="0" w:space="0" w:color="auto"/>
      </w:divBdr>
    </w:div>
    <w:div w:id="561060618">
      <w:bodyDiv w:val="1"/>
      <w:marLeft w:val="0"/>
      <w:marRight w:val="0"/>
      <w:marTop w:val="0"/>
      <w:marBottom w:val="0"/>
      <w:divBdr>
        <w:top w:val="none" w:sz="0" w:space="0" w:color="auto"/>
        <w:left w:val="none" w:sz="0" w:space="0" w:color="auto"/>
        <w:bottom w:val="none" w:sz="0" w:space="0" w:color="auto"/>
        <w:right w:val="none" w:sz="0" w:space="0" w:color="auto"/>
      </w:divBdr>
    </w:div>
    <w:div w:id="563175874">
      <w:bodyDiv w:val="1"/>
      <w:marLeft w:val="0"/>
      <w:marRight w:val="0"/>
      <w:marTop w:val="0"/>
      <w:marBottom w:val="0"/>
      <w:divBdr>
        <w:top w:val="none" w:sz="0" w:space="0" w:color="auto"/>
        <w:left w:val="none" w:sz="0" w:space="0" w:color="auto"/>
        <w:bottom w:val="none" w:sz="0" w:space="0" w:color="auto"/>
        <w:right w:val="none" w:sz="0" w:space="0" w:color="auto"/>
      </w:divBdr>
    </w:div>
    <w:div w:id="564612068">
      <w:bodyDiv w:val="1"/>
      <w:marLeft w:val="0"/>
      <w:marRight w:val="0"/>
      <w:marTop w:val="0"/>
      <w:marBottom w:val="0"/>
      <w:divBdr>
        <w:top w:val="none" w:sz="0" w:space="0" w:color="auto"/>
        <w:left w:val="none" w:sz="0" w:space="0" w:color="auto"/>
        <w:bottom w:val="none" w:sz="0" w:space="0" w:color="auto"/>
        <w:right w:val="none" w:sz="0" w:space="0" w:color="auto"/>
      </w:divBdr>
    </w:div>
    <w:div w:id="568272249">
      <w:bodyDiv w:val="1"/>
      <w:marLeft w:val="0"/>
      <w:marRight w:val="0"/>
      <w:marTop w:val="0"/>
      <w:marBottom w:val="0"/>
      <w:divBdr>
        <w:top w:val="none" w:sz="0" w:space="0" w:color="auto"/>
        <w:left w:val="none" w:sz="0" w:space="0" w:color="auto"/>
        <w:bottom w:val="none" w:sz="0" w:space="0" w:color="auto"/>
        <w:right w:val="none" w:sz="0" w:space="0" w:color="auto"/>
      </w:divBdr>
    </w:div>
    <w:div w:id="568811610">
      <w:bodyDiv w:val="1"/>
      <w:marLeft w:val="0"/>
      <w:marRight w:val="0"/>
      <w:marTop w:val="0"/>
      <w:marBottom w:val="0"/>
      <w:divBdr>
        <w:top w:val="none" w:sz="0" w:space="0" w:color="auto"/>
        <w:left w:val="none" w:sz="0" w:space="0" w:color="auto"/>
        <w:bottom w:val="none" w:sz="0" w:space="0" w:color="auto"/>
        <w:right w:val="none" w:sz="0" w:space="0" w:color="auto"/>
      </w:divBdr>
    </w:div>
    <w:div w:id="572743900">
      <w:bodyDiv w:val="1"/>
      <w:marLeft w:val="0"/>
      <w:marRight w:val="0"/>
      <w:marTop w:val="0"/>
      <w:marBottom w:val="0"/>
      <w:divBdr>
        <w:top w:val="none" w:sz="0" w:space="0" w:color="auto"/>
        <w:left w:val="none" w:sz="0" w:space="0" w:color="auto"/>
        <w:bottom w:val="none" w:sz="0" w:space="0" w:color="auto"/>
        <w:right w:val="none" w:sz="0" w:space="0" w:color="auto"/>
      </w:divBdr>
    </w:div>
    <w:div w:id="575285454">
      <w:bodyDiv w:val="1"/>
      <w:marLeft w:val="0"/>
      <w:marRight w:val="0"/>
      <w:marTop w:val="0"/>
      <w:marBottom w:val="0"/>
      <w:divBdr>
        <w:top w:val="none" w:sz="0" w:space="0" w:color="auto"/>
        <w:left w:val="none" w:sz="0" w:space="0" w:color="auto"/>
        <w:bottom w:val="none" w:sz="0" w:space="0" w:color="auto"/>
        <w:right w:val="none" w:sz="0" w:space="0" w:color="auto"/>
      </w:divBdr>
    </w:div>
    <w:div w:id="576936135">
      <w:bodyDiv w:val="1"/>
      <w:marLeft w:val="0"/>
      <w:marRight w:val="0"/>
      <w:marTop w:val="0"/>
      <w:marBottom w:val="0"/>
      <w:divBdr>
        <w:top w:val="none" w:sz="0" w:space="0" w:color="auto"/>
        <w:left w:val="none" w:sz="0" w:space="0" w:color="auto"/>
        <w:bottom w:val="none" w:sz="0" w:space="0" w:color="auto"/>
        <w:right w:val="none" w:sz="0" w:space="0" w:color="auto"/>
      </w:divBdr>
    </w:div>
    <w:div w:id="578444115">
      <w:bodyDiv w:val="1"/>
      <w:marLeft w:val="0"/>
      <w:marRight w:val="0"/>
      <w:marTop w:val="0"/>
      <w:marBottom w:val="0"/>
      <w:divBdr>
        <w:top w:val="none" w:sz="0" w:space="0" w:color="auto"/>
        <w:left w:val="none" w:sz="0" w:space="0" w:color="auto"/>
        <w:bottom w:val="none" w:sz="0" w:space="0" w:color="auto"/>
        <w:right w:val="none" w:sz="0" w:space="0" w:color="auto"/>
      </w:divBdr>
    </w:div>
    <w:div w:id="590546326">
      <w:bodyDiv w:val="1"/>
      <w:marLeft w:val="0"/>
      <w:marRight w:val="0"/>
      <w:marTop w:val="0"/>
      <w:marBottom w:val="0"/>
      <w:divBdr>
        <w:top w:val="none" w:sz="0" w:space="0" w:color="auto"/>
        <w:left w:val="none" w:sz="0" w:space="0" w:color="auto"/>
        <w:bottom w:val="none" w:sz="0" w:space="0" w:color="auto"/>
        <w:right w:val="none" w:sz="0" w:space="0" w:color="auto"/>
      </w:divBdr>
    </w:div>
    <w:div w:id="591672016">
      <w:bodyDiv w:val="1"/>
      <w:marLeft w:val="0"/>
      <w:marRight w:val="0"/>
      <w:marTop w:val="0"/>
      <w:marBottom w:val="0"/>
      <w:divBdr>
        <w:top w:val="none" w:sz="0" w:space="0" w:color="auto"/>
        <w:left w:val="none" w:sz="0" w:space="0" w:color="auto"/>
        <w:bottom w:val="none" w:sz="0" w:space="0" w:color="auto"/>
        <w:right w:val="none" w:sz="0" w:space="0" w:color="auto"/>
      </w:divBdr>
    </w:div>
    <w:div w:id="594940946">
      <w:bodyDiv w:val="1"/>
      <w:marLeft w:val="0"/>
      <w:marRight w:val="0"/>
      <w:marTop w:val="0"/>
      <w:marBottom w:val="0"/>
      <w:divBdr>
        <w:top w:val="none" w:sz="0" w:space="0" w:color="auto"/>
        <w:left w:val="none" w:sz="0" w:space="0" w:color="auto"/>
        <w:bottom w:val="none" w:sz="0" w:space="0" w:color="auto"/>
        <w:right w:val="none" w:sz="0" w:space="0" w:color="auto"/>
      </w:divBdr>
    </w:div>
    <w:div w:id="598753213">
      <w:bodyDiv w:val="1"/>
      <w:marLeft w:val="0"/>
      <w:marRight w:val="0"/>
      <w:marTop w:val="0"/>
      <w:marBottom w:val="0"/>
      <w:divBdr>
        <w:top w:val="none" w:sz="0" w:space="0" w:color="auto"/>
        <w:left w:val="none" w:sz="0" w:space="0" w:color="auto"/>
        <w:bottom w:val="none" w:sz="0" w:space="0" w:color="auto"/>
        <w:right w:val="none" w:sz="0" w:space="0" w:color="auto"/>
      </w:divBdr>
    </w:div>
    <w:div w:id="601376888">
      <w:bodyDiv w:val="1"/>
      <w:marLeft w:val="0"/>
      <w:marRight w:val="0"/>
      <w:marTop w:val="0"/>
      <w:marBottom w:val="0"/>
      <w:divBdr>
        <w:top w:val="none" w:sz="0" w:space="0" w:color="auto"/>
        <w:left w:val="none" w:sz="0" w:space="0" w:color="auto"/>
        <w:bottom w:val="none" w:sz="0" w:space="0" w:color="auto"/>
        <w:right w:val="none" w:sz="0" w:space="0" w:color="auto"/>
      </w:divBdr>
    </w:div>
    <w:div w:id="604196270">
      <w:bodyDiv w:val="1"/>
      <w:marLeft w:val="0"/>
      <w:marRight w:val="0"/>
      <w:marTop w:val="0"/>
      <w:marBottom w:val="0"/>
      <w:divBdr>
        <w:top w:val="none" w:sz="0" w:space="0" w:color="auto"/>
        <w:left w:val="none" w:sz="0" w:space="0" w:color="auto"/>
        <w:bottom w:val="none" w:sz="0" w:space="0" w:color="auto"/>
        <w:right w:val="none" w:sz="0" w:space="0" w:color="auto"/>
      </w:divBdr>
    </w:div>
    <w:div w:id="604387019">
      <w:bodyDiv w:val="1"/>
      <w:marLeft w:val="0"/>
      <w:marRight w:val="0"/>
      <w:marTop w:val="0"/>
      <w:marBottom w:val="0"/>
      <w:divBdr>
        <w:top w:val="none" w:sz="0" w:space="0" w:color="auto"/>
        <w:left w:val="none" w:sz="0" w:space="0" w:color="auto"/>
        <w:bottom w:val="none" w:sz="0" w:space="0" w:color="auto"/>
        <w:right w:val="none" w:sz="0" w:space="0" w:color="auto"/>
      </w:divBdr>
    </w:div>
    <w:div w:id="611327205">
      <w:bodyDiv w:val="1"/>
      <w:marLeft w:val="0"/>
      <w:marRight w:val="0"/>
      <w:marTop w:val="0"/>
      <w:marBottom w:val="0"/>
      <w:divBdr>
        <w:top w:val="none" w:sz="0" w:space="0" w:color="auto"/>
        <w:left w:val="none" w:sz="0" w:space="0" w:color="auto"/>
        <w:bottom w:val="none" w:sz="0" w:space="0" w:color="auto"/>
        <w:right w:val="none" w:sz="0" w:space="0" w:color="auto"/>
      </w:divBdr>
    </w:div>
    <w:div w:id="611596870">
      <w:bodyDiv w:val="1"/>
      <w:marLeft w:val="0"/>
      <w:marRight w:val="0"/>
      <w:marTop w:val="0"/>
      <w:marBottom w:val="0"/>
      <w:divBdr>
        <w:top w:val="none" w:sz="0" w:space="0" w:color="auto"/>
        <w:left w:val="none" w:sz="0" w:space="0" w:color="auto"/>
        <w:bottom w:val="none" w:sz="0" w:space="0" w:color="auto"/>
        <w:right w:val="none" w:sz="0" w:space="0" w:color="auto"/>
      </w:divBdr>
    </w:div>
    <w:div w:id="614559452">
      <w:bodyDiv w:val="1"/>
      <w:marLeft w:val="0"/>
      <w:marRight w:val="0"/>
      <w:marTop w:val="0"/>
      <w:marBottom w:val="0"/>
      <w:divBdr>
        <w:top w:val="none" w:sz="0" w:space="0" w:color="auto"/>
        <w:left w:val="none" w:sz="0" w:space="0" w:color="auto"/>
        <w:bottom w:val="none" w:sz="0" w:space="0" w:color="auto"/>
        <w:right w:val="none" w:sz="0" w:space="0" w:color="auto"/>
      </w:divBdr>
    </w:div>
    <w:div w:id="618101004">
      <w:bodyDiv w:val="1"/>
      <w:marLeft w:val="0"/>
      <w:marRight w:val="0"/>
      <w:marTop w:val="0"/>
      <w:marBottom w:val="0"/>
      <w:divBdr>
        <w:top w:val="none" w:sz="0" w:space="0" w:color="auto"/>
        <w:left w:val="none" w:sz="0" w:space="0" w:color="auto"/>
        <w:bottom w:val="none" w:sz="0" w:space="0" w:color="auto"/>
        <w:right w:val="none" w:sz="0" w:space="0" w:color="auto"/>
      </w:divBdr>
    </w:div>
    <w:div w:id="622689154">
      <w:bodyDiv w:val="1"/>
      <w:marLeft w:val="0"/>
      <w:marRight w:val="0"/>
      <w:marTop w:val="0"/>
      <w:marBottom w:val="0"/>
      <w:divBdr>
        <w:top w:val="none" w:sz="0" w:space="0" w:color="auto"/>
        <w:left w:val="none" w:sz="0" w:space="0" w:color="auto"/>
        <w:bottom w:val="none" w:sz="0" w:space="0" w:color="auto"/>
        <w:right w:val="none" w:sz="0" w:space="0" w:color="auto"/>
      </w:divBdr>
    </w:div>
    <w:div w:id="625234767">
      <w:bodyDiv w:val="1"/>
      <w:marLeft w:val="0"/>
      <w:marRight w:val="0"/>
      <w:marTop w:val="0"/>
      <w:marBottom w:val="0"/>
      <w:divBdr>
        <w:top w:val="none" w:sz="0" w:space="0" w:color="auto"/>
        <w:left w:val="none" w:sz="0" w:space="0" w:color="auto"/>
        <w:bottom w:val="none" w:sz="0" w:space="0" w:color="auto"/>
        <w:right w:val="none" w:sz="0" w:space="0" w:color="auto"/>
      </w:divBdr>
    </w:div>
    <w:div w:id="628391296">
      <w:bodyDiv w:val="1"/>
      <w:marLeft w:val="0"/>
      <w:marRight w:val="0"/>
      <w:marTop w:val="0"/>
      <w:marBottom w:val="0"/>
      <w:divBdr>
        <w:top w:val="none" w:sz="0" w:space="0" w:color="auto"/>
        <w:left w:val="none" w:sz="0" w:space="0" w:color="auto"/>
        <w:bottom w:val="none" w:sz="0" w:space="0" w:color="auto"/>
        <w:right w:val="none" w:sz="0" w:space="0" w:color="auto"/>
      </w:divBdr>
    </w:div>
    <w:div w:id="633678531">
      <w:bodyDiv w:val="1"/>
      <w:marLeft w:val="0"/>
      <w:marRight w:val="0"/>
      <w:marTop w:val="0"/>
      <w:marBottom w:val="0"/>
      <w:divBdr>
        <w:top w:val="none" w:sz="0" w:space="0" w:color="auto"/>
        <w:left w:val="none" w:sz="0" w:space="0" w:color="auto"/>
        <w:bottom w:val="none" w:sz="0" w:space="0" w:color="auto"/>
        <w:right w:val="none" w:sz="0" w:space="0" w:color="auto"/>
      </w:divBdr>
    </w:div>
    <w:div w:id="637344842">
      <w:bodyDiv w:val="1"/>
      <w:marLeft w:val="0"/>
      <w:marRight w:val="0"/>
      <w:marTop w:val="0"/>
      <w:marBottom w:val="0"/>
      <w:divBdr>
        <w:top w:val="none" w:sz="0" w:space="0" w:color="auto"/>
        <w:left w:val="none" w:sz="0" w:space="0" w:color="auto"/>
        <w:bottom w:val="none" w:sz="0" w:space="0" w:color="auto"/>
        <w:right w:val="none" w:sz="0" w:space="0" w:color="auto"/>
      </w:divBdr>
    </w:div>
    <w:div w:id="638261916">
      <w:bodyDiv w:val="1"/>
      <w:marLeft w:val="0"/>
      <w:marRight w:val="0"/>
      <w:marTop w:val="0"/>
      <w:marBottom w:val="0"/>
      <w:divBdr>
        <w:top w:val="none" w:sz="0" w:space="0" w:color="auto"/>
        <w:left w:val="none" w:sz="0" w:space="0" w:color="auto"/>
        <w:bottom w:val="none" w:sz="0" w:space="0" w:color="auto"/>
        <w:right w:val="none" w:sz="0" w:space="0" w:color="auto"/>
      </w:divBdr>
    </w:div>
    <w:div w:id="642470508">
      <w:bodyDiv w:val="1"/>
      <w:marLeft w:val="0"/>
      <w:marRight w:val="0"/>
      <w:marTop w:val="0"/>
      <w:marBottom w:val="0"/>
      <w:divBdr>
        <w:top w:val="none" w:sz="0" w:space="0" w:color="auto"/>
        <w:left w:val="none" w:sz="0" w:space="0" w:color="auto"/>
        <w:bottom w:val="none" w:sz="0" w:space="0" w:color="auto"/>
        <w:right w:val="none" w:sz="0" w:space="0" w:color="auto"/>
      </w:divBdr>
    </w:div>
    <w:div w:id="643849523">
      <w:bodyDiv w:val="1"/>
      <w:marLeft w:val="0"/>
      <w:marRight w:val="0"/>
      <w:marTop w:val="0"/>
      <w:marBottom w:val="0"/>
      <w:divBdr>
        <w:top w:val="none" w:sz="0" w:space="0" w:color="auto"/>
        <w:left w:val="none" w:sz="0" w:space="0" w:color="auto"/>
        <w:bottom w:val="none" w:sz="0" w:space="0" w:color="auto"/>
        <w:right w:val="none" w:sz="0" w:space="0" w:color="auto"/>
      </w:divBdr>
    </w:div>
    <w:div w:id="647713532">
      <w:bodyDiv w:val="1"/>
      <w:marLeft w:val="0"/>
      <w:marRight w:val="0"/>
      <w:marTop w:val="0"/>
      <w:marBottom w:val="0"/>
      <w:divBdr>
        <w:top w:val="none" w:sz="0" w:space="0" w:color="auto"/>
        <w:left w:val="none" w:sz="0" w:space="0" w:color="auto"/>
        <w:bottom w:val="none" w:sz="0" w:space="0" w:color="auto"/>
        <w:right w:val="none" w:sz="0" w:space="0" w:color="auto"/>
      </w:divBdr>
    </w:div>
    <w:div w:id="647900852">
      <w:bodyDiv w:val="1"/>
      <w:marLeft w:val="0"/>
      <w:marRight w:val="0"/>
      <w:marTop w:val="0"/>
      <w:marBottom w:val="0"/>
      <w:divBdr>
        <w:top w:val="none" w:sz="0" w:space="0" w:color="auto"/>
        <w:left w:val="none" w:sz="0" w:space="0" w:color="auto"/>
        <w:bottom w:val="none" w:sz="0" w:space="0" w:color="auto"/>
        <w:right w:val="none" w:sz="0" w:space="0" w:color="auto"/>
      </w:divBdr>
    </w:div>
    <w:div w:id="653266843">
      <w:bodyDiv w:val="1"/>
      <w:marLeft w:val="0"/>
      <w:marRight w:val="0"/>
      <w:marTop w:val="0"/>
      <w:marBottom w:val="0"/>
      <w:divBdr>
        <w:top w:val="none" w:sz="0" w:space="0" w:color="auto"/>
        <w:left w:val="none" w:sz="0" w:space="0" w:color="auto"/>
        <w:bottom w:val="none" w:sz="0" w:space="0" w:color="auto"/>
        <w:right w:val="none" w:sz="0" w:space="0" w:color="auto"/>
      </w:divBdr>
    </w:div>
    <w:div w:id="655650996">
      <w:bodyDiv w:val="1"/>
      <w:marLeft w:val="0"/>
      <w:marRight w:val="0"/>
      <w:marTop w:val="0"/>
      <w:marBottom w:val="0"/>
      <w:divBdr>
        <w:top w:val="none" w:sz="0" w:space="0" w:color="auto"/>
        <w:left w:val="none" w:sz="0" w:space="0" w:color="auto"/>
        <w:bottom w:val="none" w:sz="0" w:space="0" w:color="auto"/>
        <w:right w:val="none" w:sz="0" w:space="0" w:color="auto"/>
      </w:divBdr>
    </w:div>
    <w:div w:id="661004740">
      <w:bodyDiv w:val="1"/>
      <w:marLeft w:val="0"/>
      <w:marRight w:val="0"/>
      <w:marTop w:val="0"/>
      <w:marBottom w:val="0"/>
      <w:divBdr>
        <w:top w:val="none" w:sz="0" w:space="0" w:color="auto"/>
        <w:left w:val="none" w:sz="0" w:space="0" w:color="auto"/>
        <w:bottom w:val="none" w:sz="0" w:space="0" w:color="auto"/>
        <w:right w:val="none" w:sz="0" w:space="0" w:color="auto"/>
      </w:divBdr>
    </w:div>
    <w:div w:id="661128606">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662700296">
      <w:bodyDiv w:val="1"/>
      <w:marLeft w:val="0"/>
      <w:marRight w:val="0"/>
      <w:marTop w:val="0"/>
      <w:marBottom w:val="0"/>
      <w:divBdr>
        <w:top w:val="none" w:sz="0" w:space="0" w:color="auto"/>
        <w:left w:val="none" w:sz="0" w:space="0" w:color="auto"/>
        <w:bottom w:val="none" w:sz="0" w:space="0" w:color="auto"/>
        <w:right w:val="none" w:sz="0" w:space="0" w:color="auto"/>
      </w:divBdr>
    </w:div>
    <w:div w:id="664741520">
      <w:bodyDiv w:val="1"/>
      <w:marLeft w:val="0"/>
      <w:marRight w:val="0"/>
      <w:marTop w:val="0"/>
      <w:marBottom w:val="0"/>
      <w:divBdr>
        <w:top w:val="none" w:sz="0" w:space="0" w:color="auto"/>
        <w:left w:val="none" w:sz="0" w:space="0" w:color="auto"/>
        <w:bottom w:val="none" w:sz="0" w:space="0" w:color="auto"/>
        <w:right w:val="none" w:sz="0" w:space="0" w:color="auto"/>
      </w:divBdr>
    </w:div>
    <w:div w:id="667631204">
      <w:bodyDiv w:val="1"/>
      <w:marLeft w:val="0"/>
      <w:marRight w:val="0"/>
      <w:marTop w:val="0"/>
      <w:marBottom w:val="0"/>
      <w:divBdr>
        <w:top w:val="none" w:sz="0" w:space="0" w:color="auto"/>
        <w:left w:val="none" w:sz="0" w:space="0" w:color="auto"/>
        <w:bottom w:val="none" w:sz="0" w:space="0" w:color="auto"/>
        <w:right w:val="none" w:sz="0" w:space="0" w:color="auto"/>
      </w:divBdr>
    </w:div>
    <w:div w:id="667952074">
      <w:bodyDiv w:val="1"/>
      <w:marLeft w:val="0"/>
      <w:marRight w:val="0"/>
      <w:marTop w:val="0"/>
      <w:marBottom w:val="0"/>
      <w:divBdr>
        <w:top w:val="none" w:sz="0" w:space="0" w:color="auto"/>
        <w:left w:val="none" w:sz="0" w:space="0" w:color="auto"/>
        <w:bottom w:val="none" w:sz="0" w:space="0" w:color="auto"/>
        <w:right w:val="none" w:sz="0" w:space="0" w:color="auto"/>
      </w:divBdr>
    </w:div>
    <w:div w:id="672805093">
      <w:bodyDiv w:val="1"/>
      <w:marLeft w:val="0"/>
      <w:marRight w:val="0"/>
      <w:marTop w:val="0"/>
      <w:marBottom w:val="0"/>
      <w:divBdr>
        <w:top w:val="none" w:sz="0" w:space="0" w:color="auto"/>
        <w:left w:val="none" w:sz="0" w:space="0" w:color="auto"/>
        <w:bottom w:val="none" w:sz="0" w:space="0" w:color="auto"/>
        <w:right w:val="none" w:sz="0" w:space="0" w:color="auto"/>
      </w:divBdr>
    </w:div>
    <w:div w:id="672876193">
      <w:bodyDiv w:val="1"/>
      <w:marLeft w:val="0"/>
      <w:marRight w:val="0"/>
      <w:marTop w:val="0"/>
      <w:marBottom w:val="0"/>
      <w:divBdr>
        <w:top w:val="none" w:sz="0" w:space="0" w:color="auto"/>
        <w:left w:val="none" w:sz="0" w:space="0" w:color="auto"/>
        <w:bottom w:val="none" w:sz="0" w:space="0" w:color="auto"/>
        <w:right w:val="none" w:sz="0" w:space="0" w:color="auto"/>
      </w:divBdr>
    </w:div>
    <w:div w:id="681053180">
      <w:bodyDiv w:val="1"/>
      <w:marLeft w:val="0"/>
      <w:marRight w:val="0"/>
      <w:marTop w:val="0"/>
      <w:marBottom w:val="0"/>
      <w:divBdr>
        <w:top w:val="none" w:sz="0" w:space="0" w:color="auto"/>
        <w:left w:val="none" w:sz="0" w:space="0" w:color="auto"/>
        <w:bottom w:val="none" w:sz="0" w:space="0" w:color="auto"/>
        <w:right w:val="none" w:sz="0" w:space="0" w:color="auto"/>
      </w:divBdr>
    </w:div>
    <w:div w:id="689142338">
      <w:bodyDiv w:val="1"/>
      <w:marLeft w:val="0"/>
      <w:marRight w:val="0"/>
      <w:marTop w:val="0"/>
      <w:marBottom w:val="0"/>
      <w:divBdr>
        <w:top w:val="none" w:sz="0" w:space="0" w:color="auto"/>
        <w:left w:val="none" w:sz="0" w:space="0" w:color="auto"/>
        <w:bottom w:val="none" w:sz="0" w:space="0" w:color="auto"/>
        <w:right w:val="none" w:sz="0" w:space="0" w:color="auto"/>
      </w:divBdr>
    </w:div>
    <w:div w:id="690183886">
      <w:bodyDiv w:val="1"/>
      <w:marLeft w:val="0"/>
      <w:marRight w:val="0"/>
      <w:marTop w:val="0"/>
      <w:marBottom w:val="0"/>
      <w:divBdr>
        <w:top w:val="none" w:sz="0" w:space="0" w:color="auto"/>
        <w:left w:val="none" w:sz="0" w:space="0" w:color="auto"/>
        <w:bottom w:val="none" w:sz="0" w:space="0" w:color="auto"/>
        <w:right w:val="none" w:sz="0" w:space="0" w:color="auto"/>
      </w:divBdr>
    </w:div>
    <w:div w:id="710304525">
      <w:bodyDiv w:val="1"/>
      <w:marLeft w:val="0"/>
      <w:marRight w:val="0"/>
      <w:marTop w:val="0"/>
      <w:marBottom w:val="0"/>
      <w:divBdr>
        <w:top w:val="none" w:sz="0" w:space="0" w:color="auto"/>
        <w:left w:val="none" w:sz="0" w:space="0" w:color="auto"/>
        <w:bottom w:val="none" w:sz="0" w:space="0" w:color="auto"/>
        <w:right w:val="none" w:sz="0" w:space="0" w:color="auto"/>
      </w:divBdr>
    </w:div>
    <w:div w:id="713234971">
      <w:bodyDiv w:val="1"/>
      <w:marLeft w:val="0"/>
      <w:marRight w:val="0"/>
      <w:marTop w:val="0"/>
      <w:marBottom w:val="0"/>
      <w:divBdr>
        <w:top w:val="none" w:sz="0" w:space="0" w:color="auto"/>
        <w:left w:val="none" w:sz="0" w:space="0" w:color="auto"/>
        <w:bottom w:val="none" w:sz="0" w:space="0" w:color="auto"/>
        <w:right w:val="none" w:sz="0" w:space="0" w:color="auto"/>
      </w:divBdr>
    </w:div>
    <w:div w:id="713314544">
      <w:bodyDiv w:val="1"/>
      <w:marLeft w:val="0"/>
      <w:marRight w:val="0"/>
      <w:marTop w:val="0"/>
      <w:marBottom w:val="0"/>
      <w:divBdr>
        <w:top w:val="none" w:sz="0" w:space="0" w:color="auto"/>
        <w:left w:val="none" w:sz="0" w:space="0" w:color="auto"/>
        <w:bottom w:val="none" w:sz="0" w:space="0" w:color="auto"/>
        <w:right w:val="none" w:sz="0" w:space="0" w:color="auto"/>
      </w:divBdr>
    </w:div>
    <w:div w:id="717899677">
      <w:bodyDiv w:val="1"/>
      <w:marLeft w:val="0"/>
      <w:marRight w:val="0"/>
      <w:marTop w:val="0"/>
      <w:marBottom w:val="0"/>
      <w:divBdr>
        <w:top w:val="none" w:sz="0" w:space="0" w:color="auto"/>
        <w:left w:val="none" w:sz="0" w:space="0" w:color="auto"/>
        <w:bottom w:val="none" w:sz="0" w:space="0" w:color="auto"/>
        <w:right w:val="none" w:sz="0" w:space="0" w:color="auto"/>
      </w:divBdr>
    </w:div>
    <w:div w:id="726149202">
      <w:bodyDiv w:val="1"/>
      <w:marLeft w:val="0"/>
      <w:marRight w:val="0"/>
      <w:marTop w:val="0"/>
      <w:marBottom w:val="0"/>
      <w:divBdr>
        <w:top w:val="none" w:sz="0" w:space="0" w:color="auto"/>
        <w:left w:val="none" w:sz="0" w:space="0" w:color="auto"/>
        <w:bottom w:val="none" w:sz="0" w:space="0" w:color="auto"/>
        <w:right w:val="none" w:sz="0" w:space="0" w:color="auto"/>
      </w:divBdr>
    </w:div>
    <w:div w:id="728455931">
      <w:bodyDiv w:val="1"/>
      <w:marLeft w:val="0"/>
      <w:marRight w:val="0"/>
      <w:marTop w:val="0"/>
      <w:marBottom w:val="0"/>
      <w:divBdr>
        <w:top w:val="none" w:sz="0" w:space="0" w:color="auto"/>
        <w:left w:val="none" w:sz="0" w:space="0" w:color="auto"/>
        <w:bottom w:val="none" w:sz="0" w:space="0" w:color="auto"/>
        <w:right w:val="none" w:sz="0" w:space="0" w:color="auto"/>
      </w:divBdr>
    </w:div>
    <w:div w:id="734670118">
      <w:bodyDiv w:val="1"/>
      <w:marLeft w:val="0"/>
      <w:marRight w:val="0"/>
      <w:marTop w:val="0"/>
      <w:marBottom w:val="0"/>
      <w:divBdr>
        <w:top w:val="none" w:sz="0" w:space="0" w:color="auto"/>
        <w:left w:val="none" w:sz="0" w:space="0" w:color="auto"/>
        <w:bottom w:val="none" w:sz="0" w:space="0" w:color="auto"/>
        <w:right w:val="none" w:sz="0" w:space="0" w:color="auto"/>
      </w:divBdr>
    </w:div>
    <w:div w:id="747532019">
      <w:bodyDiv w:val="1"/>
      <w:marLeft w:val="0"/>
      <w:marRight w:val="0"/>
      <w:marTop w:val="0"/>
      <w:marBottom w:val="0"/>
      <w:divBdr>
        <w:top w:val="none" w:sz="0" w:space="0" w:color="auto"/>
        <w:left w:val="none" w:sz="0" w:space="0" w:color="auto"/>
        <w:bottom w:val="none" w:sz="0" w:space="0" w:color="auto"/>
        <w:right w:val="none" w:sz="0" w:space="0" w:color="auto"/>
      </w:divBdr>
    </w:div>
    <w:div w:id="748841908">
      <w:bodyDiv w:val="1"/>
      <w:marLeft w:val="0"/>
      <w:marRight w:val="0"/>
      <w:marTop w:val="0"/>
      <w:marBottom w:val="0"/>
      <w:divBdr>
        <w:top w:val="none" w:sz="0" w:space="0" w:color="auto"/>
        <w:left w:val="none" w:sz="0" w:space="0" w:color="auto"/>
        <w:bottom w:val="none" w:sz="0" w:space="0" w:color="auto"/>
        <w:right w:val="none" w:sz="0" w:space="0" w:color="auto"/>
      </w:divBdr>
    </w:div>
    <w:div w:id="753363072">
      <w:bodyDiv w:val="1"/>
      <w:marLeft w:val="0"/>
      <w:marRight w:val="0"/>
      <w:marTop w:val="0"/>
      <w:marBottom w:val="0"/>
      <w:divBdr>
        <w:top w:val="none" w:sz="0" w:space="0" w:color="auto"/>
        <w:left w:val="none" w:sz="0" w:space="0" w:color="auto"/>
        <w:bottom w:val="none" w:sz="0" w:space="0" w:color="auto"/>
        <w:right w:val="none" w:sz="0" w:space="0" w:color="auto"/>
      </w:divBdr>
    </w:div>
    <w:div w:id="755983547">
      <w:bodyDiv w:val="1"/>
      <w:marLeft w:val="0"/>
      <w:marRight w:val="0"/>
      <w:marTop w:val="0"/>
      <w:marBottom w:val="0"/>
      <w:divBdr>
        <w:top w:val="none" w:sz="0" w:space="0" w:color="auto"/>
        <w:left w:val="none" w:sz="0" w:space="0" w:color="auto"/>
        <w:bottom w:val="none" w:sz="0" w:space="0" w:color="auto"/>
        <w:right w:val="none" w:sz="0" w:space="0" w:color="auto"/>
      </w:divBdr>
    </w:div>
    <w:div w:id="757211350">
      <w:bodyDiv w:val="1"/>
      <w:marLeft w:val="0"/>
      <w:marRight w:val="0"/>
      <w:marTop w:val="0"/>
      <w:marBottom w:val="0"/>
      <w:divBdr>
        <w:top w:val="none" w:sz="0" w:space="0" w:color="auto"/>
        <w:left w:val="none" w:sz="0" w:space="0" w:color="auto"/>
        <w:bottom w:val="none" w:sz="0" w:space="0" w:color="auto"/>
        <w:right w:val="none" w:sz="0" w:space="0" w:color="auto"/>
      </w:divBdr>
    </w:div>
    <w:div w:id="761417360">
      <w:bodyDiv w:val="1"/>
      <w:marLeft w:val="0"/>
      <w:marRight w:val="0"/>
      <w:marTop w:val="0"/>
      <w:marBottom w:val="0"/>
      <w:divBdr>
        <w:top w:val="none" w:sz="0" w:space="0" w:color="auto"/>
        <w:left w:val="none" w:sz="0" w:space="0" w:color="auto"/>
        <w:bottom w:val="none" w:sz="0" w:space="0" w:color="auto"/>
        <w:right w:val="none" w:sz="0" w:space="0" w:color="auto"/>
      </w:divBdr>
    </w:div>
    <w:div w:id="766464216">
      <w:bodyDiv w:val="1"/>
      <w:marLeft w:val="0"/>
      <w:marRight w:val="0"/>
      <w:marTop w:val="0"/>
      <w:marBottom w:val="0"/>
      <w:divBdr>
        <w:top w:val="none" w:sz="0" w:space="0" w:color="auto"/>
        <w:left w:val="none" w:sz="0" w:space="0" w:color="auto"/>
        <w:bottom w:val="none" w:sz="0" w:space="0" w:color="auto"/>
        <w:right w:val="none" w:sz="0" w:space="0" w:color="auto"/>
      </w:divBdr>
    </w:div>
    <w:div w:id="773020801">
      <w:bodyDiv w:val="1"/>
      <w:marLeft w:val="0"/>
      <w:marRight w:val="0"/>
      <w:marTop w:val="0"/>
      <w:marBottom w:val="0"/>
      <w:divBdr>
        <w:top w:val="none" w:sz="0" w:space="0" w:color="auto"/>
        <w:left w:val="none" w:sz="0" w:space="0" w:color="auto"/>
        <w:bottom w:val="none" w:sz="0" w:space="0" w:color="auto"/>
        <w:right w:val="none" w:sz="0" w:space="0" w:color="auto"/>
      </w:divBdr>
    </w:div>
    <w:div w:id="773482139">
      <w:bodyDiv w:val="1"/>
      <w:marLeft w:val="0"/>
      <w:marRight w:val="0"/>
      <w:marTop w:val="0"/>
      <w:marBottom w:val="0"/>
      <w:divBdr>
        <w:top w:val="none" w:sz="0" w:space="0" w:color="auto"/>
        <w:left w:val="none" w:sz="0" w:space="0" w:color="auto"/>
        <w:bottom w:val="none" w:sz="0" w:space="0" w:color="auto"/>
        <w:right w:val="none" w:sz="0" w:space="0" w:color="auto"/>
      </w:divBdr>
    </w:div>
    <w:div w:id="774441584">
      <w:bodyDiv w:val="1"/>
      <w:marLeft w:val="0"/>
      <w:marRight w:val="0"/>
      <w:marTop w:val="0"/>
      <w:marBottom w:val="0"/>
      <w:divBdr>
        <w:top w:val="none" w:sz="0" w:space="0" w:color="auto"/>
        <w:left w:val="none" w:sz="0" w:space="0" w:color="auto"/>
        <w:bottom w:val="none" w:sz="0" w:space="0" w:color="auto"/>
        <w:right w:val="none" w:sz="0" w:space="0" w:color="auto"/>
      </w:divBdr>
    </w:div>
    <w:div w:id="775711293">
      <w:bodyDiv w:val="1"/>
      <w:marLeft w:val="0"/>
      <w:marRight w:val="0"/>
      <w:marTop w:val="0"/>
      <w:marBottom w:val="0"/>
      <w:divBdr>
        <w:top w:val="none" w:sz="0" w:space="0" w:color="auto"/>
        <w:left w:val="none" w:sz="0" w:space="0" w:color="auto"/>
        <w:bottom w:val="none" w:sz="0" w:space="0" w:color="auto"/>
        <w:right w:val="none" w:sz="0" w:space="0" w:color="auto"/>
      </w:divBdr>
    </w:div>
    <w:div w:id="778993071">
      <w:bodyDiv w:val="1"/>
      <w:marLeft w:val="0"/>
      <w:marRight w:val="0"/>
      <w:marTop w:val="0"/>
      <w:marBottom w:val="0"/>
      <w:divBdr>
        <w:top w:val="none" w:sz="0" w:space="0" w:color="auto"/>
        <w:left w:val="none" w:sz="0" w:space="0" w:color="auto"/>
        <w:bottom w:val="none" w:sz="0" w:space="0" w:color="auto"/>
        <w:right w:val="none" w:sz="0" w:space="0" w:color="auto"/>
      </w:divBdr>
    </w:div>
    <w:div w:id="779684273">
      <w:bodyDiv w:val="1"/>
      <w:marLeft w:val="0"/>
      <w:marRight w:val="0"/>
      <w:marTop w:val="0"/>
      <w:marBottom w:val="0"/>
      <w:divBdr>
        <w:top w:val="none" w:sz="0" w:space="0" w:color="auto"/>
        <w:left w:val="none" w:sz="0" w:space="0" w:color="auto"/>
        <w:bottom w:val="none" w:sz="0" w:space="0" w:color="auto"/>
        <w:right w:val="none" w:sz="0" w:space="0" w:color="auto"/>
      </w:divBdr>
    </w:div>
    <w:div w:id="781074213">
      <w:bodyDiv w:val="1"/>
      <w:marLeft w:val="0"/>
      <w:marRight w:val="0"/>
      <w:marTop w:val="0"/>
      <w:marBottom w:val="0"/>
      <w:divBdr>
        <w:top w:val="none" w:sz="0" w:space="0" w:color="auto"/>
        <w:left w:val="none" w:sz="0" w:space="0" w:color="auto"/>
        <w:bottom w:val="none" w:sz="0" w:space="0" w:color="auto"/>
        <w:right w:val="none" w:sz="0" w:space="0" w:color="auto"/>
      </w:divBdr>
    </w:div>
    <w:div w:id="784078307">
      <w:bodyDiv w:val="1"/>
      <w:marLeft w:val="0"/>
      <w:marRight w:val="0"/>
      <w:marTop w:val="0"/>
      <w:marBottom w:val="0"/>
      <w:divBdr>
        <w:top w:val="none" w:sz="0" w:space="0" w:color="auto"/>
        <w:left w:val="none" w:sz="0" w:space="0" w:color="auto"/>
        <w:bottom w:val="none" w:sz="0" w:space="0" w:color="auto"/>
        <w:right w:val="none" w:sz="0" w:space="0" w:color="auto"/>
      </w:divBdr>
    </w:div>
    <w:div w:id="786041537">
      <w:bodyDiv w:val="1"/>
      <w:marLeft w:val="0"/>
      <w:marRight w:val="0"/>
      <w:marTop w:val="0"/>
      <w:marBottom w:val="0"/>
      <w:divBdr>
        <w:top w:val="none" w:sz="0" w:space="0" w:color="auto"/>
        <w:left w:val="none" w:sz="0" w:space="0" w:color="auto"/>
        <w:bottom w:val="none" w:sz="0" w:space="0" w:color="auto"/>
        <w:right w:val="none" w:sz="0" w:space="0" w:color="auto"/>
      </w:divBdr>
    </w:div>
    <w:div w:id="790126493">
      <w:bodyDiv w:val="1"/>
      <w:marLeft w:val="0"/>
      <w:marRight w:val="0"/>
      <w:marTop w:val="0"/>
      <w:marBottom w:val="0"/>
      <w:divBdr>
        <w:top w:val="none" w:sz="0" w:space="0" w:color="auto"/>
        <w:left w:val="none" w:sz="0" w:space="0" w:color="auto"/>
        <w:bottom w:val="none" w:sz="0" w:space="0" w:color="auto"/>
        <w:right w:val="none" w:sz="0" w:space="0" w:color="auto"/>
      </w:divBdr>
    </w:div>
    <w:div w:id="796526814">
      <w:bodyDiv w:val="1"/>
      <w:marLeft w:val="0"/>
      <w:marRight w:val="0"/>
      <w:marTop w:val="0"/>
      <w:marBottom w:val="0"/>
      <w:divBdr>
        <w:top w:val="none" w:sz="0" w:space="0" w:color="auto"/>
        <w:left w:val="none" w:sz="0" w:space="0" w:color="auto"/>
        <w:bottom w:val="none" w:sz="0" w:space="0" w:color="auto"/>
        <w:right w:val="none" w:sz="0" w:space="0" w:color="auto"/>
      </w:divBdr>
    </w:div>
    <w:div w:id="798885347">
      <w:bodyDiv w:val="1"/>
      <w:marLeft w:val="0"/>
      <w:marRight w:val="0"/>
      <w:marTop w:val="0"/>
      <w:marBottom w:val="0"/>
      <w:divBdr>
        <w:top w:val="none" w:sz="0" w:space="0" w:color="auto"/>
        <w:left w:val="none" w:sz="0" w:space="0" w:color="auto"/>
        <w:bottom w:val="none" w:sz="0" w:space="0" w:color="auto"/>
        <w:right w:val="none" w:sz="0" w:space="0" w:color="auto"/>
      </w:divBdr>
    </w:div>
    <w:div w:id="799304876">
      <w:bodyDiv w:val="1"/>
      <w:marLeft w:val="0"/>
      <w:marRight w:val="0"/>
      <w:marTop w:val="0"/>
      <w:marBottom w:val="0"/>
      <w:divBdr>
        <w:top w:val="none" w:sz="0" w:space="0" w:color="auto"/>
        <w:left w:val="none" w:sz="0" w:space="0" w:color="auto"/>
        <w:bottom w:val="none" w:sz="0" w:space="0" w:color="auto"/>
        <w:right w:val="none" w:sz="0" w:space="0" w:color="auto"/>
      </w:divBdr>
    </w:div>
    <w:div w:id="799422374">
      <w:bodyDiv w:val="1"/>
      <w:marLeft w:val="0"/>
      <w:marRight w:val="0"/>
      <w:marTop w:val="0"/>
      <w:marBottom w:val="0"/>
      <w:divBdr>
        <w:top w:val="none" w:sz="0" w:space="0" w:color="auto"/>
        <w:left w:val="none" w:sz="0" w:space="0" w:color="auto"/>
        <w:bottom w:val="none" w:sz="0" w:space="0" w:color="auto"/>
        <w:right w:val="none" w:sz="0" w:space="0" w:color="auto"/>
      </w:divBdr>
    </w:div>
    <w:div w:id="800806889">
      <w:bodyDiv w:val="1"/>
      <w:marLeft w:val="0"/>
      <w:marRight w:val="0"/>
      <w:marTop w:val="0"/>
      <w:marBottom w:val="0"/>
      <w:divBdr>
        <w:top w:val="none" w:sz="0" w:space="0" w:color="auto"/>
        <w:left w:val="none" w:sz="0" w:space="0" w:color="auto"/>
        <w:bottom w:val="none" w:sz="0" w:space="0" w:color="auto"/>
        <w:right w:val="none" w:sz="0" w:space="0" w:color="auto"/>
      </w:divBdr>
    </w:div>
    <w:div w:id="802118007">
      <w:bodyDiv w:val="1"/>
      <w:marLeft w:val="0"/>
      <w:marRight w:val="0"/>
      <w:marTop w:val="0"/>
      <w:marBottom w:val="0"/>
      <w:divBdr>
        <w:top w:val="none" w:sz="0" w:space="0" w:color="auto"/>
        <w:left w:val="none" w:sz="0" w:space="0" w:color="auto"/>
        <w:bottom w:val="none" w:sz="0" w:space="0" w:color="auto"/>
        <w:right w:val="none" w:sz="0" w:space="0" w:color="auto"/>
      </w:divBdr>
    </w:div>
    <w:div w:id="804930056">
      <w:bodyDiv w:val="1"/>
      <w:marLeft w:val="0"/>
      <w:marRight w:val="0"/>
      <w:marTop w:val="0"/>
      <w:marBottom w:val="0"/>
      <w:divBdr>
        <w:top w:val="none" w:sz="0" w:space="0" w:color="auto"/>
        <w:left w:val="none" w:sz="0" w:space="0" w:color="auto"/>
        <w:bottom w:val="none" w:sz="0" w:space="0" w:color="auto"/>
        <w:right w:val="none" w:sz="0" w:space="0" w:color="auto"/>
      </w:divBdr>
    </w:div>
    <w:div w:id="807698301">
      <w:bodyDiv w:val="1"/>
      <w:marLeft w:val="0"/>
      <w:marRight w:val="0"/>
      <w:marTop w:val="0"/>
      <w:marBottom w:val="0"/>
      <w:divBdr>
        <w:top w:val="none" w:sz="0" w:space="0" w:color="auto"/>
        <w:left w:val="none" w:sz="0" w:space="0" w:color="auto"/>
        <w:bottom w:val="none" w:sz="0" w:space="0" w:color="auto"/>
        <w:right w:val="none" w:sz="0" w:space="0" w:color="auto"/>
      </w:divBdr>
    </w:div>
    <w:div w:id="810755518">
      <w:bodyDiv w:val="1"/>
      <w:marLeft w:val="0"/>
      <w:marRight w:val="0"/>
      <w:marTop w:val="0"/>
      <w:marBottom w:val="0"/>
      <w:divBdr>
        <w:top w:val="none" w:sz="0" w:space="0" w:color="auto"/>
        <w:left w:val="none" w:sz="0" w:space="0" w:color="auto"/>
        <w:bottom w:val="none" w:sz="0" w:space="0" w:color="auto"/>
        <w:right w:val="none" w:sz="0" w:space="0" w:color="auto"/>
      </w:divBdr>
    </w:div>
    <w:div w:id="811559285">
      <w:bodyDiv w:val="1"/>
      <w:marLeft w:val="0"/>
      <w:marRight w:val="0"/>
      <w:marTop w:val="0"/>
      <w:marBottom w:val="0"/>
      <w:divBdr>
        <w:top w:val="none" w:sz="0" w:space="0" w:color="auto"/>
        <w:left w:val="none" w:sz="0" w:space="0" w:color="auto"/>
        <w:bottom w:val="none" w:sz="0" w:space="0" w:color="auto"/>
        <w:right w:val="none" w:sz="0" w:space="0" w:color="auto"/>
      </w:divBdr>
    </w:div>
    <w:div w:id="812454556">
      <w:bodyDiv w:val="1"/>
      <w:marLeft w:val="0"/>
      <w:marRight w:val="0"/>
      <w:marTop w:val="0"/>
      <w:marBottom w:val="0"/>
      <w:divBdr>
        <w:top w:val="none" w:sz="0" w:space="0" w:color="auto"/>
        <w:left w:val="none" w:sz="0" w:space="0" w:color="auto"/>
        <w:bottom w:val="none" w:sz="0" w:space="0" w:color="auto"/>
        <w:right w:val="none" w:sz="0" w:space="0" w:color="auto"/>
      </w:divBdr>
    </w:div>
    <w:div w:id="813375930">
      <w:bodyDiv w:val="1"/>
      <w:marLeft w:val="0"/>
      <w:marRight w:val="0"/>
      <w:marTop w:val="0"/>
      <w:marBottom w:val="0"/>
      <w:divBdr>
        <w:top w:val="none" w:sz="0" w:space="0" w:color="auto"/>
        <w:left w:val="none" w:sz="0" w:space="0" w:color="auto"/>
        <w:bottom w:val="none" w:sz="0" w:space="0" w:color="auto"/>
        <w:right w:val="none" w:sz="0" w:space="0" w:color="auto"/>
      </w:divBdr>
    </w:div>
    <w:div w:id="813765734">
      <w:bodyDiv w:val="1"/>
      <w:marLeft w:val="0"/>
      <w:marRight w:val="0"/>
      <w:marTop w:val="0"/>
      <w:marBottom w:val="0"/>
      <w:divBdr>
        <w:top w:val="none" w:sz="0" w:space="0" w:color="auto"/>
        <w:left w:val="none" w:sz="0" w:space="0" w:color="auto"/>
        <w:bottom w:val="none" w:sz="0" w:space="0" w:color="auto"/>
        <w:right w:val="none" w:sz="0" w:space="0" w:color="auto"/>
      </w:divBdr>
    </w:div>
    <w:div w:id="814613311">
      <w:bodyDiv w:val="1"/>
      <w:marLeft w:val="0"/>
      <w:marRight w:val="0"/>
      <w:marTop w:val="0"/>
      <w:marBottom w:val="0"/>
      <w:divBdr>
        <w:top w:val="none" w:sz="0" w:space="0" w:color="auto"/>
        <w:left w:val="none" w:sz="0" w:space="0" w:color="auto"/>
        <w:bottom w:val="none" w:sz="0" w:space="0" w:color="auto"/>
        <w:right w:val="none" w:sz="0" w:space="0" w:color="auto"/>
      </w:divBdr>
    </w:div>
    <w:div w:id="822505616">
      <w:bodyDiv w:val="1"/>
      <w:marLeft w:val="0"/>
      <w:marRight w:val="0"/>
      <w:marTop w:val="0"/>
      <w:marBottom w:val="0"/>
      <w:divBdr>
        <w:top w:val="none" w:sz="0" w:space="0" w:color="auto"/>
        <w:left w:val="none" w:sz="0" w:space="0" w:color="auto"/>
        <w:bottom w:val="none" w:sz="0" w:space="0" w:color="auto"/>
        <w:right w:val="none" w:sz="0" w:space="0" w:color="auto"/>
      </w:divBdr>
    </w:div>
    <w:div w:id="828405849">
      <w:bodyDiv w:val="1"/>
      <w:marLeft w:val="0"/>
      <w:marRight w:val="0"/>
      <w:marTop w:val="0"/>
      <w:marBottom w:val="0"/>
      <w:divBdr>
        <w:top w:val="none" w:sz="0" w:space="0" w:color="auto"/>
        <w:left w:val="none" w:sz="0" w:space="0" w:color="auto"/>
        <w:bottom w:val="none" w:sz="0" w:space="0" w:color="auto"/>
        <w:right w:val="none" w:sz="0" w:space="0" w:color="auto"/>
      </w:divBdr>
    </w:div>
    <w:div w:id="836456277">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50949259">
      <w:bodyDiv w:val="1"/>
      <w:marLeft w:val="0"/>
      <w:marRight w:val="0"/>
      <w:marTop w:val="0"/>
      <w:marBottom w:val="0"/>
      <w:divBdr>
        <w:top w:val="none" w:sz="0" w:space="0" w:color="auto"/>
        <w:left w:val="none" w:sz="0" w:space="0" w:color="auto"/>
        <w:bottom w:val="none" w:sz="0" w:space="0" w:color="auto"/>
        <w:right w:val="none" w:sz="0" w:space="0" w:color="auto"/>
      </w:divBdr>
    </w:div>
    <w:div w:id="853809012">
      <w:bodyDiv w:val="1"/>
      <w:marLeft w:val="0"/>
      <w:marRight w:val="0"/>
      <w:marTop w:val="0"/>
      <w:marBottom w:val="0"/>
      <w:divBdr>
        <w:top w:val="none" w:sz="0" w:space="0" w:color="auto"/>
        <w:left w:val="none" w:sz="0" w:space="0" w:color="auto"/>
        <w:bottom w:val="none" w:sz="0" w:space="0" w:color="auto"/>
        <w:right w:val="none" w:sz="0" w:space="0" w:color="auto"/>
      </w:divBdr>
    </w:div>
    <w:div w:id="861357526">
      <w:bodyDiv w:val="1"/>
      <w:marLeft w:val="0"/>
      <w:marRight w:val="0"/>
      <w:marTop w:val="0"/>
      <w:marBottom w:val="0"/>
      <w:divBdr>
        <w:top w:val="none" w:sz="0" w:space="0" w:color="auto"/>
        <w:left w:val="none" w:sz="0" w:space="0" w:color="auto"/>
        <w:bottom w:val="none" w:sz="0" w:space="0" w:color="auto"/>
        <w:right w:val="none" w:sz="0" w:space="0" w:color="auto"/>
      </w:divBdr>
    </w:div>
    <w:div w:id="874583515">
      <w:bodyDiv w:val="1"/>
      <w:marLeft w:val="0"/>
      <w:marRight w:val="0"/>
      <w:marTop w:val="0"/>
      <w:marBottom w:val="0"/>
      <w:divBdr>
        <w:top w:val="none" w:sz="0" w:space="0" w:color="auto"/>
        <w:left w:val="none" w:sz="0" w:space="0" w:color="auto"/>
        <w:bottom w:val="none" w:sz="0" w:space="0" w:color="auto"/>
        <w:right w:val="none" w:sz="0" w:space="0" w:color="auto"/>
      </w:divBdr>
    </w:div>
    <w:div w:id="877858478">
      <w:bodyDiv w:val="1"/>
      <w:marLeft w:val="0"/>
      <w:marRight w:val="0"/>
      <w:marTop w:val="0"/>
      <w:marBottom w:val="0"/>
      <w:divBdr>
        <w:top w:val="none" w:sz="0" w:space="0" w:color="auto"/>
        <w:left w:val="none" w:sz="0" w:space="0" w:color="auto"/>
        <w:bottom w:val="none" w:sz="0" w:space="0" w:color="auto"/>
        <w:right w:val="none" w:sz="0" w:space="0" w:color="auto"/>
      </w:divBdr>
    </w:div>
    <w:div w:id="879779805">
      <w:bodyDiv w:val="1"/>
      <w:marLeft w:val="0"/>
      <w:marRight w:val="0"/>
      <w:marTop w:val="0"/>
      <w:marBottom w:val="0"/>
      <w:divBdr>
        <w:top w:val="none" w:sz="0" w:space="0" w:color="auto"/>
        <w:left w:val="none" w:sz="0" w:space="0" w:color="auto"/>
        <w:bottom w:val="none" w:sz="0" w:space="0" w:color="auto"/>
        <w:right w:val="none" w:sz="0" w:space="0" w:color="auto"/>
      </w:divBdr>
    </w:div>
    <w:div w:id="881601209">
      <w:bodyDiv w:val="1"/>
      <w:marLeft w:val="0"/>
      <w:marRight w:val="0"/>
      <w:marTop w:val="0"/>
      <w:marBottom w:val="0"/>
      <w:divBdr>
        <w:top w:val="none" w:sz="0" w:space="0" w:color="auto"/>
        <w:left w:val="none" w:sz="0" w:space="0" w:color="auto"/>
        <w:bottom w:val="none" w:sz="0" w:space="0" w:color="auto"/>
        <w:right w:val="none" w:sz="0" w:space="0" w:color="auto"/>
      </w:divBdr>
    </w:div>
    <w:div w:id="883952103">
      <w:bodyDiv w:val="1"/>
      <w:marLeft w:val="0"/>
      <w:marRight w:val="0"/>
      <w:marTop w:val="0"/>
      <w:marBottom w:val="0"/>
      <w:divBdr>
        <w:top w:val="none" w:sz="0" w:space="0" w:color="auto"/>
        <w:left w:val="none" w:sz="0" w:space="0" w:color="auto"/>
        <w:bottom w:val="none" w:sz="0" w:space="0" w:color="auto"/>
        <w:right w:val="none" w:sz="0" w:space="0" w:color="auto"/>
      </w:divBdr>
    </w:div>
    <w:div w:id="889264711">
      <w:bodyDiv w:val="1"/>
      <w:marLeft w:val="0"/>
      <w:marRight w:val="0"/>
      <w:marTop w:val="0"/>
      <w:marBottom w:val="0"/>
      <w:divBdr>
        <w:top w:val="none" w:sz="0" w:space="0" w:color="auto"/>
        <w:left w:val="none" w:sz="0" w:space="0" w:color="auto"/>
        <w:bottom w:val="none" w:sz="0" w:space="0" w:color="auto"/>
        <w:right w:val="none" w:sz="0" w:space="0" w:color="auto"/>
      </w:divBdr>
    </w:div>
    <w:div w:id="893858284">
      <w:bodyDiv w:val="1"/>
      <w:marLeft w:val="0"/>
      <w:marRight w:val="0"/>
      <w:marTop w:val="0"/>
      <w:marBottom w:val="0"/>
      <w:divBdr>
        <w:top w:val="none" w:sz="0" w:space="0" w:color="auto"/>
        <w:left w:val="none" w:sz="0" w:space="0" w:color="auto"/>
        <w:bottom w:val="none" w:sz="0" w:space="0" w:color="auto"/>
        <w:right w:val="none" w:sz="0" w:space="0" w:color="auto"/>
      </w:divBdr>
    </w:div>
    <w:div w:id="896235346">
      <w:bodyDiv w:val="1"/>
      <w:marLeft w:val="0"/>
      <w:marRight w:val="0"/>
      <w:marTop w:val="0"/>
      <w:marBottom w:val="0"/>
      <w:divBdr>
        <w:top w:val="none" w:sz="0" w:space="0" w:color="auto"/>
        <w:left w:val="none" w:sz="0" w:space="0" w:color="auto"/>
        <w:bottom w:val="none" w:sz="0" w:space="0" w:color="auto"/>
        <w:right w:val="none" w:sz="0" w:space="0" w:color="auto"/>
      </w:divBdr>
    </w:div>
    <w:div w:id="909386763">
      <w:bodyDiv w:val="1"/>
      <w:marLeft w:val="0"/>
      <w:marRight w:val="0"/>
      <w:marTop w:val="0"/>
      <w:marBottom w:val="0"/>
      <w:divBdr>
        <w:top w:val="none" w:sz="0" w:space="0" w:color="auto"/>
        <w:left w:val="none" w:sz="0" w:space="0" w:color="auto"/>
        <w:bottom w:val="none" w:sz="0" w:space="0" w:color="auto"/>
        <w:right w:val="none" w:sz="0" w:space="0" w:color="auto"/>
      </w:divBdr>
    </w:div>
    <w:div w:id="910041043">
      <w:bodyDiv w:val="1"/>
      <w:marLeft w:val="0"/>
      <w:marRight w:val="0"/>
      <w:marTop w:val="0"/>
      <w:marBottom w:val="0"/>
      <w:divBdr>
        <w:top w:val="none" w:sz="0" w:space="0" w:color="auto"/>
        <w:left w:val="none" w:sz="0" w:space="0" w:color="auto"/>
        <w:bottom w:val="none" w:sz="0" w:space="0" w:color="auto"/>
        <w:right w:val="none" w:sz="0" w:space="0" w:color="auto"/>
      </w:divBdr>
    </w:div>
    <w:div w:id="910388870">
      <w:bodyDiv w:val="1"/>
      <w:marLeft w:val="0"/>
      <w:marRight w:val="0"/>
      <w:marTop w:val="0"/>
      <w:marBottom w:val="0"/>
      <w:divBdr>
        <w:top w:val="none" w:sz="0" w:space="0" w:color="auto"/>
        <w:left w:val="none" w:sz="0" w:space="0" w:color="auto"/>
        <w:bottom w:val="none" w:sz="0" w:space="0" w:color="auto"/>
        <w:right w:val="none" w:sz="0" w:space="0" w:color="auto"/>
      </w:divBdr>
    </w:div>
    <w:div w:id="914242322">
      <w:bodyDiv w:val="1"/>
      <w:marLeft w:val="0"/>
      <w:marRight w:val="0"/>
      <w:marTop w:val="0"/>
      <w:marBottom w:val="0"/>
      <w:divBdr>
        <w:top w:val="none" w:sz="0" w:space="0" w:color="auto"/>
        <w:left w:val="none" w:sz="0" w:space="0" w:color="auto"/>
        <w:bottom w:val="none" w:sz="0" w:space="0" w:color="auto"/>
        <w:right w:val="none" w:sz="0" w:space="0" w:color="auto"/>
      </w:divBdr>
    </w:div>
    <w:div w:id="920866529">
      <w:bodyDiv w:val="1"/>
      <w:marLeft w:val="0"/>
      <w:marRight w:val="0"/>
      <w:marTop w:val="0"/>
      <w:marBottom w:val="0"/>
      <w:divBdr>
        <w:top w:val="none" w:sz="0" w:space="0" w:color="auto"/>
        <w:left w:val="none" w:sz="0" w:space="0" w:color="auto"/>
        <w:bottom w:val="none" w:sz="0" w:space="0" w:color="auto"/>
        <w:right w:val="none" w:sz="0" w:space="0" w:color="auto"/>
      </w:divBdr>
    </w:div>
    <w:div w:id="930043514">
      <w:bodyDiv w:val="1"/>
      <w:marLeft w:val="0"/>
      <w:marRight w:val="0"/>
      <w:marTop w:val="0"/>
      <w:marBottom w:val="0"/>
      <w:divBdr>
        <w:top w:val="none" w:sz="0" w:space="0" w:color="auto"/>
        <w:left w:val="none" w:sz="0" w:space="0" w:color="auto"/>
        <w:bottom w:val="none" w:sz="0" w:space="0" w:color="auto"/>
        <w:right w:val="none" w:sz="0" w:space="0" w:color="auto"/>
      </w:divBdr>
    </w:div>
    <w:div w:id="931550303">
      <w:bodyDiv w:val="1"/>
      <w:marLeft w:val="0"/>
      <w:marRight w:val="0"/>
      <w:marTop w:val="0"/>
      <w:marBottom w:val="0"/>
      <w:divBdr>
        <w:top w:val="none" w:sz="0" w:space="0" w:color="auto"/>
        <w:left w:val="none" w:sz="0" w:space="0" w:color="auto"/>
        <w:bottom w:val="none" w:sz="0" w:space="0" w:color="auto"/>
        <w:right w:val="none" w:sz="0" w:space="0" w:color="auto"/>
      </w:divBdr>
    </w:div>
    <w:div w:id="935089374">
      <w:bodyDiv w:val="1"/>
      <w:marLeft w:val="0"/>
      <w:marRight w:val="0"/>
      <w:marTop w:val="0"/>
      <w:marBottom w:val="0"/>
      <w:divBdr>
        <w:top w:val="none" w:sz="0" w:space="0" w:color="auto"/>
        <w:left w:val="none" w:sz="0" w:space="0" w:color="auto"/>
        <w:bottom w:val="none" w:sz="0" w:space="0" w:color="auto"/>
        <w:right w:val="none" w:sz="0" w:space="0" w:color="auto"/>
      </w:divBdr>
    </w:div>
    <w:div w:id="943802369">
      <w:bodyDiv w:val="1"/>
      <w:marLeft w:val="0"/>
      <w:marRight w:val="0"/>
      <w:marTop w:val="0"/>
      <w:marBottom w:val="0"/>
      <w:divBdr>
        <w:top w:val="none" w:sz="0" w:space="0" w:color="auto"/>
        <w:left w:val="none" w:sz="0" w:space="0" w:color="auto"/>
        <w:bottom w:val="none" w:sz="0" w:space="0" w:color="auto"/>
        <w:right w:val="none" w:sz="0" w:space="0" w:color="auto"/>
      </w:divBdr>
    </w:div>
    <w:div w:id="943997897">
      <w:bodyDiv w:val="1"/>
      <w:marLeft w:val="0"/>
      <w:marRight w:val="0"/>
      <w:marTop w:val="0"/>
      <w:marBottom w:val="0"/>
      <w:divBdr>
        <w:top w:val="none" w:sz="0" w:space="0" w:color="auto"/>
        <w:left w:val="none" w:sz="0" w:space="0" w:color="auto"/>
        <w:bottom w:val="none" w:sz="0" w:space="0" w:color="auto"/>
        <w:right w:val="none" w:sz="0" w:space="0" w:color="auto"/>
      </w:divBdr>
    </w:div>
    <w:div w:id="945582567">
      <w:bodyDiv w:val="1"/>
      <w:marLeft w:val="0"/>
      <w:marRight w:val="0"/>
      <w:marTop w:val="0"/>
      <w:marBottom w:val="0"/>
      <w:divBdr>
        <w:top w:val="none" w:sz="0" w:space="0" w:color="auto"/>
        <w:left w:val="none" w:sz="0" w:space="0" w:color="auto"/>
        <w:bottom w:val="none" w:sz="0" w:space="0" w:color="auto"/>
        <w:right w:val="none" w:sz="0" w:space="0" w:color="auto"/>
      </w:divBdr>
    </w:div>
    <w:div w:id="947813196">
      <w:bodyDiv w:val="1"/>
      <w:marLeft w:val="0"/>
      <w:marRight w:val="0"/>
      <w:marTop w:val="0"/>
      <w:marBottom w:val="0"/>
      <w:divBdr>
        <w:top w:val="none" w:sz="0" w:space="0" w:color="auto"/>
        <w:left w:val="none" w:sz="0" w:space="0" w:color="auto"/>
        <w:bottom w:val="none" w:sz="0" w:space="0" w:color="auto"/>
        <w:right w:val="none" w:sz="0" w:space="0" w:color="auto"/>
      </w:divBdr>
    </w:div>
    <w:div w:id="953974038">
      <w:bodyDiv w:val="1"/>
      <w:marLeft w:val="0"/>
      <w:marRight w:val="0"/>
      <w:marTop w:val="0"/>
      <w:marBottom w:val="0"/>
      <w:divBdr>
        <w:top w:val="none" w:sz="0" w:space="0" w:color="auto"/>
        <w:left w:val="none" w:sz="0" w:space="0" w:color="auto"/>
        <w:bottom w:val="none" w:sz="0" w:space="0" w:color="auto"/>
        <w:right w:val="none" w:sz="0" w:space="0" w:color="auto"/>
      </w:divBdr>
    </w:div>
    <w:div w:id="955215752">
      <w:bodyDiv w:val="1"/>
      <w:marLeft w:val="0"/>
      <w:marRight w:val="0"/>
      <w:marTop w:val="0"/>
      <w:marBottom w:val="0"/>
      <w:divBdr>
        <w:top w:val="none" w:sz="0" w:space="0" w:color="auto"/>
        <w:left w:val="none" w:sz="0" w:space="0" w:color="auto"/>
        <w:bottom w:val="none" w:sz="0" w:space="0" w:color="auto"/>
        <w:right w:val="none" w:sz="0" w:space="0" w:color="auto"/>
      </w:divBdr>
    </w:div>
    <w:div w:id="962884268">
      <w:bodyDiv w:val="1"/>
      <w:marLeft w:val="0"/>
      <w:marRight w:val="0"/>
      <w:marTop w:val="0"/>
      <w:marBottom w:val="0"/>
      <w:divBdr>
        <w:top w:val="none" w:sz="0" w:space="0" w:color="auto"/>
        <w:left w:val="none" w:sz="0" w:space="0" w:color="auto"/>
        <w:bottom w:val="none" w:sz="0" w:space="0" w:color="auto"/>
        <w:right w:val="none" w:sz="0" w:space="0" w:color="auto"/>
      </w:divBdr>
    </w:div>
    <w:div w:id="963921176">
      <w:bodyDiv w:val="1"/>
      <w:marLeft w:val="0"/>
      <w:marRight w:val="0"/>
      <w:marTop w:val="0"/>
      <w:marBottom w:val="0"/>
      <w:divBdr>
        <w:top w:val="none" w:sz="0" w:space="0" w:color="auto"/>
        <w:left w:val="none" w:sz="0" w:space="0" w:color="auto"/>
        <w:bottom w:val="none" w:sz="0" w:space="0" w:color="auto"/>
        <w:right w:val="none" w:sz="0" w:space="0" w:color="auto"/>
      </w:divBdr>
    </w:div>
    <w:div w:id="970592160">
      <w:bodyDiv w:val="1"/>
      <w:marLeft w:val="0"/>
      <w:marRight w:val="0"/>
      <w:marTop w:val="0"/>
      <w:marBottom w:val="0"/>
      <w:divBdr>
        <w:top w:val="none" w:sz="0" w:space="0" w:color="auto"/>
        <w:left w:val="none" w:sz="0" w:space="0" w:color="auto"/>
        <w:bottom w:val="none" w:sz="0" w:space="0" w:color="auto"/>
        <w:right w:val="none" w:sz="0" w:space="0" w:color="auto"/>
      </w:divBdr>
    </w:div>
    <w:div w:id="971981974">
      <w:bodyDiv w:val="1"/>
      <w:marLeft w:val="0"/>
      <w:marRight w:val="0"/>
      <w:marTop w:val="0"/>
      <w:marBottom w:val="0"/>
      <w:divBdr>
        <w:top w:val="none" w:sz="0" w:space="0" w:color="auto"/>
        <w:left w:val="none" w:sz="0" w:space="0" w:color="auto"/>
        <w:bottom w:val="none" w:sz="0" w:space="0" w:color="auto"/>
        <w:right w:val="none" w:sz="0" w:space="0" w:color="auto"/>
      </w:divBdr>
    </w:div>
    <w:div w:id="972561834">
      <w:bodyDiv w:val="1"/>
      <w:marLeft w:val="0"/>
      <w:marRight w:val="0"/>
      <w:marTop w:val="0"/>
      <w:marBottom w:val="0"/>
      <w:divBdr>
        <w:top w:val="none" w:sz="0" w:space="0" w:color="auto"/>
        <w:left w:val="none" w:sz="0" w:space="0" w:color="auto"/>
        <w:bottom w:val="none" w:sz="0" w:space="0" w:color="auto"/>
        <w:right w:val="none" w:sz="0" w:space="0" w:color="auto"/>
      </w:divBdr>
    </w:div>
    <w:div w:id="975792701">
      <w:bodyDiv w:val="1"/>
      <w:marLeft w:val="0"/>
      <w:marRight w:val="0"/>
      <w:marTop w:val="0"/>
      <w:marBottom w:val="0"/>
      <w:divBdr>
        <w:top w:val="none" w:sz="0" w:space="0" w:color="auto"/>
        <w:left w:val="none" w:sz="0" w:space="0" w:color="auto"/>
        <w:bottom w:val="none" w:sz="0" w:space="0" w:color="auto"/>
        <w:right w:val="none" w:sz="0" w:space="0" w:color="auto"/>
      </w:divBdr>
    </w:div>
    <w:div w:id="979382255">
      <w:bodyDiv w:val="1"/>
      <w:marLeft w:val="0"/>
      <w:marRight w:val="0"/>
      <w:marTop w:val="0"/>
      <w:marBottom w:val="0"/>
      <w:divBdr>
        <w:top w:val="none" w:sz="0" w:space="0" w:color="auto"/>
        <w:left w:val="none" w:sz="0" w:space="0" w:color="auto"/>
        <w:bottom w:val="none" w:sz="0" w:space="0" w:color="auto"/>
        <w:right w:val="none" w:sz="0" w:space="0" w:color="auto"/>
      </w:divBdr>
    </w:div>
    <w:div w:id="981621676">
      <w:bodyDiv w:val="1"/>
      <w:marLeft w:val="0"/>
      <w:marRight w:val="0"/>
      <w:marTop w:val="0"/>
      <w:marBottom w:val="0"/>
      <w:divBdr>
        <w:top w:val="none" w:sz="0" w:space="0" w:color="auto"/>
        <w:left w:val="none" w:sz="0" w:space="0" w:color="auto"/>
        <w:bottom w:val="none" w:sz="0" w:space="0" w:color="auto"/>
        <w:right w:val="none" w:sz="0" w:space="0" w:color="auto"/>
      </w:divBdr>
    </w:div>
    <w:div w:id="992832448">
      <w:bodyDiv w:val="1"/>
      <w:marLeft w:val="0"/>
      <w:marRight w:val="0"/>
      <w:marTop w:val="0"/>
      <w:marBottom w:val="0"/>
      <w:divBdr>
        <w:top w:val="none" w:sz="0" w:space="0" w:color="auto"/>
        <w:left w:val="none" w:sz="0" w:space="0" w:color="auto"/>
        <w:bottom w:val="none" w:sz="0" w:space="0" w:color="auto"/>
        <w:right w:val="none" w:sz="0" w:space="0" w:color="auto"/>
      </w:divBdr>
    </w:div>
    <w:div w:id="994378469">
      <w:bodyDiv w:val="1"/>
      <w:marLeft w:val="0"/>
      <w:marRight w:val="0"/>
      <w:marTop w:val="0"/>
      <w:marBottom w:val="0"/>
      <w:divBdr>
        <w:top w:val="none" w:sz="0" w:space="0" w:color="auto"/>
        <w:left w:val="none" w:sz="0" w:space="0" w:color="auto"/>
        <w:bottom w:val="none" w:sz="0" w:space="0" w:color="auto"/>
        <w:right w:val="none" w:sz="0" w:space="0" w:color="auto"/>
      </w:divBdr>
    </w:div>
    <w:div w:id="994643155">
      <w:bodyDiv w:val="1"/>
      <w:marLeft w:val="0"/>
      <w:marRight w:val="0"/>
      <w:marTop w:val="0"/>
      <w:marBottom w:val="0"/>
      <w:divBdr>
        <w:top w:val="none" w:sz="0" w:space="0" w:color="auto"/>
        <w:left w:val="none" w:sz="0" w:space="0" w:color="auto"/>
        <w:bottom w:val="none" w:sz="0" w:space="0" w:color="auto"/>
        <w:right w:val="none" w:sz="0" w:space="0" w:color="auto"/>
      </w:divBdr>
    </w:div>
    <w:div w:id="997458410">
      <w:bodyDiv w:val="1"/>
      <w:marLeft w:val="0"/>
      <w:marRight w:val="0"/>
      <w:marTop w:val="0"/>
      <w:marBottom w:val="0"/>
      <w:divBdr>
        <w:top w:val="none" w:sz="0" w:space="0" w:color="auto"/>
        <w:left w:val="none" w:sz="0" w:space="0" w:color="auto"/>
        <w:bottom w:val="none" w:sz="0" w:space="0" w:color="auto"/>
        <w:right w:val="none" w:sz="0" w:space="0" w:color="auto"/>
      </w:divBdr>
    </w:div>
    <w:div w:id="999382398">
      <w:bodyDiv w:val="1"/>
      <w:marLeft w:val="0"/>
      <w:marRight w:val="0"/>
      <w:marTop w:val="0"/>
      <w:marBottom w:val="0"/>
      <w:divBdr>
        <w:top w:val="none" w:sz="0" w:space="0" w:color="auto"/>
        <w:left w:val="none" w:sz="0" w:space="0" w:color="auto"/>
        <w:bottom w:val="none" w:sz="0" w:space="0" w:color="auto"/>
        <w:right w:val="none" w:sz="0" w:space="0" w:color="auto"/>
      </w:divBdr>
    </w:div>
    <w:div w:id="1009602074">
      <w:bodyDiv w:val="1"/>
      <w:marLeft w:val="0"/>
      <w:marRight w:val="0"/>
      <w:marTop w:val="0"/>
      <w:marBottom w:val="0"/>
      <w:divBdr>
        <w:top w:val="none" w:sz="0" w:space="0" w:color="auto"/>
        <w:left w:val="none" w:sz="0" w:space="0" w:color="auto"/>
        <w:bottom w:val="none" w:sz="0" w:space="0" w:color="auto"/>
        <w:right w:val="none" w:sz="0" w:space="0" w:color="auto"/>
      </w:divBdr>
    </w:div>
    <w:div w:id="1013528593">
      <w:bodyDiv w:val="1"/>
      <w:marLeft w:val="0"/>
      <w:marRight w:val="0"/>
      <w:marTop w:val="0"/>
      <w:marBottom w:val="0"/>
      <w:divBdr>
        <w:top w:val="none" w:sz="0" w:space="0" w:color="auto"/>
        <w:left w:val="none" w:sz="0" w:space="0" w:color="auto"/>
        <w:bottom w:val="none" w:sz="0" w:space="0" w:color="auto"/>
        <w:right w:val="none" w:sz="0" w:space="0" w:color="auto"/>
      </w:divBdr>
    </w:div>
    <w:div w:id="1027488250">
      <w:bodyDiv w:val="1"/>
      <w:marLeft w:val="0"/>
      <w:marRight w:val="0"/>
      <w:marTop w:val="0"/>
      <w:marBottom w:val="0"/>
      <w:divBdr>
        <w:top w:val="none" w:sz="0" w:space="0" w:color="auto"/>
        <w:left w:val="none" w:sz="0" w:space="0" w:color="auto"/>
        <w:bottom w:val="none" w:sz="0" w:space="0" w:color="auto"/>
        <w:right w:val="none" w:sz="0" w:space="0" w:color="auto"/>
      </w:divBdr>
    </w:div>
    <w:div w:id="1029723873">
      <w:bodyDiv w:val="1"/>
      <w:marLeft w:val="0"/>
      <w:marRight w:val="0"/>
      <w:marTop w:val="0"/>
      <w:marBottom w:val="0"/>
      <w:divBdr>
        <w:top w:val="none" w:sz="0" w:space="0" w:color="auto"/>
        <w:left w:val="none" w:sz="0" w:space="0" w:color="auto"/>
        <w:bottom w:val="none" w:sz="0" w:space="0" w:color="auto"/>
        <w:right w:val="none" w:sz="0" w:space="0" w:color="auto"/>
      </w:divBdr>
    </w:div>
    <w:div w:id="1030229493">
      <w:bodyDiv w:val="1"/>
      <w:marLeft w:val="0"/>
      <w:marRight w:val="0"/>
      <w:marTop w:val="0"/>
      <w:marBottom w:val="0"/>
      <w:divBdr>
        <w:top w:val="none" w:sz="0" w:space="0" w:color="auto"/>
        <w:left w:val="none" w:sz="0" w:space="0" w:color="auto"/>
        <w:bottom w:val="none" w:sz="0" w:space="0" w:color="auto"/>
        <w:right w:val="none" w:sz="0" w:space="0" w:color="auto"/>
      </w:divBdr>
    </w:div>
    <w:div w:id="1033075389">
      <w:bodyDiv w:val="1"/>
      <w:marLeft w:val="0"/>
      <w:marRight w:val="0"/>
      <w:marTop w:val="0"/>
      <w:marBottom w:val="0"/>
      <w:divBdr>
        <w:top w:val="none" w:sz="0" w:space="0" w:color="auto"/>
        <w:left w:val="none" w:sz="0" w:space="0" w:color="auto"/>
        <w:bottom w:val="none" w:sz="0" w:space="0" w:color="auto"/>
        <w:right w:val="none" w:sz="0" w:space="0" w:color="auto"/>
      </w:divBdr>
    </w:div>
    <w:div w:id="1036352112">
      <w:bodyDiv w:val="1"/>
      <w:marLeft w:val="0"/>
      <w:marRight w:val="0"/>
      <w:marTop w:val="0"/>
      <w:marBottom w:val="0"/>
      <w:divBdr>
        <w:top w:val="none" w:sz="0" w:space="0" w:color="auto"/>
        <w:left w:val="none" w:sz="0" w:space="0" w:color="auto"/>
        <w:bottom w:val="none" w:sz="0" w:space="0" w:color="auto"/>
        <w:right w:val="none" w:sz="0" w:space="0" w:color="auto"/>
      </w:divBdr>
    </w:div>
    <w:div w:id="1036660982">
      <w:bodyDiv w:val="1"/>
      <w:marLeft w:val="0"/>
      <w:marRight w:val="0"/>
      <w:marTop w:val="0"/>
      <w:marBottom w:val="0"/>
      <w:divBdr>
        <w:top w:val="none" w:sz="0" w:space="0" w:color="auto"/>
        <w:left w:val="none" w:sz="0" w:space="0" w:color="auto"/>
        <w:bottom w:val="none" w:sz="0" w:space="0" w:color="auto"/>
        <w:right w:val="none" w:sz="0" w:space="0" w:color="auto"/>
      </w:divBdr>
    </w:div>
    <w:div w:id="1036782624">
      <w:bodyDiv w:val="1"/>
      <w:marLeft w:val="0"/>
      <w:marRight w:val="0"/>
      <w:marTop w:val="0"/>
      <w:marBottom w:val="0"/>
      <w:divBdr>
        <w:top w:val="none" w:sz="0" w:space="0" w:color="auto"/>
        <w:left w:val="none" w:sz="0" w:space="0" w:color="auto"/>
        <w:bottom w:val="none" w:sz="0" w:space="0" w:color="auto"/>
        <w:right w:val="none" w:sz="0" w:space="0" w:color="auto"/>
      </w:divBdr>
    </w:div>
    <w:div w:id="1045132138">
      <w:bodyDiv w:val="1"/>
      <w:marLeft w:val="0"/>
      <w:marRight w:val="0"/>
      <w:marTop w:val="0"/>
      <w:marBottom w:val="0"/>
      <w:divBdr>
        <w:top w:val="none" w:sz="0" w:space="0" w:color="auto"/>
        <w:left w:val="none" w:sz="0" w:space="0" w:color="auto"/>
        <w:bottom w:val="none" w:sz="0" w:space="0" w:color="auto"/>
        <w:right w:val="none" w:sz="0" w:space="0" w:color="auto"/>
      </w:divBdr>
    </w:div>
    <w:div w:id="1046687496">
      <w:bodyDiv w:val="1"/>
      <w:marLeft w:val="0"/>
      <w:marRight w:val="0"/>
      <w:marTop w:val="0"/>
      <w:marBottom w:val="0"/>
      <w:divBdr>
        <w:top w:val="none" w:sz="0" w:space="0" w:color="auto"/>
        <w:left w:val="none" w:sz="0" w:space="0" w:color="auto"/>
        <w:bottom w:val="none" w:sz="0" w:space="0" w:color="auto"/>
        <w:right w:val="none" w:sz="0" w:space="0" w:color="auto"/>
      </w:divBdr>
    </w:div>
    <w:div w:id="1047995412">
      <w:bodyDiv w:val="1"/>
      <w:marLeft w:val="0"/>
      <w:marRight w:val="0"/>
      <w:marTop w:val="0"/>
      <w:marBottom w:val="0"/>
      <w:divBdr>
        <w:top w:val="none" w:sz="0" w:space="0" w:color="auto"/>
        <w:left w:val="none" w:sz="0" w:space="0" w:color="auto"/>
        <w:bottom w:val="none" w:sz="0" w:space="0" w:color="auto"/>
        <w:right w:val="none" w:sz="0" w:space="0" w:color="auto"/>
      </w:divBdr>
    </w:div>
    <w:div w:id="1052844096">
      <w:bodyDiv w:val="1"/>
      <w:marLeft w:val="0"/>
      <w:marRight w:val="0"/>
      <w:marTop w:val="0"/>
      <w:marBottom w:val="0"/>
      <w:divBdr>
        <w:top w:val="none" w:sz="0" w:space="0" w:color="auto"/>
        <w:left w:val="none" w:sz="0" w:space="0" w:color="auto"/>
        <w:bottom w:val="none" w:sz="0" w:space="0" w:color="auto"/>
        <w:right w:val="none" w:sz="0" w:space="0" w:color="auto"/>
      </w:divBdr>
    </w:div>
    <w:div w:id="1055275441">
      <w:bodyDiv w:val="1"/>
      <w:marLeft w:val="0"/>
      <w:marRight w:val="0"/>
      <w:marTop w:val="0"/>
      <w:marBottom w:val="0"/>
      <w:divBdr>
        <w:top w:val="none" w:sz="0" w:space="0" w:color="auto"/>
        <w:left w:val="none" w:sz="0" w:space="0" w:color="auto"/>
        <w:bottom w:val="none" w:sz="0" w:space="0" w:color="auto"/>
        <w:right w:val="none" w:sz="0" w:space="0" w:color="auto"/>
      </w:divBdr>
    </w:div>
    <w:div w:id="1059595408">
      <w:bodyDiv w:val="1"/>
      <w:marLeft w:val="0"/>
      <w:marRight w:val="0"/>
      <w:marTop w:val="0"/>
      <w:marBottom w:val="0"/>
      <w:divBdr>
        <w:top w:val="none" w:sz="0" w:space="0" w:color="auto"/>
        <w:left w:val="none" w:sz="0" w:space="0" w:color="auto"/>
        <w:bottom w:val="none" w:sz="0" w:space="0" w:color="auto"/>
        <w:right w:val="none" w:sz="0" w:space="0" w:color="auto"/>
      </w:divBdr>
    </w:div>
    <w:div w:id="1064374340">
      <w:bodyDiv w:val="1"/>
      <w:marLeft w:val="0"/>
      <w:marRight w:val="0"/>
      <w:marTop w:val="0"/>
      <w:marBottom w:val="0"/>
      <w:divBdr>
        <w:top w:val="none" w:sz="0" w:space="0" w:color="auto"/>
        <w:left w:val="none" w:sz="0" w:space="0" w:color="auto"/>
        <w:bottom w:val="none" w:sz="0" w:space="0" w:color="auto"/>
        <w:right w:val="none" w:sz="0" w:space="0" w:color="auto"/>
      </w:divBdr>
    </w:div>
    <w:div w:id="1074594735">
      <w:bodyDiv w:val="1"/>
      <w:marLeft w:val="0"/>
      <w:marRight w:val="0"/>
      <w:marTop w:val="0"/>
      <w:marBottom w:val="0"/>
      <w:divBdr>
        <w:top w:val="none" w:sz="0" w:space="0" w:color="auto"/>
        <w:left w:val="none" w:sz="0" w:space="0" w:color="auto"/>
        <w:bottom w:val="none" w:sz="0" w:space="0" w:color="auto"/>
        <w:right w:val="none" w:sz="0" w:space="0" w:color="auto"/>
      </w:divBdr>
    </w:div>
    <w:div w:id="1079526337">
      <w:bodyDiv w:val="1"/>
      <w:marLeft w:val="0"/>
      <w:marRight w:val="0"/>
      <w:marTop w:val="0"/>
      <w:marBottom w:val="0"/>
      <w:divBdr>
        <w:top w:val="none" w:sz="0" w:space="0" w:color="auto"/>
        <w:left w:val="none" w:sz="0" w:space="0" w:color="auto"/>
        <w:bottom w:val="none" w:sz="0" w:space="0" w:color="auto"/>
        <w:right w:val="none" w:sz="0" w:space="0" w:color="auto"/>
      </w:divBdr>
    </w:div>
    <w:div w:id="1081486277">
      <w:bodyDiv w:val="1"/>
      <w:marLeft w:val="0"/>
      <w:marRight w:val="0"/>
      <w:marTop w:val="0"/>
      <w:marBottom w:val="0"/>
      <w:divBdr>
        <w:top w:val="none" w:sz="0" w:space="0" w:color="auto"/>
        <w:left w:val="none" w:sz="0" w:space="0" w:color="auto"/>
        <w:bottom w:val="none" w:sz="0" w:space="0" w:color="auto"/>
        <w:right w:val="none" w:sz="0" w:space="0" w:color="auto"/>
      </w:divBdr>
    </w:div>
    <w:div w:id="1086807619">
      <w:bodyDiv w:val="1"/>
      <w:marLeft w:val="0"/>
      <w:marRight w:val="0"/>
      <w:marTop w:val="0"/>
      <w:marBottom w:val="0"/>
      <w:divBdr>
        <w:top w:val="none" w:sz="0" w:space="0" w:color="auto"/>
        <w:left w:val="none" w:sz="0" w:space="0" w:color="auto"/>
        <w:bottom w:val="none" w:sz="0" w:space="0" w:color="auto"/>
        <w:right w:val="none" w:sz="0" w:space="0" w:color="auto"/>
      </w:divBdr>
    </w:div>
    <w:div w:id="1093284864">
      <w:bodyDiv w:val="1"/>
      <w:marLeft w:val="0"/>
      <w:marRight w:val="0"/>
      <w:marTop w:val="0"/>
      <w:marBottom w:val="0"/>
      <w:divBdr>
        <w:top w:val="none" w:sz="0" w:space="0" w:color="auto"/>
        <w:left w:val="none" w:sz="0" w:space="0" w:color="auto"/>
        <w:bottom w:val="none" w:sz="0" w:space="0" w:color="auto"/>
        <w:right w:val="none" w:sz="0" w:space="0" w:color="auto"/>
      </w:divBdr>
    </w:div>
    <w:div w:id="1098217029">
      <w:bodyDiv w:val="1"/>
      <w:marLeft w:val="0"/>
      <w:marRight w:val="0"/>
      <w:marTop w:val="0"/>
      <w:marBottom w:val="0"/>
      <w:divBdr>
        <w:top w:val="none" w:sz="0" w:space="0" w:color="auto"/>
        <w:left w:val="none" w:sz="0" w:space="0" w:color="auto"/>
        <w:bottom w:val="none" w:sz="0" w:space="0" w:color="auto"/>
        <w:right w:val="none" w:sz="0" w:space="0" w:color="auto"/>
      </w:divBdr>
    </w:div>
    <w:div w:id="1100757481">
      <w:bodyDiv w:val="1"/>
      <w:marLeft w:val="0"/>
      <w:marRight w:val="0"/>
      <w:marTop w:val="0"/>
      <w:marBottom w:val="0"/>
      <w:divBdr>
        <w:top w:val="none" w:sz="0" w:space="0" w:color="auto"/>
        <w:left w:val="none" w:sz="0" w:space="0" w:color="auto"/>
        <w:bottom w:val="none" w:sz="0" w:space="0" w:color="auto"/>
        <w:right w:val="none" w:sz="0" w:space="0" w:color="auto"/>
      </w:divBdr>
    </w:div>
    <w:div w:id="1111898752">
      <w:bodyDiv w:val="1"/>
      <w:marLeft w:val="0"/>
      <w:marRight w:val="0"/>
      <w:marTop w:val="0"/>
      <w:marBottom w:val="0"/>
      <w:divBdr>
        <w:top w:val="none" w:sz="0" w:space="0" w:color="auto"/>
        <w:left w:val="none" w:sz="0" w:space="0" w:color="auto"/>
        <w:bottom w:val="none" w:sz="0" w:space="0" w:color="auto"/>
        <w:right w:val="none" w:sz="0" w:space="0" w:color="auto"/>
      </w:divBdr>
    </w:div>
    <w:div w:id="1113091696">
      <w:bodyDiv w:val="1"/>
      <w:marLeft w:val="0"/>
      <w:marRight w:val="0"/>
      <w:marTop w:val="0"/>
      <w:marBottom w:val="0"/>
      <w:divBdr>
        <w:top w:val="none" w:sz="0" w:space="0" w:color="auto"/>
        <w:left w:val="none" w:sz="0" w:space="0" w:color="auto"/>
        <w:bottom w:val="none" w:sz="0" w:space="0" w:color="auto"/>
        <w:right w:val="none" w:sz="0" w:space="0" w:color="auto"/>
      </w:divBdr>
    </w:div>
    <w:div w:id="1113405650">
      <w:bodyDiv w:val="1"/>
      <w:marLeft w:val="0"/>
      <w:marRight w:val="0"/>
      <w:marTop w:val="0"/>
      <w:marBottom w:val="0"/>
      <w:divBdr>
        <w:top w:val="none" w:sz="0" w:space="0" w:color="auto"/>
        <w:left w:val="none" w:sz="0" w:space="0" w:color="auto"/>
        <w:bottom w:val="none" w:sz="0" w:space="0" w:color="auto"/>
        <w:right w:val="none" w:sz="0" w:space="0" w:color="auto"/>
      </w:divBdr>
    </w:div>
    <w:div w:id="1119880633">
      <w:bodyDiv w:val="1"/>
      <w:marLeft w:val="0"/>
      <w:marRight w:val="0"/>
      <w:marTop w:val="0"/>
      <w:marBottom w:val="0"/>
      <w:divBdr>
        <w:top w:val="none" w:sz="0" w:space="0" w:color="auto"/>
        <w:left w:val="none" w:sz="0" w:space="0" w:color="auto"/>
        <w:bottom w:val="none" w:sz="0" w:space="0" w:color="auto"/>
        <w:right w:val="none" w:sz="0" w:space="0" w:color="auto"/>
      </w:divBdr>
    </w:div>
    <w:div w:id="1124230316">
      <w:bodyDiv w:val="1"/>
      <w:marLeft w:val="0"/>
      <w:marRight w:val="0"/>
      <w:marTop w:val="0"/>
      <w:marBottom w:val="0"/>
      <w:divBdr>
        <w:top w:val="none" w:sz="0" w:space="0" w:color="auto"/>
        <w:left w:val="none" w:sz="0" w:space="0" w:color="auto"/>
        <w:bottom w:val="none" w:sz="0" w:space="0" w:color="auto"/>
        <w:right w:val="none" w:sz="0" w:space="0" w:color="auto"/>
      </w:divBdr>
    </w:div>
    <w:div w:id="1125582898">
      <w:bodyDiv w:val="1"/>
      <w:marLeft w:val="0"/>
      <w:marRight w:val="0"/>
      <w:marTop w:val="0"/>
      <w:marBottom w:val="0"/>
      <w:divBdr>
        <w:top w:val="none" w:sz="0" w:space="0" w:color="auto"/>
        <w:left w:val="none" w:sz="0" w:space="0" w:color="auto"/>
        <w:bottom w:val="none" w:sz="0" w:space="0" w:color="auto"/>
        <w:right w:val="none" w:sz="0" w:space="0" w:color="auto"/>
      </w:divBdr>
    </w:div>
    <w:div w:id="1127436185">
      <w:bodyDiv w:val="1"/>
      <w:marLeft w:val="0"/>
      <w:marRight w:val="0"/>
      <w:marTop w:val="0"/>
      <w:marBottom w:val="0"/>
      <w:divBdr>
        <w:top w:val="none" w:sz="0" w:space="0" w:color="auto"/>
        <w:left w:val="none" w:sz="0" w:space="0" w:color="auto"/>
        <w:bottom w:val="none" w:sz="0" w:space="0" w:color="auto"/>
        <w:right w:val="none" w:sz="0" w:space="0" w:color="auto"/>
      </w:divBdr>
    </w:div>
    <w:div w:id="1127972281">
      <w:bodyDiv w:val="1"/>
      <w:marLeft w:val="0"/>
      <w:marRight w:val="0"/>
      <w:marTop w:val="0"/>
      <w:marBottom w:val="0"/>
      <w:divBdr>
        <w:top w:val="none" w:sz="0" w:space="0" w:color="auto"/>
        <w:left w:val="none" w:sz="0" w:space="0" w:color="auto"/>
        <w:bottom w:val="none" w:sz="0" w:space="0" w:color="auto"/>
        <w:right w:val="none" w:sz="0" w:space="0" w:color="auto"/>
      </w:divBdr>
    </w:div>
    <w:div w:id="1138111899">
      <w:bodyDiv w:val="1"/>
      <w:marLeft w:val="0"/>
      <w:marRight w:val="0"/>
      <w:marTop w:val="0"/>
      <w:marBottom w:val="0"/>
      <w:divBdr>
        <w:top w:val="none" w:sz="0" w:space="0" w:color="auto"/>
        <w:left w:val="none" w:sz="0" w:space="0" w:color="auto"/>
        <w:bottom w:val="none" w:sz="0" w:space="0" w:color="auto"/>
        <w:right w:val="none" w:sz="0" w:space="0" w:color="auto"/>
      </w:divBdr>
    </w:div>
    <w:div w:id="1146820202">
      <w:bodyDiv w:val="1"/>
      <w:marLeft w:val="0"/>
      <w:marRight w:val="0"/>
      <w:marTop w:val="0"/>
      <w:marBottom w:val="0"/>
      <w:divBdr>
        <w:top w:val="none" w:sz="0" w:space="0" w:color="auto"/>
        <w:left w:val="none" w:sz="0" w:space="0" w:color="auto"/>
        <w:bottom w:val="none" w:sz="0" w:space="0" w:color="auto"/>
        <w:right w:val="none" w:sz="0" w:space="0" w:color="auto"/>
      </w:divBdr>
    </w:div>
    <w:div w:id="1148327999">
      <w:bodyDiv w:val="1"/>
      <w:marLeft w:val="0"/>
      <w:marRight w:val="0"/>
      <w:marTop w:val="0"/>
      <w:marBottom w:val="0"/>
      <w:divBdr>
        <w:top w:val="none" w:sz="0" w:space="0" w:color="auto"/>
        <w:left w:val="none" w:sz="0" w:space="0" w:color="auto"/>
        <w:bottom w:val="none" w:sz="0" w:space="0" w:color="auto"/>
        <w:right w:val="none" w:sz="0" w:space="0" w:color="auto"/>
      </w:divBdr>
    </w:div>
    <w:div w:id="1152720180">
      <w:bodyDiv w:val="1"/>
      <w:marLeft w:val="0"/>
      <w:marRight w:val="0"/>
      <w:marTop w:val="0"/>
      <w:marBottom w:val="0"/>
      <w:divBdr>
        <w:top w:val="none" w:sz="0" w:space="0" w:color="auto"/>
        <w:left w:val="none" w:sz="0" w:space="0" w:color="auto"/>
        <w:bottom w:val="none" w:sz="0" w:space="0" w:color="auto"/>
        <w:right w:val="none" w:sz="0" w:space="0" w:color="auto"/>
      </w:divBdr>
    </w:div>
    <w:div w:id="1166362271">
      <w:bodyDiv w:val="1"/>
      <w:marLeft w:val="0"/>
      <w:marRight w:val="0"/>
      <w:marTop w:val="0"/>
      <w:marBottom w:val="0"/>
      <w:divBdr>
        <w:top w:val="none" w:sz="0" w:space="0" w:color="auto"/>
        <w:left w:val="none" w:sz="0" w:space="0" w:color="auto"/>
        <w:bottom w:val="none" w:sz="0" w:space="0" w:color="auto"/>
        <w:right w:val="none" w:sz="0" w:space="0" w:color="auto"/>
      </w:divBdr>
    </w:div>
    <w:div w:id="1174296593">
      <w:bodyDiv w:val="1"/>
      <w:marLeft w:val="0"/>
      <w:marRight w:val="0"/>
      <w:marTop w:val="0"/>
      <w:marBottom w:val="0"/>
      <w:divBdr>
        <w:top w:val="none" w:sz="0" w:space="0" w:color="auto"/>
        <w:left w:val="none" w:sz="0" w:space="0" w:color="auto"/>
        <w:bottom w:val="none" w:sz="0" w:space="0" w:color="auto"/>
        <w:right w:val="none" w:sz="0" w:space="0" w:color="auto"/>
      </w:divBdr>
    </w:div>
    <w:div w:id="1179660337">
      <w:bodyDiv w:val="1"/>
      <w:marLeft w:val="0"/>
      <w:marRight w:val="0"/>
      <w:marTop w:val="0"/>
      <w:marBottom w:val="0"/>
      <w:divBdr>
        <w:top w:val="none" w:sz="0" w:space="0" w:color="auto"/>
        <w:left w:val="none" w:sz="0" w:space="0" w:color="auto"/>
        <w:bottom w:val="none" w:sz="0" w:space="0" w:color="auto"/>
        <w:right w:val="none" w:sz="0" w:space="0" w:color="auto"/>
      </w:divBdr>
    </w:div>
    <w:div w:id="1180775755">
      <w:bodyDiv w:val="1"/>
      <w:marLeft w:val="0"/>
      <w:marRight w:val="0"/>
      <w:marTop w:val="0"/>
      <w:marBottom w:val="0"/>
      <w:divBdr>
        <w:top w:val="none" w:sz="0" w:space="0" w:color="auto"/>
        <w:left w:val="none" w:sz="0" w:space="0" w:color="auto"/>
        <w:bottom w:val="none" w:sz="0" w:space="0" w:color="auto"/>
        <w:right w:val="none" w:sz="0" w:space="0" w:color="auto"/>
      </w:divBdr>
    </w:div>
    <w:div w:id="1181161714">
      <w:bodyDiv w:val="1"/>
      <w:marLeft w:val="0"/>
      <w:marRight w:val="0"/>
      <w:marTop w:val="0"/>
      <w:marBottom w:val="0"/>
      <w:divBdr>
        <w:top w:val="none" w:sz="0" w:space="0" w:color="auto"/>
        <w:left w:val="none" w:sz="0" w:space="0" w:color="auto"/>
        <w:bottom w:val="none" w:sz="0" w:space="0" w:color="auto"/>
        <w:right w:val="none" w:sz="0" w:space="0" w:color="auto"/>
      </w:divBdr>
    </w:div>
    <w:div w:id="1183857830">
      <w:bodyDiv w:val="1"/>
      <w:marLeft w:val="0"/>
      <w:marRight w:val="0"/>
      <w:marTop w:val="0"/>
      <w:marBottom w:val="0"/>
      <w:divBdr>
        <w:top w:val="none" w:sz="0" w:space="0" w:color="auto"/>
        <w:left w:val="none" w:sz="0" w:space="0" w:color="auto"/>
        <w:bottom w:val="none" w:sz="0" w:space="0" w:color="auto"/>
        <w:right w:val="none" w:sz="0" w:space="0" w:color="auto"/>
      </w:divBdr>
    </w:div>
    <w:div w:id="1186753162">
      <w:bodyDiv w:val="1"/>
      <w:marLeft w:val="0"/>
      <w:marRight w:val="0"/>
      <w:marTop w:val="0"/>
      <w:marBottom w:val="0"/>
      <w:divBdr>
        <w:top w:val="none" w:sz="0" w:space="0" w:color="auto"/>
        <w:left w:val="none" w:sz="0" w:space="0" w:color="auto"/>
        <w:bottom w:val="none" w:sz="0" w:space="0" w:color="auto"/>
        <w:right w:val="none" w:sz="0" w:space="0" w:color="auto"/>
      </w:divBdr>
    </w:div>
    <w:div w:id="1189366570">
      <w:bodyDiv w:val="1"/>
      <w:marLeft w:val="0"/>
      <w:marRight w:val="0"/>
      <w:marTop w:val="0"/>
      <w:marBottom w:val="0"/>
      <w:divBdr>
        <w:top w:val="none" w:sz="0" w:space="0" w:color="auto"/>
        <w:left w:val="none" w:sz="0" w:space="0" w:color="auto"/>
        <w:bottom w:val="none" w:sz="0" w:space="0" w:color="auto"/>
        <w:right w:val="none" w:sz="0" w:space="0" w:color="auto"/>
      </w:divBdr>
    </w:div>
    <w:div w:id="1191727087">
      <w:bodyDiv w:val="1"/>
      <w:marLeft w:val="0"/>
      <w:marRight w:val="0"/>
      <w:marTop w:val="0"/>
      <w:marBottom w:val="0"/>
      <w:divBdr>
        <w:top w:val="none" w:sz="0" w:space="0" w:color="auto"/>
        <w:left w:val="none" w:sz="0" w:space="0" w:color="auto"/>
        <w:bottom w:val="none" w:sz="0" w:space="0" w:color="auto"/>
        <w:right w:val="none" w:sz="0" w:space="0" w:color="auto"/>
      </w:divBdr>
    </w:div>
    <w:div w:id="1191839398">
      <w:bodyDiv w:val="1"/>
      <w:marLeft w:val="0"/>
      <w:marRight w:val="0"/>
      <w:marTop w:val="0"/>
      <w:marBottom w:val="0"/>
      <w:divBdr>
        <w:top w:val="none" w:sz="0" w:space="0" w:color="auto"/>
        <w:left w:val="none" w:sz="0" w:space="0" w:color="auto"/>
        <w:bottom w:val="none" w:sz="0" w:space="0" w:color="auto"/>
        <w:right w:val="none" w:sz="0" w:space="0" w:color="auto"/>
      </w:divBdr>
    </w:div>
    <w:div w:id="1192886970">
      <w:bodyDiv w:val="1"/>
      <w:marLeft w:val="0"/>
      <w:marRight w:val="0"/>
      <w:marTop w:val="0"/>
      <w:marBottom w:val="0"/>
      <w:divBdr>
        <w:top w:val="none" w:sz="0" w:space="0" w:color="auto"/>
        <w:left w:val="none" w:sz="0" w:space="0" w:color="auto"/>
        <w:bottom w:val="none" w:sz="0" w:space="0" w:color="auto"/>
        <w:right w:val="none" w:sz="0" w:space="0" w:color="auto"/>
      </w:divBdr>
    </w:div>
    <w:div w:id="1198661340">
      <w:bodyDiv w:val="1"/>
      <w:marLeft w:val="0"/>
      <w:marRight w:val="0"/>
      <w:marTop w:val="0"/>
      <w:marBottom w:val="0"/>
      <w:divBdr>
        <w:top w:val="none" w:sz="0" w:space="0" w:color="auto"/>
        <w:left w:val="none" w:sz="0" w:space="0" w:color="auto"/>
        <w:bottom w:val="none" w:sz="0" w:space="0" w:color="auto"/>
        <w:right w:val="none" w:sz="0" w:space="0" w:color="auto"/>
      </w:divBdr>
    </w:div>
    <w:div w:id="1201167013">
      <w:bodyDiv w:val="1"/>
      <w:marLeft w:val="0"/>
      <w:marRight w:val="0"/>
      <w:marTop w:val="0"/>
      <w:marBottom w:val="0"/>
      <w:divBdr>
        <w:top w:val="none" w:sz="0" w:space="0" w:color="auto"/>
        <w:left w:val="none" w:sz="0" w:space="0" w:color="auto"/>
        <w:bottom w:val="none" w:sz="0" w:space="0" w:color="auto"/>
        <w:right w:val="none" w:sz="0" w:space="0" w:color="auto"/>
      </w:divBdr>
    </w:div>
    <w:div w:id="1201354868">
      <w:bodyDiv w:val="1"/>
      <w:marLeft w:val="0"/>
      <w:marRight w:val="0"/>
      <w:marTop w:val="0"/>
      <w:marBottom w:val="0"/>
      <w:divBdr>
        <w:top w:val="none" w:sz="0" w:space="0" w:color="auto"/>
        <w:left w:val="none" w:sz="0" w:space="0" w:color="auto"/>
        <w:bottom w:val="none" w:sz="0" w:space="0" w:color="auto"/>
        <w:right w:val="none" w:sz="0" w:space="0" w:color="auto"/>
      </w:divBdr>
    </w:div>
    <w:div w:id="1203207277">
      <w:bodyDiv w:val="1"/>
      <w:marLeft w:val="0"/>
      <w:marRight w:val="0"/>
      <w:marTop w:val="0"/>
      <w:marBottom w:val="0"/>
      <w:divBdr>
        <w:top w:val="none" w:sz="0" w:space="0" w:color="auto"/>
        <w:left w:val="none" w:sz="0" w:space="0" w:color="auto"/>
        <w:bottom w:val="none" w:sz="0" w:space="0" w:color="auto"/>
        <w:right w:val="none" w:sz="0" w:space="0" w:color="auto"/>
      </w:divBdr>
    </w:div>
    <w:div w:id="1209803090">
      <w:bodyDiv w:val="1"/>
      <w:marLeft w:val="0"/>
      <w:marRight w:val="0"/>
      <w:marTop w:val="0"/>
      <w:marBottom w:val="0"/>
      <w:divBdr>
        <w:top w:val="none" w:sz="0" w:space="0" w:color="auto"/>
        <w:left w:val="none" w:sz="0" w:space="0" w:color="auto"/>
        <w:bottom w:val="none" w:sz="0" w:space="0" w:color="auto"/>
        <w:right w:val="none" w:sz="0" w:space="0" w:color="auto"/>
      </w:divBdr>
    </w:div>
    <w:div w:id="1212497372">
      <w:bodyDiv w:val="1"/>
      <w:marLeft w:val="0"/>
      <w:marRight w:val="0"/>
      <w:marTop w:val="0"/>
      <w:marBottom w:val="0"/>
      <w:divBdr>
        <w:top w:val="none" w:sz="0" w:space="0" w:color="auto"/>
        <w:left w:val="none" w:sz="0" w:space="0" w:color="auto"/>
        <w:bottom w:val="none" w:sz="0" w:space="0" w:color="auto"/>
        <w:right w:val="none" w:sz="0" w:space="0" w:color="auto"/>
      </w:divBdr>
    </w:div>
    <w:div w:id="1213686838">
      <w:bodyDiv w:val="1"/>
      <w:marLeft w:val="0"/>
      <w:marRight w:val="0"/>
      <w:marTop w:val="0"/>
      <w:marBottom w:val="0"/>
      <w:divBdr>
        <w:top w:val="none" w:sz="0" w:space="0" w:color="auto"/>
        <w:left w:val="none" w:sz="0" w:space="0" w:color="auto"/>
        <w:bottom w:val="none" w:sz="0" w:space="0" w:color="auto"/>
        <w:right w:val="none" w:sz="0" w:space="0" w:color="auto"/>
      </w:divBdr>
    </w:div>
    <w:div w:id="1213738302">
      <w:bodyDiv w:val="1"/>
      <w:marLeft w:val="0"/>
      <w:marRight w:val="0"/>
      <w:marTop w:val="0"/>
      <w:marBottom w:val="0"/>
      <w:divBdr>
        <w:top w:val="none" w:sz="0" w:space="0" w:color="auto"/>
        <w:left w:val="none" w:sz="0" w:space="0" w:color="auto"/>
        <w:bottom w:val="none" w:sz="0" w:space="0" w:color="auto"/>
        <w:right w:val="none" w:sz="0" w:space="0" w:color="auto"/>
      </w:divBdr>
    </w:div>
    <w:div w:id="1217472057">
      <w:bodyDiv w:val="1"/>
      <w:marLeft w:val="0"/>
      <w:marRight w:val="0"/>
      <w:marTop w:val="0"/>
      <w:marBottom w:val="0"/>
      <w:divBdr>
        <w:top w:val="none" w:sz="0" w:space="0" w:color="auto"/>
        <w:left w:val="none" w:sz="0" w:space="0" w:color="auto"/>
        <w:bottom w:val="none" w:sz="0" w:space="0" w:color="auto"/>
        <w:right w:val="none" w:sz="0" w:space="0" w:color="auto"/>
      </w:divBdr>
    </w:div>
    <w:div w:id="1217594634">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19363859">
      <w:bodyDiv w:val="1"/>
      <w:marLeft w:val="0"/>
      <w:marRight w:val="0"/>
      <w:marTop w:val="0"/>
      <w:marBottom w:val="0"/>
      <w:divBdr>
        <w:top w:val="none" w:sz="0" w:space="0" w:color="auto"/>
        <w:left w:val="none" w:sz="0" w:space="0" w:color="auto"/>
        <w:bottom w:val="none" w:sz="0" w:space="0" w:color="auto"/>
        <w:right w:val="none" w:sz="0" w:space="0" w:color="auto"/>
      </w:divBdr>
    </w:div>
    <w:div w:id="1220285885">
      <w:bodyDiv w:val="1"/>
      <w:marLeft w:val="0"/>
      <w:marRight w:val="0"/>
      <w:marTop w:val="0"/>
      <w:marBottom w:val="0"/>
      <w:divBdr>
        <w:top w:val="none" w:sz="0" w:space="0" w:color="auto"/>
        <w:left w:val="none" w:sz="0" w:space="0" w:color="auto"/>
        <w:bottom w:val="none" w:sz="0" w:space="0" w:color="auto"/>
        <w:right w:val="none" w:sz="0" w:space="0" w:color="auto"/>
      </w:divBdr>
    </w:div>
    <w:div w:id="1224947072">
      <w:bodyDiv w:val="1"/>
      <w:marLeft w:val="0"/>
      <w:marRight w:val="0"/>
      <w:marTop w:val="0"/>
      <w:marBottom w:val="0"/>
      <w:divBdr>
        <w:top w:val="none" w:sz="0" w:space="0" w:color="auto"/>
        <w:left w:val="none" w:sz="0" w:space="0" w:color="auto"/>
        <w:bottom w:val="none" w:sz="0" w:space="0" w:color="auto"/>
        <w:right w:val="none" w:sz="0" w:space="0" w:color="auto"/>
      </w:divBdr>
    </w:div>
    <w:div w:id="1224950378">
      <w:bodyDiv w:val="1"/>
      <w:marLeft w:val="0"/>
      <w:marRight w:val="0"/>
      <w:marTop w:val="0"/>
      <w:marBottom w:val="0"/>
      <w:divBdr>
        <w:top w:val="none" w:sz="0" w:space="0" w:color="auto"/>
        <w:left w:val="none" w:sz="0" w:space="0" w:color="auto"/>
        <w:bottom w:val="none" w:sz="0" w:space="0" w:color="auto"/>
        <w:right w:val="none" w:sz="0" w:space="0" w:color="auto"/>
      </w:divBdr>
    </w:div>
    <w:div w:id="1233806907">
      <w:bodyDiv w:val="1"/>
      <w:marLeft w:val="0"/>
      <w:marRight w:val="0"/>
      <w:marTop w:val="0"/>
      <w:marBottom w:val="0"/>
      <w:divBdr>
        <w:top w:val="none" w:sz="0" w:space="0" w:color="auto"/>
        <w:left w:val="none" w:sz="0" w:space="0" w:color="auto"/>
        <w:bottom w:val="none" w:sz="0" w:space="0" w:color="auto"/>
        <w:right w:val="none" w:sz="0" w:space="0" w:color="auto"/>
      </w:divBdr>
    </w:div>
    <w:div w:id="1234662208">
      <w:bodyDiv w:val="1"/>
      <w:marLeft w:val="0"/>
      <w:marRight w:val="0"/>
      <w:marTop w:val="0"/>
      <w:marBottom w:val="0"/>
      <w:divBdr>
        <w:top w:val="none" w:sz="0" w:space="0" w:color="auto"/>
        <w:left w:val="none" w:sz="0" w:space="0" w:color="auto"/>
        <w:bottom w:val="none" w:sz="0" w:space="0" w:color="auto"/>
        <w:right w:val="none" w:sz="0" w:space="0" w:color="auto"/>
      </w:divBdr>
    </w:div>
    <w:div w:id="1235823389">
      <w:bodyDiv w:val="1"/>
      <w:marLeft w:val="0"/>
      <w:marRight w:val="0"/>
      <w:marTop w:val="0"/>
      <w:marBottom w:val="0"/>
      <w:divBdr>
        <w:top w:val="none" w:sz="0" w:space="0" w:color="auto"/>
        <w:left w:val="none" w:sz="0" w:space="0" w:color="auto"/>
        <w:bottom w:val="none" w:sz="0" w:space="0" w:color="auto"/>
        <w:right w:val="none" w:sz="0" w:space="0" w:color="auto"/>
      </w:divBdr>
    </w:div>
    <w:div w:id="1236665032">
      <w:bodyDiv w:val="1"/>
      <w:marLeft w:val="0"/>
      <w:marRight w:val="0"/>
      <w:marTop w:val="0"/>
      <w:marBottom w:val="0"/>
      <w:divBdr>
        <w:top w:val="none" w:sz="0" w:space="0" w:color="auto"/>
        <w:left w:val="none" w:sz="0" w:space="0" w:color="auto"/>
        <w:bottom w:val="none" w:sz="0" w:space="0" w:color="auto"/>
        <w:right w:val="none" w:sz="0" w:space="0" w:color="auto"/>
      </w:divBdr>
    </w:div>
    <w:div w:id="1237010558">
      <w:bodyDiv w:val="1"/>
      <w:marLeft w:val="0"/>
      <w:marRight w:val="0"/>
      <w:marTop w:val="0"/>
      <w:marBottom w:val="0"/>
      <w:divBdr>
        <w:top w:val="none" w:sz="0" w:space="0" w:color="auto"/>
        <w:left w:val="none" w:sz="0" w:space="0" w:color="auto"/>
        <w:bottom w:val="none" w:sz="0" w:space="0" w:color="auto"/>
        <w:right w:val="none" w:sz="0" w:space="0" w:color="auto"/>
      </w:divBdr>
    </w:div>
    <w:div w:id="1241597077">
      <w:bodyDiv w:val="1"/>
      <w:marLeft w:val="0"/>
      <w:marRight w:val="0"/>
      <w:marTop w:val="0"/>
      <w:marBottom w:val="0"/>
      <w:divBdr>
        <w:top w:val="none" w:sz="0" w:space="0" w:color="auto"/>
        <w:left w:val="none" w:sz="0" w:space="0" w:color="auto"/>
        <w:bottom w:val="none" w:sz="0" w:space="0" w:color="auto"/>
        <w:right w:val="none" w:sz="0" w:space="0" w:color="auto"/>
      </w:divBdr>
    </w:div>
    <w:div w:id="1241870329">
      <w:bodyDiv w:val="1"/>
      <w:marLeft w:val="0"/>
      <w:marRight w:val="0"/>
      <w:marTop w:val="0"/>
      <w:marBottom w:val="0"/>
      <w:divBdr>
        <w:top w:val="none" w:sz="0" w:space="0" w:color="auto"/>
        <w:left w:val="none" w:sz="0" w:space="0" w:color="auto"/>
        <w:bottom w:val="none" w:sz="0" w:space="0" w:color="auto"/>
        <w:right w:val="none" w:sz="0" w:space="0" w:color="auto"/>
      </w:divBdr>
    </w:div>
    <w:div w:id="1247419880">
      <w:bodyDiv w:val="1"/>
      <w:marLeft w:val="0"/>
      <w:marRight w:val="0"/>
      <w:marTop w:val="0"/>
      <w:marBottom w:val="0"/>
      <w:divBdr>
        <w:top w:val="none" w:sz="0" w:space="0" w:color="auto"/>
        <w:left w:val="none" w:sz="0" w:space="0" w:color="auto"/>
        <w:bottom w:val="none" w:sz="0" w:space="0" w:color="auto"/>
        <w:right w:val="none" w:sz="0" w:space="0" w:color="auto"/>
      </w:divBdr>
    </w:div>
    <w:div w:id="1249004322">
      <w:bodyDiv w:val="1"/>
      <w:marLeft w:val="0"/>
      <w:marRight w:val="0"/>
      <w:marTop w:val="0"/>
      <w:marBottom w:val="0"/>
      <w:divBdr>
        <w:top w:val="none" w:sz="0" w:space="0" w:color="auto"/>
        <w:left w:val="none" w:sz="0" w:space="0" w:color="auto"/>
        <w:bottom w:val="none" w:sz="0" w:space="0" w:color="auto"/>
        <w:right w:val="none" w:sz="0" w:space="0" w:color="auto"/>
      </w:divBdr>
    </w:div>
    <w:div w:id="1254632267">
      <w:bodyDiv w:val="1"/>
      <w:marLeft w:val="0"/>
      <w:marRight w:val="0"/>
      <w:marTop w:val="0"/>
      <w:marBottom w:val="0"/>
      <w:divBdr>
        <w:top w:val="none" w:sz="0" w:space="0" w:color="auto"/>
        <w:left w:val="none" w:sz="0" w:space="0" w:color="auto"/>
        <w:bottom w:val="none" w:sz="0" w:space="0" w:color="auto"/>
        <w:right w:val="none" w:sz="0" w:space="0" w:color="auto"/>
      </w:divBdr>
    </w:div>
    <w:div w:id="1255551032">
      <w:bodyDiv w:val="1"/>
      <w:marLeft w:val="0"/>
      <w:marRight w:val="0"/>
      <w:marTop w:val="0"/>
      <w:marBottom w:val="0"/>
      <w:divBdr>
        <w:top w:val="none" w:sz="0" w:space="0" w:color="auto"/>
        <w:left w:val="none" w:sz="0" w:space="0" w:color="auto"/>
        <w:bottom w:val="none" w:sz="0" w:space="0" w:color="auto"/>
        <w:right w:val="none" w:sz="0" w:space="0" w:color="auto"/>
      </w:divBdr>
    </w:div>
    <w:div w:id="1256742865">
      <w:bodyDiv w:val="1"/>
      <w:marLeft w:val="0"/>
      <w:marRight w:val="0"/>
      <w:marTop w:val="0"/>
      <w:marBottom w:val="0"/>
      <w:divBdr>
        <w:top w:val="none" w:sz="0" w:space="0" w:color="auto"/>
        <w:left w:val="none" w:sz="0" w:space="0" w:color="auto"/>
        <w:bottom w:val="none" w:sz="0" w:space="0" w:color="auto"/>
        <w:right w:val="none" w:sz="0" w:space="0" w:color="auto"/>
      </w:divBdr>
    </w:div>
    <w:div w:id="1258058988">
      <w:bodyDiv w:val="1"/>
      <w:marLeft w:val="0"/>
      <w:marRight w:val="0"/>
      <w:marTop w:val="0"/>
      <w:marBottom w:val="0"/>
      <w:divBdr>
        <w:top w:val="none" w:sz="0" w:space="0" w:color="auto"/>
        <w:left w:val="none" w:sz="0" w:space="0" w:color="auto"/>
        <w:bottom w:val="none" w:sz="0" w:space="0" w:color="auto"/>
        <w:right w:val="none" w:sz="0" w:space="0" w:color="auto"/>
      </w:divBdr>
    </w:div>
    <w:div w:id="1266307090">
      <w:bodyDiv w:val="1"/>
      <w:marLeft w:val="0"/>
      <w:marRight w:val="0"/>
      <w:marTop w:val="0"/>
      <w:marBottom w:val="0"/>
      <w:divBdr>
        <w:top w:val="none" w:sz="0" w:space="0" w:color="auto"/>
        <w:left w:val="none" w:sz="0" w:space="0" w:color="auto"/>
        <w:bottom w:val="none" w:sz="0" w:space="0" w:color="auto"/>
        <w:right w:val="none" w:sz="0" w:space="0" w:color="auto"/>
      </w:divBdr>
    </w:div>
    <w:div w:id="1266621892">
      <w:bodyDiv w:val="1"/>
      <w:marLeft w:val="0"/>
      <w:marRight w:val="0"/>
      <w:marTop w:val="0"/>
      <w:marBottom w:val="0"/>
      <w:divBdr>
        <w:top w:val="none" w:sz="0" w:space="0" w:color="auto"/>
        <w:left w:val="none" w:sz="0" w:space="0" w:color="auto"/>
        <w:bottom w:val="none" w:sz="0" w:space="0" w:color="auto"/>
        <w:right w:val="none" w:sz="0" w:space="0" w:color="auto"/>
      </w:divBdr>
    </w:div>
    <w:div w:id="1273785729">
      <w:bodyDiv w:val="1"/>
      <w:marLeft w:val="0"/>
      <w:marRight w:val="0"/>
      <w:marTop w:val="0"/>
      <w:marBottom w:val="0"/>
      <w:divBdr>
        <w:top w:val="none" w:sz="0" w:space="0" w:color="auto"/>
        <w:left w:val="none" w:sz="0" w:space="0" w:color="auto"/>
        <w:bottom w:val="none" w:sz="0" w:space="0" w:color="auto"/>
        <w:right w:val="none" w:sz="0" w:space="0" w:color="auto"/>
      </w:divBdr>
    </w:div>
    <w:div w:id="1274943564">
      <w:bodyDiv w:val="1"/>
      <w:marLeft w:val="0"/>
      <w:marRight w:val="0"/>
      <w:marTop w:val="0"/>
      <w:marBottom w:val="0"/>
      <w:divBdr>
        <w:top w:val="none" w:sz="0" w:space="0" w:color="auto"/>
        <w:left w:val="none" w:sz="0" w:space="0" w:color="auto"/>
        <w:bottom w:val="none" w:sz="0" w:space="0" w:color="auto"/>
        <w:right w:val="none" w:sz="0" w:space="0" w:color="auto"/>
      </w:divBdr>
    </w:div>
    <w:div w:id="1280843642">
      <w:bodyDiv w:val="1"/>
      <w:marLeft w:val="0"/>
      <w:marRight w:val="0"/>
      <w:marTop w:val="0"/>
      <w:marBottom w:val="0"/>
      <w:divBdr>
        <w:top w:val="none" w:sz="0" w:space="0" w:color="auto"/>
        <w:left w:val="none" w:sz="0" w:space="0" w:color="auto"/>
        <w:bottom w:val="none" w:sz="0" w:space="0" w:color="auto"/>
        <w:right w:val="none" w:sz="0" w:space="0" w:color="auto"/>
      </w:divBdr>
    </w:div>
    <w:div w:id="1285427348">
      <w:bodyDiv w:val="1"/>
      <w:marLeft w:val="0"/>
      <w:marRight w:val="0"/>
      <w:marTop w:val="0"/>
      <w:marBottom w:val="0"/>
      <w:divBdr>
        <w:top w:val="none" w:sz="0" w:space="0" w:color="auto"/>
        <w:left w:val="none" w:sz="0" w:space="0" w:color="auto"/>
        <w:bottom w:val="none" w:sz="0" w:space="0" w:color="auto"/>
        <w:right w:val="none" w:sz="0" w:space="0" w:color="auto"/>
      </w:divBdr>
    </w:div>
    <w:div w:id="1286235477">
      <w:bodyDiv w:val="1"/>
      <w:marLeft w:val="0"/>
      <w:marRight w:val="0"/>
      <w:marTop w:val="0"/>
      <w:marBottom w:val="0"/>
      <w:divBdr>
        <w:top w:val="none" w:sz="0" w:space="0" w:color="auto"/>
        <w:left w:val="none" w:sz="0" w:space="0" w:color="auto"/>
        <w:bottom w:val="none" w:sz="0" w:space="0" w:color="auto"/>
        <w:right w:val="none" w:sz="0" w:space="0" w:color="auto"/>
      </w:divBdr>
    </w:div>
    <w:div w:id="1300305932">
      <w:bodyDiv w:val="1"/>
      <w:marLeft w:val="0"/>
      <w:marRight w:val="0"/>
      <w:marTop w:val="0"/>
      <w:marBottom w:val="0"/>
      <w:divBdr>
        <w:top w:val="none" w:sz="0" w:space="0" w:color="auto"/>
        <w:left w:val="none" w:sz="0" w:space="0" w:color="auto"/>
        <w:bottom w:val="none" w:sz="0" w:space="0" w:color="auto"/>
        <w:right w:val="none" w:sz="0" w:space="0" w:color="auto"/>
      </w:divBdr>
    </w:div>
    <w:div w:id="1302423002">
      <w:bodyDiv w:val="1"/>
      <w:marLeft w:val="0"/>
      <w:marRight w:val="0"/>
      <w:marTop w:val="0"/>
      <w:marBottom w:val="0"/>
      <w:divBdr>
        <w:top w:val="none" w:sz="0" w:space="0" w:color="auto"/>
        <w:left w:val="none" w:sz="0" w:space="0" w:color="auto"/>
        <w:bottom w:val="none" w:sz="0" w:space="0" w:color="auto"/>
        <w:right w:val="none" w:sz="0" w:space="0" w:color="auto"/>
      </w:divBdr>
    </w:div>
    <w:div w:id="1307979537">
      <w:bodyDiv w:val="1"/>
      <w:marLeft w:val="0"/>
      <w:marRight w:val="0"/>
      <w:marTop w:val="0"/>
      <w:marBottom w:val="0"/>
      <w:divBdr>
        <w:top w:val="none" w:sz="0" w:space="0" w:color="auto"/>
        <w:left w:val="none" w:sz="0" w:space="0" w:color="auto"/>
        <w:bottom w:val="none" w:sz="0" w:space="0" w:color="auto"/>
        <w:right w:val="none" w:sz="0" w:space="0" w:color="auto"/>
      </w:divBdr>
    </w:div>
    <w:div w:id="1309363692">
      <w:bodyDiv w:val="1"/>
      <w:marLeft w:val="0"/>
      <w:marRight w:val="0"/>
      <w:marTop w:val="0"/>
      <w:marBottom w:val="0"/>
      <w:divBdr>
        <w:top w:val="none" w:sz="0" w:space="0" w:color="auto"/>
        <w:left w:val="none" w:sz="0" w:space="0" w:color="auto"/>
        <w:bottom w:val="none" w:sz="0" w:space="0" w:color="auto"/>
        <w:right w:val="none" w:sz="0" w:space="0" w:color="auto"/>
      </w:divBdr>
    </w:div>
    <w:div w:id="1309868758">
      <w:bodyDiv w:val="1"/>
      <w:marLeft w:val="0"/>
      <w:marRight w:val="0"/>
      <w:marTop w:val="0"/>
      <w:marBottom w:val="0"/>
      <w:divBdr>
        <w:top w:val="none" w:sz="0" w:space="0" w:color="auto"/>
        <w:left w:val="none" w:sz="0" w:space="0" w:color="auto"/>
        <w:bottom w:val="none" w:sz="0" w:space="0" w:color="auto"/>
        <w:right w:val="none" w:sz="0" w:space="0" w:color="auto"/>
      </w:divBdr>
    </w:div>
    <w:div w:id="1316758578">
      <w:bodyDiv w:val="1"/>
      <w:marLeft w:val="0"/>
      <w:marRight w:val="0"/>
      <w:marTop w:val="0"/>
      <w:marBottom w:val="0"/>
      <w:divBdr>
        <w:top w:val="none" w:sz="0" w:space="0" w:color="auto"/>
        <w:left w:val="none" w:sz="0" w:space="0" w:color="auto"/>
        <w:bottom w:val="none" w:sz="0" w:space="0" w:color="auto"/>
        <w:right w:val="none" w:sz="0" w:space="0" w:color="auto"/>
      </w:divBdr>
    </w:div>
    <w:div w:id="1323893963">
      <w:bodyDiv w:val="1"/>
      <w:marLeft w:val="0"/>
      <w:marRight w:val="0"/>
      <w:marTop w:val="0"/>
      <w:marBottom w:val="0"/>
      <w:divBdr>
        <w:top w:val="none" w:sz="0" w:space="0" w:color="auto"/>
        <w:left w:val="none" w:sz="0" w:space="0" w:color="auto"/>
        <w:bottom w:val="none" w:sz="0" w:space="0" w:color="auto"/>
        <w:right w:val="none" w:sz="0" w:space="0" w:color="auto"/>
      </w:divBdr>
    </w:div>
    <w:div w:id="1326208054">
      <w:bodyDiv w:val="1"/>
      <w:marLeft w:val="0"/>
      <w:marRight w:val="0"/>
      <w:marTop w:val="0"/>
      <w:marBottom w:val="0"/>
      <w:divBdr>
        <w:top w:val="none" w:sz="0" w:space="0" w:color="auto"/>
        <w:left w:val="none" w:sz="0" w:space="0" w:color="auto"/>
        <w:bottom w:val="none" w:sz="0" w:space="0" w:color="auto"/>
        <w:right w:val="none" w:sz="0" w:space="0" w:color="auto"/>
      </w:divBdr>
    </w:div>
    <w:div w:id="1345596065">
      <w:bodyDiv w:val="1"/>
      <w:marLeft w:val="0"/>
      <w:marRight w:val="0"/>
      <w:marTop w:val="0"/>
      <w:marBottom w:val="0"/>
      <w:divBdr>
        <w:top w:val="none" w:sz="0" w:space="0" w:color="auto"/>
        <w:left w:val="none" w:sz="0" w:space="0" w:color="auto"/>
        <w:bottom w:val="none" w:sz="0" w:space="0" w:color="auto"/>
        <w:right w:val="none" w:sz="0" w:space="0" w:color="auto"/>
      </w:divBdr>
    </w:div>
    <w:div w:id="1345784144">
      <w:bodyDiv w:val="1"/>
      <w:marLeft w:val="0"/>
      <w:marRight w:val="0"/>
      <w:marTop w:val="0"/>
      <w:marBottom w:val="0"/>
      <w:divBdr>
        <w:top w:val="none" w:sz="0" w:space="0" w:color="auto"/>
        <w:left w:val="none" w:sz="0" w:space="0" w:color="auto"/>
        <w:bottom w:val="none" w:sz="0" w:space="0" w:color="auto"/>
        <w:right w:val="none" w:sz="0" w:space="0" w:color="auto"/>
      </w:divBdr>
    </w:div>
    <w:div w:id="1346399561">
      <w:bodyDiv w:val="1"/>
      <w:marLeft w:val="0"/>
      <w:marRight w:val="0"/>
      <w:marTop w:val="0"/>
      <w:marBottom w:val="0"/>
      <w:divBdr>
        <w:top w:val="none" w:sz="0" w:space="0" w:color="auto"/>
        <w:left w:val="none" w:sz="0" w:space="0" w:color="auto"/>
        <w:bottom w:val="none" w:sz="0" w:space="0" w:color="auto"/>
        <w:right w:val="none" w:sz="0" w:space="0" w:color="auto"/>
      </w:divBdr>
    </w:div>
    <w:div w:id="1356540683">
      <w:bodyDiv w:val="1"/>
      <w:marLeft w:val="0"/>
      <w:marRight w:val="0"/>
      <w:marTop w:val="0"/>
      <w:marBottom w:val="0"/>
      <w:divBdr>
        <w:top w:val="none" w:sz="0" w:space="0" w:color="auto"/>
        <w:left w:val="none" w:sz="0" w:space="0" w:color="auto"/>
        <w:bottom w:val="none" w:sz="0" w:space="0" w:color="auto"/>
        <w:right w:val="none" w:sz="0" w:space="0" w:color="auto"/>
      </w:divBdr>
    </w:div>
    <w:div w:id="1361739399">
      <w:bodyDiv w:val="1"/>
      <w:marLeft w:val="0"/>
      <w:marRight w:val="0"/>
      <w:marTop w:val="0"/>
      <w:marBottom w:val="0"/>
      <w:divBdr>
        <w:top w:val="none" w:sz="0" w:space="0" w:color="auto"/>
        <w:left w:val="none" w:sz="0" w:space="0" w:color="auto"/>
        <w:bottom w:val="none" w:sz="0" w:space="0" w:color="auto"/>
        <w:right w:val="none" w:sz="0" w:space="0" w:color="auto"/>
      </w:divBdr>
    </w:div>
    <w:div w:id="1361977229">
      <w:bodyDiv w:val="1"/>
      <w:marLeft w:val="0"/>
      <w:marRight w:val="0"/>
      <w:marTop w:val="0"/>
      <w:marBottom w:val="0"/>
      <w:divBdr>
        <w:top w:val="none" w:sz="0" w:space="0" w:color="auto"/>
        <w:left w:val="none" w:sz="0" w:space="0" w:color="auto"/>
        <w:bottom w:val="none" w:sz="0" w:space="0" w:color="auto"/>
        <w:right w:val="none" w:sz="0" w:space="0" w:color="auto"/>
      </w:divBdr>
    </w:div>
    <w:div w:id="1365056425">
      <w:bodyDiv w:val="1"/>
      <w:marLeft w:val="0"/>
      <w:marRight w:val="0"/>
      <w:marTop w:val="0"/>
      <w:marBottom w:val="0"/>
      <w:divBdr>
        <w:top w:val="none" w:sz="0" w:space="0" w:color="auto"/>
        <w:left w:val="none" w:sz="0" w:space="0" w:color="auto"/>
        <w:bottom w:val="none" w:sz="0" w:space="0" w:color="auto"/>
        <w:right w:val="none" w:sz="0" w:space="0" w:color="auto"/>
      </w:divBdr>
    </w:div>
    <w:div w:id="1373382942">
      <w:bodyDiv w:val="1"/>
      <w:marLeft w:val="0"/>
      <w:marRight w:val="0"/>
      <w:marTop w:val="0"/>
      <w:marBottom w:val="0"/>
      <w:divBdr>
        <w:top w:val="none" w:sz="0" w:space="0" w:color="auto"/>
        <w:left w:val="none" w:sz="0" w:space="0" w:color="auto"/>
        <w:bottom w:val="none" w:sz="0" w:space="0" w:color="auto"/>
        <w:right w:val="none" w:sz="0" w:space="0" w:color="auto"/>
      </w:divBdr>
    </w:div>
    <w:div w:id="137411248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380130915">
      <w:bodyDiv w:val="1"/>
      <w:marLeft w:val="0"/>
      <w:marRight w:val="0"/>
      <w:marTop w:val="0"/>
      <w:marBottom w:val="0"/>
      <w:divBdr>
        <w:top w:val="none" w:sz="0" w:space="0" w:color="auto"/>
        <w:left w:val="none" w:sz="0" w:space="0" w:color="auto"/>
        <w:bottom w:val="none" w:sz="0" w:space="0" w:color="auto"/>
        <w:right w:val="none" w:sz="0" w:space="0" w:color="auto"/>
      </w:divBdr>
    </w:div>
    <w:div w:id="1391071964">
      <w:bodyDiv w:val="1"/>
      <w:marLeft w:val="0"/>
      <w:marRight w:val="0"/>
      <w:marTop w:val="0"/>
      <w:marBottom w:val="0"/>
      <w:divBdr>
        <w:top w:val="none" w:sz="0" w:space="0" w:color="auto"/>
        <w:left w:val="none" w:sz="0" w:space="0" w:color="auto"/>
        <w:bottom w:val="none" w:sz="0" w:space="0" w:color="auto"/>
        <w:right w:val="none" w:sz="0" w:space="0" w:color="auto"/>
      </w:divBdr>
    </w:div>
    <w:div w:id="1395927240">
      <w:bodyDiv w:val="1"/>
      <w:marLeft w:val="0"/>
      <w:marRight w:val="0"/>
      <w:marTop w:val="0"/>
      <w:marBottom w:val="0"/>
      <w:divBdr>
        <w:top w:val="none" w:sz="0" w:space="0" w:color="auto"/>
        <w:left w:val="none" w:sz="0" w:space="0" w:color="auto"/>
        <w:bottom w:val="none" w:sz="0" w:space="0" w:color="auto"/>
        <w:right w:val="none" w:sz="0" w:space="0" w:color="auto"/>
      </w:divBdr>
    </w:div>
    <w:div w:id="1397237698">
      <w:bodyDiv w:val="1"/>
      <w:marLeft w:val="0"/>
      <w:marRight w:val="0"/>
      <w:marTop w:val="0"/>
      <w:marBottom w:val="0"/>
      <w:divBdr>
        <w:top w:val="none" w:sz="0" w:space="0" w:color="auto"/>
        <w:left w:val="none" w:sz="0" w:space="0" w:color="auto"/>
        <w:bottom w:val="none" w:sz="0" w:space="0" w:color="auto"/>
        <w:right w:val="none" w:sz="0" w:space="0" w:color="auto"/>
      </w:divBdr>
    </w:div>
    <w:div w:id="1398237375">
      <w:bodyDiv w:val="1"/>
      <w:marLeft w:val="0"/>
      <w:marRight w:val="0"/>
      <w:marTop w:val="0"/>
      <w:marBottom w:val="0"/>
      <w:divBdr>
        <w:top w:val="none" w:sz="0" w:space="0" w:color="auto"/>
        <w:left w:val="none" w:sz="0" w:space="0" w:color="auto"/>
        <w:bottom w:val="none" w:sz="0" w:space="0" w:color="auto"/>
        <w:right w:val="none" w:sz="0" w:space="0" w:color="auto"/>
      </w:divBdr>
    </w:div>
    <w:div w:id="1402823853">
      <w:bodyDiv w:val="1"/>
      <w:marLeft w:val="0"/>
      <w:marRight w:val="0"/>
      <w:marTop w:val="0"/>
      <w:marBottom w:val="0"/>
      <w:divBdr>
        <w:top w:val="none" w:sz="0" w:space="0" w:color="auto"/>
        <w:left w:val="none" w:sz="0" w:space="0" w:color="auto"/>
        <w:bottom w:val="none" w:sz="0" w:space="0" w:color="auto"/>
        <w:right w:val="none" w:sz="0" w:space="0" w:color="auto"/>
      </w:divBdr>
    </w:div>
    <w:div w:id="1407846720">
      <w:bodyDiv w:val="1"/>
      <w:marLeft w:val="0"/>
      <w:marRight w:val="0"/>
      <w:marTop w:val="0"/>
      <w:marBottom w:val="0"/>
      <w:divBdr>
        <w:top w:val="none" w:sz="0" w:space="0" w:color="auto"/>
        <w:left w:val="none" w:sz="0" w:space="0" w:color="auto"/>
        <w:bottom w:val="none" w:sz="0" w:space="0" w:color="auto"/>
        <w:right w:val="none" w:sz="0" w:space="0" w:color="auto"/>
      </w:divBdr>
    </w:div>
    <w:div w:id="1407915385">
      <w:bodyDiv w:val="1"/>
      <w:marLeft w:val="0"/>
      <w:marRight w:val="0"/>
      <w:marTop w:val="0"/>
      <w:marBottom w:val="0"/>
      <w:divBdr>
        <w:top w:val="none" w:sz="0" w:space="0" w:color="auto"/>
        <w:left w:val="none" w:sz="0" w:space="0" w:color="auto"/>
        <w:bottom w:val="none" w:sz="0" w:space="0" w:color="auto"/>
        <w:right w:val="none" w:sz="0" w:space="0" w:color="auto"/>
      </w:divBdr>
    </w:div>
    <w:div w:id="1409039960">
      <w:bodyDiv w:val="1"/>
      <w:marLeft w:val="0"/>
      <w:marRight w:val="0"/>
      <w:marTop w:val="0"/>
      <w:marBottom w:val="0"/>
      <w:divBdr>
        <w:top w:val="none" w:sz="0" w:space="0" w:color="auto"/>
        <w:left w:val="none" w:sz="0" w:space="0" w:color="auto"/>
        <w:bottom w:val="none" w:sz="0" w:space="0" w:color="auto"/>
        <w:right w:val="none" w:sz="0" w:space="0" w:color="auto"/>
      </w:divBdr>
    </w:div>
    <w:div w:id="1410925644">
      <w:bodyDiv w:val="1"/>
      <w:marLeft w:val="0"/>
      <w:marRight w:val="0"/>
      <w:marTop w:val="0"/>
      <w:marBottom w:val="0"/>
      <w:divBdr>
        <w:top w:val="none" w:sz="0" w:space="0" w:color="auto"/>
        <w:left w:val="none" w:sz="0" w:space="0" w:color="auto"/>
        <w:bottom w:val="none" w:sz="0" w:space="0" w:color="auto"/>
        <w:right w:val="none" w:sz="0" w:space="0" w:color="auto"/>
      </w:divBdr>
    </w:div>
    <w:div w:id="1416323408">
      <w:bodyDiv w:val="1"/>
      <w:marLeft w:val="0"/>
      <w:marRight w:val="0"/>
      <w:marTop w:val="0"/>
      <w:marBottom w:val="0"/>
      <w:divBdr>
        <w:top w:val="none" w:sz="0" w:space="0" w:color="auto"/>
        <w:left w:val="none" w:sz="0" w:space="0" w:color="auto"/>
        <w:bottom w:val="none" w:sz="0" w:space="0" w:color="auto"/>
        <w:right w:val="none" w:sz="0" w:space="0" w:color="auto"/>
      </w:divBdr>
    </w:div>
    <w:div w:id="1418866913">
      <w:bodyDiv w:val="1"/>
      <w:marLeft w:val="0"/>
      <w:marRight w:val="0"/>
      <w:marTop w:val="0"/>
      <w:marBottom w:val="0"/>
      <w:divBdr>
        <w:top w:val="none" w:sz="0" w:space="0" w:color="auto"/>
        <w:left w:val="none" w:sz="0" w:space="0" w:color="auto"/>
        <w:bottom w:val="none" w:sz="0" w:space="0" w:color="auto"/>
        <w:right w:val="none" w:sz="0" w:space="0" w:color="auto"/>
      </w:divBdr>
    </w:div>
    <w:div w:id="1420637384">
      <w:bodyDiv w:val="1"/>
      <w:marLeft w:val="0"/>
      <w:marRight w:val="0"/>
      <w:marTop w:val="0"/>
      <w:marBottom w:val="0"/>
      <w:divBdr>
        <w:top w:val="none" w:sz="0" w:space="0" w:color="auto"/>
        <w:left w:val="none" w:sz="0" w:space="0" w:color="auto"/>
        <w:bottom w:val="none" w:sz="0" w:space="0" w:color="auto"/>
        <w:right w:val="none" w:sz="0" w:space="0" w:color="auto"/>
      </w:divBdr>
    </w:div>
    <w:div w:id="1425302151">
      <w:bodyDiv w:val="1"/>
      <w:marLeft w:val="0"/>
      <w:marRight w:val="0"/>
      <w:marTop w:val="0"/>
      <w:marBottom w:val="0"/>
      <w:divBdr>
        <w:top w:val="none" w:sz="0" w:space="0" w:color="auto"/>
        <w:left w:val="none" w:sz="0" w:space="0" w:color="auto"/>
        <w:bottom w:val="none" w:sz="0" w:space="0" w:color="auto"/>
        <w:right w:val="none" w:sz="0" w:space="0" w:color="auto"/>
      </w:divBdr>
    </w:div>
    <w:div w:id="1431777034">
      <w:bodyDiv w:val="1"/>
      <w:marLeft w:val="0"/>
      <w:marRight w:val="0"/>
      <w:marTop w:val="0"/>
      <w:marBottom w:val="0"/>
      <w:divBdr>
        <w:top w:val="none" w:sz="0" w:space="0" w:color="auto"/>
        <w:left w:val="none" w:sz="0" w:space="0" w:color="auto"/>
        <w:bottom w:val="none" w:sz="0" w:space="0" w:color="auto"/>
        <w:right w:val="none" w:sz="0" w:space="0" w:color="auto"/>
      </w:divBdr>
    </w:div>
    <w:div w:id="1433237370">
      <w:bodyDiv w:val="1"/>
      <w:marLeft w:val="0"/>
      <w:marRight w:val="0"/>
      <w:marTop w:val="0"/>
      <w:marBottom w:val="0"/>
      <w:divBdr>
        <w:top w:val="none" w:sz="0" w:space="0" w:color="auto"/>
        <w:left w:val="none" w:sz="0" w:space="0" w:color="auto"/>
        <w:bottom w:val="none" w:sz="0" w:space="0" w:color="auto"/>
        <w:right w:val="none" w:sz="0" w:space="0" w:color="auto"/>
      </w:divBdr>
    </w:div>
    <w:div w:id="1440680136">
      <w:bodyDiv w:val="1"/>
      <w:marLeft w:val="0"/>
      <w:marRight w:val="0"/>
      <w:marTop w:val="0"/>
      <w:marBottom w:val="0"/>
      <w:divBdr>
        <w:top w:val="none" w:sz="0" w:space="0" w:color="auto"/>
        <w:left w:val="none" w:sz="0" w:space="0" w:color="auto"/>
        <w:bottom w:val="none" w:sz="0" w:space="0" w:color="auto"/>
        <w:right w:val="none" w:sz="0" w:space="0" w:color="auto"/>
      </w:divBdr>
    </w:div>
    <w:div w:id="1442142273">
      <w:bodyDiv w:val="1"/>
      <w:marLeft w:val="0"/>
      <w:marRight w:val="0"/>
      <w:marTop w:val="0"/>
      <w:marBottom w:val="0"/>
      <w:divBdr>
        <w:top w:val="none" w:sz="0" w:space="0" w:color="auto"/>
        <w:left w:val="none" w:sz="0" w:space="0" w:color="auto"/>
        <w:bottom w:val="none" w:sz="0" w:space="0" w:color="auto"/>
        <w:right w:val="none" w:sz="0" w:space="0" w:color="auto"/>
      </w:divBdr>
    </w:div>
    <w:div w:id="1445688035">
      <w:bodyDiv w:val="1"/>
      <w:marLeft w:val="0"/>
      <w:marRight w:val="0"/>
      <w:marTop w:val="0"/>
      <w:marBottom w:val="0"/>
      <w:divBdr>
        <w:top w:val="none" w:sz="0" w:space="0" w:color="auto"/>
        <w:left w:val="none" w:sz="0" w:space="0" w:color="auto"/>
        <w:bottom w:val="none" w:sz="0" w:space="0" w:color="auto"/>
        <w:right w:val="none" w:sz="0" w:space="0" w:color="auto"/>
      </w:divBdr>
    </w:div>
    <w:div w:id="1453204576">
      <w:bodyDiv w:val="1"/>
      <w:marLeft w:val="0"/>
      <w:marRight w:val="0"/>
      <w:marTop w:val="0"/>
      <w:marBottom w:val="0"/>
      <w:divBdr>
        <w:top w:val="none" w:sz="0" w:space="0" w:color="auto"/>
        <w:left w:val="none" w:sz="0" w:space="0" w:color="auto"/>
        <w:bottom w:val="none" w:sz="0" w:space="0" w:color="auto"/>
        <w:right w:val="none" w:sz="0" w:space="0" w:color="auto"/>
      </w:divBdr>
    </w:div>
    <w:div w:id="1458794017">
      <w:bodyDiv w:val="1"/>
      <w:marLeft w:val="0"/>
      <w:marRight w:val="0"/>
      <w:marTop w:val="0"/>
      <w:marBottom w:val="0"/>
      <w:divBdr>
        <w:top w:val="none" w:sz="0" w:space="0" w:color="auto"/>
        <w:left w:val="none" w:sz="0" w:space="0" w:color="auto"/>
        <w:bottom w:val="none" w:sz="0" w:space="0" w:color="auto"/>
        <w:right w:val="none" w:sz="0" w:space="0" w:color="auto"/>
      </w:divBdr>
    </w:div>
    <w:div w:id="1467121541">
      <w:bodyDiv w:val="1"/>
      <w:marLeft w:val="0"/>
      <w:marRight w:val="0"/>
      <w:marTop w:val="0"/>
      <w:marBottom w:val="0"/>
      <w:divBdr>
        <w:top w:val="none" w:sz="0" w:space="0" w:color="auto"/>
        <w:left w:val="none" w:sz="0" w:space="0" w:color="auto"/>
        <w:bottom w:val="none" w:sz="0" w:space="0" w:color="auto"/>
        <w:right w:val="none" w:sz="0" w:space="0" w:color="auto"/>
      </w:divBdr>
    </w:div>
    <w:div w:id="1476411922">
      <w:bodyDiv w:val="1"/>
      <w:marLeft w:val="0"/>
      <w:marRight w:val="0"/>
      <w:marTop w:val="0"/>
      <w:marBottom w:val="0"/>
      <w:divBdr>
        <w:top w:val="none" w:sz="0" w:space="0" w:color="auto"/>
        <w:left w:val="none" w:sz="0" w:space="0" w:color="auto"/>
        <w:bottom w:val="none" w:sz="0" w:space="0" w:color="auto"/>
        <w:right w:val="none" w:sz="0" w:space="0" w:color="auto"/>
      </w:divBdr>
    </w:div>
    <w:div w:id="1487933152">
      <w:bodyDiv w:val="1"/>
      <w:marLeft w:val="0"/>
      <w:marRight w:val="0"/>
      <w:marTop w:val="0"/>
      <w:marBottom w:val="0"/>
      <w:divBdr>
        <w:top w:val="none" w:sz="0" w:space="0" w:color="auto"/>
        <w:left w:val="none" w:sz="0" w:space="0" w:color="auto"/>
        <w:bottom w:val="none" w:sz="0" w:space="0" w:color="auto"/>
        <w:right w:val="none" w:sz="0" w:space="0" w:color="auto"/>
      </w:divBdr>
    </w:div>
    <w:div w:id="1490437952">
      <w:bodyDiv w:val="1"/>
      <w:marLeft w:val="0"/>
      <w:marRight w:val="0"/>
      <w:marTop w:val="0"/>
      <w:marBottom w:val="0"/>
      <w:divBdr>
        <w:top w:val="none" w:sz="0" w:space="0" w:color="auto"/>
        <w:left w:val="none" w:sz="0" w:space="0" w:color="auto"/>
        <w:bottom w:val="none" w:sz="0" w:space="0" w:color="auto"/>
        <w:right w:val="none" w:sz="0" w:space="0" w:color="auto"/>
      </w:divBdr>
    </w:div>
    <w:div w:id="149625964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00193006">
      <w:bodyDiv w:val="1"/>
      <w:marLeft w:val="0"/>
      <w:marRight w:val="0"/>
      <w:marTop w:val="0"/>
      <w:marBottom w:val="0"/>
      <w:divBdr>
        <w:top w:val="none" w:sz="0" w:space="0" w:color="auto"/>
        <w:left w:val="none" w:sz="0" w:space="0" w:color="auto"/>
        <w:bottom w:val="none" w:sz="0" w:space="0" w:color="auto"/>
        <w:right w:val="none" w:sz="0" w:space="0" w:color="auto"/>
      </w:divBdr>
    </w:div>
    <w:div w:id="1504272193">
      <w:bodyDiv w:val="1"/>
      <w:marLeft w:val="0"/>
      <w:marRight w:val="0"/>
      <w:marTop w:val="0"/>
      <w:marBottom w:val="0"/>
      <w:divBdr>
        <w:top w:val="none" w:sz="0" w:space="0" w:color="auto"/>
        <w:left w:val="none" w:sz="0" w:space="0" w:color="auto"/>
        <w:bottom w:val="none" w:sz="0" w:space="0" w:color="auto"/>
        <w:right w:val="none" w:sz="0" w:space="0" w:color="auto"/>
      </w:divBdr>
    </w:div>
    <w:div w:id="1510364883">
      <w:bodyDiv w:val="1"/>
      <w:marLeft w:val="0"/>
      <w:marRight w:val="0"/>
      <w:marTop w:val="0"/>
      <w:marBottom w:val="0"/>
      <w:divBdr>
        <w:top w:val="none" w:sz="0" w:space="0" w:color="auto"/>
        <w:left w:val="none" w:sz="0" w:space="0" w:color="auto"/>
        <w:bottom w:val="none" w:sz="0" w:space="0" w:color="auto"/>
        <w:right w:val="none" w:sz="0" w:space="0" w:color="auto"/>
      </w:divBdr>
    </w:div>
    <w:div w:id="1511607312">
      <w:bodyDiv w:val="1"/>
      <w:marLeft w:val="0"/>
      <w:marRight w:val="0"/>
      <w:marTop w:val="0"/>
      <w:marBottom w:val="0"/>
      <w:divBdr>
        <w:top w:val="none" w:sz="0" w:space="0" w:color="auto"/>
        <w:left w:val="none" w:sz="0" w:space="0" w:color="auto"/>
        <w:bottom w:val="none" w:sz="0" w:space="0" w:color="auto"/>
        <w:right w:val="none" w:sz="0" w:space="0" w:color="auto"/>
      </w:divBdr>
    </w:div>
    <w:div w:id="1511673550">
      <w:bodyDiv w:val="1"/>
      <w:marLeft w:val="0"/>
      <w:marRight w:val="0"/>
      <w:marTop w:val="0"/>
      <w:marBottom w:val="0"/>
      <w:divBdr>
        <w:top w:val="none" w:sz="0" w:space="0" w:color="auto"/>
        <w:left w:val="none" w:sz="0" w:space="0" w:color="auto"/>
        <w:bottom w:val="none" w:sz="0" w:space="0" w:color="auto"/>
        <w:right w:val="none" w:sz="0" w:space="0" w:color="auto"/>
      </w:divBdr>
    </w:div>
    <w:div w:id="1512143492">
      <w:bodyDiv w:val="1"/>
      <w:marLeft w:val="0"/>
      <w:marRight w:val="0"/>
      <w:marTop w:val="0"/>
      <w:marBottom w:val="0"/>
      <w:divBdr>
        <w:top w:val="none" w:sz="0" w:space="0" w:color="auto"/>
        <w:left w:val="none" w:sz="0" w:space="0" w:color="auto"/>
        <w:bottom w:val="none" w:sz="0" w:space="0" w:color="auto"/>
        <w:right w:val="none" w:sz="0" w:space="0" w:color="auto"/>
      </w:divBdr>
    </w:div>
    <w:div w:id="1513647088">
      <w:bodyDiv w:val="1"/>
      <w:marLeft w:val="0"/>
      <w:marRight w:val="0"/>
      <w:marTop w:val="0"/>
      <w:marBottom w:val="0"/>
      <w:divBdr>
        <w:top w:val="none" w:sz="0" w:space="0" w:color="auto"/>
        <w:left w:val="none" w:sz="0" w:space="0" w:color="auto"/>
        <w:bottom w:val="none" w:sz="0" w:space="0" w:color="auto"/>
        <w:right w:val="none" w:sz="0" w:space="0" w:color="auto"/>
      </w:divBdr>
    </w:div>
    <w:div w:id="1514224443">
      <w:bodyDiv w:val="1"/>
      <w:marLeft w:val="0"/>
      <w:marRight w:val="0"/>
      <w:marTop w:val="0"/>
      <w:marBottom w:val="0"/>
      <w:divBdr>
        <w:top w:val="none" w:sz="0" w:space="0" w:color="auto"/>
        <w:left w:val="none" w:sz="0" w:space="0" w:color="auto"/>
        <w:bottom w:val="none" w:sz="0" w:space="0" w:color="auto"/>
        <w:right w:val="none" w:sz="0" w:space="0" w:color="auto"/>
      </w:divBdr>
    </w:div>
    <w:div w:id="1526552631">
      <w:bodyDiv w:val="1"/>
      <w:marLeft w:val="0"/>
      <w:marRight w:val="0"/>
      <w:marTop w:val="0"/>
      <w:marBottom w:val="0"/>
      <w:divBdr>
        <w:top w:val="none" w:sz="0" w:space="0" w:color="auto"/>
        <w:left w:val="none" w:sz="0" w:space="0" w:color="auto"/>
        <w:bottom w:val="none" w:sz="0" w:space="0" w:color="auto"/>
        <w:right w:val="none" w:sz="0" w:space="0" w:color="auto"/>
      </w:divBdr>
    </w:div>
    <w:div w:id="1536891116">
      <w:bodyDiv w:val="1"/>
      <w:marLeft w:val="0"/>
      <w:marRight w:val="0"/>
      <w:marTop w:val="0"/>
      <w:marBottom w:val="0"/>
      <w:divBdr>
        <w:top w:val="none" w:sz="0" w:space="0" w:color="auto"/>
        <w:left w:val="none" w:sz="0" w:space="0" w:color="auto"/>
        <w:bottom w:val="none" w:sz="0" w:space="0" w:color="auto"/>
        <w:right w:val="none" w:sz="0" w:space="0" w:color="auto"/>
      </w:divBdr>
    </w:div>
    <w:div w:id="1537426929">
      <w:bodyDiv w:val="1"/>
      <w:marLeft w:val="0"/>
      <w:marRight w:val="0"/>
      <w:marTop w:val="0"/>
      <w:marBottom w:val="0"/>
      <w:divBdr>
        <w:top w:val="none" w:sz="0" w:space="0" w:color="auto"/>
        <w:left w:val="none" w:sz="0" w:space="0" w:color="auto"/>
        <w:bottom w:val="none" w:sz="0" w:space="0" w:color="auto"/>
        <w:right w:val="none" w:sz="0" w:space="0" w:color="auto"/>
      </w:divBdr>
    </w:div>
    <w:div w:id="1538472834">
      <w:bodyDiv w:val="1"/>
      <w:marLeft w:val="0"/>
      <w:marRight w:val="0"/>
      <w:marTop w:val="0"/>
      <w:marBottom w:val="0"/>
      <w:divBdr>
        <w:top w:val="none" w:sz="0" w:space="0" w:color="auto"/>
        <w:left w:val="none" w:sz="0" w:space="0" w:color="auto"/>
        <w:bottom w:val="none" w:sz="0" w:space="0" w:color="auto"/>
        <w:right w:val="none" w:sz="0" w:space="0" w:color="auto"/>
      </w:divBdr>
    </w:div>
    <w:div w:id="1540973107">
      <w:bodyDiv w:val="1"/>
      <w:marLeft w:val="0"/>
      <w:marRight w:val="0"/>
      <w:marTop w:val="0"/>
      <w:marBottom w:val="0"/>
      <w:divBdr>
        <w:top w:val="none" w:sz="0" w:space="0" w:color="auto"/>
        <w:left w:val="none" w:sz="0" w:space="0" w:color="auto"/>
        <w:bottom w:val="none" w:sz="0" w:space="0" w:color="auto"/>
        <w:right w:val="none" w:sz="0" w:space="0" w:color="auto"/>
      </w:divBdr>
    </w:div>
    <w:div w:id="1561208095">
      <w:bodyDiv w:val="1"/>
      <w:marLeft w:val="0"/>
      <w:marRight w:val="0"/>
      <w:marTop w:val="0"/>
      <w:marBottom w:val="0"/>
      <w:divBdr>
        <w:top w:val="none" w:sz="0" w:space="0" w:color="auto"/>
        <w:left w:val="none" w:sz="0" w:space="0" w:color="auto"/>
        <w:bottom w:val="none" w:sz="0" w:space="0" w:color="auto"/>
        <w:right w:val="none" w:sz="0" w:space="0" w:color="auto"/>
      </w:divBdr>
    </w:div>
    <w:div w:id="1579436876">
      <w:bodyDiv w:val="1"/>
      <w:marLeft w:val="0"/>
      <w:marRight w:val="0"/>
      <w:marTop w:val="0"/>
      <w:marBottom w:val="0"/>
      <w:divBdr>
        <w:top w:val="none" w:sz="0" w:space="0" w:color="auto"/>
        <w:left w:val="none" w:sz="0" w:space="0" w:color="auto"/>
        <w:bottom w:val="none" w:sz="0" w:space="0" w:color="auto"/>
        <w:right w:val="none" w:sz="0" w:space="0" w:color="auto"/>
      </w:divBdr>
    </w:div>
    <w:div w:id="1580824479">
      <w:bodyDiv w:val="1"/>
      <w:marLeft w:val="0"/>
      <w:marRight w:val="0"/>
      <w:marTop w:val="0"/>
      <w:marBottom w:val="0"/>
      <w:divBdr>
        <w:top w:val="none" w:sz="0" w:space="0" w:color="auto"/>
        <w:left w:val="none" w:sz="0" w:space="0" w:color="auto"/>
        <w:bottom w:val="none" w:sz="0" w:space="0" w:color="auto"/>
        <w:right w:val="none" w:sz="0" w:space="0" w:color="auto"/>
      </w:divBdr>
    </w:div>
    <w:div w:id="1581138828">
      <w:bodyDiv w:val="1"/>
      <w:marLeft w:val="0"/>
      <w:marRight w:val="0"/>
      <w:marTop w:val="0"/>
      <w:marBottom w:val="0"/>
      <w:divBdr>
        <w:top w:val="none" w:sz="0" w:space="0" w:color="auto"/>
        <w:left w:val="none" w:sz="0" w:space="0" w:color="auto"/>
        <w:bottom w:val="none" w:sz="0" w:space="0" w:color="auto"/>
        <w:right w:val="none" w:sz="0" w:space="0" w:color="auto"/>
      </w:divBdr>
    </w:div>
    <w:div w:id="1582594361">
      <w:bodyDiv w:val="1"/>
      <w:marLeft w:val="0"/>
      <w:marRight w:val="0"/>
      <w:marTop w:val="0"/>
      <w:marBottom w:val="0"/>
      <w:divBdr>
        <w:top w:val="none" w:sz="0" w:space="0" w:color="auto"/>
        <w:left w:val="none" w:sz="0" w:space="0" w:color="auto"/>
        <w:bottom w:val="none" w:sz="0" w:space="0" w:color="auto"/>
        <w:right w:val="none" w:sz="0" w:space="0" w:color="auto"/>
      </w:divBdr>
    </w:div>
    <w:div w:id="1583837479">
      <w:bodyDiv w:val="1"/>
      <w:marLeft w:val="0"/>
      <w:marRight w:val="0"/>
      <w:marTop w:val="0"/>
      <w:marBottom w:val="0"/>
      <w:divBdr>
        <w:top w:val="none" w:sz="0" w:space="0" w:color="auto"/>
        <w:left w:val="none" w:sz="0" w:space="0" w:color="auto"/>
        <w:bottom w:val="none" w:sz="0" w:space="0" w:color="auto"/>
        <w:right w:val="none" w:sz="0" w:space="0" w:color="auto"/>
      </w:divBdr>
    </w:div>
    <w:div w:id="1583876334">
      <w:bodyDiv w:val="1"/>
      <w:marLeft w:val="0"/>
      <w:marRight w:val="0"/>
      <w:marTop w:val="0"/>
      <w:marBottom w:val="0"/>
      <w:divBdr>
        <w:top w:val="none" w:sz="0" w:space="0" w:color="auto"/>
        <w:left w:val="none" w:sz="0" w:space="0" w:color="auto"/>
        <w:bottom w:val="none" w:sz="0" w:space="0" w:color="auto"/>
        <w:right w:val="none" w:sz="0" w:space="0" w:color="auto"/>
      </w:divBdr>
    </w:div>
    <w:div w:id="1591231367">
      <w:bodyDiv w:val="1"/>
      <w:marLeft w:val="0"/>
      <w:marRight w:val="0"/>
      <w:marTop w:val="0"/>
      <w:marBottom w:val="0"/>
      <w:divBdr>
        <w:top w:val="none" w:sz="0" w:space="0" w:color="auto"/>
        <w:left w:val="none" w:sz="0" w:space="0" w:color="auto"/>
        <w:bottom w:val="none" w:sz="0" w:space="0" w:color="auto"/>
        <w:right w:val="none" w:sz="0" w:space="0" w:color="auto"/>
      </w:divBdr>
    </w:div>
    <w:div w:id="1600258466">
      <w:bodyDiv w:val="1"/>
      <w:marLeft w:val="0"/>
      <w:marRight w:val="0"/>
      <w:marTop w:val="0"/>
      <w:marBottom w:val="0"/>
      <w:divBdr>
        <w:top w:val="none" w:sz="0" w:space="0" w:color="auto"/>
        <w:left w:val="none" w:sz="0" w:space="0" w:color="auto"/>
        <w:bottom w:val="none" w:sz="0" w:space="0" w:color="auto"/>
        <w:right w:val="none" w:sz="0" w:space="0" w:color="auto"/>
      </w:divBdr>
    </w:div>
    <w:div w:id="1607344625">
      <w:bodyDiv w:val="1"/>
      <w:marLeft w:val="0"/>
      <w:marRight w:val="0"/>
      <w:marTop w:val="0"/>
      <w:marBottom w:val="0"/>
      <w:divBdr>
        <w:top w:val="none" w:sz="0" w:space="0" w:color="auto"/>
        <w:left w:val="none" w:sz="0" w:space="0" w:color="auto"/>
        <w:bottom w:val="none" w:sz="0" w:space="0" w:color="auto"/>
        <w:right w:val="none" w:sz="0" w:space="0" w:color="auto"/>
      </w:divBdr>
    </w:div>
    <w:div w:id="1618021835">
      <w:bodyDiv w:val="1"/>
      <w:marLeft w:val="0"/>
      <w:marRight w:val="0"/>
      <w:marTop w:val="0"/>
      <w:marBottom w:val="0"/>
      <w:divBdr>
        <w:top w:val="none" w:sz="0" w:space="0" w:color="auto"/>
        <w:left w:val="none" w:sz="0" w:space="0" w:color="auto"/>
        <w:bottom w:val="none" w:sz="0" w:space="0" w:color="auto"/>
        <w:right w:val="none" w:sz="0" w:space="0" w:color="auto"/>
      </w:divBdr>
    </w:div>
    <w:div w:id="1618830183">
      <w:bodyDiv w:val="1"/>
      <w:marLeft w:val="0"/>
      <w:marRight w:val="0"/>
      <w:marTop w:val="0"/>
      <w:marBottom w:val="0"/>
      <w:divBdr>
        <w:top w:val="none" w:sz="0" w:space="0" w:color="auto"/>
        <w:left w:val="none" w:sz="0" w:space="0" w:color="auto"/>
        <w:bottom w:val="none" w:sz="0" w:space="0" w:color="auto"/>
        <w:right w:val="none" w:sz="0" w:space="0" w:color="auto"/>
      </w:divBdr>
    </w:div>
    <w:div w:id="1621065143">
      <w:bodyDiv w:val="1"/>
      <w:marLeft w:val="0"/>
      <w:marRight w:val="0"/>
      <w:marTop w:val="0"/>
      <w:marBottom w:val="0"/>
      <w:divBdr>
        <w:top w:val="none" w:sz="0" w:space="0" w:color="auto"/>
        <w:left w:val="none" w:sz="0" w:space="0" w:color="auto"/>
        <w:bottom w:val="none" w:sz="0" w:space="0" w:color="auto"/>
        <w:right w:val="none" w:sz="0" w:space="0" w:color="auto"/>
      </w:divBdr>
    </w:div>
    <w:div w:id="1625385764">
      <w:bodyDiv w:val="1"/>
      <w:marLeft w:val="0"/>
      <w:marRight w:val="0"/>
      <w:marTop w:val="0"/>
      <w:marBottom w:val="0"/>
      <w:divBdr>
        <w:top w:val="none" w:sz="0" w:space="0" w:color="auto"/>
        <w:left w:val="none" w:sz="0" w:space="0" w:color="auto"/>
        <w:bottom w:val="none" w:sz="0" w:space="0" w:color="auto"/>
        <w:right w:val="none" w:sz="0" w:space="0" w:color="auto"/>
      </w:divBdr>
    </w:div>
    <w:div w:id="1627276266">
      <w:bodyDiv w:val="1"/>
      <w:marLeft w:val="0"/>
      <w:marRight w:val="0"/>
      <w:marTop w:val="0"/>
      <w:marBottom w:val="0"/>
      <w:divBdr>
        <w:top w:val="none" w:sz="0" w:space="0" w:color="auto"/>
        <w:left w:val="none" w:sz="0" w:space="0" w:color="auto"/>
        <w:bottom w:val="none" w:sz="0" w:space="0" w:color="auto"/>
        <w:right w:val="none" w:sz="0" w:space="0" w:color="auto"/>
      </w:divBdr>
    </w:div>
    <w:div w:id="1636447227">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641379536">
      <w:bodyDiv w:val="1"/>
      <w:marLeft w:val="0"/>
      <w:marRight w:val="0"/>
      <w:marTop w:val="0"/>
      <w:marBottom w:val="0"/>
      <w:divBdr>
        <w:top w:val="none" w:sz="0" w:space="0" w:color="auto"/>
        <w:left w:val="none" w:sz="0" w:space="0" w:color="auto"/>
        <w:bottom w:val="none" w:sz="0" w:space="0" w:color="auto"/>
        <w:right w:val="none" w:sz="0" w:space="0" w:color="auto"/>
      </w:divBdr>
    </w:div>
    <w:div w:id="1644236662">
      <w:bodyDiv w:val="1"/>
      <w:marLeft w:val="0"/>
      <w:marRight w:val="0"/>
      <w:marTop w:val="0"/>
      <w:marBottom w:val="0"/>
      <w:divBdr>
        <w:top w:val="none" w:sz="0" w:space="0" w:color="auto"/>
        <w:left w:val="none" w:sz="0" w:space="0" w:color="auto"/>
        <w:bottom w:val="none" w:sz="0" w:space="0" w:color="auto"/>
        <w:right w:val="none" w:sz="0" w:space="0" w:color="auto"/>
      </w:divBdr>
    </w:div>
    <w:div w:id="1645886599">
      <w:bodyDiv w:val="1"/>
      <w:marLeft w:val="0"/>
      <w:marRight w:val="0"/>
      <w:marTop w:val="0"/>
      <w:marBottom w:val="0"/>
      <w:divBdr>
        <w:top w:val="none" w:sz="0" w:space="0" w:color="auto"/>
        <w:left w:val="none" w:sz="0" w:space="0" w:color="auto"/>
        <w:bottom w:val="none" w:sz="0" w:space="0" w:color="auto"/>
        <w:right w:val="none" w:sz="0" w:space="0" w:color="auto"/>
      </w:divBdr>
    </w:div>
    <w:div w:id="1648129002">
      <w:bodyDiv w:val="1"/>
      <w:marLeft w:val="0"/>
      <w:marRight w:val="0"/>
      <w:marTop w:val="0"/>
      <w:marBottom w:val="0"/>
      <w:divBdr>
        <w:top w:val="none" w:sz="0" w:space="0" w:color="auto"/>
        <w:left w:val="none" w:sz="0" w:space="0" w:color="auto"/>
        <w:bottom w:val="none" w:sz="0" w:space="0" w:color="auto"/>
        <w:right w:val="none" w:sz="0" w:space="0" w:color="auto"/>
      </w:divBdr>
    </w:div>
    <w:div w:id="1653220154">
      <w:bodyDiv w:val="1"/>
      <w:marLeft w:val="0"/>
      <w:marRight w:val="0"/>
      <w:marTop w:val="0"/>
      <w:marBottom w:val="0"/>
      <w:divBdr>
        <w:top w:val="none" w:sz="0" w:space="0" w:color="auto"/>
        <w:left w:val="none" w:sz="0" w:space="0" w:color="auto"/>
        <w:bottom w:val="none" w:sz="0" w:space="0" w:color="auto"/>
        <w:right w:val="none" w:sz="0" w:space="0" w:color="auto"/>
      </w:divBdr>
    </w:div>
    <w:div w:id="1656833970">
      <w:bodyDiv w:val="1"/>
      <w:marLeft w:val="0"/>
      <w:marRight w:val="0"/>
      <w:marTop w:val="0"/>
      <w:marBottom w:val="0"/>
      <w:divBdr>
        <w:top w:val="none" w:sz="0" w:space="0" w:color="auto"/>
        <w:left w:val="none" w:sz="0" w:space="0" w:color="auto"/>
        <w:bottom w:val="none" w:sz="0" w:space="0" w:color="auto"/>
        <w:right w:val="none" w:sz="0" w:space="0" w:color="auto"/>
      </w:divBdr>
    </w:div>
    <w:div w:id="1658916115">
      <w:bodyDiv w:val="1"/>
      <w:marLeft w:val="0"/>
      <w:marRight w:val="0"/>
      <w:marTop w:val="0"/>
      <w:marBottom w:val="0"/>
      <w:divBdr>
        <w:top w:val="none" w:sz="0" w:space="0" w:color="auto"/>
        <w:left w:val="none" w:sz="0" w:space="0" w:color="auto"/>
        <w:bottom w:val="none" w:sz="0" w:space="0" w:color="auto"/>
        <w:right w:val="none" w:sz="0" w:space="0" w:color="auto"/>
      </w:divBdr>
    </w:div>
    <w:div w:id="1662271722">
      <w:bodyDiv w:val="1"/>
      <w:marLeft w:val="0"/>
      <w:marRight w:val="0"/>
      <w:marTop w:val="0"/>
      <w:marBottom w:val="0"/>
      <w:divBdr>
        <w:top w:val="none" w:sz="0" w:space="0" w:color="auto"/>
        <w:left w:val="none" w:sz="0" w:space="0" w:color="auto"/>
        <w:bottom w:val="none" w:sz="0" w:space="0" w:color="auto"/>
        <w:right w:val="none" w:sz="0" w:space="0" w:color="auto"/>
      </w:divBdr>
    </w:div>
    <w:div w:id="1663462123">
      <w:bodyDiv w:val="1"/>
      <w:marLeft w:val="0"/>
      <w:marRight w:val="0"/>
      <w:marTop w:val="0"/>
      <w:marBottom w:val="0"/>
      <w:divBdr>
        <w:top w:val="none" w:sz="0" w:space="0" w:color="auto"/>
        <w:left w:val="none" w:sz="0" w:space="0" w:color="auto"/>
        <w:bottom w:val="none" w:sz="0" w:space="0" w:color="auto"/>
        <w:right w:val="none" w:sz="0" w:space="0" w:color="auto"/>
      </w:divBdr>
    </w:div>
    <w:div w:id="1679237100">
      <w:bodyDiv w:val="1"/>
      <w:marLeft w:val="0"/>
      <w:marRight w:val="0"/>
      <w:marTop w:val="0"/>
      <w:marBottom w:val="0"/>
      <w:divBdr>
        <w:top w:val="none" w:sz="0" w:space="0" w:color="auto"/>
        <w:left w:val="none" w:sz="0" w:space="0" w:color="auto"/>
        <w:bottom w:val="none" w:sz="0" w:space="0" w:color="auto"/>
        <w:right w:val="none" w:sz="0" w:space="0" w:color="auto"/>
      </w:divBdr>
    </w:div>
    <w:div w:id="1686982040">
      <w:bodyDiv w:val="1"/>
      <w:marLeft w:val="0"/>
      <w:marRight w:val="0"/>
      <w:marTop w:val="0"/>
      <w:marBottom w:val="0"/>
      <w:divBdr>
        <w:top w:val="none" w:sz="0" w:space="0" w:color="auto"/>
        <w:left w:val="none" w:sz="0" w:space="0" w:color="auto"/>
        <w:bottom w:val="none" w:sz="0" w:space="0" w:color="auto"/>
        <w:right w:val="none" w:sz="0" w:space="0" w:color="auto"/>
      </w:divBdr>
    </w:div>
    <w:div w:id="1694916577">
      <w:bodyDiv w:val="1"/>
      <w:marLeft w:val="0"/>
      <w:marRight w:val="0"/>
      <w:marTop w:val="0"/>
      <w:marBottom w:val="0"/>
      <w:divBdr>
        <w:top w:val="none" w:sz="0" w:space="0" w:color="auto"/>
        <w:left w:val="none" w:sz="0" w:space="0" w:color="auto"/>
        <w:bottom w:val="none" w:sz="0" w:space="0" w:color="auto"/>
        <w:right w:val="none" w:sz="0" w:space="0" w:color="auto"/>
      </w:divBdr>
    </w:div>
    <w:div w:id="1695644951">
      <w:bodyDiv w:val="1"/>
      <w:marLeft w:val="0"/>
      <w:marRight w:val="0"/>
      <w:marTop w:val="0"/>
      <w:marBottom w:val="0"/>
      <w:divBdr>
        <w:top w:val="none" w:sz="0" w:space="0" w:color="auto"/>
        <w:left w:val="none" w:sz="0" w:space="0" w:color="auto"/>
        <w:bottom w:val="none" w:sz="0" w:space="0" w:color="auto"/>
        <w:right w:val="none" w:sz="0" w:space="0" w:color="auto"/>
      </w:divBdr>
    </w:div>
    <w:div w:id="1697271708">
      <w:bodyDiv w:val="1"/>
      <w:marLeft w:val="0"/>
      <w:marRight w:val="0"/>
      <w:marTop w:val="0"/>
      <w:marBottom w:val="0"/>
      <w:divBdr>
        <w:top w:val="none" w:sz="0" w:space="0" w:color="auto"/>
        <w:left w:val="none" w:sz="0" w:space="0" w:color="auto"/>
        <w:bottom w:val="none" w:sz="0" w:space="0" w:color="auto"/>
        <w:right w:val="none" w:sz="0" w:space="0" w:color="auto"/>
      </w:divBdr>
    </w:div>
    <w:div w:id="1698384676">
      <w:bodyDiv w:val="1"/>
      <w:marLeft w:val="0"/>
      <w:marRight w:val="0"/>
      <w:marTop w:val="0"/>
      <w:marBottom w:val="0"/>
      <w:divBdr>
        <w:top w:val="none" w:sz="0" w:space="0" w:color="auto"/>
        <w:left w:val="none" w:sz="0" w:space="0" w:color="auto"/>
        <w:bottom w:val="none" w:sz="0" w:space="0" w:color="auto"/>
        <w:right w:val="none" w:sz="0" w:space="0" w:color="auto"/>
      </w:divBdr>
    </w:div>
    <w:div w:id="1698850068">
      <w:bodyDiv w:val="1"/>
      <w:marLeft w:val="0"/>
      <w:marRight w:val="0"/>
      <w:marTop w:val="0"/>
      <w:marBottom w:val="0"/>
      <w:divBdr>
        <w:top w:val="none" w:sz="0" w:space="0" w:color="auto"/>
        <w:left w:val="none" w:sz="0" w:space="0" w:color="auto"/>
        <w:bottom w:val="none" w:sz="0" w:space="0" w:color="auto"/>
        <w:right w:val="none" w:sz="0" w:space="0" w:color="auto"/>
      </w:divBdr>
    </w:div>
    <w:div w:id="1700659567">
      <w:bodyDiv w:val="1"/>
      <w:marLeft w:val="0"/>
      <w:marRight w:val="0"/>
      <w:marTop w:val="0"/>
      <w:marBottom w:val="0"/>
      <w:divBdr>
        <w:top w:val="none" w:sz="0" w:space="0" w:color="auto"/>
        <w:left w:val="none" w:sz="0" w:space="0" w:color="auto"/>
        <w:bottom w:val="none" w:sz="0" w:space="0" w:color="auto"/>
        <w:right w:val="none" w:sz="0" w:space="0" w:color="auto"/>
      </w:divBdr>
    </w:div>
    <w:div w:id="1701856114">
      <w:bodyDiv w:val="1"/>
      <w:marLeft w:val="0"/>
      <w:marRight w:val="0"/>
      <w:marTop w:val="0"/>
      <w:marBottom w:val="0"/>
      <w:divBdr>
        <w:top w:val="none" w:sz="0" w:space="0" w:color="auto"/>
        <w:left w:val="none" w:sz="0" w:space="0" w:color="auto"/>
        <w:bottom w:val="none" w:sz="0" w:space="0" w:color="auto"/>
        <w:right w:val="none" w:sz="0" w:space="0" w:color="auto"/>
      </w:divBdr>
    </w:div>
    <w:div w:id="1704943595">
      <w:bodyDiv w:val="1"/>
      <w:marLeft w:val="0"/>
      <w:marRight w:val="0"/>
      <w:marTop w:val="0"/>
      <w:marBottom w:val="0"/>
      <w:divBdr>
        <w:top w:val="none" w:sz="0" w:space="0" w:color="auto"/>
        <w:left w:val="none" w:sz="0" w:space="0" w:color="auto"/>
        <w:bottom w:val="none" w:sz="0" w:space="0" w:color="auto"/>
        <w:right w:val="none" w:sz="0" w:space="0" w:color="auto"/>
      </w:divBdr>
    </w:div>
    <w:div w:id="1709917483">
      <w:bodyDiv w:val="1"/>
      <w:marLeft w:val="0"/>
      <w:marRight w:val="0"/>
      <w:marTop w:val="0"/>
      <w:marBottom w:val="0"/>
      <w:divBdr>
        <w:top w:val="none" w:sz="0" w:space="0" w:color="auto"/>
        <w:left w:val="none" w:sz="0" w:space="0" w:color="auto"/>
        <w:bottom w:val="none" w:sz="0" w:space="0" w:color="auto"/>
        <w:right w:val="none" w:sz="0" w:space="0" w:color="auto"/>
      </w:divBdr>
    </w:div>
    <w:div w:id="1711881708">
      <w:bodyDiv w:val="1"/>
      <w:marLeft w:val="0"/>
      <w:marRight w:val="0"/>
      <w:marTop w:val="0"/>
      <w:marBottom w:val="0"/>
      <w:divBdr>
        <w:top w:val="none" w:sz="0" w:space="0" w:color="auto"/>
        <w:left w:val="none" w:sz="0" w:space="0" w:color="auto"/>
        <w:bottom w:val="none" w:sz="0" w:space="0" w:color="auto"/>
        <w:right w:val="none" w:sz="0" w:space="0" w:color="auto"/>
      </w:divBdr>
    </w:div>
    <w:div w:id="1716078312">
      <w:bodyDiv w:val="1"/>
      <w:marLeft w:val="0"/>
      <w:marRight w:val="0"/>
      <w:marTop w:val="0"/>
      <w:marBottom w:val="0"/>
      <w:divBdr>
        <w:top w:val="none" w:sz="0" w:space="0" w:color="auto"/>
        <w:left w:val="none" w:sz="0" w:space="0" w:color="auto"/>
        <w:bottom w:val="none" w:sz="0" w:space="0" w:color="auto"/>
        <w:right w:val="none" w:sz="0" w:space="0" w:color="auto"/>
      </w:divBdr>
    </w:div>
    <w:div w:id="1716613265">
      <w:bodyDiv w:val="1"/>
      <w:marLeft w:val="0"/>
      <w:marRight w:val="0"/>
      <w:marTop w:val="0"/>
      <w:marBottom w:val="0"/>
      <w:divBdr>
        <w:top w:val="none" w:sz="0" w:space="0" w:color="auto"/>
        <w:left w:val="none" w:sz="0" w:space="0" w:color="auto"/>
        <w:bottom w:val="none" w:sz="0" w:space="0" w:color="auto"/>
        <w:right w:val="none" w:sz="0" w:space="0" w:color="auto"/>
      </w:divBdr>
    </w:div>
    <w:div w:id="1717466304">
      <w:bodyDiv w:val="1"/>
      <w:marLeft w:val="0"/>
      <w:marRight w:val="0"/>
      <w:marTop w:val="0"/>
      <w:marBottom w:val="0"/>
      <w:divBdr>
        <w:top w:val="none" w:sz="0" w:space="0" w:color="auto"/>
        <w:left w:val="none" w:sz="0" w:space="0" w:color="auto"/>
        <w:bottom w:val="none" w:sz="0" w:space="0" w:color="auto"/>
        <w:right w:val="none" w:sz="0" w:space="0" w:color="auto"/>
      </w:divBdr>
    </w:div>
    <w:div w:id="1718310576">
      <w:bodyDiv w:val="1"/>
      <w:marLeft w:val="0"/>
      <w:marRight w:val="0"/>
      <w:marTop w:val="0"/>
      <w:marBottom w:val="0"/>
      <w:divBdr>
        <w:top w:val="none" w:sz="0" w:space="0" w:color="auto"/>
        <w:left w:val="none" w:sz="0" w:space="0" w:color="auto"/>
        <w:bottom w:val="none" w:sz="0" w:space="0" w:color="auto"/>
        <w:right w:val="none" w:sz="0" w:space="0" w:color="auto"/>
      </w:divBdr>
    </w:div>
    <w:div w:id="1719015617">
      <w:bodyDiv w:val="1"/>
      <w:marLeft w:val="0"/>
      <w:marRight w:val="0"/>
      <w:marTop w:val="0"/>
      <w:marBottom w:val="0"/>
      <w:divBdr>
        <w:top w:val="none" w:sz="0" w:space="0" w:color="auto"/>
        <w:left w:val="none" w:sz="0" w:space="0" w:color="auto"/>
        <w:bottom w:val="none" w:sz="0" w:space="0" w:color="auto"/>
        <w:right w:val="none" w:sz="0" w:space="0" w:color="auto"/>
      </w:divBdr>
    </w:div>
    <w:div w:id="1719625449">
      <w:bodyDiv w:val="1"/>
      <w:marLeft w:val="0"/>
      <w:marRight w:val="0"/>
      <w:marTop w:val="0"/>
      <w:marBottom w:val="0"/>
      <w:divBdr>
        <w:top w:val="none" w:sz="0" w:space="0" w:color="auto"/>
        <w:left w:val="none" w:sz="0" w:space="0" w:color="auto"/>
        <w:bottom w:val="none" w:sz="0" w:space="0" w:color="auto"/>
        <w:right w:val="none" w:sz="0" w:space="0" w:color="auto"/>
      </w:divBdr>
    </w:div>
    <w:div w:id="1720590099">
      <w:bodyDiv w:val="1"/>
      <w:marLeft w:val="0"/>
      <w:marRight w:val="0"/>
      <w:marTop w:val="0"/>
      <w:marBottom w:val="0"/>
      <w:divBdr>
        <w:top w:val="none" w:sz="0" w:space="0" w:color="auto"/>
        <w:left w:val="none" w:sz="0" w:space="0" w:color="auto"/>
        <w:bottom w:val="none" w:sz="0" w:space="0" w:color="auto"/>
        <w:right w:val="none" w:sz="0" w:space="0" w:color="auto"/>
      </w:divBdr>
    </w:div>
    <w:div w:id="1723166315">
      <w:bodyDiv w:val="1"/>
      <w:marLeft w:val="0"/>
      <w:marRight w:val="0"/>
      <w:marTop w:val="0"/>
      <w:marBottom w:val="0"/>
      <w:divBdr>
        <w:top w:val="none" w:sz="0" w:space="0" w:color="auto"/>
        <w:left w:val="none" w:sz="0" w:space="0" w:color="auto"/>
        <w:bottom w:val="none" w:sz="0" w:space="0" w:color="auto"/>
        <w:right w:val="none" w:sz="0" w:space="0" w:color="auto"/>
      </w:divBdr>
    </w:div>
    <w:div w:id="1727214144">
      <w:bodyDiv w:val="1"/>
      <w:marLeft w:val="0"/>
      <w:marRight w:val="0"/>
      <w:marTop w:val="0"/>
      <w:marBottom w:val="0"/>
      <w:divBdr>
        <w:top w:val="none" w:sz="0" w:space="0" w:color="auto"/>
        <w:left w:val="none" w:sz="0" w:space="0" w:color="auto"/>
        <w:bottom w:val="none" w:sz="0" w:space="0" w:color="auto"/>
        <w:right w:val="none" w:sz="0" w:space="0" w:color="auto"/>
      </w:divBdr>
    </w:div>
    <w:div w:id="1732121268">
      <w:bodyDiv w:val="1"/>
      <w:marLeft w:val="0"/>
      <w:marRight w:val="0"/>
      <w:marTop w:val="0"/>
      <w:marBottom w:val="0"/>
      <w:divBdr>
        <w:top w:val="none" w:sz="0" w:space="0" w:color="auto"/>
        <w:left w:val="none" w:sz="0" w:space="0" w:color="auto"/>
        <w:bottom w:val="none" w:sz="0" w:space="0" w:color="auto"/>
        <w:right w:val="none" w:sz="0" w:space="0" w:color="auto"/>
      </w:divBdr>
    </w:div>
    <w:div w:id="1733649016">
      <w:bodyDiv w:val="1"/>
      <w:marLeft w:val="0"/>
      <w:marRight w:val="0"/>
      <w:marTop w:val="0"/>
      <w:marBottom w:val="0"/>
      <w:divBdr>
        <w:top w:val="none" w:sz="0" w:space="0" w:color="auto"/>
        <w:left w:val="none" w:sz="0" w:space="0" w:color="auto"/>
        <w:bottom w:val="none" w:sz="0" w:space="0" w:color="auto"/>
        <w:right w:val="none" w:sz="0" w:space="0" w:color="auto"/>
      </w:divBdr>
    </w:div>
    <w:div w:id="1734504644">
      <w:bodyDiv w:val="1"/>
      <w:marLeft w:val="0"/>
      <w:marRight w:val="0"/>
      <w:marTop w:val="0"/>
      <w:marBottom w:val="0"/>
      <w:divBdr>
        <w:top w:val="none" w:sz="0" w:space="0" w:color="auto"/>
        <w:left w:val="none" w:sz="0" w:space="0" w:color="auto"/>
        <w:bottom w:val="none" w:sz="0" w:space="0" w:color="auto"/>
        <w:right w:val="none" w:sz="0" w:space="0" w:color="auto"/>
      </w:divBdr>
    </w:div>
    <w:div w:id="1741714053">
      <w:bodyDiv w:val="1"/>
      <w:marLeft w:val="0"/>
      <w:marRight w:val="0"/>
      <w:marTop w:val="0"/>
      <w:marBottom w:val="0"/>
      <w:divBdr>
        <w:top w:val="none" w:sz="0" w:space="0" w:color="auto"/>
        <w:left w:val="none" w:sz="0" w:space="0" w:color="auto"/>
        <w:bottom w:val="none" w:sz="0" w:space="0" w:color="auto"/>
        <w:right w:val="none" w:sz="0" w:space="0" w:color="auto"/>
      </w:divBdr>
    </w:div>
    <w:div w:id="1742016741">
      <w:bodyDiv w:val="1"/>
      <w:marLeft w:val="0"/>
      <w:marRight w:val="0"/>
      <w:marTop w:val="0"/>
      <w:marBottom w:val="0"/>
      <w:divBdr>
        <w:top w:val="none" w:sz="0" w:space="0" w:color="auto"/>
        <w:left w:val="none" w:sz="0" w:space="0" w:color="auto"/>
        <w:bottom w:val="none" w:sz="0" w:space="0" w:color="auto"/>
        <w:right w:val="none" w:sz="0" w:space="0" w:color="auto"/>
      </w:divBdr>
    </w:div>
    <w:div w:id="1754429541">
      <w:bodyDiv w:val="1"/>
      <w:marLeft w:val="0"/>
      <w:marRight w:val="0"/>
      <w:marTop w:val="0"/>
      <w:marBottom w:val="0"/>
      <w:divBdr>
        <w:top w:val="none" w:sz="0" w:space="0" w:color="auto"/>
        <w:left w:val="none" w:sz="0" w:space="0" w:color="auto"/>
        <w:bottom w:val="none" w:sz="0" w:space="0" w:color="auto"/>
        <w:right w:val="none" w:sz="0" w:space="0" w:color="auto"/>
      </w:divBdr>
    </w:div>
    <w:div w:id="1754626581">
      <w:bodyDiv w:val="1"/>
      <w:marLeft w:val="0"/>
      <w:marRight w:val="0"/>
      <w:marTop w:val="0"/>
      <w:marBottom w:val="0"/>
      <w:divBdr>
        <w:top w:val="none" w:sz="0" w:space="0" w:color="auto"/>
        <w:left w:val="none" w:sz="0" w:space="0" w:color="auto"/>
        <w:bottom w:val="none" w:sz="0" w:space="0" w:color="auto"/>
        <w:right w:val="none" w:sz="0" w:space="0" w:color="auto"/>
      </w:divBdr>
    </w:div>
    <w:div w:id="1755858611">
      <w:bodyDiv w:val="1"/>
      <w:marLeft w:val="0"/>
      <w:marRight w:val="0"/>
      <w:marTop w:val="0"/>
      <w:marBottom w:val="0"/>
      <w:divBdr>
        <w:top w:val="none" w:sz="0" w:space="0" w:color="auto"/>
        <w:left w:val="none" w:sz="0" w:space="0" w:color="auto"/>
        <w:bottom w:val="none" w:sz="0" w:space="0" w:color="auto"/>
        <w:right w:val="none" w:sz="0" w:space="0" w:color="auto"/>
      </w:divBdr>
    </w:div>
    <w:div w:id="1756853800">
      <w:bodyDiv w:val="1"/>
      <w:marLeft w:val="0"/>
      <w:marRight w:val="0"/>
      <w:marTop w:val="0"/>
      <w:marBottom w:val="0"/>
      <w:divBdr>
        <w:top w:val="none" w:sz="0" w:space="0" w:color="auto"/>
        <w:left w:val="none" w:sz="0" w:space="0" w:color="auto"/>
        <w:bottom w:val="none" w:sz="0" w:space="0" w:color="auto"/>
        <w:right w:val="none" w:sz="0" w:space="0" w:color="auto"/>
      </w:divBdr>
    </w:div>
    <w:div w:id="1762218617">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344487">
      <w:bodyDiv w:val="1"/>
      <w:marLeft w:val="0"/>
      <w:marRight w:val="0"/>
      <w:marTop w:val="0"/>
      <w:marBottom w:val="0"/>
      <w:divBdr>
        <w:top w:val="none" w:sz="0" w:space="0" w:color="auto"/>
        <w:left w:val="none" w:sz="0" w:space="0" w:color="auto"/>
        <w:bottom w:val="none" w:sz="0" w:space="0" w:color="auto"/>
        <w:right w:val="none" w:sz="0" w:space="0" w:color="auto"/>
      </w:divBdr>
    </w:div>
    <w:div w:id="1775512531">
      <w:bodyDiv w:val="1"/>
      <w:marLeft w:val="0"/>
      <w:marRight w:val="0"/>
      <w:marTop w:val="0"/>
      <w:marBottom w:val="0"/>
      <w:divBdr>
        <w:top w:val="none" w:sz="0" w:space="0" w:color="auto"/>
        <w:left w:val="none" w:sz="0" w:space="0" w:color="auto"/>
        <w:bottom w:val="none" w:sz="0" w:space="0" w:color="auto"/>
        <w:right w:val="none" w:sz="0" w:space="0" w:color="auto"/>
      </w:divBdr>
    </w:div>
    <w:div w:id="1776751359">
      <w:bodyDiv w:val="1"/>
      <w:marLeft w:val="0"/>
      <w:marRight w:val="0"/>
      <w:marTop w:val="0"/>
      <w:marBottom w:val="0"/>
      <w:divBdr>
        <w:top w:val="none" w:sz="0" w:space="0" w:color="auto"/>
        <w:left w:val="none" w:sz="0" w:space="0" w:color="auto"/>
        <w:bottom w:val="none" w:sz="0" w:space="0" w:color="auto"/>
        <w:right w:val="none" w:sz="0" w:space="0" w:color="auto"/>
      </w:divBdr>
    </w:div>
    <w:div w:id="1783377632">
      <w:bodyDiv w:val="1"/>
      <w:marLeft w:val="0"/>
      <w:marRight w:val="0"/>
      <w:marTop w:val="0"/>
      <w:marBottom w:val="0"/>
      <w:divBdr>
        <w:top w:val="none" w:sz="0" w:space="0" w:color="auto"/>
        <w:left w:val="none" w:sz="0" w:space="0" w:color="auto"/>
        <w:bottom w:val="none" w:sz="0" w:space="0" w:color="auto"/>
        <w:right w:val="none" w:sz="0" w:space="0" w:color="auto"/>
      </w:divBdr>
    </w:div>
    <w:div w:id="1784156160">
      <w:bodyDiv w:val="1"/>
      <w:marLeft w:val="0"/>
      <w:marRight w:val="0"/>
      <w:marTop w:val="0"/>
      <w:marBottom w:val="0"/>
      <w:divBdr>
        <w:top w:val="none" w:sz="0" w:space="0" w:color="auto"/>
        <w:left w:val="none" w:sz="0" w:space="0" w:color="auto"/>
        <w:bottom w:val="none" w:sz="0" w:space="0" w:color="auto"/>
        <w:right w:val="none" w:sz="0" w:space="0" w:color="auto"/>
      </w:divBdr>
    </w:div>
    <w:div w:id="1787774923">
      <w:bodyDiv w:val="1"/>
      <w:marLeft w:val="0"/>
      <w:marRight w:val="0"/>
      <w:marTop w:val="0"/>
      <w:marBottom w:val="0"/>
      <w:divBdr>
        <w:top w:val="none" w:sz="0" w:space="0" w:color="auto"/>
        <w:left w:val="none" w:sz="0" w:space="0" w:color="auto"/>
        <w:bottom w:val="none" w:sz="0" w:space="0" w:color="auto"/>
        <w:right w:val="none" w:sz="0" w:space="0" w:color="auto"/>
      </w:divBdr>
    </w:div>
    <w:div w:id="1790852175">
      <w:bodyDiv w:val="1"/>
      <w:marLeft w:val="0"/>
      <w:marRight w:val="0"/>
      <w:marTop w:val="0"/>
      <w:marBottom w:val="0"/>
      <w:divBdr>
        <w:top w:val="none" w:sz="0" w:space="0" w:color="auto"/>
        <w:left w:val="none" w:sz="0" w:space="0" w:color="auto"/>
        <w:bottom w:val="none" w:sz="0" w:space="0" w:color="auto"/>
        <w:right w:val="none" w:sz="0" w:space="0" w:color="auto"/>
      </w:divBdr>
    </w:div>
    <w:div w:id="1793594026">
      <w:bodyDiv w:val="1"/>
      <w:marLeft w:val="0"/>
      <w:marRight w:val="0"/>
      <w:marTop w:val="0"/>
      <w:marBottom w:val="0"/>
      <w:divBdr>
        <w:top w:val="none" w:sz="0" w:space="0" w:color="auto"/>
        <w:left w:val="none" w:sz="0" w:space="0" w:color="auto"/>
        <w:bottom w:val="none" w:sz="0" w:space="0" w:color="auto"/>
        <w:right w:val="none" w:sz="0" w:space="0" w:color="auto"/>
      </w:divBdr>
    </w:div>
    <w:div w:id="1798454217">
      <w:bodyDiv w:val="1"/>
      <w:marLeft w:val="0"/>
      <w:marRight w:val="0"/>
      <w:marTop w:val="0"/>
      <w:marBottom w:val="0"/>
      <w:divBdr>
        <w:top w:val="none" w:sz="0" w:space="0" w:color="auto"/>
        <w:left w:val="none" w:sz="0" w:space="0" w:color="auto"/>
        <w:bottom w:val="none" w:sz="0" w:space="0" w:color="auto"/>
        <w:right w:val="none" w:sz="0" w:space="0" w:color="auto"/>
      </w:divBdr>
    </w:div>
    <w:div w:id="1807703703">
      <w:bodyDiv w:val="1"/>
      <w:marLeft w:val="0"/>
      <w:marRight w:val="0"/>
      <w:marTop w:val="0"/>
      <w:marBottom w:val="0"/>
      <w:divBdr>
        <w:top w:val="none" w:sz="0" w:space="0" w:color="auto"/>
        <w:left w:val="none" w:sz="0" w:space="0" w:color="auto"/>
        <w:bottom w:val="none" w:sz="0" w:space="0" w:color="auto"/>
        <w:right w:val="none" w:sz="0" w:space="0" w:color="auto"/>
      </w:divBdr>
    </w:div>
    <w:div w:id="1808547145">
      <w:bodyDiv w:val="1"/>
      <w:marLeft w:val="0"/>
      <w:marRight w:val="0"/>
      <w:marTop w:val="0"/>
      <w:marBottom w:val="0"/>
      <w:divBdr>
        <w:top w:val="none" w:sz="0" w:space="0" w:color="auto"/>
        <w:left w:val="none" w:sz="0" w:space="0" w:color="auto"/>
        <w:bottom w:val="none" w:sz="0" w:space="0" w:color="auto"/>
        <w:right w:val="none" w:sz="0" w:space="0" w:color="auto"/>
      </w:divBdr>
    </w:div>
    <w:div w:id="1813015204">
      <w:bodyDiv w:val="1"/>
      <w:marLeft w:val="0"/>
      <w:marRight w:val="0"/>
      <w:marTop w:val="0"/>
      <w:marBottom w:val="0"/>
      <w:divBdr>
        <w:top w:val="none" w:sz="0" w:space="0" w:color="auto"/>
        <w:left w:val="none" w:sz="0" w:space="0" w:color="auto"/>
        <w:bottom w:val="none" w:sz="0" w:space="0" w:color="auto"/>
        <w:right w:val="none" w:sz="0" w:space="0" w:color="auto"/>
      </w:divBdr>
    </w:div>
    <w:div w:id="1814323638">
      <w:bodyDiv w:val="1"/>
      <w:marLeft w:val="0"/>
      <w:marRight w:val="0"/>
      <w:marTop w:val="0"/>
      <w:marBottom w:val="0"/>
      <w:divBdr>
        <w:top w:val="none" w:sz="0" w:space="0" w:color="auto"/>
        <w:left w:val="none" w:sz="0" w:space="0" w:color="auto"/>
        <w:bottom w:val="none" w:sz="0" w:space="0" w:color="auto"/>
        <w:right w:val="none" w:sz="0" w:space="0" w:color="auto"/>
      </w:divBdr>
    </w:div>
    <w:div w:id="1823036247">
      <w:bodyDiv w:val="1"/>
      <w:marLeft w:val="0"/>
      <w:marRight w:val="0"/>
      <w:marTop w:val="0"/>
      <w:marBottom w:val="0"/>
      <w:divBdr>
        <w:top w:val="none" w:sz="0" w:space="0" w:color="auto"/>
        <w:left w:val="none" w:sz="0" w:space="0" w:color="auto"/>
        <w:bottom w:val="none" w:sz="0" w:space="0" w:color="auto"/>
        <w:right w:val="none" w:sz="0" w:space="0" w:color="auto"/>
      </w:divBdr>
    </w:div>
    <w:div w:id="1824658894">
      <w:bodyDiv w:val="1"/>
      <w:marLeft w:val="0"/>
      <w:marRight w:val="0"/>
      <w:marTop w:val="0"/>
      <w:marBottom w:val="0"/>
      <w:divBdr>
        <w:top w:val="none" w:sz="0" w:space="0" w:color="auto"/>
        <w:left w:val="none" w:sz="0" w:space="0" w:color="auto"/>
        <w:bottom w:val="none" w:sz="0" w:space="0" w:color="auto"/>
        <w:right w:val="none" w:sz="0" w:space="0" w:color="auto"/>
      </w:divBdr>
    </w:div>
    <w:div w:id="1832208827">
      <w:bodyDiv w:val="1"/>
      <w:marLeft w:val="0"/>
      <w:marRight w:val="0"/>
      <w:marTop w:val="0"/>
      <w:marBottom w:val="0"/>
      <w:divBdr>
        <w:top w:val="none" w:sz="0" w:space="0" w:color="auto"/>
        <w:left w:val="none" w:sz="0" w:space="0" w:color="auto"/>
        <w:bottom w:val="none" w:sz="0" w:space="0" w:color="auto"/>
        <w:right w:val="none" w:sz="0" w:space="0" w:color="auto"/>
      </w:divBdr>
    </w:div>
    <w:div w:id="1843935295">
      <w:bodyDiv w:val="1"/>
      <w:marLeft w:val="0"/>
      <w:marRight w:val="0"/>
      <w:marTop w:val="0"/>
      <w:marBottom w:val="0"/>
      <w:divBdr>
        <w:top w:val="none" w:sz="0" w:space="0" w:color="auto"/>
        <w:left w:val="none" w:sz="0" w:space="0" w:color="auto"/>
        <w:bottom w:val="none" w:sz="0" w:space="0" w:color="auto"/>
        <w:right w:val="none" w:sz="0" w:space="0" w:color="auto"/>
      </w:divBdr>
    </w:div>
    <w:div w:id="1846675981">
      <w:bodyDiv w:val="1"/>
      <w:marLeft w:val="0"/>
      <w:marRight w:val="0"/>
      <w:marTop w:val="0"/>
      <w:marBottom w:val="0"/>
      <w:divBdr>
        <w:top w:val="none" w:sz="0" w:space="0" w:color="auto"/>
        <w:left w:val="none" w:sz="0" w:space="0" w:color="auto"/>
        <w:bottom w:val="none" w:sz="0" w:space="0" w:color="auto"/>
        <w:right w:val="none" w:sz="0" w:space="0" w:color="auto"/>
      </w:divBdr>
    </w:div>
    <w:div w:id="1857302413">
      <w:bodyDiv w:val="1"/>
      <w:marLeft w:val="0"/>
      <w:marRight w:val="0"/>
      <w:marTop w:val="0"/>
      <w:marBottom w:val="0"/>
      <w:divBdr>
        <w:top w:val="none" w:sz="0" w:space="0" w:color="auto"/>
        <w:left w:val="none" w:sz="0" w:space="0" w:color="auto"/>
        <w:bottom w:val="none" w:sz="0" w:space="0" w:color="auto"/>
        <w:right w:val="none" w:sz="0" w:space="0" w:color="auto"/>
      </w:divBdr>
    </w:div>
    <w:div w:id="1860074540">
      <w:bodyDiv w:val="1"/>
      <w:marLeft w:val="0"/>
      <w:marRight w:val="0"/>
      <w:marTop w:val="0"/>
      <w:marBottom w:val="0"/>
      <w:divBdr>
        <w:top w:val="none" w:sz="0" w:space="0" w:color="auto"/>
        <w:left w:val="none" w:sz="0" w:space="0" w:color="auto"/>
        <w:bottom w:val="none" w:sz="0" w:space="0" w:color="auto"/>
        <w:right w:val="none" w:sz="0" w:space="0" w:color="auto"/>
      </w:divBdr>
    </w:div>
    <w:div w:id="1865970867">
      <w:bodyDiv w:val="1"/>
      <w:marLeft w:val="0"/>
      <w:marRight w:val="0"/>
      <w:marTop w:val="0"/>
      <w:marBottom w:val="0"/>
      <w:divBdr>
        <w:top w:val="none" w:sz="0" w:space="0" w:color="auto"/>
        <w:left w:val="none" w:sz="0" w:space="0" w:color="auto"/>
        <w:bottom w:val="none" w:sz="0" w:space="0" w:color="auto"/>
        <w:right w:val="none" w:sz="0" w:space="0" w:color="auto"/>
      </w:divBdr>
    </w:div>
    <w:div w:id="1871910708">
      <w:bodyDiv w:val="1"/>
      <w:marLeft w:val="0"/>
      <w:marRight w:val="0"/>
      <w:marTop w:val="0"/>
      <w:marBottom w:val="0"/>
      <w:divBdr>
        <w:top w:val="none" w:sz="0" w:space="0" w:color="auto"/>
        <w:left w:val="none" w:sz="0" w:space="0" w:color="auto"/>
        <w:bottom w:val="none" w:sz="0" w:space="0" w:color="auto"/>
        <w:right w:val="none" w:sz="0" w:space="0" w:color="auto"/>
      </w:divBdr>
    </w:div>
    <w:div w:id="1875460829">
      <w:bodyDiv w:val="1"/>
      <w:marLeft w:val="0"/>
      <w:marRight w:val="0"/>
      <w:marTop w:val="0"/>
      <w:marBottom w:val="0"/>
      <w:divBdr>
        <w:top w:val="none" w:sz="0" w:space="0" w:color="auto"/>
        <w:left w:val="none" w:sz="0" w:space="0" w:color="auto"/>
        <w:bottom w:val="none" w:sz="0" w:space="0" w:color="auto"/>
        <w:right w:val="none" w:sz="0" w:space="0" w:color="auto"/>
      </w:divBdr>
    </w:div>
    <w:div w:id="1878421810">
      <w:bodyDiv w:val="1"/>
      <w:marLeft w:val="0"/>
      <w:marRight w:val="0"/>
      <w:marTop w:val="0"/>
      <w:marBottom w:val="0"/>
      <w:divBdr>
        <w:top w:val="none" w:sz="0" w:space="0" w:color="auto"/>
        <w:left w:val="none" w:sz="0" w:space="0" w:color="auto"/>
        <w:bottom w:val="none" w:sz="0" w:space="0" w:color="auto"/>
        <w:right w:val="none" w:sz="0" w:space="0" w:color="auto"/>
      </w:divBdr>
    </w:div>
    <w:div w:id="1884053899">
      <w:bodyDiv w:val="1"/>
      <w:marLeft w:val="0"/>
      <w:marRight w:val="0"/>
      <w:marTop w:val="0"/>
      <w:marBottom w:val="0"/>
      <w:divBdr>
        <w:top w:val="none" w:sz="0" w:space="0" w:color="auto"/>
        <w:left w:val="none" w:sz="0" w:space="0" w:color="auto"/>
        <w:bottom w:val="none" w:sz="0" w:space="0" w:color="auto"/>
        <w:right w:val="none" w:sz="0" w:space="0" w:color="auto"/>
      </w:divBdr>
    </w:div>
    <w:div w:id="1894383846">
      <w:bodyDiv w:val="1"/>
      <w:marLeft w:val="0"/>
      <w:marRight w:val="0"/>
      <w:marTop w:val="0"/>
      <w:marBottom w:val="0"/>
      <w:divBdr>
        <w:top w:val="none" w:sz="0" w:space="0" w:color="auto"/>
        <w:left w:val="none" w:sz="0" w:space="0" w:color="auto"/>
        <w:bottom w:val="none" w:sz="0" w:space="0" w:color="auto"/>
        <w:right w:val="none" w:sz="0" w:space="0" w:color="auto"/>
      </w:divBdr>
    </w:div>
    <w:div w:id="1895314707">
      <w:bodyDiv w:val="1"/>
      <w:marLeft w:val="0"/>
      <w:marRight w:val="0"/>
      <w:marTop w:val="0"/>
      <w:marBottom w:val="0"/>
      <w:divBdr>
        <w:top w:val="none" w:sz="0" w:space="0" w:color="auto"/>
        <w:left w:val="none" w:sz="0" w:space="0" w:color="auto"/>
        <w:bottom w:val="none" w:sz="0" w:space="0" w:color="auto"/>
        <w:right w:val="none" w:sz="0" w:space="0" w:color="auto"/>
      </w:divBdr>
    </w:div>
    <w:div w:id="1900168408">
      <w:bodyDiv w:val="1"/>
      <w:marLeft w:val="0"/>
      <w:marRight w:val="0"/>
      <w:marTop w:val="0"/>
      <w:marBottom w:val="0"/>
      <w:divBdr>
        <w:top w:val="none" w:sz="0" w:space="0" w:color="auto"/>
        <w:left w:val="none" w:sz="0" w:space="0" w:color="auto"/>
        <w:bottom w:val="none" w:sz="0" w:space="0" w:color="auto"/>
        <w:right w:val="none" w:sz="0" w:space="0" w:color="auto"/>
      </w:divBdr>
    </w:div>
    <w:div w:id="1901594816">
      <w:bodyDiv w:val="1"/>
      <w:marLeft w:val="0"/>
      <w:marRight w:val="0"/>
      <w:marTop w:val="0"/>
      <w:marBottom w:val="0"/>
      <w:divBdr>
        <w:top w:val="none" w:sz="0" w:space="0" w:color="auto"/>
        <w:left w:val="none" w:sz="0" w:space="0" w:color="auto"/>
        <w:bottom w:val="none" w:sz="0" w:space="0" w:color="auto"/>
        <w:right w:val="none" w:sz="0" w:space="0" w:color="auto"/>
      </w:divBdr>
    </w:div>
    <w:div w:id="1902709143">
      <w:bodyDiv w:val="1"/>
      <w:marLeft w:val="0"/>
      <w:marRight w:val="0"/>
      <w:marTop w:val="0"/>
      <w:marBottom w:val="0"/>
      <w:divBdr>
        <w:top w:val="none" w:sz="0" w:space="0" w:color="auto"/>
        <w:left w:val="none" w:sz="0" w:space="0" w:color="auto"/>
        <w:bottom w:val="none" w:sz="0" w:space="0" w:color="auto"/>
        <w:right w:val="none" w:sz="0" w:space="0" w:color="auto"/>
      </w:divBdr>
    </w:div>
    <w:div w:id="1904674457">
      <w:bodyDiv w:val="1"/>
      <w:marLeft w:val="0"/>
      <w:marRight w:val="0"/>
      <w:marTop w:val="0"/>
      <w:marBottom w:val="0"/>
      <w:divBdr>
        <w:top w:val="none" w:sz="0" w:space="0" w:color="auto"/>
        <w:left w:val="none" w:sz="0" w:space="0" w:color="auto"/>
        <w:bottom w:val="none" w:sz="0" w:space="0" w:color="auto"/>
        <w:right w:val="none" w:sz="0" w:space="0" w:color="auto"/>
      </w:divBdr>
    </w:div>
    <w:div w:id="1906527881">
      <w:bodyDiv w:val="1"/>
      <w:marLeft w:val="0"/>
      <w:marRight w:val="0"/>
      <w:marTop w:val="0"/>
      <w:marBottom w:val="0"/>
      <w:divBdr>
        <w:top w:val="none" w:sz="0" w:space="0" w:color="auto"/>
        <w:left w:val="none" w:sz="0" w:space="0" w:color="auto"/>
        <w:bottom w:val="none" w:sz="0" w:space="0" w:color="auto"/>
        <w:right w:val="none" w:sz="0" w:space="0" w:color="auto"/>
      </w:divBdr>
    </w:div>
    <w:div w:id="1916354952">
      <w:bodyDiv w:val="1"/>
      <w:marLeft w:val="0"/>
      <w:marRight w:val="0"/>
      <w:marTop w:val="0"/>
      <w:marBottom w:val="0"/>
      <w:divBdr>
        <w:top w:val="none" w:sz="0" w:space="0" w:color="auto"/>
        <w:left w:val="none" w:sz="0" w:space="0" w:color="auto"/>
        <w:bottom w:val="none" w:sz="0" w:space="0" w:color="auto"/>
        <w:right w:val="none" w:sz="0" w:space="0" w:color="auto"/>
      </w:divBdr>
    </w:div>
    <w:div w:id="1919635091">
      <w:bodyDiv w:val="1"/>
      <w:marLeft w:val="0"/>
      <w:marRight w:val="0"/>
      <w:marTop w:val="0"/>
      <w:marBottom w:val="0"/>
      <w:divBdr>
        <w:top w:val="none" w:sz="0" w:space="0" w:color="auto"/>
        <w:left w:val="none" w:sz="0" w:space="0" w:color="auto"/>
        <w:bottom w:val="none" w:sz="0" w:space="0" w:color="auto"/>
        <w:right w:val="none" w:sz="0" w:space="0" w:color="auto"/>
      </w:divBdr>
    </w:div>
    <w:div w:id="1936210654">
      <w:bodyDiv w:val="1"/>
      <w:marLeft w:val="0"/>
      <w:marRight w:val="0"/>
      <w:marTop w:val="0"/>
      <w:marBottom w:val="0"/>
      <w:divBdr>
        <w:top w:val="none" w:sz="0" w:space="0" w:color="auto"/>
        <w:left w:val="none" w:sz="0" w:space="0" w:color="auto"/>
        <w:bottom w:val="none" w:sz="0" w:space="0" w:color="auto"/>
        <w:right w:val="none" w:sz="0" w:space="0" w:color="auto"/>
      </w:divBdr>
    </w:div>
    <w:div w:id="1938171957">
      <w:bodyDiv w:val="1"/>
      <w:marLeft w:val="0"/>
      <w:marRight w:val="0"/>
      <w:marTop w:val="0"/>
      <w:marBottom w:val="0"/>
      <w:divBdr>
        <w:top w:val="none" w:sz="0" w:space="0" w:color="auto"/>
        <w:left w:val="none" w:sz="0" w:space="0" w:color="auto"/>
        <w:bottom w:val="none" w:sz="0" w:space="0" w:color="auto"/>
        <w:right w:val="none" w:sz="0" w:space="0" w:color="auto"/>
      </w:divBdr>
    </w:div>
    <w:div w:id="1944268140">
      <w:bodyDiv w:val="1"/>
      <w:marLeft w:val="0"/>
      <w:marRight w:val="0"/>
      <w:marTop w:val="0"/>
      <w:marBottom w:val="0"/>
      <w:divBdr>
        <w:top w:val="none" w:sz="0" w:space="0" w:color="auto"/>
        <w:left w:val="none" w:sz="0" w:space="0" w:color="auto"/>
        <w:bottom w:val="none" w:sz="0" w:space="0" w:color="auto"/>
        <w:right w:val="none" w:sz="0" w:space="0" w:color="auto"/>
      </w:divBdr>
    </w:div>
    <w:div w:id="1964268858">
      <w:bodyDiv w:val="1"/>
      <w:marLeft w:val="0"/>
      <w:marRight w:val="0"/>
      <w:marTop w:val="0"/>
      <w:marBottom w:val="0"/>
      <w:divBdr>
        <w:top w:val="none" w:sz="0" w:space="0" w:color="auto"/>
        <w:left w:val="none" w:sz="0" w:space="0" w:color="auto"/>
        <w:bottom w:val="none" w:sz="0" w:space="0" w:color="auto"/>
        <w:right w:val="none" w:sz="0" w:space="0" w:color="auto"/>
      </w:divBdr>
    </w:div>
    <w:div w:id="1965888497">
      <w:bodyDiv w:val="1"/>
      <w:marLeft w:val="0"/>
      <w:marRight w:val="0"/>
      <w:marTop w:val="0"/>
      <w:marBottom w:val="0"/>
      <w:divBdr>
        <w:top w:val="none" w:sz="0" w:space="0" w:color="auto"/>
        <w:left w:val="none" w:sz="0" w:space="0" w:color="auto"/>
        <w:bottom w:val="none" w:sz="0" w:space="0" w:color="auto"/>
        <w:right w:val="none" w:sz="0" w:space="0" w:color="auto"/>
      </w:divBdr>
    </w:div>
    <w:div w:id="1968118374">
      <w:bodyDiv w:val="1"/>
      <w:marLeft w:val="0"/>
      <w:marRight w:val="0"/>
      <w:marTop w:val="0"/>
      <w:marBottom w:val="0"/>
      <w:divBdr>
        <w:top w:val="none" w:sz="0" w:space="0" w:color="auto"/>
        <w:left w:val="none" w:sz="0" w:space="0" w:color="auto"/>
        <w:bottom w:val="none" w:sz="0" w:space="0" w:color="auto"/>
        <w:right w:val="none" w:sz="0" w:space="0" w:color="auto"/>
      </w:divBdr>
    </w:div>
    <w:div w:id="1970478993">
      <w:bodyDiv w:val="1"/>
      <w:marLeft w:val="0"/>
      <w:marRight w:val="0"/>
      <w:marTop w:val="0"/>
      <w:marBottom w:val="0"/>
      <w:divBdr>
        <w:top w:val="none" w:sz="0" w:space="0" w:color="auto"/>
        <w:left w:val="none" w:sz="0" w:space="0" w:color="auto"/>
        <w:bottom w:val="none" w:sz="0" w:space="0" w:color="auto"/>
        <w:right w:val="none" w:sz="0" w:space="0" w:color="auto"/>
      </w:divBdr>
    </w:div>
    <w:div w:id="1970546131">
      <w:bodyDiv w:val="1"/>
      <w:marLeft w:val="0"/>
      <w:marRight w:val="0"/>
      <w:marTop w:val="0"/>
      <w:marBottom w:val="0"/>
      <w:divBdr>
        <w:top w:val="none" w:sz="0" w:space="0" w:color="auto"/>
        <w:left w:val="none" w:sz="0" w:space="0" w:color="auto"/>
        <w:bottom w:val="none" w:sz="0" w:space="0" w:color="auto"/>
        <w:right w:val="none" w:sz="0" w:space="0" w:color="auto"/>
      </w:divBdr>
    </w:div>
    <w:div w:id="1977098113">
      <w:bodyDiv w:val="1"/>
      <w:marLeft w:val="0"/>
      <w:marRight w:val="0"/>
      <w:marTop w:val="0"/>
      <w:marBottom w:val="0"/>
      <w:divBdr>
        <w:top w:val="none" w:sz="0" w:space="0" w:color="auto"/>
        <w:left w:val="none" w:sz="0" w:space="0" w:color="auto"/>
        <w:bottom w:val="none" w:sz="0" w:space="0" w:color="auto"/>
        <w:right w:val="none" w:sz="0" w:space="0" w:color="auto"/>
      </w:divBdr>
    </w:div>
    <w:div w:id="1979454823">
      <w:bodyDiv w:val="1"/>
      <w:marLeft w:val="0"/>
      <w:marRight w:val="0"/>
      <w:marTop w:val="0"/>
      <w:marBottom w:val="0"/>
      <w:divBdr>
        <w:top w:val="none" w:sz="0" w:space="0" w:color="auto"/>
        <w:left w:val="none" w:sz="0" w:space="0" w:color="auto"/>
        <w:bottom w:val="none" w:sz="0" w:space="0" w:color="auto"/>
        <w:right w:val="none" w:sz="0" w:space="0" w:color="auto"/>
      </w:divBdr>
    </w:div>
    <w:div w:id="1980182665">
      <w:bodyDiv w:val="1"/>
      <w:marLeft w:val="0"/>
      <w:marRight w:val="0"/>
      <w:marTop w:val="0"/>
      <w:marBottom w:val="0"/>
      <w:divBdr>
        <w:top w:val="none" w:sz="0" w:space="0" w:color="auto"/>
        <w:left w:val="none" w:sz="0" w:space="0" w:color="auto"/>
        <w:bottom w:val="none" w:sz="0" w:space="0" w:color="auto"/>
        <w:right w:val="none" w:sz="0" w:space="0" w:color="auto"/>
      </w:divBdr>
    </w:div>
    <w:div w:id="1980727019">
      <w:bodyDiv w:val="1"/>
      <w:marLeft w:val="0"/>
      <w:marRight w:val="0"/>
      <w:marTop w:val="0"/>
      <w:marBottom w:val="0"/>
      <w:divBdr>
        <w:top w:val="none" w:sz="0" w:space="0" w:color="auto"/>
        <w:left w:val="none" w:sz="0" w:space="0" w:color="auto"/>
        <w:bottom w:val="none" w:sz="0" w:space="0" w:color="auto"/>
        <w:right w:val="none" w:sz="0" w:space="0" w:color="auto"/>
      </w:divBdr>
    </w:div>
    <w:div w:id="1981686334">
      <w:bodyDiv w:val="1"/>
      <w:marLeft w:val="0"/>
      <w:marRight w:val="0"/>
      <w:marTop w:val="0"/>
      <w:marBottom w:val="0"/>
      <w:divBdr>
        <w:top w:val="none" w:sz="0" w:space="0" w:color="auto"/>
        <w:left w:val="none" w:sz="0" w:space="0" w:color="auto"/>
        <w:bottom w:val="none" w:sz="0" w:space="0" w:color="auto"/>
        <w:right w:val="none" w:sz="0" w:space="0" w:color="auto"/>
      </w:divBdr>
    </w:div>
    <w:div w:id="1991639056">
      <w:bodyDiv w:val="1"/>
      <w:marLeft w:val="0"/>
      <w:marRight w:val="0"/>
      <w:marTop w:val="0"/>
      <w:marBottom w:val="0"/>
      <w:divBdr>
        <w:top w:val="none" w:sz="0" w:space="0" w:color="auto"/>
        <w:left w:val="none" w:sz="0" w:space="0" w:color="auto"/>
        <w:bottom w:val="none" w:sz="0" w:space="0" w:color="auto"/>
        <w:right w:val="none" w:sz="0" w:space="0" w:color="auto"/>
      </w:divBdr>
    </w:div>
    <w:div w:id="1992101453">
      <w:bodyDiv w:val="1"/>
      <w:marLeft w:val="0"/>
      <w:marRight w:val="0"/>
      <w:marTop w:val="0"/>
      <w:marBottom w:val="0"/>
      <w:divBdr>
        <w:top w:val="none" w:sz="0" w:space="0" w:color="auto"/>
        <w:left w:val="none" w:sz="0" w:space="0" w:color="auto"/>
        <w:bottom w:val="none" w:sz="0" w:space="0" w:color="auto"/>
        <w:right w:val="none" w:sz="0" w:space="0" w:color="auto"/>
      </w:divBdr>
    </w:div>
    <w:div w:id="2000570941">
      <w:bodyDiv w:val="1"/>
      <w:marLeft w:val="0"/>
      <w:marRight w:val="0"/>
      <w:marTop w:val="0"/>
      <w:marBottom w:val="0"/>
      <w:divBdr>
        <w:top w:val="none" w:sz="0" w:space="0" w:color="auto"/>
        <w:left w:val="none" w:sz="0" w:space="0" w:color="auto"/>
        <w:bottom w:val="none" w:sz="0" w:space="0" w:color="auto"/>
        <w:right w:val="none" w:sz="0" w:space="0" w:color="auto"/>
      </w:divBdr>
    </w:div>
    <w:div w:id="2002584029">
      <w:bodyDiv w:val="1"/>
      <w:marLeft w:val="0"/>
      <w:marRight w:val="0"/>
      <w:marTop w:val="0"/>
      <w:marBottom w:val="0"/>
      <w:divBdr>
        <w:top w:val="none" w:sz="0" w:space="0" w:color="auto"/>
        <w:left w:val="none" w:sz="0" w:space="0" w:color="auto"/>
        <w:bottom w:val="none" w:sz="0" w:space="0" w:color="auto"/>
        <w:right w:val="none" w:sz="0" w:space="0" w:color="auto"/>
      </w:divBdr>
    </w:div>
    <w:div w:id="2008552387">
      <w:bodyDiv w:val="1"/>
      <w:marLeft w:val="0"/>
      <w:marRight w:val="0"/>
      <w:marTop w:val="0"/>
      <w:marBottom w:val="0"/>
      <w:divBdr>
        <w:top w:val="none" w:sz="0" w:space="0" w:color="auto"/>
        <w:left w:val="none" w:sz="0" w:space="0" w:color="auto"/>
        <w:bottom w:val="none" w:sz="0" w:space="0" w:color="auto"/>
        <w:right w:val="none" w:sz="0" w:space="0" w:color="auto"/>
      </w:divBdr>
    </w:div>
    <w:div w:id="2012683647">
      <w:bodyDiv w:val="1"/>
      <w:marLeft w:val="0"/>
      <w:marRight w:val="0"/>
      <w:marTop w:val="0"/>
      <w:marBottom w:val="0"/>
      <w:divBdr>
        <w:top w:val="none" w:sz="0" w:space="0" w:color="auto"/>
        <w:left w:val="none" w:sz="0" w:space="0" w:color="auto"/>
        <w:bottom w:val="none" w:sz="0" w:space="0" w:color="auto"/>
        <w:right w:val="none" w:sz="0" w:space="0" w:color="auto"/>
      </w:divBdr>
    </w:div>
    <w:div w:id="2014915201">
      <w:bodyDiv w:val="1"/>
      <w:marLeft w:val="0"/>
      <w:marRight w:val="0"/>
      <w:marTop w:val="0"/>
      <w:marBottom w:val="0"/>
      <w:divBdr>
        <w:top w:val="none" w:sz="0" w:space="0" w:color="auto"/>
        <w:left w:val="none" w:sz="0" w:space="0" w:color="auto"/>
        <w:bottom w:val="none" w:sz="0" w:space="0" w:color="auto"/>
        <w:right w:val="none" w:sz="0" w:space="0" w:color="auto"/>
      </w:divBdr>
    </w:div>
    <w:div w:id="2016686215">
      <w:bodyDiv w:val="1"/>
      <w:marLeft w:val="0"/>
      <w:marRight w:val="0"/>
      <w:marTop w:val="0"/>
      <w:marBottom w:val="0"/>
      <w:divBdr>
        <w:top w:val="none" w:sz="0" w:space="0" w:color="auto"/>
        <w:left w:val="none" w:sz="0" w:space="0" w:color="auto"/>
        <w:bottom w:val="none" w:sz="0" w:space="0" w:color="auto"/>
        <w:right w:val="none" w:sz="0" w:space="0" w:color="auto"/>
      </w:divBdr>
    </w:div>
    <w:div w:id="2023967063">
      <w:bodyDiv w:val="1"/>
      <w:marLeft w:val="0"/>
      <w:marRight w:val="0"/>
      <w:marTop w:val="0"/>
      <w:marBottom w:val="0"/>
      <w:divBdr>
        <w:top w:val="none" w:sz="0" w:space="0" w:color="auto"/>
        <w:left w:val="none" w:sz="0" w:space="0" w:color="auto"/>
        <w:bottom w:val="none" w:sz="0" w:space="0" w:color="auto"/>
        <w:right w:val="none" w:sz="0" w:space="0" w:color="auto"/>
      </w:divBdr>
    </w:div>
    <w:div w:id="2025595909">
      <w:bodyDiv w:val="1"/>
      <w:marLeft w:val="0"/>
      <w:marRight w:val="0"/>
      <w:marTop w:val="0"/>
      <w:marBottom w:val="0"/>
      <w:divBdr>
        <w:top w:val="none" w:sz="0" w:space="0" w:color="auto"/>
        <w:left w:val="none" w:sz="0" w:space="0" w:color="auto"/>
        <w:bottom w:val="none" w:sz="0" w:space="0" w:color="auto"/>
        <w:right w:val="none" w:sz="0" w:space="0" w:color="auto"/>
      </w:divBdr>
    </w:div>
    <w:div w:id="2030138471">
      <w:bodyDiv w:val="1"/>
      <w:marLeft w:val="0"/>
      <w:marRight w:val="0"/>
      <w:marTop w:val="0"/>
      <w:marBottom w:val="0"/>
      <w:divBdr>
        <w:top w:val="none" w:sz="0" w:space="0" w:color="auto"/>
        <w:left w:val="none" w:sz="0" w:space="0" w:color="auto"/>
        <w:bottom w:val="none" w:sz="0" w:space="0" w:color="auto"/>
        <w:right w:val="none" w:sz="0" w:space="0" w:color="auto"/>
      </w:divBdr>
    </w:div>
    <w:div w:id="2045598880">
      <w:bodyDiv w:val="1"/>
      <w:marLeft w:val="0"/>
      <w:marRight w:val="0"/>
      <w:marTop w:val="0"/>
      <w:marBottom w:val="0"/>
      <w:divBdr>
        <w:top w:val="none" w:sz="0" w:space="0" w:color="auto"/>
        <w:left w:val="none" w:sz="0" w:space="0" w:color="auto"/>
        <w:bottom w:val="none" w:sz="0" w:space="0" w:color="auto"/>
        <w:right w:val="none" w:sz="0" w:space="0" w:color="auto"/>
      </w:divBdr>
      <w:divsChild>
        <w:div w:id="476385718">
          <w:marLeft w:val="0"/>
          <w:marRight w:val="0"/>
          <w:marTop w:val="0"/>
          <w:marBottom w:val="0"/>
          <w:divBdr>
            <w:top w:val="none" w:sz="0" w:space="0" w:color="auto"/>
            <w:left w:val="none" w:sz="0" w:space="0" w:color="auto"/>
            <w:bottom w:val="none" w:sz="0" w:space="0" w:color="auto"/>
            <w:right w:val="none" w:sz="0" w:space="0" w:color="auto"/>
          </w:divBdr>
        </w:div>
      </w:divsChild>
    </w:div>
    <w:div w:id="2049061043">
      <w:bodyDiv w:val="1"/>
      <w:marLeft w:val="0"/>
      <w:marRight w:val="0"/>
      <w:marTop w:val="0"/>
      <w:marBottom w:val="0"/>
      <w:divBdr>
        <w:top w:val="none" w:sz="0" w:space="0" w:color="auto"/>
        <w:left w:val="none" w:sz="0" w:space="0" w:color="auto"/>
        <w:bottom w:val="none" w:sz="0" w:space="0" w:color="auto"/>
        <w:right w:val="none" w:sz="0" w:space="0" w:color="auto"/>
      </w:divBdr>
    </w:div>
    <w:div w:id="2058581998">
      <w:bodyDiv w:val="1"/>
      <w:marLeft w:val="0"/>
      <w:marRight w:val="0"/>
      <w:marTop w:val="0"/>
      <w:marBottom w:val="0"/>
      <w:divBdr>
        <w:top w:val="none" w:sz="0" w:space="0" w:color="auto"/>
        <w:left w:val="none" w:sz="0" w:space="0" w:color="auto"/>
        <w:bottom w:val="none" w:sz="0" w:space="0" w:color="auto"/>
        <w:right w:val="none" w:sz="0" w:space="0" w:color="auto"/>
      </w:divBdr>
    </w:div>
    <w:div w:id="2060129147">
      <w:bodyDiv w:val="1"/>
      <w:marLeft w:val="0"/>
      <w:marRight w:val="0"/>
      <w:marTop w:val="0"/>
      <w:marBottom w:val="0"/>
      <w:divBdr>
        <w:top w:val="none" w:sz="0" w:space="0" w:color="auto"/>
        <w:left w:val="none" w:sz="0" w:space="0" w:color="auto"/>
        <w:bottom w:val="none" w:sz="0" w:space="0" w:color="auto"/>
        <w:right w:val="none" w:sz="0" w:space="0" w:color="auto"/>
      </w:divBdr>
    </w:div>
    <w:div w:id="2061662020">
      <w:bodyDiv w:val="1"/>
      <w:marLeft w:val="0"/>
      <w:marRight w:val="0"/>
      <w:marTop w:val="0"/>
      <w:marBottom w:val="0"/>
      <w:divBdr>
        <w:top w:val="none" w:sz="0" w:space="0" w:color="auto"/>
        <w:left w:val="none" w:sz="0" w:space="0" w:color="auto"/>
        <w:bottom w:val="none" w:sz="0" w:space="0" w:color="auto"/>
        <w:right w:val="none" w:sz="0" w:space="0" w:color="auto"/>
      </w:divBdr>
    </w:div>
    <w:div w:id="2070422267">
      <w:bodyDiv w:val="1"/>
      <w:marLeft w:val="0"/>
      <w:marRight w:val="0"/>
      <w:marTop w:val="0"/>
      <w:marBottom w:val="0"/>
      <w:divBdr>
        <w:top w:val="none" w:sz="0" w:space="0" w:color="auto"/>
        <w:left w:val="none" w:sz="0" w:space="0" w:color="auto"/>
        <w:bottom w:val="none" w:sz="0" w:space="0" w:color="auto"/>
        <w:right w:val="none" w:sz="0" w:space="0" w:color="auto"/>
      </w:divBdr>
    </w:div>
    <w:div w:id="2072848965">
      <w:bodyDiv w:val="1"/>
      <w:marLeft w:val="0"/>
      <w:marRight w:val="0"/>
      <w:marTop w:val="0"/>
      <w:marBottom w:val="0"/>
      <w:divBdr>
        <w:top w:val="none" w:sz="0" w:space="0" w:color="auto"/>
        <w:left w:val="none" w:sz="0" w:space="0" w:color="auto"/>
        <w:bottom w:val="none" w:sz="0" w:space="0" w:color="auto"/>
        <w:right w:val="none" w:sz="0" w:space="0" w:color="auto"/>
      </w:divBdr>
    </w:div>
    <w:div w:id="2078359089">
      <w:bodyDiv w:val="1"/>
      <w:marLeft w:val="0"/>
      <w:marRight w:val="0"/>
      <w:marTop w:val="0"/>
      <w:marBottom w:val="0"/>
      <w:divBdr>
        <w:top w:val="none" w:sz="0" w:space="0" w:color="auto"/>
        <w:left w:val="none" w:sz="0" w:space="0" w:color="auto"/>
        <w:bottom w:val="none" w:sz="0" w:space="0" w:color="auto"/>
        <w:right w:val="none" w:sz="0" w:space="0" w:color="auto"/>
      </w:divBdr>
    </w:div>
    <w:div w:id="2078631127">
      <w:bodyDiv w:val="1"/>
      <w:marLeft w:val="0"/>
      <w:marRight w:val="0"/>
      <w:marTop w:val="0"/>
      <w:marBottom w:val="0"/>
      <w:divBdr>
        <w:top w:val="none" w:sz="0" w:space="0" w:color="auto"/>
        <w:left w:val="none" w:sz="0" w:space="0" w:color="auto"/>
        <w:bottom w:val="none" w:sz="0" w:space="0" w:color="auto"/>
        <w:right w:val="none" w:sz="0" w:space="0" w:color="auto"/>
      </w:divBdr>
    </w:div>
    <w:div w:id="2084141794">
      <w:bodyDiv w:val="1"/>
      <w:marLeft w:val="0"/>
      <w:marRight w:val="0"/>
      <w:marTop w:val="0"/>
      <w:marBottom w:val="0"/>
      <w:divBdr>
        <w:top w:val="none" w:sz="0" w:space="0" w:color="auto"/>
        <w:left w:val="none" w:sz="0" w:space="0" w:color="auto"/>
        <w:bottom w:val="none" w:sz="0" w:space="0" w:color="auto"/>
        <w:right w:val="none" w:sz="0" w:space="0" w:color="auto"/>
      </w:divBdr>
    </w:div>
    <w:div w:id="2085058296">
      <w:bodyDiv w:val="1"/>
      <w:marLeft w:val="0"/>
      <w:marRight w:val="0"/>
      <w:marTop w:val="0"/>
      <w:marBottom w:val="0"/>
      <w:divBdr>
        <w:top w:val="none" w:sz="0" w:space="0" w:color="auto"/>
        <w:left w:val="none" w:sz="0" w:space="0" w:color="auto"/>
        <w:bottom w:val="none" w:sz="0" w:space="0" w:color="auto"/>
        <w:right w:val="none" w:sz="0" w:space="0" w:color="auto"/>
      </w:divBdr>
    </w:div>
    <w:div w:id="2085376419">
      <w:bodyDiv w:val="1"/>
      <w:marLeft w:val="0"/>
      <w:marRight w:val="0"/>
      <w:marTop w:val="0"/>
      <w:marBottom w:val="0"/>
      <w:divBdr>
        <w:top w:val="none" w:sz="0" w:space="0" w:color="auto"/>
        <w:left w:val="none" w:sz="0" w:space="0" w:color="auto"/>
        <w:bottom w:val="none" w:sz="0" w:space="0" w:color="auto"/>
        <w:right w:val="none" w:sz="0" w:space="0" w:color="auto"/>
      </w:divBdr>
    </w:div>
    <w:div w:id="2085833041">
      <w:bodyDiv w:val="1"/>
      <w:marLeft w:val="0"/>
      <w:marRight w:val="0"/>
      <w:marTop w:val="0"/>
      <w:marBottom w:val="0"/>
      <w:divBdr>
        <w:top w:val="none" w:sz="0" w:space="0" w:color="auto"/>
        <w:left w:val="none" w:sz="0" w:space="0" w:color="auto"/>
        <w:bottom w:val="none" w:sz="0" w:space="0" w:color="auto"/>
        <w:right w:val="none" w:sz="0" w:space="0" w:color="auto"/>
      </w:divBdr>
    </w:div>
    <w:div w:id="2091808146">
      <w:bodyDiv w:val="1"/>
      <w:marLeft w:val="0"/>
      <w:marRight w:val="0"/>
      <w:marTop w:val="0"/>
      <w:marBottom w:val="0"/>
      <w:divBdr>
        <w:top w:val="none" w:sz="0" w:space="0" w:color="auto"/>
        <w:left w:val="none" w:sz="0" w:space="0" w:color="auto"/>
        <w:bottom w:val="none" w:sz="0" w:space="0" w:color="auto"/>
        <w:right w:val="none" w:sz="0" w:space="0" w:color="auto"/>
      </w:divBdr>
    </w:div>
    <w:div w:id="2092193246">
      <w:bodyDiv w:val="1"/>
      <w:marLeft w:val="0"/>
      <w:marRight w:val="0"/>
      <w:marTop w:val="0"/>
      <w:marBottom w:val="0"/>
      <w:divBdr>
        <w:top w:val="none" w:sz="0" w:space="0" w:color="auto"/>
        <w:left w:val="none" w:sz="0" w:space="0" w:color="auto"/>
        <w:bottom w:val="none" w:sz="0" w:space="0" w:color="auto"/>
        <w:right w:val="none" w:sz="0" w:space="0" w:color="auto"/>
      </w:divBdr>
    </w:div>
    <w:div w:id="2106414557">
      <w:bodyDiv w:val="1"/>
      <w:marLeft w:val="0"/>
      <w:marRight w:val="0"/>
      <w:marTop w:val="0"/>
      <w:marBottom w:val="0"/>
      <w:divBdr>
        <w:top w:val="none" w:sz="0" w:space="0" w:color="auto"/>
        <w:left w:val="none" w:sz="0" w:space="0" w:color="auto"/>
        <w:bottom w:val="none" w:sz="0" w:space="0" w:color="auto"/>
        <w:right w:val="none" w:sz="0" w:space="0" w:color="auto"/>
      </w:divBdr>
    </w:div>
    <w:div w:id="2118022858">
      <w:bodyDiv w:val="1"/>
      <w:marLeft w:val="0"/>
      <w:marRight w:val="0"/>
      <w:marTop w:val="0"/>
      <w:marBottom w:val="0"/>
      <w:divBdr>
        <w:top w:val="none" w:sz="0" w:space="0" w:color="auto"/>
        <w:left w:val="none" w:sz="0" w:space="0" w:color="auto"/>
        <w:bottom w:val="none" w:sz="0" w:space="0" w:color="auto"/>
        <w:right w:val="none" w:sz="0" w:space="0" w:color="auto"/>
      </w:divBdr>
    </w:div>
    <w:div w:id="2124423750">
      <w:bodyDiv w:val="1"/>
      <w:marLeft w:val="0"/>
      <w:marRight w:val="0"/>
      <w:marTop w:val="0"/>
      <w:marBottom w:val="0"/>
      <w:divBdr>
        <w:top w:val="none" w:sz="0" w:space="0" w:color="auto"/>
        <w:left w:val="none" w:sz="0" w:space="0" w:color="auto"/>
        <w:bottom w:val="none" w:sz="0" w:space="0" w:color="auto"/>
        <w:right w:val="none" w:sz="0" w:space="0" w:color="auto"/>
      </w:divBdr>
    </w:div>
    <w:div w:id="2129464544">
      <w:bodyDiv w:val="1"/>
      <w:marLeft w:val="0"/>
      <w:marRight w:val="0"/>
      <w:marTop w:val="0"/>
      <w:marBottom w:val="0"/>
      <w:divBdr>
        <w:top w:val="none" w:sz="0" w:space="0" w:color="auto"/>
        <w:left w:val="none" w:sz="0" w:space="0" w:color="auto"/>
        <w:bottom w:val="none" w:sz="0" w:space="0" w:color="auto"/>
        <w:right w:val="none" w:sz="0" w:space="0" w:color="auto"/>
      </w:divBdr>
    </w:div>
    <w:div w:id="2131127143">
      <w:bodyDiv w:val="1"/>
      <w:marLeft w:val="0"/>
      <w:marRight w:val="0"/>
      <w:marTop w:val="0"/>
      <w:marBottom w:val="0"/>
      <w:divBdr>
        <w:top w:val="none" w:sz="0" w:space="0" w:color="auto"/>
        <w:left w:val="none" w:sz="0" w:space="0" w:color="auto"/>
        <w:bottom w:val="none" w:sz="0" w:space="0" w:color="auto"/>
        <w:right w:val="none" w:sz="0" w:space="0" w:color="auto"/>
      </w:divBdr>
    </w:div>
    <w:div w:id="2135101344">
      <w:bodyDiv w:val="1"/>
      <w:marLeft w:val="0"/>
      <w:marRight w:val="0"/>
      <w:marTop w:val="0"/>
      <w:marBottom w:val="0"/>
      <w:divBdr>
        <w:top w:val="none" w:sz="0" w:space="0" w:color="auto"/>
        <w:left w:val="none" w:sz="0" w:space="0" w:color="auto"/>
        <w:bottom w:val="none" w:sz="0" w:space="0" w:color="auto"/>
        <w:right w:val="none" w:sz="0" w:space="0" w:color="auto"/>
      </w:divBdr>
    </w:div>
    <w:div w:id="2139759407">
      <w:bodyDiv w:val="1"/>
      <w:marLeft w:val="0"/>
      <w:marRight w:val="0"/>
      <w:marTop w:val="0"/>
      <w:marBottom w:val="0"/>
      <w:divBdr>
        <w:top w:val="none" w:sz="0" w:space="0" w:color="auto"/>
        <w:left w:val="none" w:sz="0" w:space="0" w:color="auto"/>
        <w:bottom w:val="none" w:sz="0" w:space="0" w:color="auto"/>
        <w:right w:val="none" w:sz="0" w:space="0" w:color="auto"/>
      </w:divBdr>
    </w:div>
    <w:div w:id="2141343105">
      <w:bodyDiv w:val="1"/>
      <w:marLeft w:val="0"/>
      <w:marRight w:val="0"/>
      <w:marTop w:val="0"/>
      <w:marBottom w:val="0"/>
      <w:divBdr>
        <w:top w:val="none" w:sz="0" w:space="0" w:color="auto"/>
        <w:left w:val="none" w:sz="0" w:space="0" w:color="auto"/>
        <w:bottom w:val="none" w:sz="0" w:space="0" w:color="auto"/>
        <w:right w:val="none" w:sz="0" w:space="0" w:color="auto"/>
      </w:divBdr>
    </w:div>
    <w:div w:id="21417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E1914-0527-4076-9DBF-BC1A1289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50</Pages>
  <Words>18392</Words>
  <Characters>101159</Characters>
  <Application>Microsoft Office Word</Application>
  <DocSecurity>0</DocSecurity>
  <Lines>842</Lines>
  <Paragraphs>238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Margarita Nereyda Caballero Urbina</cp:lastModifiedBy>
  <cp:revision>4</cp:revision>
  <cp:lastPrinted>2023-04-18T16:54:00Z</cp:lastPrinted>
  <dcterms:created xsi:type="dcterms:W3CDTF">2023-04-18T16:57:00Z</dcterms:created>
  <dcterms:modified xsi:type="dcterms:W3CDTF">2023-04-18T17:33:00Z</dcterms:modified>
</cp:coreProperties>
</file>