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FDE" w:rsidRPr="008C2FDE" w:rsidRDefault="008C2FDE" w:rsidP="008C2FDE">
      <w:pPr>
        <w:pStyle w:val="NormalWeb"/>
        <w:spacing w:before="0" w:beforeAutospacing="0" w:after="0" w:afterAutospacing="0"/>
        <w:jc w:val="both"/>
        <w:rPr>
          <w:rFonts w:asciiTheme="minorHAnsi" w:hAnsiTheme="minorHAnsi" w:cstheme="minorHAnsi"/>
          <w:b/>
        </w:rPr>
      </w:pPr>
      <w:r w:rsidRPr="008C2FDE">
        <w:rPr>
          <w:rFonts w:asciiTheme="minorHAnsi" w:hAnsiTheme="minorHAnsi" w:cstheme="minorHAnsi"/>
          <w:b/>
        </w:rPr>
        <w:t>1.- Panorama Económico y Financiero al cierre del ejercicio 2022.</w:t>
      </w:r>
      <w:bookmarkStart w:id="0" w:name="_GoBack"/>
      <w:bookmarkEnd w:id="0"/>
    </w:p>
    <w:p w:rsidR="008C2FDE" w:rsidRPr="008C2FDE" w:rsidRDefault="008C2FDE" w:rsidP="008C2FDE">
      <w:pPr>
        <w:pStyle w:val="NormalWeb"/>
        <w:spacing w:before="0" w:beforeAutospacing="0" w:after="0" w:afterAutospacing="0"/>
        <w:jc w:val="both"/>
        <w:rPr>
          <w:rFonts w:asciiTheme="minorHAnsi" w:hAnsiTheme="minorHAnsi" w:cstheme="minorHAnsi"/>
          <w:b/>
          <w:sz w:val="22"/>
          <w:szCs w:val="22"/>
        </w:rPr>
      </w:pPr>
    </w:p>
    <w:p w:rsidR="008C2FDE" w:rsidRPr="008C2FDE" w:rsidRDefault="008C2FDE" w:rsidP="008C2FDE">
      <w:pPr>
        <w:pStyle w:val="NormalWeb"/>
        <w:spacing w:before="0" w:beforeAutospacing="0" w:after="0" w:afterAutospacing="0"/>
        <w:jc w:val="both"/>
        <w:rPr>
          <w:rFonts w:asciiTheme="minorHAnsi" w:hAnsiTheme="minorHAnsi" w:cstheme="minorHAnsi"/>
          <w:b/>
          <w:sz w:val="22"/>
          <w:szCs w:val="22"/>
        </w:rPr>
      </w:pPr>
      <w:r w:rsidRPr="008C2FDE">
        <w:rPr>
          <w:rFonts w:asciiTheme="minorHAnsi" w:hAnsiTheme="minorHAnsi" w:cstheme="minorHAnsi"/>
          <w:b/>
          <w:sz w:val="22"/>
          <w:szCs w:val="22"/>
        </w:rPr>
        <w:t>1.1.- Panorama Económico Internacional.</w:t>
      </w:r>
    </w:p>
    <w:p w:rsidR="008C2FDE" w:rsidRPr="00E50807" w:rsidRDefault="008C2FDE" w:rsidP="008C2FDE">
      <w:pPr>
        <w:pStyle w:val="NormalWeb"/>
        <w:jc w:val="both"/>
        <w:rPr>
          <w:rFonts w:asciiTheme="minorHAnsi" w:hAnsiTheme="minorHAnsi" w:cstheme="minorHAnsi"/>
          <w:sz w:val="21"/>
          <w:szCs w:val="21"/>
          <w:lang w:val="es-ES" w:eastAsia="es-ES"/>
        </w:rPr>
      </w:pPr>
      <w:r w:rsidRPr="00E50807">
        <w:rPr>
          <w:rFonts w:asciiTheme="minorHAnsi" w:hAnsiTheme="minorHAnsi" w:cstheme="minorHAnsi"/>
          <w:sz w:val="21"/>
          <w:szCs w:val="21"/>
          <w:lang w:val="es-ES" w:eastAsia="es-ES"/>
        </w:rPr>
        <w:t>El 2022 puede ser recordado como uno de los años más complejos de la historia contemporánea, donde la recuperación tras la pandemia de COVID-19 y el conflicto entre Rusia y Ucrania complejizaron el panorama económico mundial.</w:t>
      </w:r>
    </w:p>
    <w:p w:rsidR="008C2FDE" w:rsidRPr="00E50807" w:rsidRDefault="008C2FDE" w:rsidP="008C2FDE">
      <w:pPr>
        <w:pStyle w:val="NormalWeb"/>
        <w:jc w:val="both"/>
        <w:rPr>
          <w:rFonts w:asciiTheme="minorHAnsi" w:hAnsiTheme="minorHAnsi" w:cstheme="minorHAnsi"/>
          <w:sz w:val="21"/>
          <w:szCs w:val="21"/>
          <w:lang w:val="es-ES" w:eastAsia="es-ES"/>
        </w:rPr>
      </w:pPr>
      <w:r w:rsidRPr="00E50807">
        <w:rPr>
          <w:rFonts w:asciiTheme="minorHAnsi" w:hAnsiTheme="minorHAnsi" w:cstheme="minorHAnsi"/>
          <w:sz w:val="21"/>
          <w:szCs w:val="21"/>
          <w:lang w:val="es-ES" w:eastAsia="es-ES"/>
        </w:rPr>
        <w:t>La inflación, el encarecimiento de combustibles y alimentos y las consecuencias económicas de las sanciones impuestas por la Unión Europea y Estados Unidos contra Rusia, sin embargo, no impidieron a las divisas de tres países latinoamericanos aproximarse al cierre de 2022 con un escenario en números positivos.</w:t>
      </w:r>
    </w:p>
    <w:p w:rsidR="008C2FDE" w:rsidRPr="00E50807" w:rsidRDefault="008C2FDE" w:rsidP="008C2FDE">
      <w:pPr>
        <w:pStyle w:val="NormalWeb"/>
        <w:jc w:val="both"/>
        <w:rPr>
          <w:rFonts w:asciiTheme="minorHAnsi" w:hAnsiTheme="minorHAnsi" w:cstheme="minorHAnsi"/>
          <w:sz w:val="21"/>
          <w:szCs w:val="21"/>
          <w:lang w:val="es-ES" w:eastAsia="es-ES"/>
        </w:rPr>
      </w:pPr>
      <w:r w:rsidRPr="00E50807">
        <w:rPr>
          <w:rFonts w:asciiTheme="minorHAnsi" w:hAnsiTheme="minorHAnsi" w:cstheme="minorHAnsi"/>
          <w:sz w:val="21"/>
          <w:szCs w:val="21"/>
          <w:lang w:val="es-ES" w:eastAsia="es-ES"/>
        </w:rPr>
        <w:t xml:space="preserve">Las monedas de Uruguay, Brasil y México lograron una apreciación frente al dólar estadounidense de 8,9, 5,2 y 2,2%, respectivamente, de acuerdo con un análisis elaborado por el sitio especializado en economía </w:t>
      </w:r>
      <w:proofErr w:type="spellStart"/>
      <w:r w:rsidRPr="00E50807">
        <w:rPr>
          <w:rFonts w:asciiTheme="minorHAnsi" w:hAnsiTheme="minorHAnsi" w:cstheme="minorHAnsi"/>
          <w:sz w:val="21"/>
          <w:szCs w:val="21"/>
          <w:lang w:val="es-ES" w:eastAsia="es-ES"/>
        </w:rPr>
        <w:t>Bloomberg</w:t>
      </w:r>
      <w:proofErr w:type="spellEnd"/>
      <w:r w:rsidRPr="00E50807">
        <w:rPr>
          <w:rFonts w:asciiTheme="minorHAnsi" w:hAnsiTheme="minorHAnsi" w:cstheme="minorHAnsi"/>
          <w:sz w:val="21"/>
          <w:szCs w:val="21"/>
          <w:lang w:val="es-ES" w:eastAsia="es-ES"/>
        </w:rPr>
        <w:t>.</w:t>
      </w:r>
    </w:p>
    <w:p w:rsidR="008C2FDE" w:rsidRPr="00E50807" w:rsidRDefault="008C2FDE" w:rsidP="008C2FDE">
      <w:pPr>
        <w:pStyle w:val="NormalWeb"/>
        <w:spacing w:before="0" w:beforeAutospacing="0" w:after="0" w:afterAutospacing="0"/>
        <w:jc w:val="both"/>
        <w:rPr>
          <w:rFonts w:asciiTheme="minorHAnsi" w:hAnsiTheme="minorHAnsi" w:cstheme="minorHAnsi"/>
          <w:sz w:val="21"/>
          <w:szCs w:val="21"/>
          <w:lang w:val="es-ES" w:eastAsia="es-ES"/>
        </w:rPr>
      </w:pPr>
      <w:r w:rsidRPr="00E50807">
        <w:rPr>
          <w:rFonts w:asciiTheme="minorHAnsi" w:hAnsiTheme="minorHAnsi" w:cstheme="minorHAnsi"/>
          <w:sz w:val="21"/>
          <w:szCs w:val="21"/>
          <w:lang w:val="es-ES" w:eastAsia="es-ES"/>
        </w:rPr>
        <w:t>Con una población de 3,4 millones de habitantes, según cifras del Banco Mundial, la realidad social que ha permitido la economía uruguaya es de estabilidad, cobertura de derechos sociales y bienestar generalizado, una dinámica y complejidad muy distintas a las de Brasil y México, los países más poblados de América Latina, en orden descendente.</w:t>
      </w:r>
    </w:p>
    <w:p w:rsidR="008C2FDE" w:rsidRPr="00E50807" w:rsidRDefault="008C2FDE" w:rsidP="008C2FDE">
      <w:pPr>
        <w:pStyle w:val="NormalWeb"/>
        <w:spacing w:before="0" w:beforeAutospacing="0" w:after="0" w:afterAutospacing="0"/>
        <w:jc w:val="both"/>
        <w:rPr>
          <w:rFonts w:asciiTheme="minorHAnsi" w:hAnsiTheme="minorHAnsi" w:cstheme="minorHAnsi"/>
          <w:sz w:val="21"/>
          <w:szCs w:val="21"/>
          <w:lang w:val="es-ES" w:eastAsia="es-ES"/>
        </w:rPr>
      </w:pPr>
    </w:p>
    <w:p w:rsidR="008C2FDE" w:rsidRPr="00E50807" w:rsidRDefault="008C2FDE" w:rsidP="008C2FDE">
      <w:pPr>
        <w:jc w:val="both"/>
        <w:rPr>
          <w:rFonts w:asciiTheme="minorHAnsi" w:eastAsia="Times New Roman" w:hAnsiTheme="minorHAnsi" w:cstheme="minorHAnsi"/>
          <w:sz w:val="21"/>
          <w:szCs w:val="21"/>
          <w:lang w:val="es-ES" w:eastAsia="es-ES"/>
        </w:rPr>
      </w:pPr>
      <w:r w:rsidRPr="00E50807">
        <w:rPr>
          <w:rFonts w:asciiTheme="minorHAnsi" w:eastAsia="Times New Roman" w:hAnsiTheme="minorHAnsi" w:cstheme="minorHAnsi"/>
          <w:sz w:val="21"/>
          <w:szCs w:val="21"/>
          <w:lang w:val="es-ES" w:eastAsia="es-ES"/>
        </w:rPr>
        <w:t>Sin embargo, estas dos últimas naciones latinoamericanas son las potencias económicas más fortalecidas de la región latinoamericana, además de tener actividades productivas industrializadas y fuertemente integradas en relaciones comerciales con las dos principales fuerzas económicas del planeta: Estados Unidos y China.</w:t>
      </w:r>
    </w:p>
    <w:p w:rsidR="008C2FDE" w:rsidRPr="00E50807" w:rsidRDefault="008C2FDE" w:rsidP="008C2FDE">
      <w:pPr>
        <w:jc w:val="both"/>
        <w:rPr>
          <w:rFonts w:asciiTheme="minorHAnsi" w:eastAsia="Times New Roman" w:hAnsiTheme="minorHAnsi" w:cstheme="minorHAnsi"/>
          <w:sz w:val="21"/>
          <w:szCs w:val="21"/>
          <w:lang w:val="es-ES" w:eastAsia="es-ES"/>
        </w:rPr>
      </w:pPr>
      <w:r w:rsidRPr="00E50807">
        <w:rPr>
          <w:rFonts w:asciiTheme="minorHAnsi" w:eastAsia="Times New Roman" w:hAnsiTheme="minorHAnsi" w:cstheme="minorHAnsi"/>
          <w:sz w:val="21"/>
          <w:szCs w:val="21"/>
          <w:lang w:val="es-ES" w:eastAsia="es-ES"/>
        </w:rPr>
        <w:t>La economía mundial se enfrenta a importantes desafíos, el crecimiento ha perdido impulso, la elevada inflación se ha extendido por todos los países y productos, y está resultando persistente. Los riesgos están sesgados a la baja. La escasez de suministro de energía podría provocar un mayor aumento de los precios. Las subidas de las tasas de interés, necesarias para frenar la inflación, aumentan las vulnerabilidades financieras. La guerra de Rusia en Ucrania incrementa los riesgos de endeudamiento en los países de bajos ingresos y la inseguridad alimentaria.</w:t>
      </w:r>
    </w:p>
    <w:p w:rsidR="008C2FDE" w:rsidRPr="00E50807" w:rsidRDefault="008C2FDE" w:rsidP="008C2FDE">
      <w:pPr>
        <w:pStyle w:val="NormalWeb"/>
        <w:spacing w:before="0" w:beforeAutospacing="0" w:after="150" w:afterAutospacing="0"/>
        <w:jc w:val="both"/>
        <w:rPr>
          <w:rFonts w:asciiTheme="minorHAnsi" w:hAnsiTheme="minorHAnsi" w:cstheme="minorHAnsi"/>
          <w:sz w:val="21"/>
          <w:szCs w:val="21"/>
          <w:lang w:val="es-ES" w:eastAsia="es-ES"/>
        </w:rPr>
      </w:pPr>
      <w:r w:rsidRPr="00E50807">
        <w:rPr>
          <w:rFonts w:asciiTheme="minorHAnsi" w:hAnsiTheme="minorHAnsi" w:cstheme="minorHAnsi"/>
          <w:sz w:val="21"/>
          <w:szCs w:val="21"/>
          <w:lang w:val="es-ES" w:eastAsia="es-ES"/>
        </w:rPr>
        <w:t>La guerra de agresión de Rusia contra Ucrania ha provocado una enorme conmoción en los precios de la energía que no se veía desde la década de 1970.</w:t>
      </w:r>
    </w:p>
    <w:p w:rsidR="008C2FDE" w:rsidRPr="00E50807" w:rsidRDefault="008C2FDE" w:rsidP="008C2FDE">
      <w:pPr>
        <w:pStyle w:val="NormalWeb"/>
        <w:spacing w:before="0" w:beforeAutospacing="0" w:after="150" w:afterAutospacing="0"/>
        <w:jc w:val="both"/>
        <w:rPr>
          <w:rFonts w:asciiTheme="minorHAnsi" w:hAnsiTheme="minorHAnsi" w:cstheme="minorHAnsi"/>
          <w:sz w:val="21"/>
          <w:szCs w:val="21"/>
          <w:lang w:val="es-ES" w:eastAsia="es-ES"/>
        </w:rPr>
      </w:pPr>
      <w:r w:rsidRPr="00E50807">
        <w:rPr>
          <w:rFonts w:asciiTheme="minorHAnsi" w:hAnsiTheme="minorHAnsi" w:cstheme="minorHAnsi"/>
          <w:sz w:val="21"/>
          <w:szCs w:val="21"/>
          <w:lang w:val="es-ES" w:eastAsia="es-ES"/>
        </w:rPr>
        <w:t>El aumento de los precios de la energía lastra con fuerza la economía mundial, lo que se agravará si los niveles de gas europeo almacenados son insuficientes. Dicho escenario podría imponer un racionamiento en Europa y perjudicar también al resto de países, a medida que se disparan los precios del gas en todo el mundo.</w:t>
      </w:r>
    </w:p>
    <w:p w:rsidR="008C2FDE" w:rsidRPr="00E50807" w:rsidRDefault="008C2FDE" w:rsidP="008C2FDE">
      <w:pPr>
        <w:pStyle w:val="NormalWeb"/>
        <w:spacing w:before="0" w:beforeAutospacing="0" w:after="150" w:afterAutospacing="0"/>
        <w:jc w:val="both"/>
        <w:rPr>
          <w:rFonts w:asciiTheme="minorHAnsi" w:hAnsiTheme="minorHAnsi" w:cstheme="minorHAnsi"/>
          <w:sz w:val="21"/>
          <w:szCs w:val="21"/>
          <w:lang w:val="es-ES" w:eastAsia="es-ES"/>
        </w:rPr>
      </w:pPr>
      <w:r w:rsidRPr="00E50807">
        <w:rPr>
          <w:rFonts w:asciiTheme="minorHAnsi" w:hAnsiTheme="minorHAnsi" w:cstheme="minorHAnsi"/>
          <w:sz w:val="21"/>
          <w:szCs w:val="21"/>
          <w:lang w:val="es-ES" w:eastAsia="es-ES"/>
        </w:rPr>
        <w:t>Esto generaría un crecimiento menor y un incremento de los precios en Europa y en el resto del mundo.</w:t>
      </w:r>
    </w:p>
    <w:p w:rsidR="008C2FDE" w:rsidRDefault="008C2FDE" w:rsidP="008C2FDE">
      <w:pPr>
        <w:pStyle w:val="NormalWeb"/>
        <w:spacing w:before="0" w:beforeAutospacing="0" w:after="150" w:afterAutospacing="0"/>
        <w:jc w:val="both"/>
        <w:rPr>
          <w:rFonts w:asciiTheme="minorHAnsi" w:hAnsiTheme="minorHAnsi" w:cstheme="minorHAnsi"/>
          <w:sz w:val="20"/>
          <w:szCs w:val="20"/>
          <w:lang w:val="es-ES" w:eastAsia="es-ES"/>
        </w:rPr>
      </w:pPr>
    </w:p>
    <w:p w:rsidR="008C2FDE" w:rsidRDefault="008C2FDE" w:rsidP="008C2FDE">
      <w:pPr>
        <w:pStyle w:val="NormalWeb"/>
        <w:spacing w:before="0" w:beforeAutospacing="0" w:after="150" w:afterAutospacing="0"/>
        <w:jc w:val="both"/>
        <w:rPr>
          <w:rFonts w:asciiTheme="minorHAnsi" w:hAnsiTheme="minorHAnsi" w:cstheme="minorHAnsi"/>
          <w:sz w:val="20"/>
          <w:szCs w:val="20"/>
          <w:lang w:val="es-ES" w:eastAsia="es-ES"/>
        </w:rPr>
      </w:pPr>
    </w:p>
    <w:p w:rsidR="008C2FDE" w:rsidRPr="00192CDA" w:rsidRDefault="008C2FDE" w:rsidP="008C2FDE">
      <w:pPr>
        <w:pStyle w:val="NormalWeb"/>
        <w:spacing w:before="0" w:beforeAutospacing="0" w:after="150" w:afterAutospacing="0"/>
        <w:jc w:val="both"/>
        <w:rPr>
          <w:rFonts w:asciiTheme="minorHAnsi" w:hAnsiTheme="minorHAnsi" w:cstheme="minorHAnsi"/>
          <w:sz w:val="20"/>
          <w:szCs w:val="20"/>
          <w:lang w:val="es-ES" w:eastAsia="es-ES"/>
        </w:rPr>
      </w:pPr>
    </w:p>
    <w:p w:rsidR="008C2FDE" w:rsidRPr="00676CED" w:rsidRDefault="008C2FDE" w:rsidP="008C2FDE">
      <w:pPr>
        <w:jc w:val="both"/>
        <w:rPr>
          <w:rFonts w:asciiTheme="minorHAnsi" w:hAnsiTheme="minorHAnsi" w:cstheme="minorHAnsi"/>
        </w:rPr>
      </w:pPr>
    </w:p>
    <w:p w:rsidR="008C2FDE" w:rsidRPr="00676CED" w:rsidRDefault="008C2FDE" w:rsidP="008C2FDE">
      <w:pPr>
        <w:jc w:val="both"/>
        <w:rPr>
          <w:rFonts w:asciiTheme="minorHAnsi" w:hAnsiTheme="minorHAnsi" w:cstheme="minorHAnsi"/>
        </w:rPr>
      </w:pPr>
    </w:p>
    <w:p w:rsidR="008C2FDE" w:rsidRDefault="008C2FDE" w:rsidP="008C2FDE">
      <w:pPr>
        <w:jc w:val="both"/>
        <w:rPr>
          <w:rFonts w:asciiTheme="minorHAnsi" w:hAnsiTheme="minorHAnsi" w:cstheme="minorHAnsi"/>
        </w:rPr>
      </w:pPr>
    </w:p>
    <w:p w:rsidR="00085C63" w:rsidRDefault="00085C63" w:rsidP="008C2FDE">
      <w:pPr>
        <w:jc w:val="both"/>
        <w:rPr>
          <w:rFonts w:asciiTheme="minorHAnsi" w:hAnsiTheme="minorHAnsi" w:cstheme="minorHAnsi"/>
        </w:rPr>
      </w:pPr>
    </w:p>
    <w:p w:rsidR="00085C63" w:rsidRDefault="00085C63" w:rsidP="008C2FDE">
      <w:pPr>
        <w:jc w:val="both"/>
        <w:rPr>
          <w:rFonts w:asciiTheme="minorHAnsi" w:hAnsiTheme="minorHAnsi" w:cstheme="minorHAnsi"/>
        </w:rPr>
      </w:pPr>
      <w:r w:rsidRPr="00676CED">
        <w:rPr>
          <w:rFonts w:asciiTheme="minorHAnsi" w:hAnsiTheme="minorHAnsi" w:cstheme="minorHAnsi"/>
          <w:noProof/>
          <w:lang w:eastAsia="es-MX"/>
        </w:rPr>
        <w:drawing>
          <wp:anchor distT="0" distB="0" distL="114300" distR="114300" simplePos="0" relativeHeight="251670528" behindDoc="0" locked="0" layoutInCell="1" allowOverlap="1">
            <wp:simplePos x="0" y="0"/>
            <wp:positionH relativeFrom="column">
              <wp:posOffset>0</wp:posOffset>
            </wp:positionH>
            <wp:positionV relativeFrom="paragraph">
              <wp:posOffset>229235</wp:posOffset>
            </wp:positionV>
            <wp:extent cx="5610860" cy="2779395"/>
            <wp:effectExtent l="0" t="0" r="8890" b="190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t="6238" b="5438"/>
                    <a:stretch/>
                  </pic:blipFill>
                  <pic:spPr bwMode="auto">
                    <a:xfrm>
                      <a:off x="0" y="0"/>
                      <a:ext cx="5610860" cy="2779395"/>
                    </a:xfrm>
                    <a:prstGeom prst="rect">
                      <a:avLst/>
                    </a:prstGeom>
                    <a:ln>
                      <a:noFill/>
                    </a:ln>
                    <a:extLst>
                      <a:ext uri="{53640926-AAD7-44D8-BBD7-CCE9431645EC}">
                        <a14:shadowObscured xmlns:a14="http://schemas.microsoft.com/office/drawing/2010/main"/>
                      </a:ext>
                    </a:extLst>
                  </pic:spPr>
                </pic:pic>
              </a:graphicData>
            </a:graphic>
          </wp:anchor>
        </w:drawing>
      </w:r>
    </w:p>
    <w:p w:rsidR="00085C63" w:rsidRPr="00676CED" w:rsidRDefault="00085C63" w:rsidP="008C2FDE">
      <w:pPr>
        <w:jc w:val="both"/>
        <w:rPr>
          <w:rFonts w:asciiTheme="minorHAnsi" w:hAnsiTheme="minorHAnsi" w:cstheme="minorHAnsi"/>
        </w:rPr>
      </w:pPr>
    </w:p>
    <w:p w:rsidR="008C2FDE" w:rsidRDefault="00085C63" w:rsidP="008C2FDE">
      <w:pPr>
        <w:spacing w:after="150"/>
        <w:outlineLvl w:val="1"/>
        <w:rPr>
          <w:rFonts w:asciiTheme="minorHAnsi" w:hAnsiTheme="minorHAnsi" w:cstheme="minorHAnsi"/>
          <w:b/>
          <w:bCs/>
        </w:rPr>
      </w:pPr>
      <w:r w:rsidRPr="00676CED">
        <w:rPr>
          <w:rFonts w:asciiTheme="minorHAnsi" w:hAnsiTheme="minorHAnsi" w:cstheme="minorHAnsi"/>
          <w:noProof/>
          <w:lang w:eastAsia="es-MX"/>
        </w:rPr>
        <w:drawing>
          <wp:anchor distT="0" distB="0" distL="114300" distR="114300" simplePos="0" relativeHeight="251669504" behindDoc="0" locked="0" layoutInCell="1" allowOverlap="1">
            <wp:simplePos x="0" y="0"/>
            <wp:positionH relativeFrom="column">
              <wp:posOffset>0</wp:posOffset>
            </wp:positionH>
            <wp:positionV relativeFrom="paragraph">
              <wp:posOffset>445770</wp:posOffset>
            </wp:positionV>
            <wp:extent cx="5610225" cy="2968625"/>
            <wp:effectExtent l="0" t="0" r="9525" b="3175"/>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t="4682"/>
                    <a:stretch/>
                  </pic:blipFill>
                  <pic:spPr bwMode="auto">
                    <a:xfrm>
                      <a:off x="0" y="0"/>
                      <a:ext cx="5610225" cy="2968625"/>
                    </a:xfrm>
                    <a:prstGeom prst="rect">
                      <a:avLst/>
                    </a:prstGeom>
                    <a:ln>
                      <a:noFill/>
                    </a:ln>
                    <a:extLst>
                      <a:ext uri="{53640926-AAD7-44D8-BBD7-CCE9431645EC}">
                        <a14:shadowObscured xmlns:a14="http://schemas.microsoft.com/office/drawing/2010/main"/>
                      </a:ext>
                    </a:extLst>
                  </pic:spPr>
                </pic:pic>
              </a:graphicData>
            </a:graphic>
          </wp:anchor>
        </w:drawing>
      </w:r>
    </w:p>
    <w:p w:rsidR="00085C63" w:rsidRDefault="00085C63" w:rsidP="008C2FDE">
      <w:pPr>
        <w:spacing w:after="150"/>
        <w:outlineLvl w:val="1"/>
        <w:rPr>
          <w:rFonts w:asciiTheme="minorHAnsi" w:hAnsiTheme="minorHAnsi" w:cstheme="minorHAnsi"/>
          <w:b/>
          <w:bCs/>
        </w:rPr>
      </w:pPr>
    </w:p>
    <w:p w:rsidR="00085C63" w:rsidRDefault="00085C63" w:rsidP="008C2FDE">
      <w:pPr>
        <w:spacing w:after="150"/>
        <w:outlineLvl w:val="1"/>
        <w:rPr>
          <w:rFonts w:asciiTheme="minorHAnsi" w:hAnsiTheme="minorHAnsi" w:cstheme="minorHAnsi"/>
          <w:b/>
          <w:bCs/>
        </w:rPr>
      </w:pPr>
    </w:p>
    <w:p w:rsidR="00B73D95" w:rsidRDefault="00C264F4" w:rsidP="00B73D95">
      <w:pPr>
        <w:spacing w:after="0"/>
        <w:outlineLvl w:val="1"/>
        <w:rPr>
          <w:rFonts w:asciiTheme="minorHAnsi" w:hAnsiTheme="minorHAnsi" w:cstheme="minorHAnsi"/>
          <w:sz w:val="20"/>
          <w:szCs w:val="20"/>
        </w:rPr>
      </w:pPr>
      <w:r>
        <w:rPr>
          <w:rFonts w:asciiTheme="minorHAnsi" w:hAnsiTheme="minorHAnsi" w:cstheme="minorHAnsi"/>
          <w:b/>
          <w:bCs/>
        </w:rPr>
        <w:lastRenderedPageBreak/>
        <w:t>1.</w:t>
      </w:r>
      <w:r w:rsidR="008C2FDE" w:rsidRPr="008C2FDE">
        <w:rPr>
          <w:rFonts w:asciiTheme="minorHAnsi" w:hAnsiTheme="minorHAnsi" w:cstheme="minorHAnsi"/>
          <w:b/>
          <w:bCs/>
        </w:rPr>
        <w:t>1.2.- El crecimiento se ha ido ralentizando.</w:t>
      </w:r>
      <w:r w:rsidR="008C2FDE" w:rsidRPr="008C2FDE">
        <w:rPr>
          <w:rFonts w:asciiTheme="minorHAnsi" w:hAnsiTheme="minorHAnsi" w:cstheme="minorHAnsi"/>
        </w:rPr>
        <w:br/>
      </w:r>
    </w:p>
    <w:p w:rsidR="008C2FDE" w:rsidRPr="00E50807" w:rsidRDefault="008C2FDE" w:rsidP="00E50807">
      <w:pPr>
        <w:spacing w:after="0"/>
        <w:jc w:val="both"/>
        <w:outlineLvl w:val="1"/>
        <w:rPr>
          <w:rFonts w:asciiTheme="minorHAnsi" w:hAnsiTheme="minorHAnsi" w:cstheme="minorHAnsi"/>
          <w:sz w:val="21"/>
          <w:szCs w:val="21"/>
        </w:rPr>
      </w:pPr>
      <w:r w:rsidRPr="00E50807">
        <w:rPr>
          <w:rFonts w:asciiTheme="minorHAnsi" w:hAnsiTheme="minorHAnsi" w:cstheme="minorHAnsi"/>
          <w:sz w:val="21"/>
          <w:szCs w:val="21"/>
        </w:rPr>
        <w:t>Se prevé que factores como el endurecimiento de la política monetaria, el aumento de las tasas de interés reales, la persistencia de los elevados precios de la energía, el débil crecimiento de los ingresos reales de los hogares y el descenso de la confianza debiliten, todos ellos, el crecimiento. Estados Unidos y Europa están experimentando una brusca desaceleración y se prevé que, en 2023, las principales economías de mercado emergentes de Asia representen cerca de tres cuartas partes del crecimiento del PIB mundial.</w:t>
      </w:r>
    </w:p>
    <w:p w:rsidR="008C2FDE" w:rsidRPr="00E50807" w:rsidRDefault="008C2FDE" w:rsidP="00E50807">
      <w:pPr>
        <w:pStyle w:val="Ttulo2"/>
        <w:spacing w:before="0"/>
        <w:jc w:val="both"/>
        <w:rPr>
          <w:rFonts w:asciiTheme="minorHAnsi" w:hAnsiTheme="minorHAnsi" w:cstheme="minorHAnsi"/>
          <w:color w:val="auto"/>
          <w:sz w:val="21"/>
          <w:szCs w:val="21"/>
        </w:rPr>
      </w:pPr>
      <w:r w:rsidRPr="00E50807">
        <w:rPr>
          <w:rFonts w:asciiTheme="minorHAnsi" w:hAnsiTheme="minorHAnsi" w:cstheme="minorHAnsi"/>
          <w:color w:val="auto"/>
          <w:sz w:val="21"/>
          <w:szCs w:val="21"/>
        </w:rPr>
        <w:t>La inflación seguirá siendo elevada e</w:t>
      </w:r>
      <w:r w:rsidR="00060D88" w:rsidRPr="00E50807">
        <w:rPr>
          <w:rFonts w:asciiTheme="minorHAnsi" w:hAnsiTheme="minorHAnsi" w:cstheme="minorHAnsi"/>
          <w:color w:val="auto"/>
          <w:sz w:val="21"/>
          <w:szCs w:val="21"/>
        </w:rPr>
        <w:t>n 2023, pero debería moderarse.</w:t>
      </w:r>
    </w:p>
    <w:p w:rsidR="008C2FDE" w:rsidRPr="00E50807" w:rsidRDefault="008C2FDE" w:rsidP="00E50807">
      <w:pPr>
        <w:pStyle w:val="NormalWeb"/>
        <w:spacing w:before="0" w:beforeAutospacing="0" w:after="0" w:afterAutospacing="0"/>
        <w:jc w:val="both"/>
        <w:rPr>
          <w:rFonts w:asciiTheme="minorHAnsi" w:hAnsiTheme="minorHAnsi" w:cstheme="minorHAnsi"/>
          <w:sz w:val="21"/>
          <w:szCs w:val="21"/>
        </w:rPr>
      </w:pPr>
      <w:r w:rsidRPr="00E50807">
        <w:rPr>
          <w:rFonts w:asciiTheme="minorHAnsi" w:hAnsiTheme="minorHAnsi" w:cstheme="minorHAnsi"/>
          <w:sz w:val="21"/>
          <w:szCs w:val="21"/>
        </w:rPr>
        <w:t>Las presiones inflacionistas se han intensificado, en gran parte debido a la guerra en Ucrania, que ha hecho subir los precios de la energía y de las materias primas alimentarias. El encarecimiento de la energía ha contribuido a que aumenten los precios en una amplia canasta de bienes y servicios. El endurecimiento de la política monetaria y la desaceleración del crecimiento contribuirán a que eventualmente se modere la inflación.</w:t>
      </w:r>
    </w:p>
    <w:p w:rsidR="008C2FDE" w:rsidRPr="00E850D6" w:rsidRDefault="008C2FDE" w:rsidP="00B73D95">
      <w:pPr>
        <w:pStyle w:val="NormalWeb"/>
        <w:spacing w:before="0" w:beforeAutospacing="0" w:after="0" w:afterAutospacing="0"/>
        <w:jc w:val="both"/>
        <w:rPr>
          <w:rFonts w:asciiTheme="minorHAnsi" w:hAnsiTheme="minorHAnsi" w:cstheme="minorHAnsi"/>
          <w:sz w:val="18"/>
          <w:szCs w:val="18"/>
        </w:rPr>
      </w:pPr>
    </w:p>
    <w:p w:rsidR="008C2FDE" w:rsidRPr="00060D88" w:rsidRDefault="00C264F4" w:rsidP="00B73D95">
      <w:pPr>
        <w:pStyle w:val="NormalWeb"/>
        <w:spacing w:before="0" w:beforeAutospacing="0" w:after="0" w:afterAutospacing="0"/>
        <w:jc w:val="both"/>
        <w:rPr>
          <w:rFonts w:asciiTheme="minorHAnsi" w:hAnsiTheme="minorHAnsi" w:cstheme="minorHAnsi"/>
          <w:b/>
          <w:bCs/>
          <w:sz w:val="22"/>
          <w:szCs w:val="22"/>
        </w:rPr>
      </w:pPr>
      <w:r>
        <w:rPr>
          <w:rFonts w:asciiTheme="minorHAnsi" w:hAnsiTheme="minorHAnsi" w:cstheme="minorHAnsi"/>
          <w:b/>
          <w:bCs/>
          <w:sz w:val="22"/>
          <w:szCs w:val="22"/>
        </w:rPr>
        <w:t>1.</w:t>
      </w:r>
      <w:r w:rsidR="008C2FDE" w:rsidRPr="00060D88">
        <w:rPr>
          <w:rFonts w:asciiTheme="minorHAnsi" w:hAnsiTheme="minorHAnsi" w:cstheme="minorHAnsi"/>
          <w:b/>
          <w:bCs/>
          <w:sz w:val="22"/>
          <w:szCs w:val="22"/>
        </w:rPr>
        <w:t>1.3.- Mercado de valores al cierre 2022.-</w:t>
      </w:r>
    </w:p>
    <w:p w:rsidR="008C2FDE" w:rsidRPr="00E850D6" w:rsidRDefault="008C2FDE" w:rsidP="00B73D95">
      <w:pPr>
        <w:pStyle w:val="NormalWeb"/>
        <w:spacing w:before="0" w:beforeAutospacing="0" w:after="0" w:afterAutospacing="0"/>
        <w:jc w:val="both"/>
        <w:rPr>
          <w:rFonts w:asciiTheme="minorHAnsi" w:hAnsiTheme="minorHAnsi" w:cstheme="minorHAnsi"/>
          <w:sz w:val="18"/>
          <w:szCs w:val="18"/>
        </w:rPr>
      </w:pPr>
    </w:p>
    <w:p w:rsidR="008C2FDE" w:rsidRPr="00E50807" w:rsidRDefault="008C2FDE" w:rsidP="00B73D95">
      <w:pPr>
        <w:spacing w:after="0"/>
        <w:jc w:val="both"/>
        <w:rPr>
          <w:rFonts w:asciiTheme="minorHAnsi" w:hAnsiTheme="minorHAnsi" w:cstheme="minorHAnsi"/>
          <w:sz w:val="21"/>
          <w:szCs w:val="21"/>
        </w:rPr>
      </w:pPr>
      <w:r w:rsidRPr="00E50807">
        <w:rPr>
          <w:rFonts w:asciiTheme="minorHAnsi" w:hAnsiTheme="minorHAnsi" w:cstheme="minorHAnsi"/>
          <w:sz w:val="21"/>
          <w:szCs w:val="21"/>
        </w:rPr>
        <w:t>La Gran Moderación, el período de cuatro décadas de actividad e inflación en gran medida estables, ha quedado atrás, el nuevo régimen de mayor volatilidad económica y del mercado está ocurriendo, y no se va a ir a ningún lado, los bancos centrales están causando deliberadamente recesiones mediante un gran endurecimiento de la política para intentar mantener el control en la inflación, eso hace presagiar la recesión, los bancos centrales finalmente retrocedieron de los aumentos en las tasas a medida que el daño económico se vuelve claro.</w:t>
      </w:r>
    </w:p>
    <w:p w:rsidR="008C2FDE" w:rsidRPr="00E50807" w:rsidRDefault="008C2FDE" w:rsidP="008C2FDE">
      <w:pPr>
        <w:jc w:val="both"/>
        <w:rPr>
          <w:rFonts w:asciiTheme="minorHAnsi" w:hAnsiTheme="minorHAnsi" w:cstheme="minorHAnsi"/>
          <w:sz w:val="21"/>
          <w:szCs w:val="21"/>
        </w:rPr>
      </w:pPr>
      <w:r w:rsidRPr="00E50807">
        <w:rPr>
          <w:rFonts w:asciiTheme="minorHAnsi" w:hAnsiTheme="minorHAnsi" w:cstheme="minorHAnsi"/>
          <w:sz w:val="21"/>
          <w:szCs w:val="21"/>
        </w:rPr>
        <w:t>Se espera que la inflación se enfríe, pero que se mantenga persistentemente más alta que los objetivos del banco central del 2 %. Las constantes sorpresas de inflación han elevado el rendimiento de los bonos aplastando a los instrumentos de renta variable y los de renta fija, dicha volatilidad se diferencia mucho de la era de la Gran Moderación.</w:t>
      </w:r>
    </w:p>
    <w:p w:rsidR="008C2FDE" w:rsidRPr="00E50807" w:rsidRDefault="008C2FDE" w:rsidP="008C2FDE">
      <w:pPr>
        <w:jc w:val="both"/>
        <w:rPr>
          <w:rFonts w:asciiTheme="minorHAnsi" w:hAnsiTheme="minorHAnsi" w:cstheme="minorHAnsi"/>
          <w:sz w:val="21"/>
          <w:szCs w:val="21"/>
        </w:rPr>
      </w:pPr>
      <w:r w:rsidRPr="00E50807">
        <w:rPr>
          <w:rFonts w:asciiTheme="minorHAnsi" w:hAnsiTheme="minorHAnsi" w:cstheme="minorHAnsi"/>
          <w:sz w:val="21"/>
          <w:szCs w:val="21"/>
        </w:rPr>
        <w:t xml:space="preserve">Una característica clave del nuevo régimen que estamos en un mundo caracterizado por las limitaciones de producción. El cambio pandémico en el gasto de los consumidores de servicios a bienes causó escasez y cuellos de botella. El envejecimiento de las poblaciones llevó a la escasez de trabajadores. Esto significa que los mercados desarrollados no pueden producir tanto como antes sin crear presión de inflación. Es por eso que la inflación es tan alta ahora, aunque la actividad está por debajo de su tendencia previa al </w:t>
      </w:r>
      <w:proofErr w:type="spellStart"/>
      <w:r w:rsidRPr="00E50807">
        <w:rPr>
          <w:rFonts w:asciiTheme="minorHAnsi" w:hAnsiTheme="minorHAnsi" w:cstheme="minorHAnsi"/>
          <w:sz w:val="21"/>
          <w:szCs w:val="21"/>
        </w:rPr>
        <w:t>COVID</w:t>
      </w:r>
      <w:proofErr w:type="spellEnd"/>
      <w:r w:rsidRPr="00E50807">
        <w:rPr>
          <w:rFonts w:asciiTheme="minorHAnsi" w:hAnsiTheme="minorHAnsi" w:cstheme="minorHAnsi"/>
          <w:sz w:val="21"/>
          <w:szCs w:val="21"/>
        </w:rPr>
        <w:t>.</w:t>
      </w:r>
    </w:p>
    <w:p w:rsidR="008C2FDE" w:rsidRPr="00060D88" w:rsidRDefault="00C264F4" w:rsidP="008C2FDE">
      <w:pPr>
        <w:rPr>
          <w:rFonts w:asciiTheme="minorHAnsi" w:hAnsiTheme="minorHAnsi" w:cstheme="minorHAnsi"/>
          <w:b/>
          <w:bCs/>
        </w:rPr>
      </w:pPr>
      <w:r>
        <w:rPr>
          <w:rFonts w:asciiTheme="minorHAnsi" w:hAnsiTheme="minorHAnsi" w:cstheme="minorHAnsi"/>
          <w:b/>
          <w:bCs/>
        </w:rPr>
        <w:t>1.</w:t>
      </w:r>
      <w:r w:rsidR="008C2FDE" w:rsidRPr="00060D88">
        <w:rPr>
          <w:rFonts w:asciiTheme="minorHAnsi" w:hAnsiTheme="minorHAnsi" w:cstheme="minorHAnsi"/>
          <w:b/>
          <w:bCs/>
        </w:rPr>
        <w:t>1.4.- Producto Intern</w:t>
      </w:r>
      <w:r w:rsidR="00060D88">
        <w:rPr>
          <w:rFonts w:asciiTheme="minorHAnsi" w:hAnsiTheme="minorHAnsi" w:cstheme="minorHAnsi"/>
          <w:b/>
          <w:bCs/>
        </w:rPr>
        <w:t>o Bruto.</w:t>
      </w:r>
    </w:p>
    <w:p w:rsidR="008C2FDE" w:rsidRPr="00E50807" w:rsidRDefault="008C2FDE" w:rsidP="008C2FDE">
      <w:pPr>
        <w:jc w:val="both"/>
        <w:rPr>
          <w:rFonts w:asciiTheme="minorHAnsi" w:hAnsiTheme="minorHAnsi" w:cstheme="minorHAnsi"/>
          <w:sz w:val="21"/>
          <w:szCs w:val="21"/>
          <w:shd w:val="clear" w:color="auto" w:fill="FFFFFF"/>
        </w:rPr>
      </w:pPr>
      <w:r w:rsidRPr="00E50807">
        <w:rPr>
          <w:rFonts w:asciiTheme="minorHAnsi" w:hAnsiTheme="minorHAnsi" w:cstheme="minorHAnsi"/>
          <w:sz w:val="21"/>
          <w:szCs w:val="21"/>
          <w:shd w:val="clear" w:color="auto" w:fill="FFFFFF"/>
        </w:rPr>
        <w:t xml:space="preserve">Se proyecta que el crecimiento mundial se desacelerará al 1,7 % en 2023, el tercer ritmo más débil en casi tres décadas, solo opacado por las recesiones mundiales de 2009 y 2020. Esta desaceleración se debe en parte a la aplicación de políticas restrictivas destinadas a frenar la alta inflación. Choques negativos, como una mayor inflación, políticas más restrictivas o tensión financiera, podrían empujar a la economía mundial a una recesión. Se necesitan medidas inmediatas para mitigar los riesgos de recesión mundial y sobreendeudamiento. También es esencial que los responsables de la formulación de políticas se aseguren que el apoyo se focalice en los grupos vulnerables, las expectativas inflacionarias se mantengan bien ancladas y los sistemas financieros sigan siendo </w:t>
      </w:r>
      <w:proofErr w:type="spellStart"/>
      <w:r w:rsidRPr="00E50807">
        <w:rPr>
          <w:rFonts w:asciiTheme="minorHAnsi" w:hAnsiTheme="minorHAnsi" w:cstheme="minorHAnsi"/>
          <w:sz w:val="21"/>
          <w:szCs w:val="21"/>
          <w:shd w:val="clear" w:color="auto" w:fill="FFFFFF"/>
        </w:rPr>
        <w:t>resilientes</w:t>
      </w:r>
      <w:proofErr w:type="spellEnd"/>
      <w:r w:rsidRPr="00E50807">
        <w:rPr>
          <w:rFonts w:asciiTheme="minorHAnsi" w:hAnsiTheme="minorHAnsi" w:cstheme="minorHAnsi"/>
          <w:sz w:val="21"/>
          <w:szCs w:val="21"/>
          <w:shd w:val="clear" w:color="auto" w:fill="FFFFFF"/>
        </w:rPr>
        <w:t>. </w:t>
      </w:r>
    </w:p>
    <w:p w:rsidR="008C2FDE" w:rsidRDefault="008C2FDE" w:rsidP="008C2FDE">
      <w:pPr>
        <w:jc w:val="both"/>
        <w:rPr>
          <w:rFonts w:asciiTheme="minorHAnsi" w:hAnsiTheme="minorHAnsi" w:cstheme="minorHAnsi"/>
          <w:color w:val="333333"/>
          <w:sz w:val="18"/>
          <w:szCs w:val="18"/>
          <w:shd w:val="clear" w:color="auto" w:fill="FFFFFF"/>
        </w:rPr>
      </w:pPr>
    </w:p>
    <w:p w:rsidR="008C2FDE" w:rsidRPr="00060D88" w:rsidRDefault="008C2FDE" w:rsidP="008C2FDE">
      <w:pPr>
        <w:jc w:val="both"/>
        <w:rPr>
          <w:sz w:val="20"/>
          <w:szCs w:val="20"/>
          <w:lang w:eastAsia="es-MX"/>
        </w:rPr>
      </w:pPr>
      <w:r w:rsidRPr="00060D88">
        <w:lastRenderedPageBreak/>
        <w:fldChar w:fldCharType="begin"/>
      </w:r>
      <w:r w:rsidRPr="00060D88">
        <w:instrText xml:space="preserve"> LINK Excel.Sheet.12 "Libro2" "Hoja2!F3C4:F53C10" \a \f 4 \h </w:instrText>
      </w:r>
      <w:r w:rsidR="00060D88">
        <w:instrText xml:space="preserve"> \* MERGEFORMAT </w:instrText>
      </w:r>
      <w:r w:rsidRPr="00060D88">
        <w:fldChar w:fldCharType="separate"/>
      </w:r>
    </w:p>
    <w:tbl>
      <w:tblPr>
        <w:tblW w:w="8774" w:type="dxa"/>
        <w:tblCellMar>
          <w:left w:w="70" w:type="dxa"/>
          <w:right w:w="70" w:type="dxa"/>
        </w:tblCellMar>
        <w:tblLook w:val="04A0" w:firstRow="1" w:lastRow="0" w:firstColumn="1" w:lastColumn="0" w:noHBand="0" w:noVBand="1"/>
      </w:tblPr>
      <w:tblGrid>
        <w:gridCol w:w="1134"/>
        <w:gridCol w:w="1180"/>
        <w:gridCol w:w="1654"/>
        <w:gridCol w:w="6"/>
        <w:gridCol w:w="1194"/>
        <w:gridCol w:w="6"/>
        <w:gridCol w:w="1194"/>
        <w:gridCol w:w="6"/>
        <w:gridCol w:w="1194"/>
        <w:gridCol w:w="6"/>
        <w:gridCol w:w="1194"/>
        <w:gridCol w:w="6"/>
      </w:tblGrid>
      <w:tr w:rsidR="008C2FDE" w:rsidRPr="00060D88" w:rsidTr="00060D88">
        <w:trPr>
          <w:trHeight w:val="300"/>
        </w:trPr>
        <w:tc>
          <w:tcPr>
            <w:tcW w:w="1134" w:type="dxa"/>
            <w:tcBorders>
              <w:top w:val="nil"/>
              <w:left w:val="nil"/>
              <w:bottom w:val="nil"/>
              <w:right w:val="nil"/>
            </w:tcBorders>
            <w:shd w:val="clear" w:color="auto" w:fill="auto"/>
            <w:noWrap/>
            <w:vAlign w:val="center"/>
            <w:hideMark/>
          </w:tcPr>
          <w:p w:rsidR="008C2FDE" w:rsidRPr="00060D88" w:rsidRDefault="008C2FDE" w:rsidP="00060D88">
            <w:pPr>
              <w:spacing w:after="0" w:line="240" w:lineRule="auto"/>
              <w:rPr>
                <w:rFonts w:eastAsia="Times New Roman" w:cs="Calibri"/>
                <w:b/>
                <w:bCs/>
                <w:color w:val="000000"/>
                <w:sz w:val="16"/>
                <w:szCs w:val="16"/>
                <w:lang w:eastAsia="es-MX"/>
              </w:rPr>
            </w:pPr>
            <w:r w:rsidRPr="00060D88">
              <w:rPr>
                <w:rFonts w:eastAsia="Times New Roman" w:cs="Calibri"/>
                <w:b/>
                <w:bCs/>
                <w:color w:val="000000"/>
                <w:sz w:val="16"/>
                <w:szCs w:val="16"/>
                <w:lang w:eastAsia="es-MX"/>
              </w:rPr>
              <w:t>PIB Real</w:t>
            </w:r>
            <w:r w:rsidRPr="00060D88">
              <w:rPr>
                <w:rFonts w:eastAsia="Times New Roman" w:cs="Calibri"/>
                <w:color w:val="000000"/>
                <w:sz w:val="16"/>
                <w:szCs w:val="16"/>
                <w:vertAlign w:val="superscript"/>
                <w:lang w:eastAsia="es-MX"/>
              </w:rPr>
              <w:t>1</w:t>
            </w:r>
          </w:p>
        </w:tc>
        <w:tc>
          <w:tcPr>
            <w:tcW w:w="1180" w:type="dxa"/>
            <w:tcBorders>
              <w:top w:val="nil"/>
              <w:left w:val="nil"/>
              <w:bottom w:val="nil"/>
              <w:right w:val="nil"/>
            </w:tcBorders>
            <w:shd w:val="clear" w:color="auto" w:fill="auto"/>
            <w:noWrap/>
            <w:vAlign w:val="center"/>
            <w:hideMark/>
          </w:tcPr>
          <w:p w:rsidR="008C2FDE" w:rsidRPr="00060D88" w:rsidRDefault="008C2FDE" w:rsidP="00060D88">
            <w:pPr>
              <w:spacing w:after="0" w:line="240" w:lineRule="auto"/>
              <w:rPr>
                <w:rFonts w:eastAsia="Times New Roman" w:cs="Calibri"/>
                <w:b/>
                <w:bCs/>
                <w:color w:val="000000"/>
                <w:sz w:val="16"/>
                <w:szCs w:val="16"/>
                <w:lang w:eastAsia="es-MX"/>
              </w:rPr>
            </w:pPr>
          </w:p>
        </w:tc>
        <w:tc>
          <w:tcPr>
            <w:tcW w:w="166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rPr>
                <w:rFonts w:ascii="Times New Roman" w:eastAsia="Times New Roman" w:hAnsi="Times New Roman"/>
                <w:sz w:val="20"/>
                <w:szCs w:val="20"/>
                <w:lang w:eastAsia="es-MX"/>
              </w:rPr>
            </w:pP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rPr>
                <w:rFonts w:ascii="Times New Roman" w:eastAsia="Times New Roman" w:hAnsi="Times New Roman"/>
                <w:sz w:val="20"/>
                <w:szCs w:val="20"/>
                <w:lang w:eastAsia="es-MX"/>
              </w:rPr>
            </w:pP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rPr>
                <w:rFonts w:ascii="Times New Roman" w:eastAsia="Times New Roman" w:hAnsi="Times New Roman"/>
                <w:sz w:val="20"/>
                <w:szCs w:val="20"/>
                <w:lang w:eastAsia="es-MX"/>
              </w:rPr>
            </w:pP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rPr>
                <w:rFonts w:ascii="Times New Roman" w:eastAsia="Times New Roman" w:hAnsi="Times New Roman"/>
                <w:sz w:val="20"/>
                <w:szCs w:val="20"/>
                <w:lang w:eastAsia="es-MX"/>
              </w:rPr>
            </w:pP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rPr>
                <w:rFonts w:ascii="Times New Roman" w:eastAsia="Times New Roman" w:hAnsi="Times New Roman"/>
                <w:sz w:val="20"/>
                <w:szCs w:val="20"/>
                <w:lang w:eastAsia="es-MX"/>
              </w:rPr>
            </w:pPr>
          </w:p>
        </w:tc>
      </w:tr>
      <w:tr w:rsidR="008C2FDE" w:rsidRPr="00060D88" w:rsidTr="00060D88">
        <w:trPr>
          <w:gridAfter w:val="1"/>
          <w:wAfter w:w="6" w:type="dxa"/>
          <w:trHeight w:val="450"/>
        </w:trPr>
        <w:tc>
          <w:tcPr>
            <w:tcW w:w="3968" w:type="dxa"/>
            <w:gridSpan w:val="3"/>
            <w:tcBorders>
              <w:top w:val="nil"/>
              <w:left w:val="nil"/>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(Variación porcentual respecto del año anterior, a menos que se indique otra cosa)</w:t>
            </w:r>
          </w:p>
        </w:tc>
        <w:tc>
          <w:tcPr>
            <w:tcW w:w="1200" w:type="dxa"/>
            <w:gridSpan w:val="2"/>
            <w:tcBorders>
              <w:top w:val="nil"/>
              <w:left w:val="nil"/>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p>
        </w:tc>
        <w:tc>
          <w:tcPr>
            <w:tcW w:w="1200" w:type="dxa"/>
            <w:gridSpan w:val="2"/>
            <w:tcBorders>
              <w:top w:val="nil"/>
              <w:left w:val="nil"/>
              <w:bottom w:val="nil"/>
              <w:right w:val="nil"/>
            </w:tcBorders>
            <w:shd w:val="clear" w:color="auto" w:fill="auto"/>
            <w:vAlign w:val="center"/>
            <w:hideMark/>
          </w:tcPr>
          <w:p w:rsidR="008C2FDE" w:rsidRPr="00060D88" w:rsidRDefault="008C2FDE" w:rsidP="00060D88">
            <w:pPr>
              <w:spacing w:after="0" w:line="240" w:lineRule="auto"/>
              <w:rPr>
                <w:rFonts w:ascii="Times New Roman" w:eastAsia="Times New Roman" w:hAnsi="Times New Roman"/>
                <w:sz w:val="20"/>
                <w:szCs w:val="20"/>
                <w:lang w:eastAsia="es-MX"/>
              </w:rPr>
            </w:pPr>
          </w:p>
        </w:tc>
        <w:tc>
          <w:tcPr>
            <w:tcW w:w="1200" w:type="dxa"/>
            <w:gridSpan w:val="2"/>
            <w:tcBorders>
              <w:top w:val="nil"/>
              <w:left w:val="nil"/>
              <w:bottom w:val="nil"/>
              <w:right w:val="nil"/>
            </w:tcBorders>
            <w:shd w:val="clear" w:color="auto" w:fill="auto"/>
            <w:vAlign w:val="center"/>
            <w:hideMark/>
          </w:tcPr>
          <w:p w:rsidR="008C2FDE" w:rsidRPr="00060D88" w:rsidRDefault="008C2FDE" w:rsidP="00060D88">
            <w:pPr>
              <w:spacing w:after="0" w:line="240" w:lineRule="auto"/>
              <w:rPr>
                <w:rFonts w:ascii="Times New Roman" w:eastAsia="Times New Roman" w:hAnsi="Times New Roman"/>
                <w:sz w:val="20"/>
                <w:szCs w:val="20"/>
                <w:lang w:eastAsia="es-MX"/>
              </w:rPr>
            </w:pPr>
          </w:p>
        </w:tc>
        <w:tc>
          <w:tcPr>
            <w:tcW w:w="1200" w:type="dxa"/>
            <w:gridSpan w:val="2"/>
            <w:tcBorders>
              <w:top w:val="nil"/>
              <w:left w:val="nil"/>
              <w:bottom w:val="nil"/>
              <w:right w:val="nil"/>
            </w:tcBorders>
            <w:shd w:val="clear" w:color="auto" w:fill="auto"/>
            <w:vAlign w:val="center"/>
            <w:hideMark/>
          </w:tcPr>
          <w:p w:rsidR="008C2FDE" w:rsidRPr="00060D88" w:rsidRDefault="008C2FDE" w:rsidP="00060D88">
            <w:pPr>
              <w:spacing w:after="0" w:line="240" w:lineRule="auto"/>
              <w:rPr>
                <w:rFonts w:ascii="Times New Roman" w:eastAsia="Times New Roman" w:hAnsi="Times New Roman"/>
                <w:sz w:val="20"/>
                <w:szCs w:val="20"/>
                <w:lang w:eastAsia="es-MX"/>
              </w:rPr>
            </w:pPr>
          </w:p>
        </w:tc>
      </w:tr>
      <w:tr w:rsidR="008C2FDE" w:rsidRPr="00060D88" w:rsidTr="00060D88">
        <w:trPr>
          <w:trHeight w:val="675"/>
        </w:trPr>
        <w:tc>
          <w:tcPr>
            <w:tcW w:w="1134" w:type="dxa"/>
            <w:tcBorders>
              <w:top w:val="nil"/>
              <w:left w:val="nil"/>
              <w:bottom w:val="single" w:sz="8" w:space="0" w:color="auto"/>
              <w:right w:val="nil"/>
            </w:tcBorders>
            <w:shd w:val="clear" w:color="auto" w:fill="auto"/>
            <w:noWrap/>
            <w:vAlign w:val="bottom"/>
            <w:hideMark/>
          </w:tcPr>
          <w:p w:rsidR="008C2FDE" w:rsidRPr="00060D88" w:rsidRDefault="008C2FDE" w:rsidP="00060D88">
            <w:pPr>
              <w:spacing w:after="0" w:line="240" w:lineRule="auto"/>
              <w:rPr>
                <w:rFonts w:ascii="Times New Roman" w:eastAsia="Times New Roman" w:hAnsi="Times New Roman"/>
                <w:sz w:val="20"/>
                <w:szCs w:val="20"/>
                <w:lang w:eastAsia="es-MX"/>
              </w:rPr>
            </w:pPr>
          </w:p>
        </w:tc>
        <w:tc>
          <w:tcPr>
            <w:tcW w:w="1180" w:type="dxa"/>
            <w:tcBorders>
              <w:top w:val="nil"/>
              <w:left w:val="nil"/>
              <w:bottom w:val="nil"/>
              <w:right w:val="nil"/>
            </w:tcBorders>
            <w:shd w:val="clear" w:color="auto" w:fill="auto"/>
            <w:vAlign w:val="center"/>
            <w:hideMark/>
          </w:tcPr>
          <w:p w:rsidR="008C2FDE" w:rsidRPr="00060D88" w:rsidRDefault="008C2FDE" w:rsidP="00060D88">
            <w:pPr>
              <w:spacing w:after="0" w:line="240" w:lineRule="auto"/>
              <w:rPr>
                <w:rFonts w:ascii="Times New Roman" w:eastAsia="Times New Roman" w:hAnsi="Times New Roman"/>
                <w:sz w:val="20"/>
                <w:szCs w:val="20"/>
                <w:lang w:eastAsia="es-MX"/>
              </w:rPr>
            </w:pPr>
          </w:p>
        </w:tc>
        <w:tc>
          <w:tcPr>
            <w:tcW w:w="1660" w:type="dxa"/>
            <w:gridSpan w:val="2"/>
            <w:tcBorders>
              <w:top w:val="nil"/>
              <w:left w:val="nil"/>
              <w:bottom w:val="nil"/>
              <w:right w:val="nil"/>
            </w:tcBorders>
            <w:shd w:val="clear" w:color="auto" w:fill="auto"/>
            <w:hideMark/>
          </w:tcPr>
          <w:p w:rsidR="008C2FDE" w:rsidRPr="00060D88" w:rsidRDefault="008C2FDE" w:rsidP="00060D88">
            <w:pPr>
              <w:spacing w:after="0" w:line="240" w:lineRule="auto"/>
              <w:rPr>
                <w:rFonts w:ascii="Times New Roman" w:eastAsia="Times New Roman" w:hAnsi="Times New Roman"/>
                <w:sz w:val="20"/>
                <w:szCs w:val="20"/>
                <w:lang w:eastAsia="es-MX"/>
              </w:rPr>
            </w:pPr>
          </w:p>
        </w:tc>
        <w:tc>
          <w:tcPr>
            <w:tcW w:w="4800" w:type="dxa"/>
            <w:gridSpan w:val="8"/>
            <w:tcBorders>
              <w:top w:val="nil"/>
              <w:left w:val="nil"/>
              <w:bottom w:val="single" w:sz="8" w:space="0" w:color="auto"/>
              <w:right w:val="nil"/>
            </w:tcBorders>
            <w:shd w:val="clear" w:color="auto" w:fill="auto"/>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Diferencias de puntos porcentuales con respecto a las proyecciones de junio 2022</w:t>
            </w:r>
          </w:p>
        </w:tc>
      </w:tr>
      <w:tr w:rsidR="008C2FDE" w:rsidRPr="00060D88" w:rsidTr="00060D88">
        <w:trPr>
          <w:trHeight w:val="315"/>
        </w:trPr>
        <w:tc>
          <w:tcPr>
            <w:tcW w:w="1134" w:type="dxa"/>
            <w:tcBorders>
              <w:top w:val="single" w:sz="8" w:space="0" w:color="auto"/>
              <w:left w:val="single" w:sz="8" w:space="0" w:color="auto"/>
              <w:bottom w:val="single" w:sz="8" w:space="0" w:color="auto"/>
              <w:right w:val="nil"/>
            </w:tcBorders>
            <w:shd w:val="clear" w:color="000000" w:fill="AB0033"/>
            <w:vAlign w:val="center"/>
            <w:hideMark/>
          </w:tcPr>
          <w:p w:rsidR="008C2FDE" w:rsidRPr="00060D88" w:rsidRDefault="008C2FDE" w:rsidP="00060D88">
            <w:pPr>
              <w:spacing w:after="0" w:line="240" w:lineRule="auto"/>
              <w:rPr>
                <w:rFonts w:eastAsia="Times New Roman" w:cs="Calibri"/>
                <w:color w:val="244062"/>
                <w:sz w:val="16"/>
                <w:szCs w:val="16"/>
                <w:lang w:eastAsia="es-MX"/>
              </w:rPr>
            </w:pPr>
            <w:r w:rsidRPr="00060D88">
              <w:rPr>
                <w:rFonts w:eastAsia="Times New Roman" w:cs="Calibri"/>
                <w:color w:val="244062"/>
                <w:sz w:val="16"/>
                <w:szCs w:val="16"/>
                <w:lang w:eastAsia="es-MX"/>
              </w:rPr>
              <w:t> </w:t>
            </w:r>
          </w:p>
        </w:tc>
        <w:tc>
          <w:tcPr>
            <w:tcW w:w="1180" w:type="dxa"/>
            <w:tcBorders>
              <w:top w:val="single" w:sz="8" w:space="0" w:color="auto"/>
              <w:left w:val="nil"/>
              <w:bottom w:val="single" w:sz="8" w:space="0" w:color="auto"/>
              <w:right w:val="nil"/>
            </w:tcBorders>
            <w:shd w:val="clear" w:color="000000" w:fill="AB0033"/>
            <w:vAlign w:val="center"/>
            <w:hideMark/>
          </w:tcPr>
          <w:p w:rsidR="008C2FDE" w:rsidRPr="00060D88" w:rsidRDefault="008C2FDE" w:rsidP="00060D88">
            <w:pPr>
              <w:spacing w:after="0" w:line="240" w:lineRule="auto"/>
              <w:rPr>
                <w:rFonts w:eastAsia="Times New Roman" w:cs="Calibri"/>
                <w:color w:val="244062"/>
                <w:sz w:val="16"/>
                <w:szCs w:val="16"/>
                <w:lang w:eastAsia="es-MX"/>
              </w:rPr>
            </w:pPr>
            <w:r w:rsidRPr="00060D88">
              <w:rPr>
                <w:rFonts w:eastAsia="Times New Roman" w:cs="Calibri"/>
                <w:color w:val="244062"/>
                <w:sz w:val="16"/>
                <w:szCs w:val="16"/>
                <w:lang w:eastAsia="es-MX"/>
              </w:rPr>
              <w:t> </w:t>
            </w:r>
          </w:p>
        </w:tc>
        <w:tc>
          <w:tcPr>
            <w:tcW w:w="1660" w:type="dxa"/>
            <w:gridSpan w:val="2"/>
            <w:tcBorders>
              <w:top w:val="single" w:sz="8" w:space="0" w:color="auto"/>
              <w:left w:val="nil"/>
              <w:bottom w:val="single" w:sz="8" w:space="0" w:color="auto"/>
              <w:right w:val="nil"/>
            </w:tcBorders>
            <w:shd w:val="clear" w:color="000000" w:fill="AB0033"/>
            <w:vAlign w:val="center"/>
            <w:hideMark/>
          </w:tcPr>
          <w:p w:rsidR="008C2FDE" w:rsidRPr="00060D88" w:rsidRDefault="008C2FDE" w:rsidP="00060D88">
            <w:pPr>
              <w:spacing w:after="0" w:line="240" w:lineRule="auto"/>
              <w:rPr>
                <w:rFonts w:eastAsia="Times New Roman" w:cs="Calibri"/>
                <w:color w:val="244062"/>
                <w:sz w:val="16"/>
                <w:szCs w:val="16"/>
                <w:lang w:eastAsia="es-MX"/>
              </w:rPr>
            </w:pPr>
            <w:r w:rsidRPr="00060D88">
              <w:rPr>
                <w:rFonts w:eastAsia="Times New Roman" w:cs="Calibri"/>
                <w:color w:val="244062"/>
                <w:sz w:val="16"/>
                <w:szCs w:val="16"/>
                <w:lang w:eastAsia="es-MX"/>
              </w:rPr>
              <w:t> </w:t>
            </w:r>
          </w:p>
        </w:tc>
        <w:tc>
          <w:tcPr>
            <w:tcW w:w="1200" w:type="dxa"/>
            <w:gridSpan w:val="2"/>
            <w:tcBorders>
              <w:top w:val="nil"/>
              <w:left w:val="nil"/>
              <w:bottom w:val="single" w:sz="8" w:space="0" w:color="auto"/>
              <w:right w:val="nil"/>
            </w:tcBorders>
            <w:shd w:val="clear" w:color="000000" w:fill="AB0033"/>
            <w:noWrap/>
            <w:vAlign w:val="center"/>
            <w:hideMark/>
          </w:tcPr>
          <w:p w:rsidR="008C2FDE" w:rsidRPr="00060D88" w:rsidRDefault="008C2FDE" w:rsidP="00060D88">
            <w:pPr>
              <w:spacing w:after="0" w:line="240" w:lineRule="auto"/>
              <w:jc w:val="center"/>
              <w:rPr>
                <w:rFonts w:eastAsia="Times New Roman" w:cs="Calibri"/>
                <w:b/>
                <w:bCs/>
                <w:color w:val="FFFFFF"/>
                <w:sz w:val="16"/>
                <w:szCs w:val="16"/>
                <w:lang w:eastAsia="es-MX"/>
              </w:rPr>
            </w:pPr>
            <w:r w:rsidRPr="00060D88">
              <w:rPr>
                <w:rFonts w:eastAsia="Times New Roman" w:cs="Calibri"/>
                <w:b/>
                <w:bCs/>
                <w:color w:val="FFFFFF"/>
                <w:sz w:val="16"/>
                <w:szCs w:val="16"/>
                <w:lang w:eastAsia="es-MX"/>
              </w:rPr>
              <w:t>2022e</w:t>
            </w:r>
          </w:p>
        </w:tc>
        <w:tc>
          <w:tcPr>
            <w:tcW w:w="1200" w:type="dxa"/>
            <w:gridSpan w:val="2"/>
            <w:tcBorders>
              <w:top w:val="nil"/>
              <w:left w:val="nil"/>
              <w:bottom w:val="single" w:sz="8" w:space="0" w:color="auto"/>
              <w:right w:val="nil"/>
            </w:tcBorders>
            <w:shd w:val="clear" w:color="000000" w:fill="AB0033"/>
            <w:noWrap/>
            <w:vAlign w:val="center"/>
            <w:hideMark/>
          </w:tcPr>
          <w:p w:rsidR="008C2FDE" w:rsidRPr="00060D88" w:rsidRDefault="008C2FDE" w:rsidP="00060D88">
            <w:pPr>
              <w:spacing w:after="0" w:line="240" w:lineRule="auto"/>
              <w:jc w:val="center"/>
              <w:rPr>
                <w:rFonts w:eastAsia="Times New Roman" w:cs="Calibri"/>
                <w:b/>
                <w:bCs/>
                <w:color w:val="FFFFFF"/>
                <w:sz w:val="16"/>
                <w:szCs w:val="16"/>
                <w:lang w:eastAsia="es-MX"/>
              </w:rPr>
            </w:pPr>
            <w:r w:rsidRPr="00060D88">
              <w:rPr>
                <w:rFonts w:eastAsia="Times New Roman" w:cs="Calibri"/>
                <w:b/>
                <w:bCs/>
                <w:color w:val="FFFFFF"/>
                <w:sz w:val="16"/>
                <w:szCs w:val="16"/>
                <w:lang w:eastAsia="es-MX"/>
              </w:rPr>
              <w:t>2023f</w:t>
            </w:r>
          </w:p>
        </w:tc>
        <w:tc>
          <w:tcPr>
            <w:tcW w:w="1200" w:type="dxa"/>
            <w:gridSpan w:val="2"/>
            <w:tcBorders>
              <w:top w:val="nil"/>
              <w:left w:val="nil"/>
              <w:bottom w:val="single" w:sz="8" w:space="0" w:color="auto"/>
              <w:right w:val="nil"/>
            </w:tcBorders>
            <w:shd w:val="clear" w:color="000000" w:fill="AB0033"/>
            <w:noWrap/>
            <w:vAlign w:val="center"/>
            <w:hideMark/>
          </w:tcPr>
          <w:p w:rsidR="008C2FDE" w:rsidRPr="00060D88" w:rsidRDefault="008C2FDE" w:rsidP="00060D88">
            <w:pPr>
              <w:spacing w:after="0" w:line="240" w:lineRule="auto"/>
              <w:jc w:val="center"/>
              <w:rPr>
                <w:rFonts w:eastAsia="Times New Roman" w:cs="Calibri"/>
                <w:b/>
                <w:bCs/>
                <w:color w:val="FFFFFF"/>
                <w:sz w:val="16"/>
                <w:szCs w:val="16"/>
                <w:lang w:eastAsia="es-MX"/>
              </w:rPr>
            </w:pPr>
            <w:r w:rsidRPr="00060D88">
              <w:rPr>
                <w:rFonts w:eastAsia="Times New Roman" w:cs="Calibri"/>
                <w:b/>
                <w:bCs/>
                <w:color w:val="FFFFFF"/>
                <w:sz w:val="16"/>
                <w:szCs w:val="16"/>
                <w:lang w:eastAsia="es-MX"/>
              </w:rPr>
              <w:t>2022e</w:t>
            </w:r>
          </w:p>
        </w:tc>
        <w:tc>
          <w:tcPr>
            <w:tcW w:w="1200" w:type="dxa"/>
            <w:gridSpan w:val="2"/>
            <w:tcBorders>
              <w:top w:val="nil"/>
              <w:left w:val="nil"/>
              <w:bottom w:val="single" w:sz="8" w:space="0" w:color="auto"/>
              <w:right w:val="nil"/>
            </w:tcBorders>
            <w:shd w:val="clear" w:color="000000" w:fill="AB0033"/>
            <w:noWrap/>
            <w:vAlign w:val="center"/>
            <w:hideMark/>
          </w:tcPr>
          <w:p w:rsidR="008C2FDE" w:rsidRPr="00060D88" w:rsidRDefault="008C2FDE" w:rsidP="00060D88">
            <w:pPr>
              <w:spacing w:after="0" w:line="240" w:lineRule="auto"/>
              <w:jc w:val="center"/>
              <w:rPr>
                <w:rFonts w:eastAsia="Times New Roman" w:cs="Calibri"/>
                <w:b/>
                <w:bCs/>
                <w:color w:val="FFFFFF"/>
                <w:sz w:val="16"/>
                <w:szCs w:val="16"/>
                <w:lang w:eastAsia="es-MX"/>
              </w:rPr>
            </w:pPr>
            <w:r w:rsidRPr="00060D88">
              <w:rPr>
                <w:rFonts w:eastAsia="Times New Roman" w:cs="Calibri"/>
                <w:b/>
                <w:bCs/>
                <w:color w:val="FFFFFF"/>
                <w:sz w:val="16"/>
                <w:szCs w:val="16"/>
                <w:lang w:eastAsia="es-MX"/>
              </w:rPr>
              <w:t>2023f</w:t>
            </w:r>
          </w:p>
        </w:tc>
      </w:tr>
      <w:tr w:rsidR="008C2FDE" w:rsidRPr="00060D88" w:rsidTr="00060D88">
        <w:trPr>
          <w:trHeight w:val="315"/>
        </w:trPr>
        <w:tc>
          <w:tcPr>
            <w:tcW w:w="1134" w:type="dxa"/>
            <w:tcBorders>
              <w:top w:val="nil"/>
              <w:left w:val="single" w:sz="8" w:space="0" w:color="auto"/>
              <w:bottom w:val="single" w:sz="8" w:space="0" w:color="auto"/>
              <w:right w:val="nil"/>
            </w:tcBorders>
            <w:shd w:val="clear" w:color="auto" w:fill="auto"/>
            <w:noWrap/>
            <w:vAlign w:val="center"/>
            <w:hideMark/>
          </w:tcPr>
          <w:p w:rsidR="008C2FDE" w:rsidRPr="00060D88" w:rsidRDefault="008C2FDE" w:rsidP="00060D88">
            <w:pPr>
              <w:spacing w:after="0" w:line="240" w:lineRule="auto"/>
              <w:rPr>
                <w:rFonts w:eastAsia="Times New Roman" w:cs="Calibri"/>
                <w:b/>
                <w:bCs/>
                <w:color w:val="000000"/>
                <w:sz w:val="16"/>
                <w:szCs w:val="16"/>
                <w:lang w:eastAsia="es-MX"/>
              </w:rPr>
            </w:pPr>
            <w:r w:rsidRPr="00060D88">
              <w:rPr>
                <w:rFonts w:eastAsia="Times New Roman" w:cs="Calibri"/>
                <w:b/>
                <w:bCs/>
                <w:color w:val="000000"/>
                <w:sz w:val="16"/>
                <w:szCs w:val="16"/>
                <w:lang w:eastAsia="es-MX"/>
              </w:rPr>
              <w:t>Mundo</w:t>
            </w:r>
          </w:p>
        </w:tc>
        <w:tc>
          <w:tcPr>
            <w:tcW w:w="1180" w:type="dxa"/>
            <w:tcBorders>
              <w:top w:val="nil"/>
              <w:left w:val="nil"/>
              <w:bottom w:val="single" w:sz="8" w:space="0" w:color="auto"/>
              <w:right w:val="nil"/>
            </w:tcBorders>
            <w:shd w:val="clear" w:color="auto" w:fill="auto"/>
            <w:hideMark/>
          </w:tcPr>
          <w:p w:rsidR="008C2FDE" w:rsidRPr="00060D88" w:rsidRDefault="008C2FDE" w:rsidP="00060D88">
            <w:pPr>
              <w:spacing w:after="0" w:line="240" w:lineRule="auto"/>
              <w:rPr>
                <w:rFonts w:eastAsia="Times New Roman" w:cs="Calibri"/>
                <w:color w:val="000000"/>
                <w:sz w:val="20"/>
                <w:szCs w:val="20"/>
                <w:lang w:eastAsia="es-MX"/>
              </w:rPr>
            </w:pPr>
            <w:r w:rsidRPr="00060D88">
              <w:rPr>
                <w:rFonts w:eastAsia="Times New Roman" w:cs="Calibri"/>
                <w:color w:val="000000"/>
                <w:sz w:val="20"/>
                <w:szCs w:val="20"/>
                <w:lang w:eastAsia="es-MX"/>
              </w:rPr>
              <w:t> </w:t>
            </w:r>
          </w:p>
        </w:tc>
        <w:tc>
          <w:tcPr>
            <w:tcW w:w="1660" w:type="dxa"/>
            <w:gridSpan w:val="2"/>
            <w:tcBorders>
              <w:top w:val="nil"/>
              <w:left w:val="nil"/>
              <w:bottom w:val="single" w:sz="8" w:space="0" w:color="auto"/>
              <w:right w:val="nil"/>
            </w:tcBorders>
            <w:shd w:val="clear" w:color="auto" w:fill="auto"/>
            <w:hideMark/>
          </w:tcPr>
          <w:p w:rsidR="008C2FDE" w:rsidRPr="00060D88" w:rsidRDefault="008C2FDE" w:rsidP="00060D88">
            <w:pPr>
              <w:spacing w:after="0" w:line="240" w:lineRule="auto"/>
              <w:rPr>
                <w:rFonts w:eastAsia="Times New Roman" w:cs="Calibri"/>
                <w:color w:val="000000"/>
                <w:sz w:val="20"/>
                <w:szCs w:val="20"/>
                <w:lang w:eastAsia="es-MX"/>
              </w:rPr>
            </w:pPr>
            <w:r w:rsidRPr="00060D88">
              <w:rPr>
                <w:rFonts w:eastAsia="Times New Roman" w:cs="Calibri"/>
                <w:color w:val="000000"/>
                <w:sz w:val="20"/>
                <w:szCs w:val="20"/>
                <w:lang w:eastAsia="es-MX"/>
              </w:rPr>
              <w:t> </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b/>
                <w:bCs/>
                <w:color w:val="000000"/>
                <w:sz w:val="16"/>
                <w:szCs w:val="16"/>
                <w:lang w:eastAsia="es-MX"/>
              </w:rPr>
            </w:pPr>
            <w:r w:rsidRPr="00060D88">
              <w:rPr>
                <w:rFonts w:eastAsia="Times New Roman" w:cs="Calibri"/>
                <w:b/>
                <w:bCs/>
                <w:color w:val="000000"/>
                <w:sz w:val="16"/>
                <w:szCs w:val="16"/>
                <w:lang w:eastAsia="es-MX"/>
              </w:rPr>
              <w:t>2.9</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b/>
                <w:bCs/>
                <w:color w:val="000000"/>
                <w:sz w:val="16"/>
                <w:szCs w:val="16"/>
                <w:lang w:eastAsia="es-MX"/>
              </w:rPr>
            </w:pPr>
            <w:r w:rsidRPr="00060D88">
              <w:rPr>
                <w:rFonts w:eastAsia="Times New Roman" w:cs="Calibri"/>
                <w:b/>
                <w:bCs/>
                <w:color w:val="000000"/>
                <w:sz w:val="16"/>
                <w:szCs w:val="16"/>
                <w:lang w:eastAsia="es-MX"/>
              </w:rPr>
              <w:t>1.7</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b/>
                <w:bCs/>
                <w:color w:val="000000"/>
                <w:sz w:val="16"/>
                <w:szCs w:val="16"/>
                <w:lang w:eastAsia="es-MX"/>
              </w:rPr>
            </w:pPr>
            <w:r w:rsidRPr="00060D88">
              <w:rPr>
                <w:rFonts w:eastAsia="Times New Roman" w:cs="Calibri"/>
                <w:b/>
                <w:bCs/>
                <w:color w:val="000000"/>
                <w:sz w:val="16"/>
                <w:szCs w:val="16"/>
                <w:lang w:eastAsia="es-MX"/>
              </w:rPr>
              <w:t>0</w:t>
            </w:r>
          </w:p>
        </w:tc>
        <w:tc>
          <w:tcPr>
            <w:tcW w:w="1200" w:type="dxa"/>
            <w:gridSpan w:val="2"/>
            <w:tcBorders>
              <w:top w:val="nil"/>
              <w:left w:val="nil"/>
              <w:bottom w:val="single" w:sz="8" w:space="0" w:color="auto"/>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b/>
                <w:bCs/>
                <w:color w:val="000000"/>
                <w:sz w:val="16"/>
                <w:szCs w:val="16"/>
                <w:lang w:eastAsia="es-MX"/>
              </w:rPr>
            </w:pPr>
            <w:r w:rsidRPr="00060D88">
              <w:rPr>
                <w:rFonts w:eastAsia="Times New Roman" w:cs="Calibri"/>
                <w:b/>
                <w:bCs/>
                <w:color w:val="000000"/>
                <w:sz w:val="16"/>
                <w:szCs w:val="16"/>
                <w:lang w:eastAsia="es-MX"/>
              </w:rPr>
              <w:t>-1.3</w:t>
            </w:r>
          </w:p>
        </w:tc>
      </w:tr>
      <w:tr w:rsidR="008C2FDE" w:rsidRPr="00060D88" w:rsidTr="00060D88">
        <w:trPr>
          <w:gridAfter w:val="1"/>
          <w:wAfter w:w="6" w:type="dxa"/>
          <w:trHeight w:val="300"/>
        </w:trPr>
        <w:tc>
          <w:tcPr>
            <w:tcW w:w="3968" w:type="dxa"/>
            <w:gridSpan w:val="3"/>
            <w:tcBorders>
              <w:top w:val="single" w:sz="8" w:space="0" w:color="auto"/>
              <w:left w:val="single" w:sz="8" w:space="0" w:color="auto"/>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b/>
                <w:bCs/>
                <w:color w:val="000000"/>
                <w:sz w:val="16"/>
                <w:szCs w:val="16"/>
                <w:lang w:eastAsia="es-MX"/>
              </w:rPr>
            </w:pPr>
            <w:r w:rsidRPr="00060D88">
              <w:rPr>
                <w:rFonts w:eastAsia="Times New Roman" w:cs="Calibri"/>
                <w:b/>
                <w:bCs/>
                <w:color w:val="000000"/>
                <w:sz w:val="16"/>
                <w:szCs w:val="16"/>
                <w:lang w:eastAsia="es-MX"/>
              </w:rPr>
              <w:t>Economías avanzadas</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b/>
                <w:bCs/>
                <w:color w:val="000000"/>
                <w:sz w:val="16"/>
                <w:szCs w:val="16"/>
                <w:lang w:eastAsia="es-MX"/>
              </w:rPr>
            </w:pPr>
            <w:r w:rsidRPr="00060D88">
              <w:rPr>
                <w:rFonts w:eastAsia="Times New Roman" w:cs="Calibri"/>
                <w:b/>
                <w:bCs/>
                <w:color w:val="000000"/>
                <w:sz w:val="16"/>
                <w:szCs w:val="16"/>
                <w:lang w:eastAsia="es-MX"/>
              </w:rPr>
              <w:t>2.5</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b/>
                <w:bCs/>
                <w:color w:val="000000"/>
                <w:sz w:val="16"/>
                <w:szCs w:val="16"/>
                <w:lang w:eastAsia="es-MX"/>
              </w:rPr>
            </w:pPr>
            <w:r w:rsidRPr="00060D88">
              <w:rPr>
                <w:rFonts w:eastAsia="Times New Roman" w:cs="Calibri"/>
                <w:b/>
                <w:bCs/>
                <w:color w:val="000000"/>
                <w:sz w:val="16"/>
                <w:szCs w:val="16"/>
                <w:lang w:eastAsia="es-MX"/>
              </w:rPr>
              <w:t>0.5</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b/>
                <w:bCs/>
                <w:color w:val="000000"/>
                <w:sz w:val="16"/>
                <w:szCs w:val="16"/>
                <w:lang w:eastAsia="es-MX"/>
              </w:rPr>
            </w:pPr>
            <w:r w:rsidRPr="00060D88">
              <w:rPr>
                <w:rFonts w:eastAsia="Times New Roman" w:cs="Calibri"/>
                <w:b/>
                <w:bCs/>
                <w:color w:val="000000"/>
                <w:sz w:val="16"/>
                <w:szCs w:val="16"/>
                <w:lang w:eastAsia="es-MX"/>
              </w:rPr>
              <w:t>-0.1</w:t>
            </w:r>
          </w:p>
        </w:tc>
        <w:tc>
          <w:tcPr>
            <w:tcW w:w="1200" w:type="dxa"/>
            <w:gridSpan w:val="2"/>
            <w:tcBorders>
              <w:top w:val="nil"/>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b/>
                <w:bCs/>
                <w:color w:val="000000"/>
                <w:sz w:val="16"/>
                <w:szCs w:val="16"/>
                <w:lang w:eastAsia="es-MX"/>
              </w:rPr>
            </w:pPr>
            <w:r w:rsidRPr="00060D88">
              <w:rPr>
                <w:rFonts w:eastAsia="Times New Roman" w:cs="Calibri"/>
                <w:b/>
                <w:bCs/>
                <w:color w:val="000000"/>
                <w:sz w:val="16"/>
                <w:szCs w:val="16"/>
                <w:lang w:eastAsia="es-MX"/>
              </w:rPr>
              <w:t>-1.7</w:t>
            </w:r>
          </w:p>
        </w:tc>
      </w:tr>
      <w:tr w:rsidR="008C2FDE" w:rsidRPr="00060D88" w:rsidTr="00060D88">
        <w:trPr>
          <w:trHeight w:val="300"/>
        </w:trPr>
        <w:tc>
          <w:tcPr>
            <w:tcW w:w="1134" w:type="dxa"/>
            <w:tcBorders>
              <w:top w:val="nil"/>
              <w:left w:val="single" w:sz="8" w:space="0" w:color="auto"/>
              <w:bottom w:val="nil"/>
              <w:right w:val="nil"/>
            </w:tcBorders>
            <w:shd w:val="clear" w:color="auto" w:fill="auto"/>
            <w:hideMark/>
          </w:tcPr>
          <w:p w:rsidR="008C2FDE" w:rsidRPr="00060D88" w:rsidRDefault="008C2FDE" w:rsidP="00060D88">
            <w:pPr>
              <w:spacing w:after="0" w:line="240" w:lineRule="auto"/>
              <w:jc w:val="center"/>
              <w:rPr>
                <w:rFonts w:eastAsia="Times New Roman" w:cs="Calibri"/>
                <w:b/>
                <w:bCs/>
                <w:color w:val="000000"/>
                <w:sz w:val="16"/>
                <w:szCs w:val="16"/>
                <w:lang w:eastAsia="es-MX"/>
              </w:rPr>
            </w:pPr>
          </w:p>
        </w:tc>
        <w:tc>
          <w:tcPr>
            <w:tcW w:w="2840" w:type="dxa"/>
            <w:gridSpan w:val="3"/>
            <w:tcBorders>
              <w:top w:val="nil"/>
              <w:left w:val="nil"/>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Estados Unidos</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1.9</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0.5</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-0.6</w:t>
            </w:r>
          </w:p>
        </w:tc>
        <w:tc>
          <w:tcPr>
            <w:tcW w:w="1200" w:type="dxa"/>
            <w:gridSpan w:val="2"/>
            <w:tcBorders>
              <w:top w:val="nil"/>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-1.9</w:t>
            </w:r>
          </w:p>
        </w:tc>
      </w:tr>
      <w:tr w:rsidR="008C2FDE" w:rsidRPr="00060D88" w:rsidTr="00060D88">
        <w:trPr>
          <w:trHeight w:val="300"/>
        </w:trPr>
        <w:tc>
          <w:tcPr>
            <w:tcW w:w="1134" w:type="dxa"/>
            <w:tcBorders>
              <w:top w:val="nil"/>
              <w:left w:val="single" w:sz="8" w:space="0" w:color="auto"/>
              <w:bottom w:val="nil"/>
              <w:right w:val="nil"/>
            </w:tcBorders>
            <w:shd w:val="clear" w:color="auto" w:fill="auto"/>
            <w:hideMark/>
          </w:tcPr>
          <w:p w:rsidR="008C2FDE" w:rsidRPr="00060D88" w:rsidRDefault="008C2FDE" w:rsidP="00060D88">
            <w:pPr>
              <w:spacing w:after="0" w:line="240" w:lineRule="auto"/>
              <w:jc w:val="center"/>
              <w:rPr>
                <w:rFonts w:eastAsia="Times New Roman" w:cs="Calibri"/>
                <w:color w:val="000000"/>
                <w:sz w:val="16"/>
                <w:szCs w:val="16"/>
                <w:lang w:eastAsia="es-MX"/>
              </w:rPr>
            </w:pPr>
          </w:p>
        </w:tc>
        <w:tc>
          <w:tcPr>
            <w:tcW w:w="2840" w:type="dxa"/>
            <w:gridSpan w:val="3"/>
            <w:tcBorders>
              <w:top w:val="nil"/>
              <w:left w:val="nil"/>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Zona del euro</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3.3</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0.8</w:t>
            </w:r>
          </w:p>
        </w:tc>
        <w:tc>
          <w:tcPr>
            <w:tcW w:w="1200" w:type="dxa"/>
            <w:gridSpan w:val="2"/>
            <w:tcBorders>
              <w:top w:val="nil"/>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-1.9</w:t>
            </w:r>
          </w:p>
        </w:tc>
      </w:tr>
      <w:tr w:rsidR="008C2FDE" w:rsidRPr="00060D88" w:rsidTr="00060D88">
        <w:trPr>
          <w:trHeight w:val="315"/>
        </w:trPr>
        <w:tc>
          <w:tcPr>
            <w:tcW w:w="1134" w:type="dxa"/>
            <w:tcBorders>
              <w:top w:val="nil"/>
              <w:left w:val="single" w:sz="8" w:space="0" w:color="auto"/>
              <w:bottom w:val="single" w:sz="8" w:space="0" w:color="auto"/>
              <w:right w:val="nil"/>
            </w:tcBorders>
            <w:shd w:val="clear" w:color="auto" w:fill="auto"/>
            <w:hideMark/>
          </w:tcPr>
          <w:p w:rsidR="008C2FDE" w:rsidRPr="00060D88" w:rsidRDefault="008C2FDE" w:rsidP="00060D88">
            <w:pPr>
              <w:spacing w:after="0" w:line="240" w:lineRule="auto"/>
              <w:rPr>
                <w:rFonts w:eastAsia="Times New Roman" w:cs="Calibri"/>
                <w:color w:val="000000"/>
                <w:sz w:val="20"/>
                <w:szCs w:val="20"/>
                <w:lang w:eastAsia="es-MX"/>
              </w:rPr>
            </w:pPr>
            <w:r w:rsidRPr="00060D88">
              <w:rPr>
                <w:rFonts w:eastAsia="Times New Roman" w:cs="Calibri"/>
                <w:color w:val="000000"/>
                <w:sz w:val="20"/>
                <w:szCs w:val="20"/>
                <w:lang w:eastAsia="es-MX"/>
              </w:rPr>
              <w:t> </w:t>
            </w:r>
          </w:p>
        </w:tc>
        <w:tc>
          <w:tcPr>
            <w:tcW w:w="2840" w:type="dxa"/>
            <w:gridSpan w:val="3"/>
            <w:tcBorders>
              <w:top w:val="nil"/>
              <w:left w:val="nil"/>
              <w:bottom w:val="single" w:sz="8" w:space="0" w:color="auto"/>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Japón</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1.2</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1</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-0.5</w:t>
            </w:r>
          </w:p>
        </w:tc>
        <w:tc>
          <w:tcPr>
            <w:tcW w:w="1200" w:type="dxa"/>
            <w:gridSpan w:val="2"/>
            <w:tcBorders>
              <w:top w:val="nil"/>
              <w:left w:val="nil"/>
              <w:bottom w:val="single" w:sz="8" w:space="0" w:color="auto"/>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-0.3</w:t>
            </w:r>
          </w:p>
        </w:tc>
      </w:tr>
      <w:tr w:rsidR="008C2FDE" w:rsidRPr="00060D88" w:rsidTr="00060D88">
        <w:trPr>
          <w:gridAfter w:val="1"/>
          <w:wAfter w:w="6" w:type="dxa"/>
          <w:trHeight w:val="450"/>
        </w:trPr>
        <w:tc>
          <w:tcPr>
            <w:tcW w:w="3968" w:type="dxa"/>
            <w:gridSpan w:val="3"/>
            <w:tcBorders>
              <w:top w:val="single" w:sz="8" w:space="0" w:color="auto"/>
              <w:left w:val="single" w:sz="8" w:space="0" w:color="auto"/>
              <w:bottom w:val="single" w:sz="8" w:space="0" w:color="auto"/>
              <w:right w:val="nil"/>
            </w:tcBorders>
            <w:shd w:val="clear" w:color="auto" w:fill="auto"/>
            <w:vAlign w:val="center"/>
            <w:hideMark/>
          </w:tcPr>
          <w:p w:rsidR="008C2FDE" w:rsidRPr="00060D88" w:rsidRDefault="008C2FDE" w:rsidP="00060D88">
            <w:pPr>
              <w:spacing w:after="0" w:line="240" w:lineRule="auto"/>
              <w:rPr>
                <w:rFonts w:eastAsia="Times New Roman" w:cs="Calibri"/>
                <w:b/>
                <w:bCs/>
                <w:color w:val="000000"/>
                <w:sz w:val="16"/>
                <w:szCs w:val="16"/>
                <w:lang w:eastAsia="es-MX"/>
              </w:rPr>
            </w:pPr>
            <w:r w:rsidRPr="00060D88">
              <w:rPr>
                <w:rFonts w:eastAsia="Times New Roman" w:cs="Calibri"/>
                <w:b/>
                <w:bCs/>
                <w:color w:val="000000"/>
                <w:sz w:val="16"/>
                <w:szCs w:val="16"/>
                <w:lang w:eastAsia="es-MX"/>
              </w:rPr>
              <w:t>Mercados emergentes y economías en desarrollo (</w:t>
            </w:r>
            <w:proofErr w:type="spellStart"/>
            <w:r w:rsidRPr="00060D88">
              <w:rPr>
                <w:rFonts w:eastAsia="Times New Roman" w:cs="Calibri"/>
                <w:b/>
                <w:bCs/>
                <w:color w:val="000000"/>
                <w:sz w:val="16"/>
                <w:szCs w:val="16"/>
                <w:lang w:eastAsia="es-MX"/>
              </w:rPr>
              <w:t>MEED</w:t>
            </w:r>
            <w:proofErr w:type="spellEnd"/>
            <w:r w:rsidRPr="00060D88">
              <w:rPr>
                <w:rFonts w:eastAsia="Times New Roman" w:cs="Calibri"/>
                <w:b/>
                <w:bCs/>
                <w:color w:val="000000"/>
                <w:sz w:val="16"/>
                <w:szCs w:val="16"/>
                <w:lang w:eastAsia="es-MX"/>
              </w:rPr>
              <w:t>)</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b/>
                <w:bCs/>
                <w:color w:val="000000"/>
                <w:sz w:val="16"/>
                <w:szCs w:val="16"/>
                <w:lang w:eastAsia="es-MX"/>
              </w:rPr>
            </w:pPr>
            <w:r w:rsidRPr="00060D88">
              <w:rPr>
                <w:rFonts w:eastAsia="Times New Roman" w:cs="Calibri"/>
                <w:b/>
                <w:bCs/>
                <w:color w:val="000000"/>
                <w:sz w:val="16"/>
                <w:szCs w:val="16"/>
                <w:lang w:eastAsia="es-MX"/>
              </w:rPr>
              <w:t>3.4</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b/>
                <w:bCs/>
                <w:color w:val="000000"/>
                <w:sz w:val="16"/>
                <w:szCs w:val="16"/>
                <w:lang w:eastAsia="es-MX"/>
              </w:rPr>
            </w:pPr>
            <w:r w:rsidRPr="00060D88">
              <w:rPr>
                <w:rFonts w:eastAsia="Times New Roman" w:cs="Calibri"/>
                <w:b/>
                <w:bCs/>
                <w:color w:val="000000"/>
                <w:sz w:val="16"/>
                <w:szCs w:val="16"/>
                <w:lang w:eastAsia="es-MX"/>
              </w:rPr>
              <w:t>3.4</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b/>
                <w:bCs/>
                <w:color w:val="000000"/>
                <w:sz w:val="16"/>
                <w:szCs w:val="16"/>
                <w:lang w:eastAsia="es-MX"/>
              </w:rPr>
            </w:pPr>
            <w:r w:rsidRPr="00060D88">
              <w:rPr>
                <w:rFonts w:eastAsia="Times New Roman" w:cs="Calibri"/>
                <w:b/>
                <w:bCs/>
                <w:color w:val="000000"/>
                <w:sz w:val="16"/>
                <w:szCs w:val="16"/>
                <w:lang w:eastAsia="es-MX"/>
              </w:rPr>
              <w:t>0</w:t>
            </w:r>
          </w:p>
        </w:tc>
        <w:tc>
          <w:tcPr>
            <w:tcW w:w="1200" w:type="dxa"/>
            <w:gridSpan w:val="2"/>
            <w:tcBorders>
              <w:top w:val="nil"/>
              <w:left w:val="nil"/>
              <w:bottom w:val="single" w:sz="8" w:space="0" w:color="auto"/>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b/>
                <w:bCs/>
                <w:color w:val="000000"/>
                <w:sz w:val="16"/>
                <w:szCs w:val="16"/>
                <w:lang w:eastAsia="es-MX"/>
              </w:rPr>
            </w:pPr>
            <w:r w:rsidRPr="00060D88">
              <w:rPr>
                <w:rFonts w:eastAsia="Times New Roman" w:cs="Calibri"/>
                <w:b/>
                <w:bCs/>
                <w:color w:val="000000"/>
                <w:sz w:val="16"/>
                <w:szCs w:val="16"/>
                <w:lang w:eastAsia="es-MX"/>
              </w:rPr>
              <w:t>-0.8</w:t>
            </w:r>
          </w:p>
        </w:tc>
      </w:tr>
      <w:tr w:rsidR="008C2FDE" w:rsidRPr="00060D88" w:rsidTr="00060D88">
        <w:trPr>
          <w:trHeight w:val="300"/>
        </w:trPr>
        <w:tc>
          <w:tcPr>
            <w:tcW w:w="1134" w:type="dxa"/>
            <w:tcBorders>
              <w:top w:val="nil"/>
              <w:left w:val="single" w:sz="8" w:space="0" w:color="auto"/>
              <w:bottom w:val="nil"/>
              <w:right w:val="nil"/>
            </w:tcBorders>
            <w:shd w:val="clear" w:color="auto" w:fill="auto"/>
            <w:hideMark/>
          </w:tcPr>
          <w:p w:rsidR="008C2FDE" w:rsidRPr="00060D88" w:rsidRDefault="008C2FDE" w:rsidP="00060D88">
            <w:pPr>
              <w:spacing w:after="0" w:line="240" w:lineRule="auto"/>
              <w:jc w:val="center"/>
              <w:rPr>
                <w:rFonts w:eastAsia="Times New Roman" w:cs="Calibri"/>
                <w:b/>
                <w:bCs/>
                <w:color w:val="000000"/>
                <w:sz w:val="16"/>
                <w:szCs w:val="16"/>
                <w:lang w:eastAsia="es-MX"/>
              </w:rPr>
            </w:pPr>
          </w:p>
        </w:tc>
        <w:tc>
          <w:tcPr>
            <w:tcW w:w="2840" w:type="dxa"/>
            <w:gridSpan w:val="3"/>
            <w:tcBorders>
              <w:top w:val="single" w:sz="8" w:space="0" w:color="auto"/>
              <w:left w:val="nil"/>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Asia oriental y el Pacífico</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3.2</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4.3</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-1.2</w:t>
            </w:r>
          </w:p>
        </w:tc>
        <w:tc>
          <w:tcPr>
            <w:tcW w:w="1200" w:type="dxa"/>
            <w:gridSpan w:val="2"/>
            <w:tcBorders>
              <w:top w:val="nil"/>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-0.9</w:t>
            </w:r>
          </w:p>
        </w:tc>
      </w:tr>
      <w:tr w:rsidR="008C2FDE" w:rsidRPr="00060D88" w:rsidTr="00060D88">
        <w:trPr>
          <w:trHeight w:val="300"/>
        </w:trPr>
        <w:tc>
          <w:tcPr>
            <w:tcW w:w="1134" w:type="dxa"/>
            <w:tcBorders>
              <w:top w:val="nil"/>
              <w:left w:val="single" w:sz="8" w:space="0" w:color="auto"/>
              <w:bottom w:val="nil"/>
              <w:right w:val="nil"/>
            </w:tcBorders>
            <w:shd w:val="clear" w:color="auto" w:fill="auto"/>
            <w:hideMark/>
          </w:tcPr>
          <w:p w:rsidR="008C2FDE" w:rsidRPr="00060D88" w:rsidRDefault="008C2FDE" w:rsidP="00060D88">
            <w:pPr>
              <w:spacing w:after="0" w:line="240" w:lineRule="auto"/>
              <w:jc w:val="center"/>
              <w:rPr>
                <w:rFonts w:eastAsia="Times New Roman" w:cs="Calibri"/>
                <w:color w:val="000000"/>
                <w:sz w:val="16"/>
                <w:szCs w:val="16"/>
                <w:lang w:eastAsia="es-MX"/>
              </w:rPr>
            </w:pPr>
          </w:p>
        </w:tc>
        <w:tc>
          <w:tcPr>
            <w:tcW w:w="1180" w:type="dxa"/>
            <w:tcBorders>
              <w:top w:val="nil"/>
              <w:left w:val="nil"/>
              <w:bottom w:val="nil"/>
              <w:right w:val="nil"/>
            </w:tcBorders>
            <w:shd w:val="clear" w:color="auto" w:fill="auto"/>
            <w:hideMark/>
          </w:tcPr>
          <w:p w:rsidR="008C2FDE" w:rsidRPr="00060D88" w:rsidRDefault="008C2FDE" w:rsidP="00060D88">
            <w:pPr>
              <w:spacing w:after="0" w:line="240" w:lineRule="auto"/>
              <w:rPr>
                <w:rFonts w:ascii="Times New Roman" w:eastAsia="Times New Roman" w:hAnsi="Times New Roman"/>
                <w:sz w:val="20"/>
                <w:szCs w:val="20"/>
                <w:lang w:eastAsia="es-MX"/>
              </w:rPr>
            </w:pPr>
          </w:p>
        </w:tc>
        <w:tc>
          <w:tcPr>
            <w:tcW w:w="1660" w:type="dxa"/>
            <w:gridSpan w:val="2"/>
            <w:tcBorders>
              <w:top w:val="nil"/>
              <w:left w:val="nil"/>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China</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2.7</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4.3</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-1.6</w:t>
            </w:r>
          </w:p>
        </w:tc>
        <w:tc>
          <w:tcPr>
            <w:tcW w:w="1200" w:type="dxa"/>
            <w:gridSpan w:val="2"/>
            <w:tcBorders>
              <w:top w:val="nil"/>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-0.9</w:t>
            </w:r>
          </w:p>
        </w:tc>
      </w:tr>
      <w:tr w:rsidR="008C2FDE" w:rsidRPr="00060D88" w:rsidTr="00060D88">
        <w:trPr>
          <w:trHeight w:val="300"/>
        </w:trPr>
        <w:tc>
          <w:tcPr>
            <w:tcW w:w="1134" w:type="dxa"/>
            <w:tcBorders>
              <w:top w:val="nil"/>
              <w:left w:val="single" w:sz="8" w:space="0" w:color="auto"/>
              <w:bottom w:val="nil"/>
              <w:right w:val="nil"/>
            </w:tcBorders>
            <w:shd w:val="clear" w:color="auto" w:fill="auto"/>
            <w:hideMark/>
          </w:tcPr>
          <w:p w:rsidR="008C2FDE" w:rsidRPr="00060D88" w:rsidRDefault="008C2FDE" w:rsidP="00060D88">
            <w:pPr>
              <w:spacing w:after="0" w:line="240" w:lineRule="auto"/>
              <w:jc w:val="center"/>
              <w:rPr>
                <w:rFonts w:eastAsia="Times New Roman" w:cs="Calibri"/>
                <w:color w:val="000000"/>
                <w:sz w:val="16"/>
                <w:szCs w:val="16"/>
                <w:lang w:eastAsia="es-MX"/>
              </w:rPr>
            </w:pPr>
          </w:p>
        </w:tc>
        <w:tc>
          <w:tcPr>
            <w:tcW w:w="1180" w:type="dxa"/>
            <w:tcBorders>
              <w:top w:val="nil"/>
              <w:left w:val="nil"/>
              <w:bottom w:val="nil"/>
              <w:right w:val="nil"/>
            </w:tcBorders>
            <w:shd w:val="clear" w:color="auto" w:fill="auto"/>
            <w:hideMark/>
          </w:tcPr>
          <w:p w:rsidR="008C2FDE" w:rsidRPr="00060D88" w:rsidRDefault="008C2FDE" w:rsidP="00060D88">
            <w:pPr>
              <w:spacing w:after="0" w:line="240" w:lineRule="auto"/>
              <w:rPr>
                <w:rFonts w:ascii="Times New Roman" w:eastAsia="Times New Roman" w:hAnsi="Times New Roman"/>
                <w:sz w:val="20"/>
                <w:szCs w:val="20"/>
                <w:lang w:eastAsia="es-MX"/>
              </w:rPr>
            </w:pPr>
          </w:p>
        </w:tc>
        <w:tc>
          <w:tcPr>
            <w:tcW w:w="1660" w:type="dxa"/>
            <w:gridSpan w:val="2"/>
            <w:tcBorders>
              <w:top w:val="nil"/>
              <w:left w:val="nil"/>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Indonesia</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5.2</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4.8</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0.1</w:t>
            </w:r>
          </w:p>
        </w:tc>
        <w:tc>
          <w:tcPr>
            <w:tcW w:w="1200" w:type="dxa"/>
            <w:gridSpan w:val="2"/>
            <w:tcBorders>
              <w:top w:val="nil"/>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-0.5</w:t>
            </w:r>
          </w:p>
        </w:tc>
      </w:tr>
      <w:tr w:rsidR="008C2FDE" w:rsidRPr="00060D88" w:rsidTr="00060D88">
        <w:trPr>
          <w:trHeight w:val="315"/>
        </w:trPr>
        <w:tc>
          <w:tcPr>
            <w:tcW w:w="1134" w:type="dxa"/>
            <w:tcBorders>
              <w:top w:val="nil"/>
              <w:left w:val="single" w:sz="8" w:space="0" w:color="auto"/>
              <w:bottom w:val="single" w:sz="8" w:space="0" w:color="auto"/>
              <w:right w:val="nil"/>
            </w:tcBorders>
            <w:shd w:val="clear" w:color="auto" w:fill="auto"/>
            <w:hideMark/>
          </w:tcPr>
          <w:p w:rsidR="008C2FDE" w:rsidRPr="00060D88" w:rsidRDefault="008C2FDE" w:rsidP="00060D88">
            <w:pPr>
              <w:spacing w:after="0" w:line="240" w:lineRule="auto"/>
              <w:rPr>
                <w:rFonts w:eastAsia="Times New Roman" w:cs="Calibri"/>
                <w:color w:val="000000"/>
                <w:sz w:val="20"/>
                <w:szCs w:val="20"/>
                <w:lang w:eastAsia="es-MX"/>
              </w:rPr>
            </w:pPr>
            <w:r w:rsidRPr="00060D88">
              <w:rPr>
                <w:rFonts w:eastAsia="Times New Roman" w:cs="Calibri"/>
                <w:color w:val="000000"/>
                <w:sz w:val="20"/>
                <w:szCs w:val="20"/>
                <w:lang w:eastAsia="es-MX"/>
              </w:rPr>
              <w:t> </w:t>
            </w:r>
          </w:p>
        </w:tc>
        <w:tc>
          <w:tcPr>
            <w:tcW w:w="1180" w:type="dxa"/>
            <w:tcBorders>
              <w:top w:val="nil"/>
              <w:left w:val="nil"/>
              <w:bottom w:val="single" w:sz="8" w:space="0" w:color="auto"/>
              <w:right w:val="nil"/>
            </w:tcBorders>
            <w:shd w:val="clear" w:color="auto" w:fill="auto"/>
            <w:hideMark/>
          </w:tcPr>
          <w:p w:rsidR="008C2FDE" w:rsidRPr="00060D88" w:rsidRDefault="008C2FDE" w:rsidP="00060D88">
            <w:pPr>
              <w:spacing w:after="0" w:line="240" w:lineRule="auto"/>
              <w:rPr>
                <w:rFonts w:eastAsia="Times New Roman" w:cs="Calibri"/>
                <w:color w:val="000000"/>
                <w:sz w:val="20"/>
                <w:szCs w:val="20"/>
                <w:lang w:eastAsia="es-MX"/>
              </w:rPr>
            </w:pPr>
            <w:r w:rsidRPr="00060D88">
              <w:rPr>
                <w:rFonts w:eastAsia="Times New Roman" w:cs="Calibri"/>
                <w:color w:val="000000"/>
                <w:sz w:val="20"/>
                <w:szCs w:val="20"/>
                <w:lang w:eastAsia="es-MX"/>
              </w:rPr>
              <w:t> </w:t>
            </w:r>
          </w:p>
        </w:tc>
        <w:tc>
          <w:tcPr>
            <w:tcW w:w="1660" w:type="dxa"/>
            <w:gridSpan w:val="2"/>
            <w:tcBorders>
              <w:top w:val="nil"/>
              <w:left w:val="nil"/>
              <w:bottom w:val="single" w:sz="8" w:space="0" w:color="auto"/>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Tailandia</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3.4</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3.6</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0.5</w:t>
            </w:r>
          </w:p>
        </w:tc>
        <w:tc>
          <w:tcPr>
            <w:tcW w:w="1200" w:type="dxa"/>
            <w:gridSpan w:val="2"/>
            <w:tcBorders>
              <w:top w:val="nil"/>
              <w:left w:val="nil"/>
              <w:bottom w:val="single" w:sz="8" w:space="0" w:color="auto"/>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-0.7</w:t>
            </w:r>
          </w:p>
        </w:tc>
      </w:tr>
      <w:tr w:rsidR="008C2FDE" w:rsidRPr="00060D88" w:rsidTr="00060D88">
        <w:trPr>
          <w:trHeight w:val="300"/>
        </w:trPr>
        <w:tc>
          <w:tcPr>
            <w:tcW w:w="1134" w:type="dxa"/>
            <w:tcBorders>
              <w:top w:val="nil"/>
              <w:left w:val="single" w:sz="8" w:space="0" w:color="auto"/>
              <w:bottom w:val="nil"/>
              <w:right w:val="nil"/>
            </w:tcBorders>
            <w:shd w:val="clear" w:color="auto" w:fill="auto"/>
            <w:hideMark/>
          </w:tcPr>
          <w:p w:rsidR="008C2FDE" w:rsidRPr="00060D88" w:rsidRDefault="008C2FDE" w:rsidP="00060D88">
            <w:pPr>
              <w:spacing w:after="0" w:line="240" w:lineRule="auto"/>
              <w:jc w:val="center"/>
              <w:rPr>
                <w:rFonts w:eastAsia="Times New Roman" w:cs="Calibri"/>
                <w:color w:val="000000"/>
                <w:sz w:val="16"/>
                <w:szCs w:val="16"/>
                <w:lang w:eastAsia="es-MX"/>
              </w:rPr>
            </w:pPr>
          </w:p>
        </w:tc>
        <w:tc>
          <w:tcPr>
            <w:tcW w:w="2840" w:type="dxa"/>
            <w:gridSpan w:val="3"/>
            <w:tcBorders>
              <w:top w:val="single" w:sz="8" w:space="0" w:color="auto"/>
              <w:left w:val="nil"/>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Europa y Asia central</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0.2</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0.1</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3.2</w:t>
            </w:r>
          </w:p>
        </w:tc>
        <w:tc>
          <w:tcPr>
            <w:tcW w:w="1200" w:type="dxa"/>
            <w:gridSpan w:val="2"/>
            <w:tcBorders>
              <w:top w:val="nil"/>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-1.4</w:t>
            </w:r>
          </w:p>
        </w:tc>
      </w:tr>
      <w:tr w:rsidR="008C2FDE" w:rsidRPr="00060D88" w:rsidTr="00060D88">
        <w:trPr>
          <w:trHeight w:val="450"/>
        </w:trPr>
        <w:tc>
          <w:tcPr>
            <w:tcW w:w="1134" w:type="dxa"/>
            <w:tcBorders>
              <w:top w:val="nil"/>
              <w:left w:val="single" w:sz="8" w:space="0" w:color="auto"/>
              <w:bottom w:val="nil"/>
              <w:right w:val="nil"/>
            </w:tcBorders>
            <w:shd w:val="clear" w:color="auto" w:fill="auto"/>
            <w:hideMark/>
          </w:tcPr>
          <w:p w:rsidR="008C2FDE" w:rsidRPr="00060D88" w:rsidRDefault="008C2FDE" w:rsidP="00060D88">
            <w:pPr>
              <w:spacing w:after="0" w:line="240" w:lineRule="auto"/>
              <w:jc w:val="center"/>
              <w:rPr>
                <w:rFonts w:eastAsia="Times New Roman" w:cs="Calibri"/>
                <w:color w:val="000000"/>
                <w:sz w:val="16"/>
                <w:szCs w:val="16"/>
                <w:lang w:eastAsia="es-MX"/>
              </w:rPr>
            </w:pPr>
          </w:p>
        </w:tc>
        <w:tc>
          <w:tcPr>
            <w:tcW w:w="1180" w:type="dxa"/>
            <w:tcBorders>
              <w:top w:val="nil"/>
              <w:left w:val="nil"/>
              <w:bottom w:val="nil"/>
              <w:right w:val="nil"/>
            </w:tcBorders>
            <w:shd w:val="clear" w:color="auto" w:fill="auto"/>
            <w:hideMark/>
          </w:tcPr>
          <w:p w:rsidR="008C2FDE" w:rsidRPr="00060D88" w:rsidRDefault="008C2FDE" w:rsidP="00060D88">
            <w:pPr>
              <w:spacing w:after="0" w:line="240" w:lineRule="auto"/>
              <w:rPr>
                <w:rFonts w:ascii="Times New Roman" w:eastAsia="Times New Roman" w:hAnsi="Times New Roman"/>
                <w:sz w:val="20"/>
                <w:szCs w:val="20"/>
                <w:lang w:eastAsia="es-MX"/>
              </w:rPr>
            </w:pPr>
          </w:p>
        </w:tc>
        <w:tc>
          <w:tcPr>
            <w:tcW w:w="1660" w:type="dxa"/>
            <w:gridSpan w:val="2"/>
            <w:tcBorders>
              <w:top w:val="nil"/>
              <w:left w:val="nil"/>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Federación de Rusia</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-3.5</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-3.3</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5.4</w:t>
            </w:r>
          </w:p>
        </w:tc>
        <w:tc>
          <w:tcPr>
            <w:tcW w:w="1200" w:type="dxa"/>
            <w:gridSpan w:val="2"/>
            <w:tcBorders>
              <w:top w:val="nil"/>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-1.3</w:t>
            </w:r>
          </w:p>
        </w:tc>
      </w:tr>
      <w:tr w:rsidR="008C2FDE" w:rsidRPr="00060D88" w:rsidTr="00060D88">
        <w:trPr>
          <w:trHeight w:val="300"/>
        </w:trPr>
        <w:tc>
          <w:tcPr>
            <w:tcW w:w="1134" w:type="dxa"/>
            <w:tcBorders>
              <w:top w:val="nil"/>
              <w:left w:val="single" w:sz="8" w:space="0" w:color="auto"/>
              <w:bottom w:val="nil"/>
              <w:right w:val="nil"/>
            </w:tcBorders>
            <w:shd w:val="clear" w:color="auto" w:fill="auto"/>
            <w:hideMark/>
          </w:tcPr>
          <w:p w:rsidR="008C2FDE" w:rsidRPr="00060D88" w:rsidRDefault="008C2FDE" w:rsidP="00060D88">
            <w:pPr>
              <w:spacing w:after="0" w:line="240" w:lineRule="auto"/>
              <w:jc w:val="center"/>
              <w:rPr>
                <w:rFonts w:eastAsia="Times New Roman" w:cs="Calibri"/>
                <w:color w:val="000000"/>
                <w:sz w:val="16"/>
                <w:szCs w:val="16"/>
                <w:lang w:eastAsia="es-MX"/>
              </w:rPr>
            </w:pPr>
          </w:p>
        </w:tc>
        <w:tc>
          <w:tcPr>
            <w:tcW w:w="1180" w:type="dxa"/>
            <w:tcBorders>
              <w:top w:val="nil"/>
              <w:left w:val="nil"/>
              <w:bottom w:val="nil"/>
              <w:right w:val="nil"/>
            </w:tcBorders>
            <w:shd w:val="clear" w:color="auto" w:fill="auto"/>
            <w:hideMark/>
          </w:tcPr>
          <w:p w:rsidR="008C2FDE" w:rsidRPr="00060D88" w:rsidRDefault="008C2FDE" w:rsidP="00060D88">
            <w:pPr>
              <w:spacing w:after="0" w:line="240" w:lineRule="auto"/>
              <w:rPr>
                <w:rFonts w:ascii="Times New Roman" w:eastAsia="Times New Roman" w:hAnsi="Times New Roman"/>
                <w:sz w:val="20"/>
                <w:szCs w:val="20"/>
                <w:lang w:eastAsia="es-MX"/>
              </w:rPr>
            </w:pPr>
          </w:p>
        </w:tc>
        <w:tc>
          <w:tcPr>
            <w:tcW w:w="1660" w:type="dxa"/>
            <w:gridSpan w:val="2"/>
            <w:tcBorders>
              <w:top w:val="nil"/>
              <w:left w:val="nil"/>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proofErr w:type="spellStart"/>
            <w:r w:rsidRPr="00060D88">
              <w:rPr>
                <w:rFonts w:eastAsia="Times New Roman" w:cs="Calibri"/>
                <w:color w:val="000000"/>
                <w:sz w:val="16"/>
                <w:szCs w:val="16"/>
                <w:lang w:eastAsia="es-MX"/>
              </w:rPr>
              <w:t>Türkiye</w:t>
            </w:r>
            <w:proofErr w:type="spellEnd"/>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4.7</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2.7</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2.4</w:t>
            </w:r>
          </w:p>
        </w:tc>
        <w:tc>
          <w:tcPr>
            <w:tcW w:w="1200" w:type="dxa"/>
            <w:gridSpan w:val="2"/>
            <w:tcBorders>
              <w:top w:val="nil"/>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-0.5</w:t>
            </w:r>
          </w:p>
        </w:tc>
      </w:tr>
      <w:tr w:rsidR="008C2FDE" w:rsidRPr="00060D88" w:rsidTr="00060D88">
        <w:trPr>
          <w:trHeight w:val="315"/>
        </w:trPr>
        <w:tc>
          <w:tcPr>
            <w:tcW w:w="1134" w:type="dxa"/>
            <w:tcBorders>
              <w:top w:val="nil"/>
              <w:left w:val="single" w:sz="8" w:space="0" w:color="auto"/>
              <w:bottom w:val="single" w:sz="8" w:space="0" w:color="auto"/>
              <w:right w:val="nil"/>
            </w:tcBorders>
            <w:shd w:val="clear" w:color="auto" w:fill="auto"/>
            <w:hideMark/>
          </w:tcPr>
          <w:p w:rsidR="008C2FDE" w:rsidRPr="00060D88" w:rsidRDefault="008C2FDE" w:rsidP="00060D88">
            <w:pPr>
              <w:spacing w:after="0" w:line="240" w:lineRule="auto"/>
              <w:rPr>
                <w:rFonts w:eastAsia="Times New Roman" w:cs="Calibri"/>
                <w:color w:val="000000"/>
                <w:sz w:val="20"/>
                <w:szCs w:val="20"/>
                <w:lang w:eastAsia="es-MX"/>
              </w:rPr>
            </w:pPr>
            <w:r w:rsidRPr="00060D88">
              <w:rPr>
                <w:rFonts w:eastAsia="Times New Roman" w:cs="Calibri"/>
                <w:color w:val="000000"/>
                <w:sz w:val="20"/>
                <w:szCs w:val="20"/>
                <w:lang w:eastAsia="es-MX"/>
              </w:rPr>
              <w:t> </w:t>
            </w:r>
          </w:p>
        </w:tc>
        <w:tc>
          <w:tcPr>
            <w:tcW w:w="1180" w:type="dxa"/>
            <w:tcBorders>
              <w:top w:val="nil"/>
              <w:left w:val="nil"/>
              <w:bottom w:val="single" w:sz="8" w:space="0" w:color="auto"/>
              <w:right w:val="nil"/>
            </w:tcBorders>
            <w:shd w:val="clear" w:color="auto" w:fill="auto"/>
            <w:hideMark/>
          </w:tcPr>
          <w:p w:rsidR="008C2FDE" w:rsidRPr="00060D88" w:rsidRDefault="008C2FDE" w:rsidP="00060D88">
            <w:pPr>
              <w:spacing w:after="0" w:line="240" w:lineRule="auto"/>
              <w:rPr>
                <w:rFonts w:eastAsia="Times New Roman" w:cs="Calibri"/>
                <w:color w:val="000000"/>
                <w:sz w:val="20"/>
                <w:szCs w:val="20"/>
                <w:lang w:eastAsia="es-MX"/>
              </w:rPr>
            </w:pPr>
            <w:r w:rsidRPr="00060D88">
              <w:rPr>
                <w:rFonts w:eastAsia="Times New Roman" w:cs="Calibri"/>
                <w:color w:val="000000"/>
                <w:sz w:val="20"/>
                <w:szCs w:val="20"/>
                <w:lang w:eastAsia="es-MX"/>
              </w:rPr>
              <w:t> </w:t>
            </w:r>
          </w:p>
        </w:tc>
        <w:tc>
          <w:tcPr>
            <w:tcW w:w="1660" w:type="dxa"/>
            <w:gridSpan w:val="2"/>
            <w:tcBorders>
              <w:top w:val="nil"/>
              <w:left w:val="nil"/>
              <w:bottom w:val="single" w:sz="8" w:space="0" w:color="auto"/>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Polonia</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4.4</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0.7</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0.5</w:t>
            </w:r>
          </w:p>
        </w:tc>
        <w:tc>
          <w:tcPr>
            <w:tcW w:w="1200" w:type="dxa"/>
            <w:gridSpan w:val="2"/>
            <w:tcBorders>
              <w:top w:val="nil"/>
              <w:left w:val="nil"/>
              <w:bottom w:val="single" w:sz="8" w:space="0" w:color="auto"/>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-2.9</w:t>
            </w:r>
          </w:p>
        </w:tc>
      </w:tr>
      <w:tr w:rsidR="008C2FDE" w:rsidRPr="00060D88" w:rsidTr="00060D88">
        <w:trPr>
          <w:trHeight w:val="300"/>
        </w:trPr>
        <w:tc>
          <w:tcPr>
            <w:tcW w:w="1134" w:type="dxa"/>
            <w:tcBorders>
              <w:top w:val="nil"/>
              <w:left w:val="single" w:sz="8" w:space="0" w:color="auto"/>
              <w:bottom w:val="nil"/>
              <w:right w:val="nil"/>
            </w:tcBorders>
            <w:shd w:val="clear" w:color="auto" w:fill="auto"/>
            <w:hideMark/>
          </w:tcPr>
          <w:p w:rsidR="008C2FDE" w:rsidRPr="00060D88" w:rsidRDefault="008C2FDE" w:rsidP="00060D88">
            <w:pPr>
              <w:spacing w:after="0" w:line="240" w:lineRule="auto"/>
              <w:jc w:val="center"/>
              <w:rPr>
                <w:rFonts w:eastAsia="Times New Roman" w:cs="Calibri"/>
                <w:color w:val="000000"/>
                <w:sz w:val="16"/>
                <w:szCs w:val="16"/>
                <w:lang w:eastAsia="es-MX"/>
              </w:rPr>
            </w:pPr>
          </w:p>
        </w:tc>
        <w:tc>
          <w:tcPr>
            <w:tcW w:w="2840" w:type="dxa"/>
            <w:gridSpan w:val="3"/>
            <w:tcBorders>
              <w:top w:val="single" w:sz="8" w:space="0" w:color="auto"/>
              <w:left w:val="nil"/>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América Latina y el Caribe</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3.6</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1.3</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1.1</w:t>
            </w:r>
          </w:p>
        </w:tc>
        <w:tc>
          <w:tcPr>
            <w:tcW w:w="1200" w:type="dxa"/>
            <w:gridSpan w:val="2"/>
            <w:tcBorders>
              <w:top w:val="nil"/>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-0.6</w:t>
            </w:r>
          </w:p>
        </w:tc>
      </w:tr>
      <w:tr w:rsidR="008C2FDE" w:rsidRPr="00060D88" w:rsidTr="00060D88">
        <w:trPr>
          <w:trHeight w:val="300"/>
        </w:trPr>
        <w:tc>
          <w:tcPr>
            <w:tcW w:w="1134" w:type="dxa"/>
            <w:tcBorders>
              <w:top w:val="nil"/>
              <w:left w:val="single" w:sz="8" w:space="0" w:color="auto"/>
              <w:bottom w:val="nil"/>
              <w:right w:val="nil"/>
            </w:tcBorders>
            <w:shd w:val="clear" w:color="auto" w:fill="auto"/>
            <w:hideMark/>
          </w:tcPr>
          <w:p w:rsidR="008C2FDE" w:rsidRPr="00060D88" w:rsidRDefault="008C2FDE" w:rsidP="00060D88">
            <w:pPr>
              <w:spacing w:after="0" w:line="240" w:lineRule="auto"/>
              <w:jc w:val="center"/>
              <w:rPr>
                <w:rFonts w:eastAsia="Times New Roman" w:cs="Calibri"/>
                <w:color w:val="000000"/>
                <w:sz w:val="16"/>
                <w:szCs w:val="16"/>
                <w:lang w:eastAsia="es-MX"/>
              </w:rPr>
            </w:pPr>
          </w:p>
        </w:tc>
        <w:tc>
          <w:tcPr>
            <w:tcW w:w="1180" w:type="dxa"/>
            <w:tcBorders>
              <w:top w:val="nil"/>
              <w:left w:val="nil"/>
              <w:bottom w:val="nil"/>
              <w:right w:val="nil"/>
            </w:tcBorders>
            <w:shd w:val="clear" w:color="auto" w:fill="auto"/>
            <w:hideMark/>
          </w:tcPr>
          <w:p w:rsidR="008C2FDE" w:rsidRPr="00060D88" w:rsidRDefault="008C2FDE" w:rsidP="00060D88">
            <w:pPr>
              <w:spacing w:after="0" w:line="240" w:lineRule="auto"/>
              <w:rPr>
                <w:rFonts w:ascii="Times New Roman" w:eastAsia="Times New Roman" w:hAnsi="Times New Roman"/>
                <w:sz w:val="20"/>
                <w:szCs w:val="20"/>
                <w:lang w:eastAsia="es-MX"/>
              </w:rPr>
            </w:pPr>
          </w:p>
        </w:tc>
        <w:tc>
          <w:tcPr>
            <w:tcW w:w="1660" w:type="dxa"/>
            <w:gridSpan w:val="2"/>
            <w:tcBorders>
              <w:top w:val="nil"/>
              <w:left w:val="nil"/>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Brasil</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3</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0.8</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1.5</w:t>
            </w:r>
          </w:p>
        </w:tc>
        <w:tc>
          <w:tcPr>
            <w:tcW w:w="1200" w:type="dxa"/>
            <w:gridSpan w:val="2"/>
            <w:tcBorders>
              <w:top w:val="nil"/>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w:t>
            </w:r>
          </w:p>
        </w:tc>
      </w:tr>
      <w:tr w:rsidR="008C2FDE" w:rsidRPr="00060D88" w:rsidTr="00060D88">
        <w:trPr>
          <w:trHeight w:val="300"/>
        </w:trPr>
        <w:tc>
          <w:tcPr>
            <w:tcW w:w="1134" w:type="dxa"/>
            <w:tcBorders>
              <w:top w:val="nil"/>
              <w:left w:val="single" w:sz="8" w:space="0" w:color="auto"/>
              <w:bottom w:val="nil"/>
              <w:right w:val="nil"/>
            </w:tcBorders>
            <w:shd w:val="clear" w:color="auto" w:fill="auto"/>
            <w:hideMark/>
          </w:tcPr>
          <w:p w:rsidR="008C2FDE" w:rsidRPr="00060D88" w:rsidRDefault="008C2FDE" w:rsidP="00060D88">
            <w:pPr>
              <w:spacing w:after="0" w:line="240" w:lineRule="auto"/>
              <w:jc w:val="center"/>
              <w:rPr>
                <w:rFonts w:eastAsia="Times New Roman" w:cs="Calibri"/>
                <w:color w:val="000000"/>
                <w:sz w:val="16"/>
                <w:szCs w:val="16"/>
                <w:lang w:eastAsia="es-MX"/>
              </w:rPr>
            </w:pPr>
          </w:p>
        </w:tc>
        <w:tc>
          <w:tcPr>
            <w:tcW w:w="1180" w:type="dxa"/>
            <w:tcBorders>
              <w:top w:val="nil"/>
              <w:left w:val="nil"/>
              <w:bottom w:val="nil"/>
              <w:right w:val="nil"/>
            </w:tcBorders>
            <w:shd w:val="clear" w:color="auto" w:fill="auto"/>
            <w:hideMark/>
          </w:tcPr>
          <w:p w:rsidR="008C2FDE" w:rsidRPr="00060D88" w:rsidRDefault="008C2FDE" w:rsidP="00060D88">
            <w:pPr>
              <w:spacing w:after="0" w:line="240" w:lineRule="auto"/>
              <w:rPr>
                <w:rFonts w:ascii="Times New Roman" w:eastAsia="Times New Roman" w:hAnsi="Times New Roman"/>
                <w:sz w:val="20"/>
                <w:szCs w:val="20"/>
                <w:lang w:eastAsia="es-MX"/>
              </w:rPr>
            </w:pPr>
          </w:p>
        </w:tc>
        <w:tc>
          <w:tcPr>
            <w:tcW w:w="1660" w:type="dxa"/>
            <w:gridSpan w:val="2"/>
            <w:tcBorders>
              <w:top w:val="nil"/>
              <w:left w:val="nil"/>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México</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2.6</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0.9</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0.9</w:t>
            </w:r>
          </w:p>
        </w:tc>
        <w:tc>
          <w:tcPr>
            <w:tcW w:w="1200" w:type="dxa"/>
            <w:gridSpan w:val="2"/>
            <w:tcBorders>
              <w:top w:val="nil"/>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-1</w:t>
            </w:r>
          </w:p>
        </w:tc>
      </w:tr>
      <w:tr w:rsidR="008C2FDE" w:rsidRPr="00060D88" w:rsidTr="00060D88">
        <w:trPr>
          <w:trHeight w:val="315"/>
        </w:trPr>
        <w:tc>
          <w:tcPr>
            <w:tcW w:w="1134" w:type="dxa"/>
            <w:tcBorders>
              <w:top w:val="nil"/>
              <w:left w:val="single" w:sz="8" w:space="0" w:color="auto"/>
              <w:bottom w:val="single" w:sz="8" w:space="0" w:color="auto"/>
              <w:right w:val="nil"/>
            </w:tcBorders>
            <w:shd w:val="clear" w:color="auto" w:fill="auto"/>
            <w:hideMark/>
          </w:tcPr>
          <w:p w:rsidR="008C2FDE" w:rsidRPr="00060D88" w:rsidRDefault="008C2FDE" w:rsidP="00060D88">
            <w:pPr>
              <w:spacing w:after="0" w:line="240" w:lineRule="auto"/>
              <w:rPr>
                <w:rFonts w:eastAsia="Times New Roman" w:cs="Calibri"/>
                <w:color w:val="000000"/>
                <w:sz w:val="20"/>
                <w:szCs w:val="20"/>
                <w:lang w:eastAsia="es-MX"/>
              </w:rPr>
            </w:pPr>
            <w:r w:rsidRPr="00060D88">
              <w:rPr>
                <w:rFonts w:eastAsia="Times New Roman" w:cs="Calibri"/>
                <w:color w:val="000000"/>
                <w:sz w:val="20"/>
                <w:szCs w:val="20"/>
                <w:lang w:eastAsia="es-MX"/>
              </w:rPr>
              <w:t> </w:t>
            </w:r>
          </w:p>
        </w:tc>
        <w:tc>
          <w:tcPr>
            <w:tcW w:w="1180" w:type="dxa"/>
            <w:tcBorders>
              <w:top w:val="nil"/>
              <w:left w:val="nil"/>
              <w:bottom w:val="single" w:sz="8" w:space="0" w:color="auto"/>
              <w:right w:val="nil"/>
            </w:tcBorders>
            <w:shd w:val="clear" w:color="auto" w:fill="auto"/>
            <w:hideMark/>
          </w:tcPr>
          <w:p w:rsidR="008C2FDE" w:rsidRPr="00060D88" w:rsidRDefault="008C2FDE" w:rsidP="00060D88">
            <w:pPr>
              <w:spacing w:after="0" w:line="240" w:lineRule="auto"/>
              <w:rPr>
                <w:rFonts w:eastAsia="Times New Roman" w:cs="Calibri"/>
                <w:color w:val="000000"/>
                <w:sz w:val="20"/>
                <w:szCs w:val="20"/>
                <w:lang w:eastAsia="es-MX"/>
              </w:rPr>
            </w:pPr>
            <w:r w:rsidRPr="00060D88">
              <w:rPr>
                <w:rFonts w:eastAsia="Times New Roman" w:cs="Calibri"/>
                <w:color w:val="000000"/>
                <w:sz w:val="20"/>
                <w:szCs w:val="20"/>
                <w:lang w:eastAsia="es-MX"/>
              </w:rPr>
              <w:t> </w:t>
            </w:r>
          </w:p>
        </w:tc>
        <w:tc>
          <w:tcPr>
            <w:tcW w:w="1660" w:type="dxa"/>
            <w:gridSpan w:val="2"/>
            <w:tcBorders>
              <w:top w:val="nil"/>
              <w:left w:val="nil"/>
              <w:bottom w:val="single" w:sz="8" w:space="0" w:color="auto"/>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Argentina</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5.2</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2</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0.7</w:t>
            </w:r>
          </w:p>
        </w:tc>
        <w:tc>
          <w:tcPr>
            <w:tcW w:w="1200" w:type="dxa"/>
            <w:gridSpan w:val="2"/>
            <w:tcBorders>
              <w:top w:val="nil"/>
              <w:left w:val="nil"/>
              <w:bottom w:val="single" w:sz="8" w:space="0" w:color="auto"/>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-0.5</w:t>
            </w:r>
          </w:p>
        </w:tc>
      </w:tr>
      <w:tr w:rsidR="008C2FDE" w:rsidRPr="00060D88" w:rsidTr="00060D88">
        <w:trPr>
          <w:trHeight w:val="300"/>
        </w:trPr>
        <w:tc>
          <w:tcPr>
            <w:tcW w:w="1134" w:type="dxa"/>
            <w:tcBorders>
              <w:top w:val="nil"/>
              <w:left w:val="single" w:sz="8" w:space="0" w:color="auto"/>
              <w:bottom w:val="nil"/>
              <w:right w:val="nil"/>
            </w:tcBorders>
            <w:shd w:val="clear" w:color="auto" w:fill="auto"/>
            <w:hideMark/>
          </w:tcPr>
          <w:p w:rsidR="008C2FDE" w:rsidRPr="00060D88" w:rsidRDefault="008C2FDE" w:rsidP="00060D88">
            <w:pPr>
              <w:spacing w:after="0" w:line="240" w:lineRule="auto"/>
              <w:jc w:val="center"/>
              <w:rPr>
                <w:rFonts w:eastAsia="Times New Roman" w:cs="Calibri"/>
                <w:color w:val="000000"/>
                <w:sz w:val="16"/>
                <w:szCs w:val="16"/>
                <w:lang w:eastAsia="es-MX"/>
              </w:rPr>
            </w:pPr>
          </w:p>
        </w:tc>
        <w:tc>
          <w:tcPr>
            <w:tcW w:w="2840" w:type="dxa"/>
            <w:gridSpan w:val="3"/>
            <w:tcBorders>
              <w:top w:val="single" w:sz="8" w:space="0" w:color="auto"/>
              <w:left w:val="nil"/>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 xml:space="preserve">Oriente Medio y Norte de África </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5.7</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3.5</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0.4</w:t>
            </w:r>
          </w:p>
        </w:tc>
        <w:tc>
          <w:tcPr>
            <w:tcW w:w="1200" w:type="dxa"/>
            <w:gridSpan w:val="2"/>
            <w:tcBorders>
              <w:top w:val="nil"/>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-0.1</w:t>
            </w:r>
          </w:p>
        </w:tc>
      </w:tr>
      <w:tr w:rsidR="008C2FDE" w:rsidRPr="00060D88" w:rsidTr="00060D88">
        <w:trPr>
          <w:trHeight w:val="300"/>
        </w:trPr>
        <w:tc>
          <w:tcPr>
            <w:tcW w:w="1134" w:type="dxa"/>
            <w:tcBorders>
              <w:top w:val="nil"/>
              <w:left w:val="single" w:sz="8" w:space="0" w:color="auto"/>
              <w:bottom w:val="nil"/>
              <w:right w:val="nil"/>
            </w:tcBorders>
            <w:shd w:val="clear" w:color="auto" w:fill="auto"/>
            <w:hideMark/>
          </w:tcPr>
          <w:p w:rsidR="008C2FDE" w:rsidRPr="00060D88" w:rsidRDefault="008C2FDE" w:rsidP="00060D88">
            <w:pPr>
              <w:spacing w:after="0" w:line="240" w:lineRule="auto"/>
              <w:jc w:val="center"/>
              <w:rPr>
                <w:rFonts w:eastAsia="Times New Roman" w:cs="Calibri"/>
                <w:color w:val="000000"/>
                <w:sz w:val="16"/>
                <w:szCs w:val="16"/>
                <w:lang w:eastAsia="es-MX"/>
              </w:rPr>
            </w:pPr>
          </w:p>
        </w:tc>
        <w:tc>
          <w:tcPr>
            <w:tcW w:w="1180" w:type="dxa"/>
            <w:tcBorders>
              <w:top w:val="nil"/>
              <w:left w:val="nil"/>
              <w:bottom w:val="nil"/>
              <w:right w:val="nil"/>
            </w:tcBorders>
            <w:shd w:val="clear" w:color="auto" w:fill="auto"/>
            <w:hideMark/>
          </w:tcPr>
          <w:p w:rsidR="008C2FDE" w:rsidRPr="00060D88" w:rsidRDefault="008C2FDE" w:rsidP="00060D88">
            <w:pPr>
              <w:spacing w:after="0" w:line="240" w:lineRule="auto"/>
              <w:rPr>
                <w:rFonts w:ascii="Times New Roman" w:eastAsia="Times New Roman" w:hAnsi="Times New Roman"/>
                <w:sz w:val="20"/>
                <w:szCs w:val="20"/>
                <w:lang w:eastAsia="es-MX"/>
              </w:rPr>
            </w:pPr>
          </w:p>
        </w:tc>
        <w:tc>
          <w:tcPr>
            <w:tcW w:w="1660" w:type="dxa"/>
            <w:gridSpan w:val="2"/>
            <w:tcBorders>
              <w:top w:val="nil"/>
              <w:left w:val="nil"/>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Arabia Saudita</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8.3</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3.7</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1.3</w:t>
            </w:r>
          </w:p>
        </w:tc>
        <w:tc>
          <w:tcPr>
            <w:tcW w:w="1200" w:type="dxa"/>
            <w:gridSpan w:val="2"/>
            <w:tcBorders>
              <w:top w:val="nil"/>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-0.1</w:t>
            </w:r>
          </w:p>
        </w:tc>
      </w:tr>
      <w:tr w:rsidR="008C2FDE" w:rsidRPr="00060D88" w:rsidTr="00060D88">
        <w:trPr>
          <w:trHeight w:val="480"/>
        </w:trPr>
        <w:tc>
          <w:tcPr>
            <w:tcW w:w="1134" w:type="dxa"/>
            <w:tcBorders>
              <w:top w:val="nil"/>
              <w:left w:val="single" w:sz="8" w:space="0" w:color="auto"/>
              <w:bottom w:val="nil"/>
              <w:right w:val="nil"/>
            </w:tcBorders>
            <w:shd w:val="clear" w:color="auto" w:fill="auto"/>
            <w:hideMark/>
          </w:tcPr>
          <w:p w:rsidR="008C2FDE" w:rsidRPr="00060D88" w:rsidRDefault="008C2FDE" w:rsidP="00060D88">
            <w:pPr>
              <w:spacing w:after="0" w:line="240" w:lineRule="auto"/>
              <w:jc w:val="center"/>
              <w:rPr>
                <w:rFonts w:eastAsia="Times New Roman" w:cs="Calibri"/>
                <w:color w:val="000000"/>
                <w:sz w:val="16"/>
                <w:szCs w:val="16"/>
                <w:lang w:eastAsia="es-MX"/>
              </w:rPr>
            </w:pPr>
          </w:p>
        </w:tc>
        <w:tc>
          <w:tcPr>
            <w:tcW w:w="1180" w:type="dxa"/>
            <w:tcBorders>
              <w:top w:val="nil"/>
              <w:left w:val="nil"/>
              <w:bottom w:val="nil"/>
              <w:right w:val="nil"/>
            </w:tcBorders>
            <w:shd w:val="clear" w:color="auto" w:fill="auto"/>
            <w:hideMark/>
          </w:tcPr>
          <w:p w:rsidR="008C2FDE" w:rsidRPr="00060D88" w:rsidRDefault="008C2FDE" w:rsidP="00060D88">
            <w:pPr>
              <w:spacing w:after="0" w:line="240" w:lineRule="auto"/>
              <w:rPr>
                <w:rFonts w:ascii="Times New Roman" w:eastAsia="Times New Roman" w:hAnsi="Times New Roman"/>
                <w:sz w:val="20"/>
                <w:szCs w:val="20"/>
                <w:lang w:eastAsia="es-MX"/>
              </w:rPr>
            </w:pPr>
          </w:p>
        </w:tc>
        <w:tc>
          <w:tcPr>
            <w:tcW w:w="1660" w:type="dxa"/>
            <w:gridSpan w:val="2"/>
            <w:tcBorders>
              <w:top w:val="nil"/>
              <w:left w:val="nil"/>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Irán, Rep. Islámica del</w:t>
            </w:r>
            <w:r w:rsidRPr="00060D88">
              <w:rPr>
                <w:rFonts w:eastAsia="Times New Roman" w:cs="Calibri"/>
                <w:color w:val="000000"/>
                <w:sz w:val="16"/>
                <w:szCs w:val="16"/>
                <w:vertAlign w:val="superscript"/>
                <w:lang w:eastAsia="es-MX"/>
              </w:rPr>
              <w:t>2</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2.9</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2.2</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-0.8</w:t>
            </w:r>
          </w:p>
        </w:tc>
        <w:tc>
          <w:tcPr>
            <w:tcW w:w="1200" w:type="dxa"/>
            <w:gridSpan w:val="2"/>
            <w:tcBorders>
              <w:top w:val="nil"/>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-0.5</w:t>
            </w:r>
          </w:p>
        </w:tc>
      </w:tr>
      <w:tr w:rsidR="008C2FDE" w:rsidRPr="00060D88" w:rsidTr="00060D88">
        <w:trPr>
          <w:trHeight w:val="495"/>
        </w:trPr>
        <w:tc>
          <w:tcPr>
            <w:tcW w:w="1134" w:type="dxa"/>
            <w:tcBorders>
              <w:top w:val="nil"/>
              <w:left w:val="single" w:sz="8" w:space="0" w:color="auto"/>
              <w:bottom w:val="single" w:sz="8" w:space="0" w:color="auto"/>
              <w:right w:val="nil"/>
            </w:tcBorders>
            <w:shd w:val="clear" w:color="auto" w:fill="auto"/>
            <w:hideMark/>
          </w:tcPr>
          <w:p w:rsidR="008C2FDE" w:rsidRPr="00060D88" w:rsidRDefault="008C2FDE" w:rsidP="00060D88">
            <w:pPr>
              <w:spacing w:after="0" w:line="240" w:lineRule="auto"/>
              <w:rPr>
                <w:rFonts w:eastAsia="Times New Roman" w:cs="Calibri"/>
                <w:color w:val="000000"/>
                <w:sz w:val="20"/>
                <w:szCs w:val="20"/>
                <w:lang w:eastAsia="es-MX"/>
              </w:rPr>
            </w:pPr>
            <w:r w:rsidRPr="00060D88">
              <w:rPr>
                <w:rFonts w:eastAsia="Times New Roman" w:cs="Calibri"/>
                <w:color w:val="000000"/>
                <w:sz w:val="20"/>
                <w:szCs w:val="20"/>
                <w:lang w:eastAsia="es-MX"/>
              </w:rPr>
              <w:t> </w:t>
            </w:r>
          </w:p>
        </w:tc>
        <w:tc>
          <w:tcPr>
            <w:tcW w:w="1180" w:type="dxa"/>
            <w:tcBorders>
              <w:top w:val="nil"/>
              <w:left w:val="nil"/>
              <w:bottom w:val="single" w:sz="8" w:space="0" w:color="auto"/>
              <w:right w:val="nil"/>
            </w:tcBorders>
            <w:shd w:val="clear" w:color="auto" w:fill="auto"/>
            <w:hideMark/>
          </w:tcPr>
          <w:p w:rsidR="008C2FDE" w:rsidRPr="00060D88" w:rsidRDefault="008C2FDE" w:rsidP="00060D88">
            <w:pPr>
              <w:spacing w:after="0" w:line="240" w:lineRule="auto"/>
              <w:rPr>
                <w:rFonts w:eastAsia="Times New Roman" w:cs="Calibri"/>
                <w:color w:val="000000"/>
                <w:sz w:val="20"/>
                <w:szCs w:val="20"/>
                <w:lang w:eastAsia="es-MX"/>
              </w:rPr>
            </w:pPr>
            <w:r w:rsidRPr="00060D88">
              <w:rPr>
                <w:rFonts w:eastAsia="Times New Roman" w:cs="Calibri"/>
                <w:color w:val="000000"/>
                <w:sz w:val="20"/>
                <w:szCs w:val="20"/>
                <w:lang w:eastAsia="es-MX"/>
              </w:rPr>
              <w:t> </w:t>
            </w:r>
          </w:p>
        </w:tc>
        <w:tc>
          <w:tcPr>
            <w:tcW w:w="1660" w:type="dxa"/>
            <w:gridSpan w:val="2"/>
            <w:tcBorders>
              <w:top w:val="nil"/>
              <w:left w:val="nil"/>
              <w:bottom w:val="single" w:sz="8" w:space="0" w:color="auto"/>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Egipto, Rep. Árabe de</w:t>
            </w:r>
            <w:r w:rsidRPr="00060D88">
              <w:rPr>
                <w:rFonts w:eastAsia="Times New Roman" w:cs="Calibri"/>
                <w:color w:val="000000"/>
                <w:sz w:val="16"/>
                <w:szCs w:val="16"/>
                <w:vertAlign w:val="superscript"/>
                <w:lang w:eastAsia="es-MX"/>
              </w:rPr>
              <w:t>3</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6.6</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4.5</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0.5</w:t>
            </w:r>
          </w:p>
        </w:tc>
        <w:tc>
          <w:tcPr>
            <w:tcW w:w="1200" w:type="dxa"/>
            <w:gridSpan w:val="2"/>
            <w:tcBorders>
              <w:top w:val="nil"/>
              <w:left w:val="nil"/>
              <w:bottom w:val="single" w:sz="8" w:space="0" w:color="auto"/>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-0.3</w:t>
            </w:r>
          </w:p>
        </w:tc>
      </w:tr>
      <w:tr w:rsidR="008C2FDE" w:rsidRPr="00060D88" w:rsidTr="00060D88">
        <w:trPr>
          <w:trHeight w:val="300"/>
        </w:trPr>
        <w:tc>
          <w:tcPr>
            <w:tcW w:w="1134" w:type="dxa"/>
            <w:tcBorders>
              <w:top w:val="nil"/>
              <w:left w:val="single" w:sz="8" w:space="0" w:color="auto"/>
              <w:bottom w:val="nil"/>
              <w:right w:val="nil"/>
            </w:tcBorders>
            <w:shd w:val="clear" w:color="auto" w:fill="auto"/>
            <w:hideMark/>
          </w:tcPr>
          <w:p w:rsidR="008C2FDE" w:rsidRPr="00060D88" w:rsidRDefault="008C2FDE" w:rsidP="00060D88">
            <w:pPr>
              <w:spacing w:after="0" w:line="240" w:lineRule="auto"/>
              <w:jc w:val="center"/>
              <w:rPr>
                <w:rFonts w:eastAsia="Times New Roman" w:cs="Calibri"/>
                <w:color w:val="000000"/>
                <w:sz w:val="16"/>
                <w:szCs w:val="16"/>
                <w:lang w:eastAsia="es-MX"/>
              </w:rPr>
            </w:pPr>
          </w:p>
        </w:tc>
        <w:tc>
          <w:tcPr>
            <w:tcW w:w="2840" w:type="dxa"/>
            <w:gridSpan w:val="3"/>
            <w:tcBorders>
              <w:top w:val="single" w:sz="8" w:space="0" w:color="auto"/>
              <w:left w:val="nil"/>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Asia meridional</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6.1</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5.5</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-0.7</w:t>
            </w:r>
          </w:p>
        </w:tc>
        <w:tc>
          <w:tcPr>
            <w:tcW w:w="1200" w:type="dxa"/>
            <w:gridSpan w:val="2"/>
            <w:tcBorders>
              <w:top w:val="nil"/>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-0.3</w:t>
            </w:r>
          </w:p>
        </w:tc>
      </w:tr>
      <w:tr w:rsidR="008C2FDE" w:rsidRPr="00060D88" w:rsidTr="00060D88">
        <w:trPr>
          <w:trHeight w:val="300"/>
        </w:trPr>
        <w:tc>
          <w:tcPr>
            <w:tcW w:w="1134" w:type="dxa"/>
            <w:tcBorders>
              <w:top w:val="nil"/>
              <w:left w:val="single" w:sz="8" w:space="0" w:color="auto"/>
              <w:bottom w:val="nil"/>
              <w:right w:val="nil"/>
            </w:tcBorders>
            <w:shd w:val="clear" w:color="auto" w:fill="auto"/>
            <w:hideMark/>
          </w:tcPr>
          <w:p w:rsidR="008C2FDE" w:rsidRPr="00060D88" w:rsidRDefault="008C2FDE" w:rsidP="00060D88">
            <w:pPr>
              <w:spacing w:after="0" w:line="240" w:lineRule="auto"/>
              <w:jc w:val="center"/>
              <w:rPr>
                <w:rFonts w:eastAsia="Times New Roman" w:cs="Calibri"/>
                <w:color w:val="000000"/>
                <w:sz w:val="16"/>
                <w:szCs w:val="16"/>
                <w:lang w:eastAsia="es-MX"/>
              </w:rPr>
            </w:pPr>
          </w:p>
        </w:tc>
        <w:tc>
          <w:tcPr>
            <w:tcW w:w="1180" w:type="dxa"/>
            <w:tcBorders>
              <w:top w:val="nil"/>
              <w:left w:val="nil"/>
              <w:bottom w:val="nil"/>
              <w:right w:val="nil"/>
            </w:tcBorders>
            <w:shd w:val="clear" w:color="auto" w:fill="auto"/>
            <w:hideMark/>
          </w:tcPr>
          <w:p w:rsidR="008C2FDE" w:rsidRPr="00060D88" w:rsidRDefault="008C2FDE" w:rsidP="00060D88">
            <w:pPr>
              <w:spacing w:after="0" w:line="240" w:lineRule="auto"/>
              <w:rPr>
                <w:rFonts w:ascii="Times New Roman" w:eastAsia="Times New Roman" w:hAnsi="Times New Roman"/>
                <w:sz w:val="20"/>
                <w:szCs w:val="20"/>
                <w:lang w:eastAsia="es-MX"/>
              </w:rPr>
            </w:pPr>
          </w:p>
        </w:tc>
        <w:tc>
          <w:tcPr>
            <w:tcW w:w="1660" w:type="dxa"/>
            <w:gridSpan w:val="2"/>
            <w:tcBorders>
              <w:top w:val="nil"/>
              <w:left w:val="nil"/>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India</w:t>
            </w:r>
            <w:r w:rsidRPr="00060D88">
              <w:rPr>
                <w:rFonts w:eastAsia="Times New Roman" w:cs="Calibri"/>
                <w:color w:val="000000"/>
                <w:sz w:val="16"/>
                <w:szCs w:val="16"/>
                <w:vertAlign w:val="superscript"/>
                <w:lang w:eastAsia="es-MX"/>
              </w:rPr>
              <w:t>2</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6.9</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6.6</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-0.6</w:t>
            </w:r>
          </w:p>
        </w:tc>
        <w:tc>
          <w:tcPr>
            <w:tcW w:w="1200" w:type="dxa"/>
            <w:gridSpan w:val="2"/>
            <w:tcBorders>
              <w:top w:val="nil"/>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-0.5</w:t>
            </w:r>
          </w:p>
        </w:tc>
      </w:tr>
      <w:tr w:rsidR="008C2FDE" w:rsidRPr="00060D88" w:rsidTr="00060D88">
        <w:trPr>
          <w:trHeight w:val="300"/>
        </w:trPr>
        <w:tc>
          <w:tcPr>
            <w:tcW w:w="1134" w:type="dxa"/>
            <w:tcBorders>
              <w:top w:val="nil"/>
              <w:left w:val="single" w:sz="8" w:space="0" w:color="auto"/>
              <w:bottom w:val="nil"/>
              <w:right w:val="nil"/>
            </w:tcBorders>
            <w:shd w:val="clear" w:color="auto" w:fill="auto"/>
            <w:hideMark/>
          </w:tcPr>
          <w:p w:rsidR="008C2FDE" w:rsidRPr="00060D88" w:rsidRDefault="008C2FDE" w:rsidP="00060D88">
            <w:pPr>
              <w:spacing w:after="0" w:line="240" w:lineRule="auto"/>
              <w:jc w:val="center"/>
              <w:rPr>
                <w:rFonts w:eastAsia="Times New Roman" w:cs="Calibri"/>
                <w:color w:val="000000"/>
                <w:sz w:val="16"/>
                <w:szCs w:val="16"/>
                <w:lang w:eastAsia="es-MX"/>
              </w:rPr>
            </w:pPr>
          </w:p>
        </w:tc>
        <w:tc>
          <w:tcPr>
            <w:tcW w:w="1180" w:type="dxa"/>
            <w:tcBorders>
              <w:top w:val="nil"/>
              <w:left w:val="nil"/>
              <w:bottom w:val="nil"/>
              <w:right w:val="nil"/>
            </w:tcBorders>
            <w:shd w:val="clear" w:color="auto" w:fill="auto"/>
            <w:hideMark/>
          </w:tcPr>
          <w:p w:rsidR="008C2FDE" w:rsidRPr="00060D88" w:rsidRDefault="008C2FDE" w:rsidP="00060D88">
            <w:pPr>
              <w:spacing w:after="0" w:line="240" w:lineRule="auto"/>
              <w:rPr>
                <w:rFonts w:ascii="Times New Roman" w:eastAsia="Times New Roman" w:hAnsi="Times New Roman"/>
                <w:sz w:val="20"/>
                <w:szCs w:val="20"/>
                <w:lang w:eastAsia="es-MX"/>
              </w:rPr>
            </w:pPr>
          </w:p>
        </w:tc>
        <w:tc>
          <w:tcPr>
            <w:tcW w:w="1660" w:type="dxa"/>
            <w:gridSpan w:val="2"/>
            <w:tcBorders>
              <w:top w:val="nil"/>
              <w:left w:val="nil"/>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Pakistán</w:t>
            </w:r>
            <w:r w:rsidRPr="00060D88">
              <w:rPr>
                <w:rFonts w:eastAsia="Times New Roman" w:cs="Calibri"/>
                <w:color w:val="000000"/>
                <w:sz w:val="16"/>
                <w:szCs w:val="16"/>
                <w:vertAlign w:val="superscript"/>
                <w:lang w:eastAsia="es-MX"/>
              </w:rPr>
              <w:t>3</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6</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2</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1.7</w:t>
            </w:r>
          </w:p>
        </w:tc>
        <w:tc>
          <w:tcPr>
            <w:tcW w:w="1200" w:type="dxa"/>
            <w:gridSpan w:val="2"/>
            <w:tcBorders>
              <w:top w:val="nil"/>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-2</w:t>
            </w:r>
          </w:p>
        </w:tc>
      </w:tr>
      <w:tr w:rsidR="008C2FDE" w:rsidRPr="00060D88" w:rsidTr="00060D88">
        <w:trPr>
          <w:trHeight w:val="315"/>
        </w:trPr>
        <w:tc>
          <w:tcPr>
            <w:tcW w:w="1134" w:type="dxa"/>
            <w:tcBorders>
              <w:top w:val="nil"/>
              <w:left w:val="single" w:sz="8" w:space="0" w:color="auto"/>
              <w:bottom w:val="single" w:sz="8" w:space="0" w:color="auto"/>
              <w:right w:val="nil"/>
            </w:tcBorders>
            <w:shd w:val="clear" w:color="auto" w:fill="auto"/>
            <w:hideMark/>
          </w:tcPr>
          <w:p w:rsidR="008C2FDE" w:rsidRPr="00060D88" w:rsidRDefault="008C2FDE" w:rsidP="00060D88">
            <w:pPr>
              <w:spacing w:after="0" w:line="240" w:lineRule="auto"/>
              <w:rPr>
                <w:rFonts w:eastAsia="Times New Roman" w:cs="Calibri"/>
                <w:color w:val="000000"/>
                <w:sz w:val="20"/>
                <w:szCs w:val="20"/>
                <w:lang w:eastAsia="es-MX"/>
              </w:rPr>
            </w:pPr>
            <w:r w:rsidRPr="00060D88">
              <w:rPr>
                <w:rFonts w:eastAsia="Times New Roman" w:cs="Calibri"/>
                <w:color w:val="000000"/>
                <w:sz w:val="20"/>
                <w:szCs w:val="20"/>
                <w:lang w:eastAsia="es-MX"/>
              </w:rPr>
              <w:t> </w:t>
            </w:r>
          </w:p>
        </w:tc>
        <w:tc>
          <w:tcPr>
            <w:tcW w:w="1180" w:type="dxa"/>
            <w:tcBorders>
              <w:top w:val="nil"/>
              <w:left w:val="nil"/>
              <w:bottom w:val="single" w:sz="8" w:space="0" w:color="auto"/>
              <w:right w:val="nil"/>
            </w:tcBorders>
            <w:shd w:val="clear" w:color="auto" w:fill="auto"/>
            <w:hideMark/>
          </w:tcPr>
          <w:p w:rsidR="008C2FDE" w:rsidRPr="00060D88" w:rsidRDefault="008C2FDE" w:rsidP="00060D88">
            <w:pPr>
              <w:spacing w:after="0" w:line="240" w:lineRule="auto"/>
              <w:rPr>
                <w:rFonts w:eastAsia="Times New Roman" w:cs="Calibri"/>
                <w:color w:val="000000"/>
                <w:sz w:val="20"/>
                <w:szCs w:val="20"/>
                <w:lang w:eastAsia="es-MX"/>
              </w:rPr>
            </w:pPr>
            <w:r w:rsidRPr="00060D88">
              <w:rPr>
                <w:rFonts w:eastAsia="Times New Roman" w:cs="Calibri"/>
                <w:color w:val="000000"/>
                <w:sz w:val="20"/>
                <w:szCs w:val="20"/>
                <w:lang w:eastAsia="es-MX"/>
              </w:rPr>
              <w:t> </w:t>
            </w:r>
          </w:p>
        </w:tc>
        <w:tc>
          <w:tcPr>
            <w:tcW w:w="1660" w:type="dxa"/>
            <w:gridSpan w:val="2"/>
            <w:tcBorders>
              <w:top w:val="nil"/>
              <w:left w:val="nil"/>
              <w:bottom w:val="single" w:sz="8" w:space="0" w:color="auto"/>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Bangladesh</w:t>
            </w:r>
            <w:r w:rsidRPr="00060D88">
              <w:rPr>
                <w:rFonts w:eastAsia="Times New Roman" w:cs="Calibri"/>
                <w:color w:val="000000"/>
                <w:sz w:val="16"/>
                <w:szCs w:val="16"/>
                <w:vertAlign w:val="superscript"/>
                <w:lang w:eastAsia="es-MX"/>
              </w:rPr>
              <w:t>3</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7.2</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5.2</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0.8</w:t>
            </w:r>
          </w:p>
        </w:tc>
        <w:tc>
          <w:tcPr>
            <w:tcW w:w="1200" w:type="dxa"/>
            <w:gridSpan w:val="2"/>
            <w:tcBorders>
              <w:top w:val="nil"/>
              <w:left w:val="nil"/>
              <w:bottom w:val="single" w:sz="8" w:space="0" w:color="auto"/>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-1.5</w:t>
            </w:r>
          </w:p>
        </w:tc>
      </w:tr>
      <w:tr w:rsidR="008C2FDE" w:rsidRPr="00060D88" w:rsidTr="00060D88">
        <w:trPr>
          <w:trHeight w:val="300"/>
        </w:trPr>
        <w:tc>
          <w:tcPr>
            <w:tcW w:w="1134" w:type="dxa"/>
            <w:tcBorders>
              <w:top w:val="nil"/>
              <w:left w:val="single" w:sz="8" w:space="0" w:color="auto"/>
              <w:bottom w:val="nil"/>
              <w:right w:val="nil"/>
            </w:tcBorders>
            <w:shd w:val="clear" w:color="auto" w:fill="auto"/>
            <w:hideMark/>
          </w:tcPr>
          <w:p w:rsidR="008C2FDE" w:rsidRPr="00060D88" w:rsidRDefault="008C2FDE" w:rsidP="00060D88">
            <w:pPr>
              <w:spacing w:after="0" w:line="240" w:lineRule="auto"/>
              <w:jc w:val="center"/>
              <w:rPr>
                <w:rFonts w:eastAsia="Times New Roman" w:cs="Calibri"/>
                <w:color w:val="000000"/>
                <w:sz w:val="16"/>
                <w:szCs w:val="16"/>
                <w:lang w:eastAsia="es-MX"/>
              </w:rPr>
            </w:pPr>
          </w:p>
        </w:tc>
        <w:tc>
          <w:tcPr>
            <w:tcW w:w="2840" w:type="dxa"/>
            <w:gridSpan w:val="3"/>
            <w:tcBorders>
              <w:top w:val="single" w:sz="8" w:space="0" w:color="auto"/>
              <w:left w:val="nil"/>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África al sur del Sahara</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3.4</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3.6</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-0.3</w:t>
            </w:r>
          </w:p>
        </w:tc>
        <w:tc>
          <w:tcPr>
            <w:tcW w:w="1200" w:type="dxa"/>
            <w:gridSpan w:val="2"/>
            <w:tcBorders>
              <w:top w:val="nil"/>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-0.2</w:t>
            </w:r>
          </w:p>
        </w:tc>
      </w:tr>
      <w:tr w:rsidR="008C2FDE" w:rsidRPr="00060D88" w:rsidTr="00060D88">
        <w:trPr>
          <w:trHeight w:val="300"/>
        </w:trPr>
        <w:tc>
          <w:tcPr>
            <w:tcW w:w="1134" w:type="dxa"/>
            <w:tcBorders>
              <w:top w:val="nil"/>
              <w:left w:val="single" w:sz="8" w:space="0" w:color="auto"/>
              <w:bottom w:val="nil"/>
              <w:right w:val="nil"/>
            </w:tcBorders>
            <w:shd w:val="clear" w:color="auto" w:fill="auto"/>
            <w:hideMark/>
          </w:tcPr>
          <w:p w:rsidR="008C2FDE" w:rsidRPr="00060D88" w:rsidRDefault="008C2FDE" w:rsidP="00060D88">
            <w:pPr>
              <w:spacing w:after="0" w:line="240" w:lineRule="auto"/>
              <w:jc w:val="center"/>
              <w:rPr>
                <w:rFonts w:eastAsia="Times New Roman" w:cs="Calibri"/>
                <w:color w:val="000000"/>
                <w:sz w:val="16"/>
                <w:szCs w:val="16"/>
                <w:lang w:eastAsia="es-MX"/>
              </w:rPr>
            </w:pPr>
          </w:p>
        </w:tc>
        <w:tc>
          <w:tcPr>
            <w:tcW w:w="1180" w:type="dxa"/>
            <w:tcBorders>
              <w:top w:val="nil"/>
              <w:left w:val="nil"/>
              <w:bottom w:val="nil"/>
              <w:right w:val="nil"/>
            </w:tcBorders>
            <w:shd w:val="clear" w:color="auto" w:fill="auto"/>
            <w:hideMark/>
          </w:tcPr>
          <w:p w:rsidR="008C2FDE" w:rsidRPr="00060D88" w:rsidRDefault="008C2FDE" w:rsidP="00060D88">
            <w:pPr>
              <w:spacing w:after="0" w:line="240" w:lineRule="auto"/>
              <w:rPr>
                <w:rFonts w:ascii="Times New Roman" w:eastAsia="Times New Roman" w:hAnsi="Times New Roman"/>
                <w:sz w:val="20"/>
                <w:szCs w:val="20"/>
                <w:lang w:eastAsia="es-MX"/>
              </w:rPr>
            </w:pPr>
          </w:p>
        </w:tc>
        <w:tc>
          <w:tcPr>
            <w:tcW w:w="1660" w:type="dxa"/>
            <w:gridSpan w:val="2"/>
            <w:tcBorders>
              <w:top w:val="nil"/>
              <w:left w:val="nil"/>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Nigeria</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3.1</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2.9</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-0.3</w:t>
            </w:r>
          </w:p>
        </w:tc>
        <w:tc>
          <w:tcPr>
            <w:tcW w:w="1200" w:type="dxa"/>
            <w:gridSpan w:val="2"/>
            <w:tcBorders>
              <w:top w:val="nil"/>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-0.3</w:t>
            </w:r>
          </w:p>
        </w:tc>
      </w:tr>
      <w:tr w:rsidR="008C2FDE" w:rsidRPr="00060D88" w:rsidTr="00060D88">
        <w:trPr>
          <w:trHeight w:val="300"/>
        </w:trPr>
        <w:tc>
          <w:tcPr>
            <w:tcW w:w="1134" w:type="dxa"/>
            <w:tcBorders>
              <w:top w:val="nil"/>
              <w:left w:val="single" w:sz="8" w:space="0" w:color="auto"/>
              <w:bottom w:val="nil"/>
              <w:right w:val="nil"/>
            </w:tcBorders>
            <w:shd w:val="clear" w:color="auto" w:fill="auto"/>
            <w:hideMark/>
          </w:tcPr>
          <w:p w:rsidR="008C2FDE" w:rsidRPr="00060D88" w:rsidRDefault="008C2FDE" w:rsidP="00060D88">
            <w:pPr>
              <w:spacing w:after="0" w:line="240" w:lineRule="auto"/>
              <w:jc w:val="center"/>
              <w:rPr>
                <w:rFonts w:eastAsia="Times New Roman" w:cs="Calibri"/>
                <w:color w:val="000000"/>
                <w:sz w:val="16"/>
                <w:szCs w:val="16"/>
                <w:lang w:eastAsia="es-MX"/>
              </w:rPr>
            </w:pPr>
          </w:p>
        </w:tc>
        <w:tc>
          <w:tcPr>
            <w:tcW w:w="1180" w:type="dxa"/>
            <w:tcBorders>
              <w:top w:val="nil"/>
              <w:left w:val="nil"/>
              <w:bottom w:val="nil"/>
              <w:right w:val="nil"/>
            </w:tcBorders>
            <w:shd w:val="clear" w:color="auto" w:fill="auto"/>
            <w:hideMark/>
          </w:tcPr>
          <w:p w:rsidR="008C2FDE" w:rsidRPr="00060D88" w:rsidRDefault="008C2FDE" w:rsidP="00060D88">
            <w:pPr>
              <w:spacing w:after="0" w:line="240" w:lineRule="auto"/>
              <w:rPr>
                <w:rFonts w:ascii="Times New Roman" w:eastAsia="Times New Roman" w:hAnsi="Times New Roman"/>
                <w:sz w:val="20"/>
                <w:szCs w:val="20"/>
                <w:lang w:eastAsia="es-MX"/>
              </w:rPr>
            </w:pPr>
          </w:p>
        </w:tc>
        <w:tc>
          <w:tcPr>
            <w:tcW w:w="1660" w:type="dxa"/>
            <w:gridSpan w:val="2"/>
            <w:tcBorders>
              <w:top w:val="nil"/>
              <w:left w:val="nil"/>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Sudáfrica</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1.9</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1.4</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-0.2</w:t>
            </w:r>
          </w:p>
        </w:tc>
        <w:tc>
          <w:tcPr>
            <w:tcW w:w="1200" w:type="dxa"/>
            <w:gridSpan w:val="2"/>
            <w:tcBorders>
              <w:top w:val="nil"/>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-0.1</w:t>
            </w:r>
          </w:p>
        </w:tc>
      </w:tr>
      <w:tr w:rsidR="008C2FDE" w:rsidRPr="00060D88" w:rsidTr="00060D88">
        <w:trPr>
          <w:trHeight w:val="315"/>
        </w:trPr>
        <w:tc>
          <w:tcPr>
            <w:tcW w:w="1134" w:type="dxa"/>
            <w:tcBorders>
              <w:top w:val="nil"/>
              <w:left w:val="single" w:sz="8" w:space="0" w:color="auto"/>
              <w:bottom w:val="single" w:sz="8" w:space="0" w:color="auto"/>
              <w:right w:val="nil"/>
            </w:tcBorders>
            <w:shd w:val="clear" w:color="auto" w:fill="auto"/>
            <w:hideMark/>
          </w:tcPr>
          <w:p w:rsidR="008C2FDE" w:rsidRPr="00060D88" w:rsidRDefault="008C2FDE" w:rsidP="00060D88">
            <w:pPr>
              <w:spacing w:after="0" w:line="240" w:lineRule="auto"/>
              <w:rPr>
                <w:rFonts w:eastAsia="Times New Roman" w:cs="Calibri"/>
                <w:color w:val="000000"/>
                <w:sz w:val="20"/>
                <w:szCs w:val="20"/>
                <w:lang w:eastAsia="es-MX"/>
              </w:rPr>
            </w:pPr>
            <w:r w:rsidRPr="00060D88">
              <w:rPr>
                <w:rFonts w:eastAsia="Times New Roman" w:cs="Calibri"/>
                <w:color w:val="000000"/>
                <w:sz w:val="20"/>
                <w:szCs w:val="20"/>
                <w:lang w:eastAsia="es-MX"/>
              </w:rPr>
              <w:t> </w:t>
            </w:r>
          </w:p>
        </w:tc>
        <w:tc>
          <w:tcPr>
            <w:tcW w:w="1180" w:type="dxa"/>
            <w:tcBorders>
              <w:top w:val="nil"/>
              <w:left w:val="nil"/>
              <w:bottom w:val="single" w:sz="8" w:space="0" w:color="auto"/>
              <w:right w:val="nil"/>
            </w:tcBorders>
            <w:shd w:val="clear" w:color="auto" w:fill="auto"/>
            <w:hideMark/>
          </w:tcPr>
          <w:p w:rsidR="008C2FDE" w:rsidRPr="00060D88" w:rsidRDefault="008C2FDE" w:rsidP="00060D88">
            <w:pPr>
              <w:spacing w:after="0" w:line="240" w:lineRule="auto"/>
              <w:rPr>
                <w:rFonts w:eastAsia="Times New Roman" w:cs="Calibri"/>
                <w:color w:val="000000"/>
                <w:sz w:val="20"/>
                <w:szCs w:val="20"/>
                <w:lang w:eastAsia="es-MX"/>
              </w:rPr>
            </w:pPr>
            <w:r w:rsidRPr="00060D88">
              <w:rPr>
                <w:rFonts w:eastAsia="Times New Roman" w:cs="Calibri"/>
                <w:color w:val="000000"/>
                <w:sz w:val="20"/>
                <w:szCs w:val="20"/>
                <w:lang w:eastAsia="es-MX"/>
              </w:rPr>
              <w:t> </w:t>
            </w:r>
          </w:p>
        </w:tc>
        <w:tc>
          <w:tcPr>
            <w:tcW w:w="1660" w:type="dxa"/>
            <w:gridSpan w:val="2"/>
            <w:tcBorders>
              <w:top w:val="nil"/>
              <w:left w:val="nil"/>
              <w:bottom w:val="single" w:sz="8" w:space="0" w:color="auto"/>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Angola</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3.1</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2.8</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w:t>
            </w:r>
          </w:p>
        </w:tc>
        <w:tc>
          <w:tcPr>
            <w:tcW w:w="1200" w:type="dxa"/>
            <w:gridSpan w:val="2"/>
            <w:tcBorders>
              <w:top w:val="nil"/>
              <w:left w:val="nil"/>
              <w:bottom w:val="single" w:sz="8" w:space="0" w:color="auto"/>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-0.5</w:t>
            </w:r>
          </w:p>
        </w:tc>
      </w:tr>
      <w:tr w:rsidR="008C2FDE" w:rsidRPr="00060D88" w:rsidTr="00060D88">
        <w:trPr>
          <w:trHeight w:val="315"/>
        </w:trPr>
        <w:tc>
          <w:tcPr>
            <w:tcW w:w="1134" w:type="dxa"/>
            <w:tcBorders>
              <w:top w:val="single" w:sz="8" w:space="0" w:color="auto"/>
              <w:left w:val="single" w:sz="8" w:space="0" w:color="auto"/>
              <w:bottom w:val="single" w:sz="8" w:space="0" w:color="auto"/>
              <w:right w:val="nil"/>
            </w:tcBorders>
            <w:shd w:val="clear" w:color="000000" w:fill="AB0033"/>
            <w:vAlign w:val="center"/>
            <w:hideMark/>
          </w:tcPr>
          <w:p w:rsidR="008C2FDE" w:rsidRPr="00060D88" w:rsidRDefault="008C2FDE" w:rsidP="00060D88">
            <w:pPr>
              <w:spacing w:after="0" w:line="240" w:lineRule="auto"/>
              <w:rPr>
                <w:rFonts w:eastAsia="Times New Roman" w:cs="Calibri"/>
                <w:color w:val="244062"/>
                <w:sz w:val="16"/>
                <w:szCs w:val="16"/>
                <w:lang w:eastAsia="es-MX"/>
              </w:rPr>
            </w:pPr>
            <w:r w:rsidRPr="00060D88">
              <w:rPr>
                <w:rFonts w:eastAsia="Times New Roman" w:cs="Calibri"/>
                <w:color w:val="244062"/>
                <w:sz w:val="16"/>
                <w:szCs w:val="16"/>
                <w:lang w:eastAsia="es-MX"/>
              </w:rPr>
              <w:t> </w:t>
            </w:r>
          </w:p>
        </w:tc>
        <w:tc>
          <w:tcPr>
            <w:tcW w:w="1180" w:type="dxa"/>
            <w:tcBorders>
              <w:top w:val="single" w:sz="8" w:space="0" w:color="auto"/>
              <w:left w:val="nil"/>
              <w:bottom w:val="single" w:sz="8" w:space="0" w:color="auto"/>
              <w:right w:val="nil"/>
            </w:tcBorders>
            <w:shd w:val="clear" w:color="000000" w:fill="AB0033"/>
            <w:vAlign w:val="center"/>
            <w:hideMark/>
          </w:tcPr>
          <w:p w:rsidR="008C2FDE" w:rsidRPr="00060D88" w:rsidRDefault="008C2FDE" w:rsidP="00060D88">
            <w:pPr>
              <w:spacing w:after="0" w:line="240" w:lineRule="auto"/>
              <w:rPr>
                <w:rFonts w:eastAsia="Times New Roman" w:cs="Calibri"/>
                <w:color w:val="244062"/>
                <w:sz w:val="16"/>
                <w:szCs w:val="16"/>
                <w:lang w:eastAsia="es-MX"/>
              </w:rPr>
            </w:pPr>
            <w:r w:rsidRPr="00060D88">
              <w:rPr>
                <w:rFonts w:eastAsia="Times New Roman" w:cs="Calibri"/>
                <w:color w:val="244062"/>
                <w:sz w:val="16"/>
                <w:szCs w:val="16"/>
                <w:lang w:eastAsia="es-MX"/>
              </w:rPr>
              <w:t> </w:t>
            </w:r>
          </w:p>
        </w:tc>
        <w:tc>
          <w:tcPr>
            <w:tcW w:w="1660" w:type="dxa"/>
            <w:gridSpan w:val="2"/>
            <w:tcBorders>
              <w:top w:val="single" w:sz="8" w:space="0" w:color="auto"/>
              <w:left w:val="nil"/>
              <w:bottom w:val="single" w:sz="8" w:space="0" w:color="auto"/>
              <w:right w:val="nil"/>
            </w:tcBorders>
            <w:shd w:val="clear" w:color="000000" w:fill="AB0033"/>
            <w:vAlign w:val="center"/>
            <w:hideMark/>
          </w:tcPr>
          <w:p w:rsidR="008C2FDE" w:rsidRPr="00060D88" w:rsidRDefault="008C2FDE" w:rsidP="00060D88">
            <w:pPr>
              <w:spacing w:after="0" w:line="240" w:lineRule="auto"/>
              <w:rPr>
                <w:rFonts w:eastAsia="Times New Roman" w:cs="Calibri"/>
                <w:color w:val="244062"/>
                <w:sz w:val="16"/>
                <w:szCs w:val="16"/>
                <w:lang w:eastAsia="es-MX"/>
              </w:rPr>
            </w:pPr>
            <w:r w:rsidRPr="00060D88">
              <w:rPr>
                <w:rFonts w:eastAsia="Times New Roman" w:cs="Calibri"/>
                <w:color w:val="244062"/>
                <w:sz w:val="16"/>
                <w:szCs w:val="16"/>
                <w:lang w:eastAsia="es-MX"/>
              </w:rPr>
              <w:t> </w:t>
            </w:r>
          </w:p>
        </w:tc>
        <w:tc>
          <w:tcPr>
            <w:tcW w:w="1200" w:type="dxa"/>
            <w:gridSpan w:val="2"/>
            <w:tcBorders>
              <w:top w:val="nil"/>
              <w:left w:val="nil"/>
              <w:bottom w:val="single" w:sz="8" w:space="0" w:color="auto"/>
              <w:right w:val="nil"/>
            </w:tcBorders>
            <w:shd w:val="clear" w:color="000000" w:fill="AB0033"/>
            <w:noWrap/>
            <w:vAlign w:val="center"/>
            <w:hideMark/>
          </w:tcPr>
          <w:p w:rsidR="008C2FDE" w:rsidRPr="00060D88" w:rsidRDefault="008C2FDE" w:rsidP="00060D88">
            <w:pPr>
              <w:spacing w:after="0" w:line="240" w:lineRule="auto"/>
              <w:jc w:val="center"/>
              <w:rPr>
                <w:rFonts w:eastAsia="Times New Roman" w:cs="Calibri"/>
                <w:b/>
                <w:bCs/>
                <w:color w:val="FFFFFF"/>
                <w:sz w:val="16"/>
                <w:szCs w:val="16"/>
                <w:lang w:eastAsia="es-MX"/>
              </w:rPr>
            </w:pPr>
            <w:r w:rsidRPr="00060D88">
              <w:rPr>
                <w:rFonts w:eastAsia="Times New Roman" w:cs="Calibri"/>
                <w:b/>
                <w:bCs/>
                <w:color w:val="FFFFFF"/>
                <w:sz w:val="16"/>
                <w:szCs w:val="16"/>
                <w:lang w:eastAsia="es-MX"/>
              </w:rPr>
              <w:t>2022e</w:t>
            </w:r>
          </w:p>
        </w:tc>
        <w:tc>
          <w:tcPr>
            <w:tcW w:w="1200" w:type="dxa"/>
            <w:gridSpan w:val="2"/>
            <w:tcBorders>
              <w:top w:val="nil"/>
              <w:left w:val="nil"/>
              <w:bottom w:val="single" w:sz="8" w:space="0" w:color="auto"/>
              <w:right w:val="nil"/>
            </w:tcBorders>
            <w:shd w:val="clear" w:color="000000" w:fill="AB0033"/>
            <w:noWrap/>
            <w:vAlign w:val="center"/>
            <w:hideMark/>
          </w:tcPr>
          <w:p w:rsidR="008C2FDE" w:rsidRPr="00060D88" w:rsidRDefault="008C2FDE" w:rsidP="00060D88">
            <w:pPr>
              <w:spacing w:after="0" w:line="240" w:lineRule="auto"/>
              <w:jc w:val="center"/>
              <w:rPr>
                <w:rFonts w:eastAsia="Times New Roman" w:cs="Calibri"/>
                <w:b/>
                <w:bCs/>
                <w:color w:val="FFFFFF"/>
                <w:sz w:val="16"/>
                <w:szCs w:val="16"/>
                <w:lang w:eastAsia="es-MX"/>
              </w:rPr>
            </w:pPr>
            <w:r w:rsidRPr="00060D88">
              <w:rPr>
                <w:rFonts w:eastAsia="Times New Roman" w:cs="Calibri"/>
                <w:b/>
                <w:bCs/>
                <w:color w:val="FFFFFF"/>
                <w:sz w:val="16"/>
                <w:szCs w:val="16"/>
                <w:lang w:eastAsia="es-MX"/>
              </w:rPr>
              <w:t>2023f</w:t>
            </w:r>
          </w:p>
        </w:tc>
        <w:tc>
          <w:tcPr>
            <w:tcW w:w="1200" w:type="dxa"/>
            <w:gridSpan w:val="2"/>
            <w:tcBorders>
              <w:top w:val="nil"/>
              <w:left w:val="nil"/>
              <w:bottom w:val="single" w:sz="8" w:space="0" w:color="auto"/>
              <w:right w:val="nil"/>
            </w:tcBorders>
            <w:shd w:val="clear" w:color="000000" w:fill="AB0033"/>
            <w:noWrap/>
            <w:vAlign w:val="center"/>
            <w:hideMark/>
          </w:tcPr>
          <w:p w:rsidR="008C2FDE" w:rsidRPr="00060D88" w:rsidRDefault="008C2FDE" w:rsidP="00060D88">
            <w:pPr>
              <w:spacing w:after="0" w:line="240" w:lineRule="auto"/>
              <w:jc w:val="center"/>
              <w:rPr>
                <w:rFonts w:eastAsia="Times New Roman" w:cs="Calibri"/>
                <w:b/>
                <w:bCs/>
                <w:color w:val="FFFFFF"/>
                <w:sz w:val="16"/>
                <w:szCs w:val="16"/>
                <w:lang w:eastAsia="es-MX"/>
              </w:rPr>
            </w:pPr>
            <w:r w:rsidRPr="00060D88">
              <w:rPr>
                <w:rFonts w:eastAsia="Times New Roman" w:cs="Calibri"/>
                <w:b/>
                <w:bCs/>
                <w:color w:val="FFFFFF"/>
                <w:sz w:val="16"/>
                <w:szCs w:val="16"/>
                <w:lang w:eastAsia="es-MX"/>
              </w:rPr>
              <w:t>2022e</w:t>
            </w:r>
          </w:p>
        </w:tc>
        <w:tc>
          <w:tcPr>
            <w:tcW w:w="1200" w:type="dxa"/>
            <w:gridSpan w:val="2"/>
            <w:tcBorders>
              <w:top w:val="nil"/>
              <w:left w:val="nil"/>
              <w:bottom w:val="single" w:sz="8" w:space="0" w:color="auto"/>
              <w:right w:val="nil"/>
            </w:tcBorders>
            <w:shd w:val="clear" w:color="000000" w:fill="AB0033"/>
            <w:noWrap/>
            <w:vAlign w:val="center"/>
            <w:hideMark/>
          </w:tcPr>
          <w:p w:rsidR="008C2FDE" w:rsidRPr="00060D88" w:rsidRDefault="008C2FDE" w:rsidP="00060D88">
            <w:pPr>
              <w:spacing w:after="0" w:line="240" w:lineRule="auto"/>
              <w:jc w:val="center"/>
              <w:rPr>
                <w:rFonts w:eastAsia="Times New Roman" w:cs="Calibri"/>
                <w:b/>
                <w:bCs/>
                <w:color w:val="FFFFFF"/>
                <w:sz w:val="16"/>
                <w:szCs w:val="16"/>
                <w:lang w:eastAsia="es-MX"/>
              </w:rPr>
            </w:pPr>
            <w:r w:rsidRPr="00060D88">
              <w:rPr>
                <w:rFonts w:eastAsia="Times New Roman" w:cs="Calibri"/>
                <w:b/>
                <w:bCs/>
                <w:color w:val="FFFFFF"/>
                <w:sz w:val="16"/>
                <w:szCs w:val="16"/>
                <w:lang w:eastAsia="es-MX"/>
              </w:rPr>
              <w:t>2023f</w:t>
            </w:r>
          </w:p>
        </w:tc>
      </w:tr>
      <w:tr w:rsidR="008C2FDE" w:rsidRPr="00060D88" w:rsidTr="00060D88">
        <w:trPr>
          <w:trHeight w:val="450"/>
        </w:trPr>
        <w:tc>
          <w:tcPr>
            <w:tcW w:w="1134" w:type="dxa"/>
            <w:tcBorders>
              <w:top w:val="single" w:sz="8" w:space="0" w:color="auto"/>
              <w:left w:val="single" w:sz="8" w:space="0" w:color="auto"/>
              <w:bottom w:val="single" w:sz="8" w:space="0" w:color="auto"/>
              <w:right w:val="nil"/>
            </w:tcBorders>
            <w:shd w:val="clear" w:color="auto" w:fill="auto"/>
            <w:noWrap/>
            <w:vAlign w:val="center"/>
            <w:hideMark/>
          </w:tcPr>
          <w:p w:rsidR="008C2FDE" w:rsidRPr="00060D88" w:rsidRDefault="008C2FDE" w:rsidP="00060D88">
            <w:pPr>
              <w:spacing w:after="0" w:line="240" w:lineRule="auto"/>
              <w:rPr>
                <w:rFonts w:eastAsia="Times New Roman" w:cs="Calibri"/>
                <w:b/>
                <w:bCs/>
                <w:i/>
                <w:iCs/>
                <w:color w:val="000000"/>
                <w:sz w:val="16"/>
                <w:szCs w:val="16"/>
                <w:lang w:eastAsia="es-MX"/>
              </w:rPr>
            </w:pPr>
            <w:r w:rsidRPr="00060D88">
              <w:rPr>
                <w:rFonts w:eastAsia="Times New Roman" w:cs="Calibri"/>
                <w:b/>
                <w:bCs/>
                <w:i/>
                <w:iCs/>
                <w:color w:val="000000"/>
                <w:sz w:val="16"/>
                <w:szCs w:val="16"/>
                <w:lang w:eastAsia="es-MX"/>
              </w:rPr>
              <w:lastRenderedPageBreak/>
              <w:t>Partidas informativas:</w:t>
            </w:r>
          </w:p>
        </w:tc>
        <w:tc>
          <w:tcPr>
            <w:tcW w:w="1180" w:type="dxa"/>
            <w:tcBorders>
              <w:top w:val="single" w:sz="8" w:space="0" w:color="auto"/>
              <w:left w:val="nil"/>
              <w:bottom w:val="nil"/>
              <w:right w:val="nil"/>
            </w:tcBorders>
            <w:shd w:val="clear" w:color="auto" w:fill="auto"/>
            <w:noWrap/>
            <w:vAlign w:val="center"/>
            <w:hideMark/>
          </w:tcPr>
          <w:p w:rsidR="008C2FDE" w:rsidRPr="00060D88" w:rsidRDefault="008C2FDE" w:rsidP="00060D88">
            <w:pPr>
              <w:spacing w:after="0" w:line="240" w:lineRule="auto"/>
              <w:rPr>
                <w:rFonts w:eastAsia="Times New Roman" w:cs="Calibri"/>
                <w:b/>
                <w:bCs/>
                <w:i/>
                <w:iCs/>
                <w:color w:val="000000"/>
                <w:sz w:val="16"/>
                <w:szCs w:val="16"/>
                <w:lang w:eastAsia="es-MX"/>
              </w:rPr>
            </w:pPr>
          </w:p>
        </w:tc>
        <w:tc>
          <w:tcPr>
            <w:tcW w:w="1660" w:type="dxa"/>
            <w:gridSpan w:val="2"/>
            <w:tcBorders>
              <w:top w:val="single" w:sz="8" w:space="0" w:color="auto"/>
              <w:left w:val="nil"/>
              <w:bottom w:val="nil"/>
              <w:right w:val="nil"/>
            </w:tcBorders>
            <w:shd w:val="clear" w:color="auto" w:fill="auto"/>
            <w:noWrap/>
            <w:vAlign w:val="center"/>
            <w:hideMark/>
          </w:tcPr>
          <w:p w:rsidR="008C2FDE" w:rsidRPr="00060D88" w:rsidRDefault="008C2FDE" w:rsidP="00060D88">
            <w:pPr>
              <w:spacing w:after="0" w:line="240" w:lineRule="auto"/>
              <w:rPr>
                <w:rFonts w:ascii="Times New Roman" w:eastAsia="Times New Roman" w:hAnsi="Times New Roman"/>
                <w:sz w:val="20"/>
                <w:szCs w:val="20"/>
                <w:lang w:eastAsia="es-MX"/>
              </w:rPr>
            </w:pPr>
          </w:p>
        </w:tc>
        <w:tc>
          <w:tcPr>
            <w:tcW w:w="1200" w:type="dxa"/>
            <w:gridSpan w:val="2"/>
            <w:tcBorders>
              <w:top w:val="single" w:sz="8" w:space="0" w:color="auto"/>
              <w:left w:val="nil"/>
              <w:bottom w:val="nil"/>
              <w:right w:val="nil"/>
            </w:tcBorders>
            <w:shd w:val="clear" w:color="auto" w:fill="auto"/>
            <w:noWrap/>
            <w:vAlign w:val="center"/>
            <w:hideMark/>
          </w:tcPr>
          <w:p w:rsidR="008C2FDE" w:rsidRPr="00060D88" w:rsidRDefault="008C2FDE" w:rsidP="00060D88">
            <w:pPr>
              <w:spacing w:after="0" w:line="240" w:lineRule="auto"/>
              <w:rPr>
                <w:rFonts w:ascii="Times New Roman" w:eastAsia="Times New Roman" w:hAnsi="Times New Roman"/>
                <w:sz w:val="20"/>
                <w:szCs w:val="20"/>
                <w:lang w:eastAsia="es-MX"/>
              </w:rPr>
            </w:pPr>
          </w:p>
        </w:tc>
        <w:tc>
          <w:tcPr>
            <w:tcW w:w="1200" w:type="dxa"/>
            <w:gridSpan w:val="2"/>
            <w:tcBorders>
              <w:top w:val="single" w:sz="8" w:space="0" w:color="auto"/>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ascii="Times New Roman" w:eastAsia="Times New Roman" w:hAnsi="Times New Roman"/>
                <w:sz w:val="20"/>
                <w:szCs w:val="20"/>
                <w:lang w:eastAsia="es-MX"/>
              </w:rPr>
            </w:pPr>
          </w:p>
        </w:tc>
        <w:tc>
          <w:tcPr>
            <w:tcW w:w="1200" w:type="dxa"/>
            <w:gridSpan w:val="2"/>
            <w:tcBorders>
              <w:top w:val="single" w:sz="8" w:space="0" w:color="auto"/>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ascii="Times New Roman" w:eastAsia="Times New Roman" w:hAnsi="Times New Roman"/>
                <w:sz w:val="20"/>
                <w:szCs w:val="20"/>
                <w:lang w:eastAsia="es-MX"/>
              </w:rPr>
            </w:pPr>
          </w:p>
        </w:tc>
        <w:tc>
          <w:tcPr>
            <w:tcW w:w="1200" w:type="dxa"/>
            <w:gridSpan w:val="2"/>
            <w:tcBorders>
              <w:top w:val="single" w:sz="8" w:space="0" w:color="auto"/>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ascii="Times New Roman" w:eastAsia="Times New Roman" w:hAnsi="Times New Roman"/>
                <w:sz w:val="20"/>
                <w:szCs w:val="20"/>
                <w:lang w:eastAsia="es-MX"/>
              </w:rPr>
            </w:pPr>
          </w:p>
        </w:tc>
      </w:tr>
      <w:tr w:rsidR="008C2FDE" w:rsidRPr="00060D88" w:rsidTr="00060D88">
        <w:trPr>
          <w:gridAfter w:val="1"/>
          <w:wAfter w:w="6" w:type="dxa"/>
          <w:trHeight w:val="300"/>
        </w:trPr>
        <w:tc>
          <w:tcPr>
            <w:tcW w:w="3968" w:type="dxa"/>
            <w:gridSpan w:val="3"/>
            <w:tcBorders>
              <w:top w:val="single" w:sz="8" w:space="0" w:color="auto"/>
              <w:left w:val="single" w:sz="8" w:space="0" w:color="auto"/>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b/>
                <w:bCs/>
                <w:color w:val="000000"/>
                <w:sz w:val="16"/>
                <w:szCs w:val="16"/>
                <w:lang w:eastAsia="es-MX"/>
              </w:rPr>
            </w:pPr>
            <w:r w:rsidRPr="00060D88">
              <w:rPr>
                <w:rFonts w:eastAsia="Times New Roman" w:cs="Calibri"/>
                <w:b/>
                <w:bCs/>
                <w:color w:val="000000"/>
                <w:sz w:val="16"/>
                <w:szCs w:val="16"/>
                <w:lang w:eastAsia="es-MX"/>
              </w:rPr>
              <w:t>PIB real</w:t>
            </w:r>
            <w:r w:rsidRPr="00060D88">
              <w:rPr>
                <w:rFonts w:eastAsia="Times New Roman" w:cs="Calibri"/>
                <w:b/>
                <w:bCs/>
                <w:color w:val="000000"/>
                <w:sz w:val="16"/>
                <w:szCs w:val="16"/>
                <w:vertAlign w:val="superscript"/>
                <w:lang w:eastAsia="es-MX"/>
              </w:rPr>
              <w:t>1</w:t>
            </w:r>
          </w:p>
        </w:tc>
        <w:tc>
          <w:tcPr>
            <w:tcW w:w="1200" w:type="dxa"/>
            <w:gridSpan w:val="2"/>
            <w:tcBorders>
              <w:top w:val="single" w:sz="8" w:space="0" w:color="auto"/>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262626"/>
                <w:sz w:val="16"/>
                <w:szCs w:val="16"/>
                <w:lang w:eastAsia="es-MX"/>
              </w:rPr>
            </w:pPr>
            <w:r w:rsidRPr="00060D88">
              <w:rPr>
                <w:rFonts w:eastAsia="Times New Roman" w:cs="Calibri"/>
                <w:color w:val="262626"/>
                <w:sz w:val="16"/>
                <w:szCs w:val="16"/>
                <w:lang w:eastAsia="es-MX"/>
              </w:rPr>
              <w:t> </w:t>
            </w:r>
          </w:p>
        </w:tc>
        <w:tc>
          <w:tcPr>
            <w:tcW w:w="1200" w:type="dxa"/>
            <w:gridSpan w:val="2"/>
            <w:tcBorders>
              <w:top w:val="single" w:sz="8" w:space="0" w:color="auto"/>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262626"/>
                <w:sz w:val="16"/>
                <w:szCs w:val="16"/>
                <w:lang w:eastAsia="es-MX"/>
              </w:rPr>
            </w:pPr>
            <w:r w:rsidRPr="00060D88">
              <w:rPr>
                <w:rFonts w:eastAsia="Times New Roman" w:cs="Calibri"/>
                <w:color w:val="262626"/>
                <w:sz w:val="16"/>
                <w:szCs w:val="16"/>
                <w:lang w:eastAsia="es-MX"/>
              </w:rPr>
              <w:t> </w:t>
            </w:r>
          </w:p>
        </w:tc>
        <w:tc>
          <w:tcPr>
            <w:tcW w:w="1200" w:type="dxa"/>
            <w:gridSpan w:val="2"/>
            <w:tcBorders>
              <w:top w:val="single" w:sz="8" w:space="0" w:color="auto"/>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262626"/>
                <w:sz w:val="16"/>
                <w:szCs w:val="16"/>
                <w:lang w:eastAsia="es-MX"/>
              </w:rPr>
            </w:pPr>
            <w:r w:rsidRPr="00060D88">
              <w:rPr>
                <w:rFonts w:eastAsia="Times New Roman" w:cs="Calibri"/>
                <w:color w:val="262626"/>
                <w:sz w:val="16"/>
                <w:szCs w:val="16"/>
                <w:lang w:eastAsia="es-MX"/>
              </w:rPr>
              <w:t> </w:t>
            </w:r>
          </w:p>
        </w:tc>
        <w:tc>
          <w:tcPr>
            <w:tcW w:w="1200" w:type="dxa"/>
            <w:gridSpan w:val="2"/>
            <w:tcBorders>
              <w:top w:val="single" w:sz="8" w:space="0" w:color="auto"/>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262626"/>
                <w:sz w:val="16"/>
                <w:szCs w:val="16"/>
                <w:lang w:eastAsia="es-MX"/>
              </w:rPr>
            </w:pPr>
            <w:r w:rsidRPr="00060D88">
              <w:rPr>
                <w:rFonts w:eastAsia="Times New Roman" w:cs="Calibri"/>
                <w:color w:val="262626"/>
                <w:sz w:val="16"/>
                <w:szCs w:val="16"/>
                <w:lang w:eastAsia="es-MX"/>
              </w:rPr>
              <w:t> </w:t>
            </w:r>
          </w:p>
        </w:tc>
      </w:tr>
      <w:tr w:rsidR="008C2FDE" w:rsidRPr="00060D88" w:rsidTr="00060D88">
        <w:trPr>
          <w:trHeight w:val="300"/>
        </w:trPr>
        <w:tc>
          <w:tcPr>
            <w:tcW w:w="1134" w:type="dxa"/>
            <w:tcBorders>
              <w:top w:val="nil"/>
              <w:left w:val="single" w:sz="8" w:space="0" w:color="auto"/>
              <w:bottom w:val="nil"/>
              <w:right w:val="nil"/>
            </w:tcBorders>
            <w:shd w:val="clear" w:color="auto" w:fill="auto"/>
            <w:hideMark/>
          </w:tcPr>
          <w:p w:rsidR="008C2FDE" w:rsidRPr="00060D88" w:rsidRDefault="008C2FDE" w:rsidP="00060D88">
            <w:pPr>
              <w:spacing w:after="0" w:line="240" w:lineRule="auto"/>
              <w:jc w:val="center"/>
              <w:rPr>
                <w:rFonts w:eastAsia="Times New Roman" w:cs="Calibri"/>
                <w:color w:val="262626"/>
                <w:sz w:val="16"/>
                <w:szCs w:val="16"/>
                <w:lang w:eastAsia="es-MX"/>
              </w:rPr>
            </w:pPr>
          </w:p>
        </w:tc>
        <w:tc>
          <w:tcPr>
            <w:tcW w:w="2840" w:type="dxa"/>
            <w:gridSpan w:val="3"/>
            <w:tcBorders>
              <w:top w:val="nil"/>
              <w:left w:val="nil"/>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Países de ingreso alto</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262626"/>
                <w:sz w:val="16"/>
                <w:szCs w:val="16"/>
                <w:lang w:eastAsia="es-MX"/>
              </w:rPr>
            </w:pPr>
            <w:r w:rsidRPr="00060D88">
              <w:rPr>
                <w:rFonts w:eastAsia="Times New Roman" w:cs="Calibri"/>
                <w:color w:val="262626"/>
                <w:sz w:val="16"/>
                <w:szCs w:val="16"/>
                <w:lang w:eastAsia="es-MX"/>
              </w:rPr>
              <w:t>2.7</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262626"/>
                <w:sz w:val="16"/>
                <w:szCs w:val="16"/>
                <w:lang w:eastAsia="es-MX"/>
              </w:rPr>
            </w:pPr>
            <w:r w:rsidRPr="00060D88">
              <w:rPr>
                <w:rFonts w:eastAsia="Times New Roman" w:cs="Calibri"/>
                <w:color w:val="262626"/>
                <w:sz w:val="16"/>
                <w:szCs w:val="16"/>
                <w:lang w:eastAsia="es-MX"/>
              </w:rPr>
              <w:t>0.6</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262626"/>
                <w:sz w:val="16"/>
                <w:szCs w:val="16"/>
                <w:lang w:eastAsia="es-MX"/>
              </w:rPr>
            </w:pPr>
            <w:r w:rsidRPr="00060D88">
              <w:rPr>
                <w:rFonts w:eastAsia="Times New Roman" w:cs="Calibri"/>
                <w:color w:val="262626"/>
                <w:sz w:val="16"/>
                <w:szCs w:val="16"/>
                <w:lang w:eastAsia="es-MX"/>
              </w:rPr>
              <w:t>0</w:t>
            </w:r>
          </w:p>
        </w:tc>
        <w:tc>
          <w:tcPr>
            <w:tcW w:w="1200" w:type="dxa"/>
            <w:gridSpan w:val="2"/>
            <w:tcBorders>
              <w:top w:val="nil"/>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262626"/>
                <w:sz w:val="16"/>
                <w:szCs w:val="16"/>
                <w:lang w:eastAsia="es-MX"/>
              </w:rPr>
            </w:pPr>
            <w:r w:rsidRPr="00060D88">
              <w:rPr>
                <w:rFonts w:eastAsia="Times New Roman" w:cs="Calibri"/>
                <w:color w:val="262626"/>
                <w:sz w:val="16"/>
                <w:szCs w:val="16"/>
                <w:lang w:eastAsia="es-MX"/>
              </w:rPr>
              <w:t>-1.6</w:t>
            </w:r>
          </w:p>
        </w:tc>
      </w:tr>
      <w:tr w:rsidR="008C2FDE" w:rsidRPr="00060D88" w:rsidTr="00060D88">
        <w:trPr>
          <w:trHeight w:val="300"/>
        </w:trPr>
        <w:tc>
          <w:tcPr>
            <w:tcW w:w="1134" w:type="dxa"/>
            <w:tcBorders>
              <w:top w:val="nil"/>
              <w:left w:val="single" w:sz="8" w:space="0" w:color="auto"/>
              <w:bottom w:val="nil"/>
              <w:right w:val="nil"/>
            </w:tcBorders>
            <w:shd w:val="clear" w:color="auto" w:fill="auto"/>
            <w:hideMark/>
          </w:tcPr>
          <w:p w:rsidR="008C2FDE" w:rsidRPr="00060D88" w:rsidRDefault="008C2FDE" w:rsidP="00060D88">
            <w:pPr>
              <w:spacing w:after="0" w:line="240" w:lineRule="auto"/>
              <w:jc w:val="center"/>
              <w:rPr>
                <w:rFonts w:eastAsia="Times New Roman" w:cs="Calibri"/>
                <w:color w:val="262626"/>
                <w:sz w:val="16"/>
                <w:szCs w:val="16"/>
                <w:lang w:eastAsia="es-MX"/>
              </w:rPr>
            </w:pPr>
          </w:p>
        </w:tc>
        <w:tc>
          <w:tcPr>
            <w:tcW w:w="2840" w:type="dxa"/>
            <w:gridSpan w:val="3"/>
            <w:tcBorders>
              <w:top w:val="nil"/>
              <w:left w:val="nil"/>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Países de ingreso mediano</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262626"/>
                <w:sz w:val="16"/>
                <w:szCs w:val="16"/>
                <w:lang w:eastAsia="es-MX"/>
              </w:rPr>
            </w:pPr>
            <w:r w:rsidRPr="00060D88">
              <w:rPr>
                <w:rFonts w:eastAsia="Times New Roman" w:cs="Calibri"/>
                <w:color w:val="262626"/>
                <w:sz w:val="16"/>
                <w:szCs w:val="16"/>
                <w:lang w:eastAsia="es-MX"/>
              </w:rPr>
              <w:t>3.2</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262626"/>
                <w:sz w:val="16"/>
                <w:szCs w:val="16"/>
                <w:lang w:eastAsia="es-MX"/>
              </w:rPr>
            </w:pPr>
            <w:r w:rsidRPr="00060D88">
              <w:rPr>
                <w:rFonts w:eastAsia="Times New Roman" w:cs="Calibri"/>
                <w:color w:val="262626"/>
                <w:sz w:val="16"/>
                <w:szCs w:val="16"/>
                <w:lang w:eastAsia="es-MX"/>
              </w:rPr>
              <w:t>3.4</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262626"/>
                <w:sz w:val="16"/>
                <w:szCs w:val="16"/>
                <w:lang w:eastAsia="es-MX"/>
              </w:rPr>
            </w:pPr>
            <w:r w:rsidRPr="00060D88">
              <w:rPr>
                <w:rFonts w:eastAsia="Times New Roman" w:cs="Calibri"/>
                <w:color w:val="262626"/>
                <w:sz w:val="16"/>
                <w:szCs w:val="16"/>
                <w:lang w:eastAsia="es-MX"/>
              </w:rPr>
              <w:t>-0.1</w:t>
            </w:r>
          </w:p>
        </w:tc>
        <w:tc>
          <w:tcPr>
            <w:tcW w:w="1200" w:type="dxa"/>
            <w:gridSpan w:val="2"/>
            <w:tcBorders>
              <w:top w:val="nil"/>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262626"/>
                <w:sz w:val="16"/>
                <w:szCs w:val="16"/>
                <w:lang w:eastAsia="es-MX"/>
              </w:rPr>
            </w:pPr>
            <w:r w:rsidRPr="00060D88">
              <w:rPr>
                <w:rFonts w:eastAsia="Times New Roman" w:cs="Calibri"/>
                <w:color w:val="262626"/>
                <w:sz w:val="16"/>
                <w:szCs w:val="16"/>
                <w:lang w:eastAsia="es-MX"/>
              </w:rPr>
              <w:t>-0.8</w:t>
            </w:r>
          </w:p>
        </w:tc>
      </w:tr>
      <w:tr w:rsidR="008C2FDE" w:rsidRPr="00060D88" w:rsidTr="00060D88">
        <w:trPr>
          <w:trHeight w:val="300"/>
        </w:trPr>
        <w:tc>
          <w:tcPr>
            <w:tcW w:w="1134" w:type="dxa"/>
            <w:tcBorders>
              <w:top w:val="nil"/>
              <w:left w:val="single" w:sz="8" w:space="0" w:color="auto"/>
              <w:bottom w:val="nil"/>
              <w:right w:val="nil"/>
            </w:tcBorders>
            <w:shd w:val="clear" w:color="auto" w:fill="auto"/>
            <w:hideMark/>
          </w:tcPr>
          <w:p w:rsidR="008C2FDE" w:rsidRPr="00060D88" w:rsidRDefault="008C2FDE" w:rsidP="00060D88">
            <w:pPr>
              <w:spacing w:after="0" w:line="240" w:lineRule="auto"/>
              <w:jc w:val="center"/>
              <w:rPr>
                <w:rFonts w:eastAsia="Times New Roman" w:cs="Calibri"/>
                <w:color w:val="262626"/>
                <w:sz w:val="16"/>
                <w:szCs w:val="16"/>
                <w:lang w:eastAsia="es-MX"/>
              </w:rPr>
            </w:pPr>
          </w:p>
        </w:tc>
        <w:tc>
          <w:tcPr>
            <w:tcW w:w="2840" w:type="dxa"/>
            <w:gridSpan w:val="3"/>
            <w:tcBorders>
              <w:top w:val="nil"/>
              <w:left w:val="nil"/>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Países de ingreso bajo</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262626"/>
                <w:sz w:val="16"/>
                <w:szCs w:val="16"/>
                <w:lang w:eastAsia="es-MX"/>
              </w:rPr>
            </w:pPr>
            <w:r w:rsidRPr="00060D88">
              <w:rPr>
                <w:rFonts w:eastAsia="Times New Roman" w:cs="Calibri"/>
                <w:color w:val="262626"/>
                <w:sz w:val="16"/>
                <w:szCs w:val="16"/>
                <w:lang w:eastAsia="es-MX"/>
              </w:rPr>
              <w:t>4</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262626"/>
                <w:sz w:val="16"/>
                <w:szCs w:val="16"/>
                <w:lang w:eastAsia="es-MX"/>
              </w:rPr>
            </w:pPr>
            <w:r w:rsidRPr="00060D88">
              <w:rPr>
                <w:rFonts w:eastAsia="Times New Roman" w:cs="Calibri"/>
                <w:color w:val="262626"/>
                <w:sz w:val="16"/>
                <w:szCs w:val="16"/>
                <w:lang w:eastAsia="es-MX"/>
              </w:rPr>
              <w:t>5.1</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262626"/>
                <w:sz w:val="16"/>
                <w:szCs w:val="16"/>
                <w:lang w:eastAsia="es-MX"/>
              </w:rPr>
            </w:pPr>
            <w:r w:rsidRPr="00060D88">
              <w:rPr>
                <w:rFonts w:eastAsia="Times New Roman" w:cs="Calibri"/>
                <w:color w:val="262626"/>
                <w:sz w:val="16"/>
                <w:szCs w:val="16"/>
                <w:lang w:eastAsia="es-MX"/>
              </w:rPr>
              <w:t>0</w:t>
            </w:r>
          </w:p>
        </w:tc>
        <w:tc>
          <w:tcPr>
            <w:tcW w:w="1200" w:type="dxa"/>
            <w:gridSpan w:val="2"/>
            <w:tcBorders>
              <w:top w:val="nil"/>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262626"/>
                <w:sz w:val="16"/>
                <w:szCs w:val="16"/>
                <w:lang w:eastAsia="es-MX"/>
              </w:rPr>
            </w:pPr>
            <w:r w:rsidRPr="00060D88">
              <w:rPr>
                <w:rFonts w:eastAsia="Times New Roman" w:cs="Calibri"/>
                <w:color w:val="262626"/>
                <w:sz w:val="16"/>
                <w:szCs w:val="16"/>
                <w:lang w:eastAsia="es-MX"/>
              </w:rPr>
              <w:t>-0.1</w:t>
            </w:r>
          </w:p>
        </w:tc>
      </w:tr>
      <w:tr w:rsidR="008C2FDE" w:rsidRPr="00060D88" w:rsidTr="00060D88">
        <w:trPr>
          <w:trHeight w:val="300"/>
        </w:trPr>
        <w:tc>
          <w:tcPr>
            <w:tcW w:w="1134" w:type="dxa"/>
            <w:tcBorders>
              <w:top w:val="nil"/>
              <w:left w:val="single" w:sz="8" w:space="0" w:color="auto"/>
              <w:bottom w:val="nil"/>
              <w:right w:val="nil"/>
            </w:tcBorders>
            <w:shd w:val="clear" w:color="auto" w:fill="auto"/>
            <w:hideMark/>
          </w:tcPr>
          <w:p w:rsidR="008C2FDE" w:rsidRPr="00060D88" w:rsidRDefault="008C2FDE" w:rsidP="00060D88">
            <w:pPr>
              <w:spacing w:after="0" w:line="240" w:lineRule="auto"/>
              <w:jc w:val="center"/>
              <w:rPr>
                <w:rFonts w:eastAsia="Times New Roman" w:cs="Calibri"/>
                <w:color w:val="262626"/>
                <w:sz w:val="16"/>
                <w:szCs w:val="16"/>
                <w:lang w:eastAsia="es-MX"/>
              </w:rPr>
            </w:pPr>
          </w:p>
        </w:tc>
        <w:tc>
          <w:tcPr>
            <w:tcW w:w="2840" w:type="dxa"/>
            <w:gridSpan w:val="3"/>
            <w:tcBorders>
              <w:top w:val="nil"/>
              <w:left w:val="nil"/>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proofErr w:type="spellStart"/>
            <w:r w:rsidRPr="00060D88">
              <w:rPr>
                <w:rFonts w:eastAsia="Times New Roman" w:cs="Calibri"/>
                <w:color w:val="000000"/>
                <w:sz w:val="16"/>
                <w:szCs w:val="16"/>
                <w:lang w:eastAsia="es-MX"/>
              </w:rPr>
              <w:t>MEED</w:t>
            </w:r>
            <w:proofErr w:type="spellEnd"/>
            <w:r w:rsidRPr="00060D88">
              <w:rPr>
                <w:rFonts w:eastAsia="Times New Roman" w:cs="Calibri"/>
                <w:color w:val="000000"/>
                <w:sz w:val="16"/>
                <w:szCs w:val="16"/>
                <w:lang w:eastAsia="es-MX"/>
              </w:rPr>
              <w:t>, sin incluir a China</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262626"/>
                <w:sz w:val="16"/>
                <w:szCs w:val="16"/>
                <w:lang w:eastAsia="es-MX"/>
              </w:rPr>
            </w:pPr>
            <w:r w:rsidRPr="00060D88">
              <w:rPr>
                <w:rFonts w:eastAsia="Times New Roman" w:cs="Calibri"/>
                <w:color w:val="262626"/>
                <w:sz w:val="16"/>
                <w:szCs w:val="16"/>
                <w:lang w:eastAsia="es-MX"/>
              </w:rPr>
              <w:t>3.8</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262626"/>
                <w:sz w:val="16"/>
                <w:szCs w:val="16"/>
                <w:lang w:eastAsia="es-MX"/>
              </w:rPr>
            </w:pPr>
            <w:r w:rsidRPr="00060D88">
              <w:rPr>
                <w:rFonts w:eastAsia="Times New Roman" w:cs="Calibri"/>
                <w:color w:val="262626"/>
                <w:sz w:val="16"/>
                <w:szCs w:val="16"/>
                <w:lang w:eastAsia="es-MX"/>
              </w:rPr>
              <w:t>2.7</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262626"/>
                <w:sz w:val="16"/>
                <w:szCs w:val="16"/>
                <w:lang w:eastAsia="es-MX"/>
              </w:rPr>
            </w:pPr>
            <w:r w:rsidRPr="00060D88">
              <w:rPr>
                <w:rFonts w:eastAsia="Times New Roman" w:cs="Calibri"/>
                <w:color w:val="262626"/>
                <w:sz w:val="16"/>
                <w:szCs w:val="16"/>
                <w:lang w:eastAsia="es-MX"/>
              </w:rPr>
              <w:t>1.1</w:t>
            </w:r>
          </w:p>
        </w:tc>
        <w:tc>
          <w:tcPr>
            <w:tcW w:w="1200" w:type="dxa"/>
            <w:gridSpan w:val="2"/>
            <w:tcBorders>
              <w:top w:val="nil"/>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262626"/>
                <w:sz w:val="16"/>
                <w:szCs w:val="16"/>
                <w:lang w:eastAsia="es-MX"/>
              </w:rPr>
            </w:pPr>
            <w:r w:rsidRPr="00060D88">
              <w:rPr>
                <w:rFonts w:eastAsia="Times New Roman" w:cs="Calibri"/>
                <w:color w:val="262626"/>
                <w:sz w:val="16"/>
                <w:szCs w:val="16"/>
                <w:lang w:eastAsia="es-MX"/>
              </w:rPr>
              <w:t>-0.7</w:t>
            </w:r>
          </w:p>
        </w:tc>
      </w:tr>
      <w:tr w:rsidR="008C2FDE" w:rsidRPr="00060D88" w:rsidTr="00060D88">
        <w:trPr>
          <w:trHeight w:val="450"/>
        </w:trPr>
        <w:tc>
          <w:tcPr>
            <w:tcW w:w="1134" w:type="dxa"/>
            <w:tcBorders>
              <w:top w:val="nil"/>
              <w:left w:val="single" w:sz="8" w:space="0" w:color="auto"/>
              <w:bottom w:val="nil"/>
              <w:right w:val="nil"/>
            </w:tcBorders>
            <w:shd w:val="clear" w:color="auto" w:fill="auto"/>
            <w:hideMark/>
          </w:tcPr>
          <w:p w:rsidR="008C2FDE" w:rsidRPr="00060D88" w:rsidRDefault="008C2FDE" w:rsidP="00060D88">
            <w:pPr>
              <w:spacing w:after="0" w:line="240" w:lineRule="auto"/>
              <w:jc w:val="center"/>
              <w:rPr>
                <w:rFonts w:eastAsia="Times New Roman" w:cs="Calibri"/>
                <w:color w:val="262626"/>
                <w:sz w:val="16"/>
                <w:szCs w:val="16"/>
                <w:lang w:eastAsia="es-MX"/>
              </w:rPr>
            </w:pPr>
          </w:p>
        </w:tc>
        <w:tc>
          <w:tcPr>
            <w:tcW w:w="2840" w:type="dxa"/>
            <w:gridSpan w:val="3"/>
            <w:tcBorders>
              <w:top w:val="nil"/>
              <w:left w:val="nil"/>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proofErr w:type="spellStart"/>
            <w:r w:rsidRPr="00060D88">
              <w:rPr>
                <w:rFonts w:eastAsia="Times New Roman" w:cs="Calibri"/>
                <w:color w:val="000000"/>
                <w:sz w:val="16"/>
                <w:szCs w:val="16"/>
                <w:lang w:eastAsia="es-MX"/>
              </w:rPr>
              <w:t>MEED</w:t>
            </w:r>
            <w:proofErr w:type="spellEnd"/>
            <w:r w:rsidRPr="00060D88">
              <w:rPr>
                <w:rFonts w:eastAsia="Times New Roman" w:cs="Calibri"/>
                <w:color w:val="000000"/>
                <w:sz w:val="16"/>
                <w:szCs w:val="16"/>
                <w:lang w:eastAsia="es-MX"/>
              </w:rPr>
              <w:t xml:space="preserve"> exportadores de productos básicos</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2.8</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1.9</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1.6</w:t>
            </w:r>
          </w:p>
        </w:tc>
        <w:tc>
          <w:tcPr>
            <w:tcW w:w="1200" w:type="dxa"/>
            <w:gridSpan w:val="2"/>
            <w:tcBorders>
              <w:top w:val="nil"/>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-0.7</w:t>
            </w:r>
          </w:p>
        </w:tc>
      </w:tr>
      <w:tr w:rsidR="008C2FDE" w:rsidRPr="00060D88" w:rsidTr="00060D88">
        <w:trPr>
          <w:trHeight w:val="450"/>
        </w:trPr>
        <w:tc>
          <w:tcPr>
            <w:tcW w:w="1134" w:type="dxa"/>
            <w:tcBorders>
              <w:top w:val="nil"/>
              <w:left w:val="single" w:sz="8" w:space="0" w:color="auto"/>
              <w:bottom w:val="single" w:sz="8" w:space="0" w:color="auto"/>
              <w:right w:val="nil"/>
            </w:tcBorders>
            <w:shd w:val="clear" w:color="auto" w:fill="auto"/>
            <w:hideMark/>
          </w:tcPr>
          <w:p w:rsidR="008C2FDE" w:rsidRPr="00060D88" w:rsidRDefault="008C2FDE" w:rsidP="00060D88">
            <w:pPr>
              <w:spacing w:after="0" w:line="240" w:lineRule="auto"/>
              <w:rPr>
                <w:rFonts w:eastAsia="Times New Roman" w:cs="Calibri"/>
                <w:color w:val="000000"/>
                <w:sz w:val="20"/>
                <w:szCs w:val="20"/>
                <w:lang w:eastAsia="es-MX"/>
              </w:rPr>
            </w:pPr>
            <w:r w:rsidRPr="00060D88">
              <w:rPr>
                <w:rFonts w:eastAsia="Times New Roman" w:cs="Calibri"/>
                <w:color w:val="000000"/>
                <w:sz w:val="20"/>
                <w:szCs w:val="20"/>
                <w:lang w:eastAsia="es-MX"/>
              </w:rPr>
              <w:t> </w:t>
            </w:r>
          </w:p>
        </w:tc>
        <w:tc>
          <w:tcPr>
            <w:tcW w:w="2840" w:type="dxa"/>
            <w:gridSpan w:val="3"/>
            <w:tcBorders>
              <w:top w:val="nil"/>
              <w:left w:val="nil"/>
              <w:bottom w:val="single" w:sz="8" w:space="0" w:color="auto"/>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proofErr w:type="spellStart"/>
            <w:r w:rsidRPr="00060D88">
              <w:rPr>
                <w:rFonts w:eastAsia="Times New Roman" w:cs="Calibri"/>
                <w:color w:val="000000"/>
                <w:sz w:val="16"/>
                <w:szCs w:val="16"/>
                <w:lang w:eastAsia="es-MX"/>
              </w:rPr>
              <w:t>MEED</w:t>
            </w:r>
            <w:proofErr w:type="spellEnd"/>
            <w:r w:rsidRPr="00060D88">
              <w:rPr>
                <w:rFonts w:eastAsia="Times New Roman" w:cs="Calibri"/>
                <w:color w:val="000000"/>
                <w:sz w:val="16"/>
                <w:szCs w:val="16"/>
                <w:lang w:eastAsia="es-MX"/>
              </w:rPr>
              <w:t xml:space="preserve"> importadores de productos básicos</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3.6</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4.1</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-0.8</w:t>
            </w:r>
          </w:p>
        </w:tc>
        <w:tc>
          <w:tcPr>
            <w:tcW w:w="1200" w:type="dxa"/>
            <w:gridSpan w:val="2"/>
            <w:tcBorders>
              <w:top w:val="nil"/>
              <w:left w:val="nil"/>
              <w:bottom w:val="single" w:sz="8" w:space="0" w:color="auto"/>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-0.8</w:t>
            </w:r>
          </w:p>
        </w:tc>
      </w:tr>
      <w:tr w:rsidR="008C2FDE" w:rsidRPr="00060D88" w:rsidTr="00060D88">
        <w:trPr>
          <w:trHeight w:val="870"/>
        </w:trPr>
        <w:tc>
          <w:tcPr>
            <w:tcW w:w="1134" w:type="dxa"/>
            <w:tcBorders>
              <w:top w:val="nil"/>
              <w:left w:val="single" w:sz="8" w:space="0" w:color="auto"/>
              <w:bottom w:val="single" w:sz="8" w:space="0" w:color="auto"/>
              <w:right w:val="nil"/>
            </w:tcBorders>
            <w:shd w:val="clear" w:color="auto" w:fill="auto"/>
            <w:hideMark/>
          </w:tcPr>
          <w:p w:rsidR="008C2FDE" w:rsidRPr="00060D88" w:rsidRDefault="008C2FDE" w:rsidP="00060D88">
            <w:pPr>
              <w:spacing w:after="0" w:line="240" w:lineRule="auto"/>
              <w:rPr>
                <w:rFonts w:eastAsia="Times New Roman" w:cs="Calibri"/>
                <w:color w:val="000000"/>
                <w:sz w:val="20"/>
                <w:szCs w:val="20"/>
                <w:lang w:eastAsia="es-MX"/>
              </w:rPr>
            </w:pPr>
            <w:r w:rsidRPr="00060D88">
              <w:rPr>
                <w:rFonts w:eastAsia="Times New Roman" w:cs="Calibri"/>
                <w:color w:val="000000"/>
                <w:sz w:val="20"/>
                <w:szCs w:val="20"/>
                <w:lang w:eastAsia="es-MX"/>
              </w:rPr>
              <w:t> </w:t>
            </w:r>
          </w:p>
        </w:tc>
        <w:tc>
          <w:tcPr>
            <w:tcW w:w="1180" w:type="dxa"/>
            <w:tcBorders>
              <w:top w:val="nil"/>
              <w:left w:val="nil"/>
              <w:bottom w:val="single" w:sz="8" w:space="0" w:color="auto"/>
              <w:right w:val="nil"/>
            </w:tcBorders>
            <w:shd w:val="clear" w:color="auto" w:fill="auto"/>
            <w:hideMark/>
          </w:tcPr>
          <w:p w:rsidR="008C2FDE" w:rsidRPr="00060D88" w:rsidRDefault="008C2FDE" w:rsidP="00060D88">
            <w:pPr>
              <w:spacing w:after="0" w:line="240" w:lineRule="auto"/>
              <w:rPr>
                <w:rFonts w:eastAsia="Times New Roman" w:cs="Calibri"/>
                <w:color w:val="000000"/>
                <w:sz w:val="20"/>
                <w:szCs w:val="20"/>
                <w:lang w:eastAsia="es-MX"/>
              </w:rPr>
            </w:pPr>
            <w:r w:rsidRPr="00060D88">
              <w:rPr>
                <w:rFonts w:eastAsia="Times New Roman" w:cs="Calibri"/>
                <w:color w:val="000000"/>
                <w:sz w:val="20"/>
                <w:szCs w:val="20"/>
                <w:lang w:eastAsia="es-MX"/>
              </w:rPr>
              <w:t> </w:t>
            </w:r>
          </w:p>
        </w:tc>
        <w:tc>
          <w:tcPr>
            <w:tcW w:w="1660" w:type="dxa"/>
            <w:gridSpan w:val="2"/>
            <w:tcBorders>
              <w:top w:val="nil"/>
              <w:left w:val="nil"/>
              <w:bottom w:val="single" w:sz="8" w:space="0" w:color="auto"/>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proofErr w:type="spellStart"/>
            <w:r w:rsidRPr="00060D88">
              <w:rPr>
                <w:rFonts w:eastAsia="Times New Roman" w:cs="Calibri"/>
                <w:color w:val="000000"/>
                <w:sz w:val="16"/>
                <w:szCs w:val="16"/>
                <w:lang w:eastAsia="es-MX"/>
              </w:rPr>
              <w:t>MEED</w:t>
            </w:r>
            <w:proofErr w:type="spellEnd"/>
            <w:r w:rsidRPr="00060D88">
              <w:rPr>
                <w:rFonts w:eastAsia="Times New Roman" w:cs="Calibri"/>
                <w:color w:val="000000"/>
                <w:sz w:val="16"/>
                <w:szCs w:val="16"/>
                <w:lang w:eastAsia="es-MX"/>
              </w:rPr>
              <w:t xml:space="preserve"> importadores de productos básicos, sin incluir a China</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5</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3.8</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0.4</w:t>
            </w:r>
          </w:p>
        </w:tc>
        <w:tc>
          <w:tcPr>
            <w:tcW w:w="1200" w:type="dxa"/>
            <w:gridSpan w:val="2"/>
            <w:tcBorders>
              <w:top w:val="nil"/>
              <w:left w:val="nil"/>
              <w:bottom w:val="single" w:sz="8" w:space="0" w:color="auto"/>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-0.7</w:t>
            </w:r>
          </w:p>
        </w:tc>
      </w:tr>
      <w:tr w:rsidR="008C2FDE" w:rsidRPr="00060D88" w:rsidTr="00060D88">
        <w:trPr>
          <w:trHeight w:val="300"/>
        </w:trPr>
        <w:tc>
          <w:tcPr>
            <w:tcW w:w="1134" w:type="dxa"/>
            <w:tcBorders>
              <w:top w:val="nil"/>
              <w:left w:val="single" w:sz="8" w:space="0" w:color="auto"/>
              <w:bottom w:val="nil"/>
              <w:right w:val="nil"/>
            </w:tcBorders>
            <w:shd w:val="clear" w:color="auto" w:fill="auto"/>
            <w:hideMark/>
          </w:tcPr>
          <w:p w:rsidR="008C2FDE" w:rsidRPr="00060D88" w:rsidRDefault="008C2FDE" w:rsidP="00060D88">
            <w:pPr>
              <w:spacing w:after="0" w:line="240" w:lineRule="auto"/>
              <w:jc w:val="center"/>
              <w:rPr>
                <w:rFonts w:eastAsia="Times New Roman" w:cs="Calibri"/>
                <w:color w:val="000000"/>
                <w:sz w:val="16"/>
                <w:szCs w:val="16"/>
                <w:lang w:eastAsia="es-MX"/>
              </w:rPr>
            </w:pPr>
          </w:p>
        </w:tc>
        <w:tc>
          <w:tcPr>
            <w:tcW w:w="2840" w:type="dxa"/>
            <w:gridSpan w:val="3"/>
            <w:tcBorders>
              <w:top w:val="single" w:sz="8" w:space="0" w:color="auto"/>
              <w:left w:val="nil"/>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EM7</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3</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3.5</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-0.3</w:t>
            </w:r>
          </w:p>
        </w:tc>
        <w:tc>
          <w:tcPr>
            <w:tcW w:w="1200" w:type="dxa"/>
            <w:gridSpan w:val="2"/>
            <w:tcBorders>
              <w:top w:val="nil"/>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-0.8</w:t>
            </w:r>
          </w:p>
        </w:tc>
      </w:tr>
      <w:tr w:rsidR="008C2FDE" w:rsidRPr="00060D88" w:rsidTr="00060D88">
        <w:trPr>
          <w:trHeight w:val="480"/>
        </w:trPr>
        <w:tc>
          <w:tcPr>
            <w:tcW w:w="1134" w:type="dxa"/>
            <w:tcBorders>
              <w:top w:val="nil"/>
              <w:left w:val="single" w:sz="8" w:space="0" w:color="auto"/>
              <w:bottom w:val="single" w:sz="8" w:space="0" w:color="auto"/>
              <w:right w:val="nil"/>
            </w:tcBorders>
            <w:shd w:val="clear" w:color="auto" w:fill="auto"/>
            <w:hideMark/>
          </w:tcPr>
          <w:p w:rsidR="008C2FDE" w:rsidRPr="00060D88" w:rsidRDefault="008C2FDE" w:rsidP="00060D88">
            <w:pPr>
              <w:spacing w:after="0" w:line="240" w:lineRule="auto"/>
              <w:rPr>
                <w:rFonts w:eastAsia="Times New Roman" w:cs="Calibri"/>
                <w:color w:val="000000"/>
                <w:sz w:val="20"/>
                <w:szCs w:val="20"/>
                <w:lang w:eastAsia="es-MX"/>
              </w:rPr>
            </w:pPr>
            <w:r w:rsidRPr="00060D88">
              <w:rPr>
                <w:rFonts w:eastAsia="Times New Roman" w:cs="Calibri"/>
                <w:color w:val="000000"/>
                <w:sz w:val="20"/>
                <w:szCs w:val="20"/>
                <w:lang w:eastAsia="es-MX"/>
              </w:rPr>
              <w:t> </w:t>
            </w:r>
          </w:p>
        </w:tc>
        <w:tc>
          <w:tcPr>
            <w:tcW w:w="2840" w:type="dxa"/>
            <w:gridSpan w:val="3"/>
            <w:tcBorders>
              <w:top w:val="nil"/>
              <w:left w:val="nil"/>
              <w:bottom w:val="single" w:sz="8" w:space="0" w:color="auto"/>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 xml:space="preserve">Todo el mundo (ponderaciones basadas en la </w:t>
            </w:r>
            <w:proofErr w:type="spellStart"/>
            <w:r w:rsidRPr="00060D88">
              <w:rPr>
                <w:rFonts w:eastAsia="Times New Roman" w:cs="Calibri"/>
                <w:color w:val="000000"/>
                <w:sz w:val="16"/>
                <w:szCs w:val="16"/>
                <w:lang w:eastAsia="es-MX"/>
              </w:rPr>
              <w:t>PPA</w:t>
            </w:r>
            <w:proofErr w:type="spellEnd"/>
            <w:r w:rsidRPr="00060D88">
              <w:rPr>
                <w:rFonts w:eastAsia="Times New Roman" w:cs="Calibri"/>
                <w:color w:val="000000"/>
                <w:sz w:val="16"/>
                <w:szCs w:val="16"/>
                <w:lang w:eastAsia="es-MX"/>
              </w:rPr>
              <w:t>)</w:t>
            </w:r>
            <w:r w:rsidRPr="00060D88">
              <w:rPr>
                <w:rFonts w:eastAsia="Times New Roman" w:cs="Calibri"/>
                <w:color w:val="000000"/>
                <w:sz w:val="16"/>
                <w:szCs w:val="16"/>
                <w:vertAlign w:val="superscript"/>
                <w:lang w:eastAsia="es-MX"/>
              </w:rPr>
              <w:t>4</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3.1</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2.2</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w:t>
            </w:r>
          </w:p>
        </w:tc>
        <w:tc>
          <w:tcPr>
            <w:tcW w:w="1200" w:type="dxa"/>
            <w:gridSpan w:val="2"/>
            <w:tcBorders>
              <w:top w:val="nil"/>
              <w:left w:val="nil"/>
              <w:bottom w:val="single" w:sz="8" w:space="0" w:color="auto"/>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-1.2</w:t>
            </w:r>
          </w:p>
        </w:tc>
      </w:tr>
      <w:tr w:rsidR="008C2FDE" w:rsidRPr="00060D88" w:rsidTr="00060D88">
        <w:trPr>
          <w:gridAfter w:val="1"/>
          <w:wAfter w:w="6" w:type="dxa"/>
          <w:trHeight w:val="315"/>
        </w:trPr>
        <w:tc>
          <w:tcPr>
            <w:tcW w:w="3968" w:type="dxa"/>
            <w:gridSpan w:val="3"/>
            <w:tcBorders>
              <w:top w:val="single" w:sz="8" w:space="0" w:color="auto"/>
              <w:left w:val="single" w:sz="8" w:space="0" w:color="auto"/>
              <w:bottom w:val="single" w:sz="8" w:space="0" w:color="auto"/>
              <w:right w:val="nil"/>
            </w:tcBorders>
            <w:shd w:val="clear" w:color="auto" w:fill="auto"/>
            <w:vAlign w:val="center"/>
            <w:hideMark/>
          </w:tcPr>
          <w:p w:rsidR="008C2FDE" w:rsidRPr="00060D88" w:rsidRDefault="008C2FDE" w:rsidP="00060D88">
            <w:pPr>
              <w:spacing w:after="0" w:line="240" w:lineRule="auto"/>
              <w:rPr>
                <w:rFonts w:eastAsia="Times New Roman" w:cs="Calibri"/>
                <w:b/>
                <w:bCs/>
                <w:color w:val="000000"/>
                <w:sz w:val="16"/>
                <w:szCs w:val="16"/>
                <w:lang w:eastAsia="es-MX"/>
              </w:rPr>
            </w:pPr>
            <w:r w:rsidRPr="00060D88">
              <w:rPr>
                <w:rFonts w:eastAsia="Times New Roman" w:cs="Calibri"/>
                <w:b/>
                <w:bCs/>
                <w:color w:val="000000"/>
                <w:sz w:val="16"/>
                <w:szCs w:val="16"/>
                <w:lang w:eastAsia="es-MX"/>
              </w:rPr>
              <w:t>Volumen del comercio mundial</w:t>
            </w:r>
            <w:r w:rsidRPr="00060D88">
              <w:rPr>
                <w:rFonts w:eastAsia="Times New Roman" w:cs="Calibri"/>
                <w:b/>
                <w:bCs/>
                <w:color w:val="000000"/>
                <w:sz w:val="16"/>
                <w:szCs w:val="16"/>
                <w:vertAlign w:val="superscript"/>
                <w:lang w:eastAsia="es-MX"/>
              </w:rPr>
              <w:t>5</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b/>
                <w:bCs/>
                <w:color w:val="262626"/>
                <w:sz w:val="16"/>
                <w:szCs w:val="16"/>
                <w:lang w:eastAsia="es-MX"/>
              </w:rPr>
            </w:pPr>
            <w:r w:rsidRPr="00060D88">
              <w:rPr>
                <w:rFonts w:eastAsia="Times New Roman" w:cs="Calibri"/>
                <w:b/>
                <w:bCs/>
                <w:color w:val="262626"/>
                <w:sz w:val="16"/>
                <w:szCs w:val="16"/>
                <w:lang w:eastAsia="es-MX"/>
              </w:rPr>
              <w:t>4</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b/>
                <w:bCs/>
                <w:color w:val="262626"/>
                <w:sz w:val="16"/>
                <w:szCs w:val="16"/>
                <w:lang w:eastAsia="es-MX"/>
              </w:rPr>
            </w:pPr>
            <w:r w:rsidRPr="00060D88">
              <w:rPr>
                <w:rFonts w:eastAsia="Times New Roman" w:cs="Calibri"/>
                <w:b/>
                <w:bCs/>
                <w:color w:val="262626"/>
                <w:sz w:val="16"/>
                <w:szCs w:val="16"/>
                <w:lang w:eastAsia="es-MX"/>
              </w:rPr>
              <w:t>1.6</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b/>
                <w:bCs/>
                <w:color w:val="262626"/>
                <w:sz w:val="16"/>
                <w:szCs w:val="16"/>
                <w:lang w:eastAsia="es-MX"/>
              </w:rPr>
            </w:pPr>
            <w:r w:rsidRPr="00060D88">
              <w:rPr>
                <w:rFonts w:eastAsia="Times New Roman" w:cs="Calibri"/>
                <w:b/>
                <w:bCs/>
                <w:color w:val="262626"/>
                <w:sz w:val="16"/>
                <w:szCs w:val="16"/>
                <w:lang w:eastAsia="es-MX"/>
              </w:rPr>
              <w:t>0</w:t>
            </w:r>
          </w:p>
        </w:tc>
        <w:tc>
          <w:tcPr>
            <w:tcW w:w="1200" w:type="dxa"/>
            <w:gridSpan w:val="2"/>
            <w:tcBorders>
              <w:top w:val="nil"/>
              <w:left w:val="nil"/>
              <w:bottom w:val="single" w:sz="8" w:space="0" w:color="auto"/>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b/>
                <w:bCs/>
                <w:color w:val="262626"/>
                <w:sz w:val="16"/>
                <w:szCs w:val="16"/>
                <w:lang w:eastAsia="es-MX"/>
              </w:rPr>
            </w:pPr>
            <w:r w:rsidRPr="00060D88">
              <w:rPr>
                <w:rFonts w:eastAsia="Times New Roman" w:cs="Calibri"/>
                <w:b/>
                <w:bCs/>
                <w:color w:val="262626"/>
                <w:sz w:val="16"/>
                <w:szCs w:val="16"/>
                <w:lang w:eastAsia="es-MX"/>
              </w:rPr>
              <w:t>-2.7</w:t>
            </w:r>
          </w:p>
        </w:tc>
      </w:tr>
      <w:tr w:rsidR="008C2FDE" w:rsidRPr="00060D88" w:rsidTr="00060D88">
        <w:trPr>
          <w:trHeight w:val="315"/>
        </w:trPr>
        <w:tc>
          <w:tcPr>
            <w:tcW w:w="1134" w:type="dxa"/>
            <w:tcBorders>
              <w:top w:val="nil"/>
              <w:left w:val="single" w:sz="8" w:space="0" w:color="auto"/>
              <w:bottom w:val="single" w:sz="8" w:space="0" w:color="auto"/>
              <w:right w:val="nil"/>
            </w:tcBorders>
            <w:shd w:val="clear" w:color="auto" w:fill="auto"/>
            <w:hideMark/>
          </w:tcPr>
          <w:p w:rsidR="008C2FDE" w:rsidRPr="00060D88" w:rsidRDefault="008C2FDE" w:rsidP="00060D88">
            <w:pPr>
              <w:spacing w:after="0" w:line="240" w:lineRule="auto"/>
              <w:rPr>
                <w:rFonts w:eastAsia="Times New Roman" w:cs="Calibri"/>
                <w:color w:val="000000"/>
                <w:sz w:val="20"/>
                <w:szCs w:val="20"/>
                <w:lang w:eastAsia="es-MX"/>
              </w:rPr>
            </w:pPr>
            <w:r w:rsidRPr="00060D88">
              <w:rPr>
                <w:rFonts w:eastAsia="Times New Roman" w:cs="Calibri"/>
                <w:color w:val="000000"/>
                <w:sz w:val="20"/>
                <w:szCs w:val="20"/>
                <w:lang w:eastAsia="es-MX"/>
              </w:rPr>
              <w:t> </w:t>
            </w:r>
          </w:p>
        </w:tc>
        <w:tc>
          <w:tcPr>
            <w:tcW w:w="1180" w:type="dxa"/>
            <w:tcBorders>
              <w:top w:val="nil"/>
              <w:left w:val="nil"/>
              <w:bottom w:val="single" w:sz="8" w:space="0" w:color="auto"/>
              <w:right w:val="nil"/>
            </w:tcBorders>
            <w:shd w:val="clear" w:color="auto" w:fill="auto"/>
            <w:hideMark/>
          </w:tcPr>
          <w:p w:rsidR="008C2FDE" w:rsidRPr="00060D88" w:rsidRDefault="008C2FDE" w:rsidP="00060D88">
            <w:pPr>
              <w:spacing w:after="0" w:line="240" w:lineRule="auto"/>
              <w:rPr>
                <w:rFonts w:eastAsia="Times New Roman" w:cs="Calibri"/>
                <w:color w:val="000000"/>
                <w:sz w:val="20"/>
                <w:szCs w:val="20"/>
                <w:lang w:eastAsia="es-MX"/>
              </w:rPr>
            </w:pPr>
            <w:r w:rsidRPr="00060D88">
              <w:rPr>
                <w:rFonts w:eastAsia="Times New Roman" w:cs="Calibri"/>
                <w:color w:val="000000"/>
                <w:sz w:val="20"/>
                <w:szCs w:val="20"/>
                <w:lang w:eastAsia="es-MX"/>
              </w:rPr>
              <w:t> </w:t>
            </w:r>
          </w:p>
        </w:tc>
        <w:tc>
          <w:tcPr>
            <w:tcW w:w="1660" w:type="dxa"/>
            <w:gridSpan w:val="2"/>
            <w:tcBorders>
              <w:top w:val="nil"/>
              <w:left w:val="nil"/>
              <w:bottom w:val="single" w:sz="8" w:space="0" w:color="auto"/>
              <w:right w:val="nil"/>
            </w:tcBorders>
            <w:shd w:val="clear" w:color="auto" w:fill="auto"/>
            <w:hideMark/>
          </w:tcPr>
          <w:p w:rsidR="008C2FDE" w:rsidRPr="00060D88" w:rsidRDefault="008C2FDE" w:rsidP="00060D88">
            <w:pPr>
              <w:spacing w:after="0" w:line="240" w:lineRule="auto"/>
              <w:rPr>
                <w:rFonts w:eastAsia="Times New Roman" w:cs="Calibri"/>
                <w:color w:val="000000"/>
                <w:sz w:val="20"/>
                <w:szCs w:val="20"/>
                <w:lang w:eastAsia="es-MX"/>
              </w:rPr>
            </w:pPr>
            <w:r w:rsidRPr="00060D88">
              <w:rPr>
                <w:rFonts w:eastAsia="Times New Roman" w:cs="Calibri"/>
                <w:color w:val="000000"/>
                <w:sz w:val="20"/>
                <w:szCs w:val="20"/>
                <w:lang w:eastAsia="es-MX"/>
              </w:rPr>
              <w:t> </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b/>
                <w:bCs/>
                <w:color w:val="262626"/>
                <w:sz w:val="16"/>
                <w:szCs w:val="16"/>
                <w:lang w:eastAsia="es-MX"/>
              </w:rPr>
            </w:pPr>
            <w:r w:rsidRPr="00060D88">
              <w:rPr>
                <w:rFonts w:eastAsia="Times New Roman" w:cs="Calibri"/>
                <w:b/>
                <w:bCs/>
                <w:color w:val="262626"/>
                <w:sz w:val="16"/>
                <w:szCs w:val="16"/>
                <w:lang w:eastAsia="es-MX"/>
              </w:rPr>
              <w:t> </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b/>
                <w:bCs/>
                <w:color w:val="262626"/>
                <w:sz w:val="16"/>
                <w:szCs w:val="16"/>
                <w:lang w:eastAsia="es-MX"/>
              </w:rPr>
            </w:pPr>
            <w:r w:rsidRPr="00060D88">
              <w:rPr>
                <w:rFonts w:eastAsia="Times New Roman" w:cs="Calibri"/>
                <w:b/>
                <w:bCs/>
                <w:color w:val="262626"/>
                <w:sz w:val="16"/>
                <w:szCs w:val="16"/>
                <w:lang w:eastAsia="es-MX"/>
              </w:rPr>
              <w:t> </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b/>
                <w:bCs/>
                <w:color w:val="262626"/>
                <w:sz w:val="16"/>
                <w:szCs w:val="16"/>
                <w:lang w:eastAsia="es-MX"/>
              </w:rPr>
            </w:pPr>
            <w:r w:rsidRPr="00060D88">
              <w:rPr>
                <w:rFonts w:eastAsia="Times New Roman" w:cs="Calibri"/>
                <w:b/>
                <w:bCs/>
                <w:color w:val="262626"/>
                <w:sz w:val="16"/>
                <w:szCs w:val="16"/>
                <w:lang w:eastAsia="es-MX"/>
              </w:rPr>
              <w:t> </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b/>
                <w:bCs/>
                <w:color w:val="262626"/>
                <w:sz w:val="16"/>
                <w:szCs w:val="16"/>
                <w:lang w:eastAsia="es-MX"/>
              </w:rPr>
            </w:pPr>
            <w:r w:rsidRPr="00060D88">
              <w:rPr>
                <w:rFonts w:eastAsia="Times New Roman" w:cs="Calibri"/>
                <w:b/>
                <w:bCs/>
                <w:color w:val="262626"/>
                <w:sz w:val="16"/>
                <w:szCs w:val="16"/>
                <w:lang w:eastAsia="es-MX"/>
              </w:rPr>
              <w:t> </w:t>
            </w:r>
          </w:p>
        </w:tc>
      </w:tr>
      <w:tr w:rsidR="008C2FDE" w:rsidRPr="00060D88" w:rsidTr="00060D88">
        <w:trPr>
          <w:gridAfter w:val="1"/>
          <w:wAfter w:w="6" w:type="dxa"/>
          <w:trHeight w:val="300"/>
        </w:trPr>
        <w:tc>
          <w:tcPr>
            <w:tcW w:w="3968" w:type="dxa"/>
            <w:gridSpan w:val="3"/>
            <w:tcBorders>
              <w:top w:val="single" w:sz="8" w:space="0" w:color="auto"/>
              <w:left w:val="single" w:sz="8" w:space="0" w:color="auto"/>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b/>
                <w:bCs/>
                <w:color w:val="000000"/>
                <w:sz w:val="16"/>
                <w:szCs w:val="16"/>
                <w:lang w:eastAsia="es-MX"/>
              </w:rPr>
            </w:pPr>
            <w:r w:rsidRPr="00060D88">
              <w:rPr>
                <w:rFonts w:eastAsia="Times New Roman" w:cs="Calibri"/>
                <w:b/>
                <w:bCs/>
                <w:color w:val="000000"/>
                <w:sz w:val="16"/>
                <w:szCs w:val="16"/>
                <w:lang w:eastAsia="es-MX"/>
              </w:rPr>
              <w:t>Precios de los productos básicos</w:t>
            </w:r>
            <w:r w:rsidRPr="00060D88">
              <w:rPr>
                <w:rFonts w:eastAsia="Times New Roman" w:cs="Calibri"/>
                <w:b/>
                <w:bCs/>
                <w:color w:val="000000"/>
                <w:sz w:val="16"/>
                <w:szCs w:val="16"/>
                <w:vertAlign w:val="superscript"/>
                <w:lang w:eastAsia="es-MX"/>
              </w:rPr>
              <w:t>6</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rPr>
                <w:rFonts w:eastAsia="Times New Roman" w:cs="Calibri"/>
                <w:b/>
                <w:bCs/>
                <w:color w:val="000000"/>
                <w:sz w:val="16"/>
                <w:szCs w:val="16"/>
                <w:lang w:eastAsia="es-MX"/>
              </w:rPr>
            </w:pP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right"/>
              <w:rPr>
                <w:rFonts w:ascii="Times New Roman" w:eastAsia="Times New Roman" w:hAnsi="Times New Roman"/>
                <w:sz w:val="20"/>
                <w:szCs w:val="20"/>
                <w:lang w:eastAsia="es-MX"/>
              </w:rPr>
            </w:pP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right"/>
              <w:rPr>
                <w:rFonts w:ascii="Times New Roman" w:eastAsia="Times New Roman" w:hAnsi="Times New Roman"/>
                <w:sz w:val="20"/>
                <w:szCs w:val="20"/>
                <w:lang w:eastAsia="es-MX"/>
              </w:rPr>
            </w:pPr>
          </w:p>
        </w:tc>
        <w:tc>
          <w:tcPr>
            <w:tcW w:w="1200" w:type="dxa"/>
            <w:gridSpan w:val="2"/>
            <w:tcBorders>
              <w:top w:val="nil"/>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right"/>
              <w:rPr>
                <w:rFonts w:eastAsia="Times New Roman" w:cs="Calibri"/>
                <w:color w:val="244062"/>
                <w:sz w:val="16"/>
                <w:szCs w:val="16"/>
                <w:lang w:eastAsia="es-MX"/>
              </w:rPr>
            </w:pPr>
            <w:r w:rsidRPr="00060D88">
              <w:rPr>
                <w:rFonts w:eastAsia="Times New Roman" w:cs="Calibri"/>
                <w:color w:val="244062"/>
                <w:sz w:val="16"/>
                <w:szCs w:val="16"/>
                <w:lang w:eastAsia="es-MX"/>
              </w:rPr>
              <w:t> </w:t>
            </w:r>
          </w:p>
        </w:tc>
      </w:tr>
      <w:tr w:rsidR="008C2FDE" w:rsidRPr="00060D88" w:rsidTr="00060D88">
        <w:trPr>
          <w:trHeight w:val="300"/>
        </w:trPr>
        <w:tc>
          <w:tcPr>
            <w:tcW w:w="1134" w:type="dxa"/>
            <w:tcBorders>
              <w:top w:val="nil"/>
              <w:left w:val="single" w:sz="8" w:space="0" w:color="auto"/>
              <w:bottom w:val="nil"/>
              <w:right w:val="nil"/>
            </w:tcBorders>
            <w:shd w:val="clear" w:color="auto" w:fill="auto"/>
            <w:hideMark/>
          </w:tcPr>
          <w:p w:rsidR="008C2FDE" w:rsidRPr="00060D88" w:rsidRDefault="008C2FDE" w:rsidP="00060D88">
            <w:pPr>
              <w:spacing w:after="0" w:line="240" w:lineRule="auto"/>
              <w:jc w:val="right"/>
              <w:rPr>
                <w:rFonts w:eastAsia="Times New Roman" w:cs="Calibri"/>
                <w:color w:val="244062"/>
                <w:sz w:val="16"/>
                <w:szCs w:val="16"/>
                <w:lang w:eastAsia="es-MX"/>
              </w:rPr>
            </w:pPr>
          </w:p>
        </w:tc>
        <w:tc>
          <w:tcPr>
            <w:tcW w:w="2840" w:type="dxa"/>
            <w:gridSpan w:val="3"/>
            <w:tcBorders>
              <w:top w:val="nil"/>
              <w:left w:val="nil"/>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Índice de precios de la energía</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151.7</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130.5</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7.1</w:t>
            </w:r>
          </w:p>
        </w:tc>
        <w:tc>
          <w:tcPr>
            <w:tcW w:w="1200" w:type="dxa"/>
            <w:gridSpan w:val="2"/>
            <w:tcBorders>
              <w:top w:val="nil"/>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4.4</w:t>
            </w:r>
          </w:p>
        </w:tc>
      </w:tr>
      <w:tr w:rsidR="008C2FDE" w:rsidRPr="00060D88" w:rsidTr="00060D88">
        <w:trPr>
          <w:trHeight w:val="675"/>
        </w:trPr>
        <w:tc>
          <w:tcPr>
            <w:tcW w:w="1134" w:type="dxa"/>
            <w:tcBorders>
              <w:top w:val="nil"/>
              <w:left w:val="single" w:sz="8" w:space="0" w:color="auto"/>
              <w:bottom w:val="nil"/>
              <w:right w:val="nil"/>
            </w:tcBorders>
            <w:shd w:val="clear" w:color="auto" w:fill="auto"/>
            <w:hideMark/>
          </w:tcPr>
          <w:p w:rsidR="008C2FDE" w:rsidRPr="00060D88" w:rsidRDefault="008C2FDE" w:rsidP="00060D88">
            <w:pPr>
              <w:spacing w:after="0" w:line="240" w:lineRule="auto"/>
              <w:jc w:val="center"/>
              <w:rPr>
                <w:rFonts w:eastAsia="Times New Roman" w:cs="Calibri"/>
                <w:color w:val="000000"/>
                <w:sz w:val="16"/>
                <w:szCs w:val="16"/>
                <w:lang w:eastAsia="es-MX"/>
              </w:rPr>
            </w:pPr>
          </w:p>
        </w:tc>
        <w:tc>
          <w:tcPr>
            <w:tcW w:w="1180" w:type="dxa"/>
            <w:tcBorders>
              <w:top w:val="nil"/>
              <w:left w:val="nil"/>
              <w:bottom w:val="nil"/>
              <w:right w:val="nil"/>
            </w:tcBorders>
            <w:shd w:val="clear" w:color="auto" w:fill="auto"/>
            <w:hideMark/>
          </w:tcPr>
          <w:p w:rsidR="008C2FDE" w:rsidRPr="00060D88" w:rsidRDefault="008C2FDE" w:rsidP="00060D88">
            <w:pPr>
              <w:spacing w:after="0" w:line="240" w:lineRule="auto"/>
              <w:rPr>
                <w:rFonts w:ascii="Times New Roman" w:eastAsia="Times New Roman" w:hAnsi="Times New Roman"/>
                <w:sz w:val="20"/>
                <w:szCs w:val="20"/>
                <w:lang w:eastAsia="es-MX"/>
              </w:rPr>
            </w:pPr>
          </w:p>
        </w:tc>
        <w:tc>
          <w:tcPr>
            <w:tcW w:w="1660" w:type="dxa"/>
            <w:gridSpan w:val="2"/>
            <w:tcBorders>
              <w:top w:val="nil"/>
              <w:left w:val="nil"/>
              <w:bottom w:val="nil"/>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Precio del petróleo (USD por barril)</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100</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88</w:t>
            </w:r>
          </w:p>
        </w:tc>
        <w:tc>
          <w:tcPr>
            <w:tcW w:w="1200" w:type="dxa"/>
            <w:gridSpan w:val="2"/>
            <w:tcBorders>
              <w:top w:val="nil"/>
              <w:left w:val="nil"/>
              <w:bottom w:val="nil"/>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0</w:t>
            </w:r>
          </w:p>
        </w:tc>
        <w:tc>
          <w:tcPr>
            <w:tcW w:w="1200" w:type="dxa"/>
            <w:gridSpan w:val="2"/>
            <w:tcBorders>
              <w:top w:val="nil"/>
              <w:left w:val="nil"/>
              <w:bottom w:val="nil"/>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-4</w:t>
            </w:r>
          </w:p>
        </w:tc>
      </w:tr>
      <w:tr w:rsidR="008C2FDE" w:rsidRPr="00060D88" w:rsidTr="00060D88">
        <w:trPr>
          <w:trHeight w:val="450"/>
        </w:trPr>
        <w:tc>
          <w:tcPr>
            <w:tcW w:w="1134" w:type="dxa"/>
            <w:tcBorders>
              <w:top w:val="nil"/>
              <w:left w:val="single" w:sz="8" w:space="0" w:color="auto"/>
              <w:bottom w:val="single" w:sz="8" w:space="0" w:color="auto"/>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 </w:t>
            </w:r>
          </w:p>
        </w:tc>
        <w:tc>
          <w:tcPr>
            <w:tcW w:w="2840" w:type="dxa"/>
            <w:gridSpan w:val="3"/>
            <w:tcBorders>
              <w:top w:val="nil"/>
              <w:left w:val="nil"/>
              <w:bottom w:val="single" w:sz="8" w:space="0" w:color="auto"/>
              <w:right w:val="nil"/>
            </w:tcBorders>
            <w:shd w:val="clear" w:color="auto" w:fill="auto"/>
            <w:vAlign w:val="center"/>
            <w:hideMark/>
          </w:tcPr>
          <w:p w:rsidR="008C2FDE" w:rsidRPr="00060D88" w:rsidRDefault="008C2FDE" w:rsidP="00060D88">
            <w:pPr>
              <w:spacing w:after="0" w:line="240" w:lineRule="auto"/>
              <w:rPr>
                <w:rFonts w:eastAsia="Times New Roman" w:cs="Calibri"/>
                <w:color w:val="000000"/>
                <w:sz w:val="16"/>
                <w:szCs w:val="16"/>
                <w:lang w:eastAsia="es-MX"/>
              </w:rPr>
            </w:pPr>
            <w:r w:rsidRPr="00060D88">
              <w:rPr>
                <w:rFonts w:eastAsia="Times New Roman" w:cs="Calibri"/>
                <w:color w:val="000000"/>
                <w:sz w:val="16"/>
                <w:szCs w:val="16"/>
                <w:lang w:eastAsia="es-MX"/>
              </w:rPr>
              <w:t>Índice de precios de productos básicos no energéticos</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123.7</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113.7</w:t>
            </w:r>
          </w:p>
        </w:tc>
        <w:tc>
          <w:tcPr>
            <w:tcW w:w="1200" w:type="dxa"/>
            <w:gridSpan w:val="2"/>
            <w:tcBorders>
              <w:top w:val="nil"/>
              <w:left w:val="nil"/>
              <w:bottom w:val="single" w:sz="8" w:space="0" w:color="auto"/>
              <w:right w:val="nil"/>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-8.4</w:t>
            </w:r>
          </w:p>
        </w:tc>
        <w:tc>
          <w:tcPr>
            <w:tcW w:w="1200" w:type="dxa"/>
            <w:gridSpan w:val="2"/>
            <w:tcBorders>
              <w:top w:val="nil"/>
              <w:left w:val="nil"/>
              <w:bottom w:val="single" w:sz="8" w:space="0" w:color="auto"/>
              <w:right w:val="single" w:sz="8" w:space="0" w:color="auto"/>
            </w:tcBorders>
            <w:shd w:val="clear" w:color="auto" w:fill="auto"/>
            <w:noWrap/>
            <w:vAlign w:val="center"/>
            <w:hideMark/>
          </w:tcPr>
          <w:p w:rsidR="008C2FDE" w:rsidRPr="00060D88" w:rsidRDefault="008C2FDE" w:rsidP="00060D88">
            <w:pPr>
              <w:spacing w:after="0" w:line="240" w:lineRule="auto"/>
              <w:jc w:val="center"/>
              <w:rPr>
                <w:rFonts w:eastAsia="Times New Roman" w:cs="Calibri"/>
                <w:color w:val="000000"/>
                <w:sz w:val="16"/>
                <w:szCs w:val="16"/>
                <w:lang w:eastAsia="es-MX"/>
              </w:rPr>
            </w:pPr>
            <w:r w:rsidRPr="00060D88">
              <w:rPr>
                <w:rFonts w:eastAsia="Times New Roman" w:cs="Calibri"/>
                <w:color w:val="000000"/>
                <w:sz w:val="16"/>
                <w:szCs w:val="16"/>
                <w:lang w:eastAsia="es-MX"/>
              </w:rPr>
              <w:t>-7.6</w:t>
            </w:r>
          </w:p>
        </w:tc>
      </w:tr>
    </w:tbl>
    <w:p w:rsidR="008C2FDE" w:rsidRDefault="008C2FDE" w:rsidP="008C2FDE">
      <w:pPr>
        <w:jc w:val="both"/>
        <w:rPr>
          <w:rFonts w:asciiTheme="minorHAnsi" w:hAnsiTheme="minorHAnsi" w:cstheme="minorHAnsi"/>
          <w:sz w:val="18"/>
          <w:szCs w:val="18"/>
        </w:rPr>
      </w:pPr>
      <w:r w:rsidRPr="00060D88">
        <w:rPr>
          <w:rFonts w:asciiTheme="minorHAnsi" w:hAnsiTheme="minorHAnsi" w:cstheme="minorHAnsi"/>
          <w:sz w:val="18"/>
          <w:szCs w:val="18"/>
        </w:rPr>
        <w:fldChar w:fldCharType="end"/>
      </w:r>
    </w:p>
    <w:p w:rsidR="008C2FDE" w:rsidRPr="00060D88" w:rsidRDefault="00C264F4" w:rsidP="008C2FDE">
      <w:pPr>
        <w:jc w:val="both"/>
        <w:rPr>
          <w:rFonts w:asciiTheme="minorHAnsi" w:hAnsiTheme="minorHAnsi" w:cstheme="minorHAnsi"/>
          <w:b/>
          <w:bCs/>
        </w:rPr>
      </w:pPr>
      <w:r>
        <w:rPr>
          <w:rFonts w:asciiTheme="minorHAnsi" w:hAnsiTheme="minorHAnsi" w:cstheme="minorHAnsi"/>
          <w:b/>
          <w:bCs/>
        </w:rPr>
        <w:t>1.</w:t>
      </w:r>
      <w:r w:rsidR="008C2FDE" w:rsidRPr="00060D88">
        <w:rPr>
          <w:rFonts w:asciiTheme="minorHAnsi" w:hAnsiTheme="minorHAnsi" w:cstheme="minorHAnsi"/>
          <w:b/>
          <w:bCs/>
        </w:rPr>
        <w:t>1.5.- Inflación Mundial. -</w:t>
      </w:r>
    </w:p>
    <w:p w:rsidR="008C2FDE" w:rsidRPr="00E50807" w:rsidRDefault="008C2FDE" w:rsidP="008C2FDE">
      <w:pPr>
        <w:pStyle w:val="NormalWeb"/>
        <w:spacing w:before="240" w:beforeAutospacing="0" w:after="240" w:afterAutospacing="0"/>
        <w:jc w:val="both"/>
        <w:rPr>
          <w:rFonts w:asciiTheme="minorHAnsi" w:hAnsiTheme="minorHAnsi" w:cstheme="minorHAnsi"/>
          <w:sz w:val="21"/>
          <w:szCs w:val="21"/>
        </w:rPr>
      </w:pPr>
      <w:r w:rsidRPr="00E50807">
        <w:rPr>
          <w:rFonts w:asciiTheme="minorHAnsi" w:hAnsiTheme="minorHAnsi" w:cstheme="minorHAnsi"/>
          <w:sz w:val="21"/>
          <w:szCs w:val="21"/>
        </w:rPr>
        <w:t>La actividad económica mundial está experimentando una desaceleración generalizada y más acentuada de lo previsto, con la inflación más alta registrada en varios decenios. La crisis del costo de vida, el endurecimiento de las condiciones financieras en la mayoría de las regiones, la invasión rusa de Ucrania y la persistencia de la pandemia de COVID-19 inciden notablemente en las perspectivas. Según los pronósticos, el crecimiento mundial se desacelerará de 6,0% en 2021 a 3,2% en 2022 y 2,7% en 2023. Exceptuando la crisis financiera mundial y la fase aguda de la pandemia de COVID-19, este es el perfil de crecimiento más flojo desde 2001.</w:t>
      </w:r>
    </w:p>
    <w:p w:rsidR="008C2FDE" w:rsidRDefault="008C2FDE" w:rsidP="008C2FDE">
      <w:pPr>
        <w:pStyle w:val="NormalWeb"/>
        <w:spacing w:before="240" w:beforeAutospacing="0" w:after="240" w:afterAutospacing="0"/>
        <w:jc w:val="both"/>
        <w:rPr>
          <w:rFonts w:asciiTheme="minorHAnsi" w:hAnsiTheme="minorHAnsi" w:cstheme="minorHAnsi"/>
          <w:sz w:val="21"/>
          <w:szCs w:val="21"/>
        </w:rPr>
      </w:pPr>
      <w:r w:rsidRPr="00E50807">
        <w:rPr>
          <w:rFonts w:asciiTheme="minorHAnsi" w:hAnsiTheme="minorHAnsi" w:cstheme="minorHAnsi"/>
          <w:sz w:val="21"/>
          <w:szCs w:val="21"/>
        </w:rPr>
        <w:t>Se debe mantener el curso de política monetaria para restaurar la estabilidad de precios, y la política fiscal debe procurar aliviar las presiones sobre el costo de vida, manteniendo una orientación lo suficientemente restrictiva para que esté alineada con la política monetaria. Para contribuir más a la lucha con la inflación se puede recurrir a reformas estructurales que mejoren la productividad y alivien las restricciones sobre la oferta, en tanto que la cooperación multilateral es necesaria para acelerar la transición a la energía verde y evitar la fragmentación.</w:t>
      </w:r>
    </w:p>
    <w:p w:rsidR="007D5DA7" w:rsidRDefault="007D5DA7" w:rsidP="008C2FDE">
      <w:pPr>
        <w:pStyle w:val="NormalWeb"/>
        <w:spacing w:before="240" w:beforeAutospacing="0" w:after="240" w:afterAutospacing="0"/>
        <w:jc w:val="both"/>
        <w:rPr>
          <w:rFonts w:asciiTheme="minorHAnsi" w:hAnsiTheme="minorHAnsi" w:cstheme="minorHAnsi"/>
          <w:sz w:val="21"/>
          <w:szCs w:val="21"/>
        </w:rPr>
      </w:pPr>
    </w:p>
    <w:p w:rsidR="007D5DA7" w:rsidRPr="00E50807" w:rsidRDefault="007D5DA7" w:rsidP="008C2FDE">
      <w:pPr>
        <w:pStyle w:val="NormalWeb"/>
        <w:spacing w:before="240" w:beforeAutospacing="0" w:after="240" w:afterAutospacing="0"/>
        <w:jc w:val="both"/>
        <w:rPr>
          <w:rFonts w:asciiTheme="minorHAnsi" w:hAnsiTheme="minorHAnsi" w:cstheme="minorHAnsi"/>
          <w:sz w:val="21"/>
          <w:szCs w:val="21"/>
        </w:rPr>
      </w:pPr>
    </w:p>
    <w:p w:rsidR="008C2FDE" w:rsidRPr="00060D88" w:rsidRDefault="00C264F4" w:rsidP="008C2FDE">
      <w:pPr>
        <w:pStyle w:val="NormalWeb"/>
        <w:rPr>
          <w:rFonts w:asciiTheme="minorHAnsi" w:hAnsiTheme="minorHAnsi" w:cstheme="minorHAnsi"/>
          <w:b/>
          <w:bCs/>
        </w:rPr>
      </w:pPr>
      <w:r>
        <w:rPr>
          <w:rFonts w:asciiTheme="minorHAnsi" w:hAnsiTheme="minorHAnsi" w:cstheme="minorHAnsi"/>
          <w:b/>
          <w:bCs/>
        </w:rPr>
        <w:lastRenderedPageBreak/>
        <w:t>1.2</w:t>
      </w:r>
      <w:r w:rsidR="008C2FDE" w:rsidRPr="00060D88">
        <w:rPr>
          <w:rFonts w:asciiTheme="minorHAnsi" w:hAnsiTheme="minorHAnsi" w:cstheme="minorHAnsi"/>
          <w:b/>
          <w:bCs/>
        </w:rPr>
        <w:t xml:space="preserve">.- Escenarios Económicos para México al cierre del </w:t>
      </w:r>
      <w:r>
        <w:rPr>
          <w:rFonts w:asciiTheme="minorHAnsi" w:hAnsiTheme="minorHAnsi" w:cstheme="minorHAnsi"/>
          <w:b/>
          <w:bCs/>
        </w:rPr>
        <w:t xml:space="preserve">ejercicio </w:t>
      </w:r>
      <w:r w:rsidR="008C2FDE" w:rsidRPr="00060D88">
        <w:rPr>
          <w:rFonts w:asciiTheme="minorHAnsi" w:hAnsiTheme="minorHAnsi" w:cstheme="minorHAnsi"/>
          <w:b/>
          <w:bCs/>
        </w:rPr>
        <w:t xml:space="preserve">2022. </w:t>
      </w:r>
    </w:p>
    <w:p w:rsidR="008C2FDE" w:rsidRPr="00060D88" w:rsidRDefault="00C264F4" w:rsidP="008C2FDE">
      <w:pPr>
        <w:pStyle w:val="NormalWeb"/>
        <w:rPr>
          <w:rFonts w:asciiTheme="minorHAnsi" w:hAnsiTheme="minorHAnsi" w:cstheme="minorHAnsi"/>
          <w:b/>
          <w:bCs/>
          <w:sz w:val="22"/>
          <w:szCs w:val="22"/>
        </w:rPr>
      </w:pPr>
      <w:r>
        <w:rPr>
          <w:rFonts w:asciiTheme="minorHAnsi" w:hAnsiTheme="minorHAnsi" w:cstheme="minorHAnsi"/>
          <w:b/>
          <w:bCs/>
          <w:sz w:val="22"/>
          <w:szCs w:val="22"/>
        </w:rPr>
        <w:t>1.2.1</w:t>
      </w:r>
      <w:r w:rsidR="008C2FDE" w:rsidRPr="00060D88">
        <w:rPr>
          <w:rFonts w:asciiTheme="minorHAnsi" w:hAnsiTheme="minorHAnsi" w:cstheme="minorHAnsi"/>
          <w:b/>
          <w:bCs/>
          <w:sz w:val="22"/>
          <w:szCs w:val="22"/>
        </w:rPr>
        <w:t xml:space="preserve">.- Producto Interno Bruto del país </w:t>
      </w:r>
      <w:r w:rsidR="00060D88">
        <w:rPr>
          <w:rFonts w:asciiTheme="minorHAnsi" w:hAnsiTheme="minorHAnsi" w:cstheme="minorHAnsi"/>
          <w:b/>
          <w:bCs/>
          <w:sz w:val="22"/>
          <w:szCs w:val="22"/>
        </w:rPr>
        <w:t xml:space="preserve">PIB. </w:t>
      </w:r>
    </w:p>
    <w:p w:rsidR="008C2FDE" w:rsidRPr="007D5DA7" w:rsidRDefault="008C2FDE" w:rsidP="007D5DA7">
      <w:pPr>
        <w:pStyle w:val="NormalWeb"/>
        <w:jc w:val="both"/>
        <w:rPr>
          <w:rFonts w:asciiTheme="minorHAnsi" w:hAnsiTheme="minorHAnsi" w:cstheme="minorHAnsi"/>
          <w:sz w:val="21"/>
          <w:szCs w:val="21"/>
        </w:rPr>
      </w:pPr>
      <w:r w:rsidRPr="007D5DA7">
        <w:rPr>
          <w:rFonts w:asciiTheme="minorHAnsi" w:hAnsiTheme="minorHAnsi" w:cstheme="minorHAnsi"/>
          <w:sz w:val="21"/>
          <w:szCs w:val="21"/>
        </w:rPr>
        <w:t xml:space="preserve">Por lo que corresponde al comportamiento del PIB durante el 2022, el INEGI informó que por el tercer trimestre de 2022 y con cifras </w:t>
      </w:r>
      <w:proofErr w:type="spellStart"/>
      <w:r w:rsidRPr="007D5DA7">
        <w:rPr>
          <w:rFonts w:asciiTheme="minorHAnsi" w:hAnsiTheme="minorHAnsi" w:cstheme="minorHAnsi"/>
          <w:sz w:val="21"/>
          <w:szCs w:val="21"/>
        </w:rPr>
        <w:t>desestacionalizadas</w:t>
      </w:r>
      <w:proofErr w:type="spellEnd"/>
      <w:r w:rsidRPr="007D5DA7">
        <w:rPr>
          <w:rFonts w:asciiTheme="minorHAnsi" w:hAnsiTheme="minorHAnsi" w:cstheme="minorHAnsi"/>
          <w:sz w:val="21"/>
          <w:szCs w:val="21"/>
        </w:rPr>
        <w:t>,</w:t>
      </w:r>
      <w:r w:rsidRPr="007D5DA7">
        <w:rPr>
          <w:rFonts w:asciiTheme="minorHAnsi" w:hAnsiTheme="minorHAnsi" w:cstheme="minorHAnsi"/>
          <w:position w:val="8"/>
          <w:sz w:val="21"/>
          <w:szCs w:val="21"/>
        </w:rPr>
        <w:t xml:space="preserve"> </w:t>
      </w:r>
      <w:r w:rsidRPr="007D5DA7">
        <w:rPr>
          <w:rFonts w:asciiTheme="minorHAnsi" w:hAnsiTheme="minorHAnsi" w:cstheme="minorHAnsi"/>
          <w:sz w:val="21"/>
          <w:szCs w:val="21"/>
        </w:rPr>
        <w:t>el Producto Interno Bruto (PIB)</w:t>
      </w:r>
      <w:r w:rsidRPr="007D5DA7">
        <w:rPr>
          <w:rFonts w:asciiTheme="minorHAnsi" w:hAnsiTheme="minorHAnsi" w:cstheme="minorHAnsi"/>
          <w:position w:val="8"/>
          <w:sz w:val="21"/>
          <w:szCs w:val="21"/>
        </w:rPr>
        <w:t xml:space="preserve"> </w:t>
      </w:r>
      <w:r w:rsidRPr="007D5DA7">
        <w:rPr>
          <w:rFonts w:asciiTheme="minorHAnsi" w:hAnsiTheme="minorHAnsi" w:cstheme="minorHAnsi"/>
          <w:sz w:val="21"/>
          <w:szCs w:val="21"/>
        </w:rPr>
        <w:t xml:space="preserve">avanzó 0.9 % a tasa trimestral, en términos reales. </w:t>
      </w:r>
    </w:p>
    <w:p w:rsidR="008C2FDE" w:rsidRPr="007D5DA7" w:rsidRDefault="008C2FDE" w:rsidP="007D5DA7">
      <w:pPr>
        <w:pStyle w:val="NormalWeb"/>
        <w:jc w:val="both"/>
        <w:rPr>
          <w:rFonts w:asciiTheme="minorHAnsi" w:hAnsiTheme="minorHAnsi" w:cstheme="minorHAnsi"/>
          <w:sz w:val="21"/>
          <w:szCs w:val="21"/>
        </w:rPr>
      </w:pPr>
      <w:r w:rsidRPr="007D5DA7">
        <w:rPr>
          <w:rFonts w:asciiTheme="minorHAnsi" w:hAnsiTheme="minorHAnsi" w:cstheme="minorHAnsi"/>
          <w:sz w:val="21"/>
          <w:szCs w:val="21"/>
        </w:rPr>
        <w:t xml:space="preserve">Por componente y con series ajustadas por estacionalidad, el comportamiento fue el siguiente: el PIB de las actividades primarias creció́ 2 %; el de las terciarias, 1.1 % y el de las secundarias, 0.6 % respecto al trimestre anterior. </w:t>
      </w:r>
    </w:p>
    <w:p w:rsidR="008C2FDE" w:rsidRPr="007D5DA7" w:rsidRDefault="008C2FDE" w:rsidP="007D5DA7">
      <w:pPr>
        <w:pStyle w:val="NormalWeb"/>
        <w:jc w:val="both"/>
        <w:rPr>
          <w:rFonts w:asciiTheme="minorHAnsi" w:hAnsiTheme="minorHAnsi" w:cstheme="minorHAnsi"/>
          <w:sz w:val="21"/>
          <w:szCs w:val="21"/>
        </w:rPr>
      </w:pPr>
      <w:r w:rsidRPr="007D5DA7">
        <w:rPr>
          <w:rFonts w:asciiTheme="minorHAnsi" w:hAnsiTheme="minorHAnsi" w:cstheme="minorHAnsi"/>
          <w:sz w:val="21"/>
          <w:szCs w:val="21"/>
        </w:rPr>
        <w:t xml:space="preserve">A tasa anual y con series </w:t>
      </w:r>
      <w:proofErr w:type="spellStart"/>
      <w:r w:rsidRPr="007D5DA7">
        <w:rPr>
          <w:rFonts w:asciiTheme="minorHAnsi" w:hAnsiTheme="minorHAnsi" w:cstheme="minorHAnsi"/>
          <w:sz w:val="21"/>
          <w:szCs w:val="21"/>
        </w:rPr>
        <w:t>desestacionalizadas</w:t>
      </w:r>
      <w:proofErr w:type="spellEnd"/>
      <w:r w:rsidRPr="007D5DA7">
        <w:rPr>
          <w:rFonts w:asciiTheme="minorHAnsi" w:hAnsiTheme="minorHAnsi" w:cstheme="minorHAnsi"/>
          <w:sz w:val="21"/>
          <w:szCs w:val="21"/>
        </w:rPr>
        <w:t xml:space="preserve">, en el tercer trimestre de 2022, el PIB incrementó 4.3 % en términos reales. Por grandes grupos de actividades económicas, el PIB de las actividades terciarias ascendió́ 4.5 %; el de las secundarias, 3.7 % y el de las primarias, 3.2 por ciento. </w:t>
      </w:r>
    </w:p>
    <w:p w:rsidR="008C2FDE" w:rsidRPr="007D5DA7" w:rsidRDefault="008C2FDE" w:rsidP="007D5DA7">
      <w:pPr>
        <w:pStyle w:val="NormalWeb"/>
        <w:jc w:val="both"/>
        <w:rPr>
          <w:rFonts w:asciiTheme="minorHAnsi" w:hAnsiTheme="minorHAnsi" w:cstheme="minorHAnsi"/>
          <w:sz w:val="21"/>
          <w:szCs w:val="21"/>
        </w:rPr>
      </w:pPr>
      <w:r w:rsidRPr="007D5DA7">
        <w:rPr>
          <w:rFonts w:asciiTheme="minorHAnsi" w:hAnsiTheme="minorHAnsi" w:cstheme="minorHAnsi"/>
          <w:sz w:val="21"/>
          <w:szCs w:val="21"/>
        </w:rPr>
        <w:t xml:space="preserve">Por lo que en los primeros nueve meses de 2022 y con series </w:t>
      </w:r>
      <w:proofErr w:type="spellStart"/>
      <w:r w:rsidRPr="007D5DA7">
        <w:rPr>
          <w:rFonts w:asciiTheme="minorHAnsi" w:hAnsiTheme="minorHAnsi" w:cstheme="minorHAnsi"/>
          <w:sz w:val="21"/>
          <w:szCs w:val="21"/>
        </w:rPr>
        <w:t>desestacionalizadas</w:t>
      </w:r>
      <w:proofErr w:type="spellEnd"/>
      <w:r w:rsidRPr="007D5DA7">
        <w:rPr>
          <w:rFonts w:asciiTheme="minorHAnsi" w:hAnsiTheme="minorHAnsi" w:cstheme="minorHAnsi"/>
          <w:sz w:val="21"/>
          <w:szCs w:val="21"/>
        </w:rPr>
        <w:t xml:space="preserve">, el PIB aumentó 2.8 % a tasa anual. </w:t>
      </w:r>
    </w:p>
    <w:p w:rsidR="008C2FDE" w:rsidRPr="00676CED" w:rsidRDefault="008C2FDE" w:rsidP="008C2FDE">
      <w:pPr>
        <w:pStyle w:val="NormalWeb"/>
        <w:spacing w:before="0" w:beforeAutospacing="0" w:after="0" w:afterAutospacing="0"/>
        <w:jc w:val="center"/>
        <w:rPr>
          <w:rFonts w:asciiTheme="minorHAnsi" w:hAnsiTheme="minorHAnsi" w:cstheme="minorHAnsi"/>
          <w:sz w:val="18"/>
          <w:szCs w:val="18"/>
        </w:rPr>
      </w:pPr>
      <w:r w:rsidRPr="00676CED">
        <w:rPr>
          <w:rFonts w:asciiTheme="minorHAnsi" w:hAnsiTheme="minorHAnsi" w:cstheme="minorHAnsi"/>
          <w:b/>
          <w:bCs/>
          <w:sz w:val="18"/>
          <w:szCs w:val="18"/>
        </w:rPr>
        <w:t>PRODUCTO INTERNO BRUTO</w:t>
      </w:r>
    </w:p>
    <w:p w:rsidR="008C2FDE" w:rsidRPr="00676CED" w:rsidRDefault="008C2FDE" w:rsidP="008C2FDE">
      <w:pPr>
        <w:pStyle w:val="NormalWeb"/>
        <w:spacing w:before="0" w:beforeAutospacing="0" w:after="0" w:afterAutospacing="0"/>
        <w:jc w:val="center"/>
        <w:rPr>
          <w:rFonts w:asciiTheme="minorHAnsi" w:hAnsiTheme="minorHAnsi" w:cstheme="minorHAnsi"/>
          <w:b/>
          <w:bCs/>
          <w:sz w:val="18"/>
          <w:szCs w:val="18"/>
        </w:rPr>
      </w:pPr>
      <w:r w:rsidRPr="00676CED">
        <w:rPr>
          <w:rFonts w:asciiTheme="minorHAnsi" w:hAnsiTheme="minorHAnsi" w:cstheme="minorHAnsi"/>
          <w:b/>
          <w:bCs/>
          <w:sz w:val="18"/>
          <w:szCs w:val="18"/>
        </w:rPr>
        <w:t>TERCER TRIMESTRE DE 2022</w:t>
      </w:r>
    </w:p>
    <w:p w:rsidR="008C2FDE" w:rsidRDefault="008C2FDE" w:rsidP="008C2FDE">
      <w:pPr>
        <w:pStyle w:val="NormalWeb"/>
        <w:spacing w:before="0" w:beforeAutospacing="0" w:after="0" w:afterAutospacing="0"/>
        <w:jc w:val="center"/>
        <w:rPr>
          <w:rFonts w:asciiTheme="minorHAnsi" w:hAnsiTheme="minorHAnsi" w:cstheme="minorHAnsi"/>
          <w:b/>
          <w:bCs/>
          <w:sz w:val="18"/>
          <w:szCs w:val="18"/>
        </w:rPr>
      </w:pPr>
      <w:r w:rsidRPr="00676CED">
        <w:rPr>
          <w:rFonts w:asciiTheme="minorHAnsi" w:hAnsiTheme="minorHAnsi" w:cstheme="minorHAnsi"/>
          <w:b/>
          <w:bCs/>
          <w:sz w:val="18"/>
          <w:szCs w:val="18"/>
        </w:rPr>
        <w:t xml:space="preserve">CIFRAS </w:t>
      </w:r>
      <w:proofErr w:type="spellStart"/>
      <w:r w:rsidRPr="00676CED">
        <w:rPr>
          <w:rFonts w:asciiTheme="minorHAnsi" w:hAnsiTheme="minorHAnsi" w:cstheme="minorHAnsi"/>
          <w:b/>
          <w:bCs/>
          <w:sz w:val="18"/>
          <w:szCs w:val="18"/>
        </w:rPr>
        <w:t>DESESTACIONALIZADAS</w:t>
      </w:r>
      <w:proofErr w:type="spellEnd"/>
    </w:p>
    <w:p w:rsidR="008C2FDE" w:rsidRPr="00676CED" w:rsidRDefault="008C2FDE" w:rsidP="008C2FDE">
      <w:pPr>
        <w:pStyle w:val="NormalWeb"/>
        <w:spacing w:before="0" w:beforeAutospacing="0" w:after="0" w:afterAutospacing="0"/>
        <w:jc w:val="center"/>
        <w:rPr>
          <w:rFonts w:asciiTheme="minorHAnsi" w:hAnsiTheme="minorHAnsi" w:cstheme="minorHAnsi"/>
          <w:sz w:val="18"/>
          <w:szCs w:val="18"/>
        </w:rPr>
      </w:pPr>
    </w:p>
    <w:tbl>
      <w:tblPr>
        <w:tblW w:w="6755" w:type="dxa"/>
        <w:jc w:val="center"/>
        <w:tblCellMar>
          <w:left w:w="70" w:type="dxa"/>
          <w:right w:w="70" w:type="dxa"/>
        </w:tblCellMar>
        <w:tblLook w:val="04A0" w:firstRow="1" w:lastRow="0" w:firstColumn="1" w:lastColumn="0" w:noHBand="0" w:noVBand="1"/>
      </w:tblPr>
      <w:tblGrid>
        <w:gridCol w:w="2520"/>
        <w:gridCol w:w="1186"/>
        <w:gridCol w:w="1791"/>
        <w:gridCol w:w="1258"/>
      </w:tblGrid>
      <w:tr w:rsidR="008C2FDE" w:rsidRPr="00676CED" w:rsidTr="00060D88">
        <w:trPr>
          <w:trHeight w:val="284"/>
          <w:jc w:val="center"/>
        </w:trPr>
        <w:tc>
          <w:tcPr>
            <w:tcW w:w="2520" w:type="dxa"/>
            <w:vMerge w:val="restart"/>
            <w:tcBorders>
              <w:top w:val="double" w:sz="6" w:space="0" w:color="auto"/>
              <w:left w:val="double" w:sz="6" w:space="0" w:color="auto"/>
              <w:bottom w:val="single" w:sz="4" w:space="0" w:color="auto"/>
              <w:right w:val="single" w:sz="4" w:space="0" w:color="auto"/>
            </w:tcBorders>
            <w:shd w:val="clear" w:color="auto" w:fill="990033"/>
            <w:noWrap/>
            <w:vAlign w:val="center"/>
            <w:hideMark/>
          </w:tcPr>
          <w:p w:rsidR="008C2FDE" w:rsidRPr="00676CED" w:rsidRDefault="008C2FDE" w:rsidP="00060D88">
            <w:pPr>
              <w:jc w:val="center"/>
              <w:rPr>
                <w:rFonts w:asciiTheme="minorHAnsi" w:hAnsiTheme="minorHAnsi" w:cstheme="minorHAnsi"/>
                <w:color w:val="FFFFFF" w:themeColor="background1"/>
                <w:sz w:val="18"/>
                <w:szCs w:val="18"/>
              </w:rPr>
            </w:pPr>
            <w:r w:rsidRPr="00676CED">
              <w:rPr>
                <w:rFonts w:asciiTheme="minorHAnsi" w:hAnsiTheme="minorHAnsi" w:cstheme="minorHAnsi"/>
                <w:color w:val="FFFFFF" w:themeColor="background1"/>
                <w:sz w:val="18"/>
                <w:szCs w:val="18"/>
              </w:rPr>
              <w:t xml:space="preserve">Concepto </w:t>
            </w:r>
          </w:p>
        </w:tc>
        <w:tc>
          <w:tcPr>
            <w:tcW w:w="4235" w:type="dxa"/>
            <w:gridSpan w:val="3"/>
            <w:tcBorders>
              <w:top w:val="double" w:sz="6" w:space="0" w:color="auto"/>
              <w:left w:val="nil"/>
              <w:bottom w:val="single" w:sz="4" w:space="0" w:color="auto"/>
              <w:right w:val="double" w:sz="6" w:space="0" w:color="000000"/>
            </w:tcBorders>
            <w:shd w:val="clear" w:color="auto" w:fill="990033"/>
            <w:noWrap/>
            <w:vAlign w:val="center"/>
            <w:hideMark/>
          </w:tcPr>
          <w:p w:rsidR="008C2FDE" w:rsidRPr="00676CED" w:rsidRDefault="008C2FDE" w:rsidP="00060D88">
            <w:pPr>
              <w:jc w:val="center"/>
              <w:rPr>
                <w:rFonts w:asciiTheme="minorHAnsi" w:hAnsiTheme="minorHAnsi" w:cstheme="minorHAnsi"/>
                <w:color w:val="FFFFFF" w:themeColor="background1"/>
                <w:sz w:val="18"/>
                <w:szCs w:val="18"/>
              </w:rPr>
            </w:pPr>
            <w:proofErr w:type="spellStart"/>
            <w:r w:rsidRPr="00676CED">
              <w:rPr>
                <w:rFonts w:asciiTheme="minorHAnsi" w:hAnsiTheme="minorHAnsi" w:cstheme="minorHAnsi"/>
                <w:color w:val="FFFFFF" w:themeColor="background1"/>
                <w:sz w:val="18"/>
                <w:szCs w:val="18"/>
              </w:rPr>
              <w:t>Variación</w:t>
            </w:r>
            <w:proofErr w:type="spellEnd"/>
            <w:r w:rsidRPr="00676CED">
              <w:rPr>
                <w:rFonts w:asciiTheme="minorHAnsi" w:hAnsiTheme="minorHAnsi" w:cstheme="minorHAnsi"/>
                <w:color w:val="FFFFFF" w:themeColor="background1"/>
                <w:sz w:val="18"/>
                <w:szCs w:val="18"/>
              </w:rPr>
              <w:t xml:space="preserve"> porcentual real respecto al: </w:t>
            </w:r>
          </w:p>
        </w:tc>
      </w:tr>
      <w:tr w:rsidR="008C2FDE" w:rsidRPr="00676CED" w:rsidTr="00060D88">
        <w:trPr>
          <w:trHeight w:val="820"/>
          <w:jc w:val="center"/>
        </w:trPr>
        <w:tc>
          <w:tcPr>
            <w:tcW w:w="2520" w:type="dxa"/>
            <w:vMerge/>
            <w:tcBorders>
              <w:top w:val="double" w:sz="6" w:space="0" w:color="auto"/>
              <w:left w:val="double" w:sz="6" w:space="0" w:color="auto"/>
              <w:bottom w:val="single" w:sz="4" w:space="0" w:color="auto"/>
              <w:right w:val="single" w:sz="4" w:space="0" w:color="auto"/>
            </w:tcBorders>
            <w:shd w:val="clear" w:color="auto" w:fill="990033"/>
            <w:vAlign w:val="center"/>
            <w:hideMark/>
          </w:tcPr>
          <w:p w:rsidR="008C2FDE" w:rsidRPr="00676CED" w:rsidRDefault="008C2FDE" w:rsidP="00060D88">
            <w:pPr>
              <w:rPr>
                <w:rFonts w:asciiTheme="minorHAnsi" w:hAnsiTheme="minorHAnsi" w:cstheme="minorHAnsi"/>
                <w:color w:val="FFFFFF" w:themeColor="background1"/>
                <w:sz w:val="18"/>
                <w:szCs w:val="18"/>
              </w:rPr>
            </w:pPr>
          </w:p>
        </w:tc>
        <w:tc>
          <w:tcPr>
            <w:tcW w:w="1186" w:type="dxa"/>
            <w:tcBorders>
              <w:top w:val="nil"/>
              <w:left w:val="nil"/>
              <w:bottom w:val="single" w:sz="4" w:space="0" w:color="auto"/>
              <w:right w:val="single" w:sz="4" w:space="0" w:color="auto"/>
            </w:tcBorders>
            <w:shd w:val="clear" w:color="auto" w:fill="990033"/>
            <w:noWrap/>
            <w:vAlign w:val="center"/>
            <w:hideMark/>
          </w:tcPr>
          <w:p w:rsidR="008C2FDE" w:rsidRPr="00676CED" w:rsidRDefault="008C2FDE" w:rsidP="00060D88">
            <w:pPr>
              <w:jc w:val="center"/>
              <w:rPr>
                <w:rFonts w:asciiTheme="minorHAnsi" w:hAnsiTheme="minorHAnsi" w:cstheme="minorHAnsi"/>
                <w:color w:val="FFFFFF" w:themeColor="background1"/>
                <w:sz w:val="18"/>
                <w:szCs w:val="18"/>
              </w:rPr>
            </w:pPr>
            <w:r w:rsidRPr="00676CED">
              <w:rPr>
                <w:rFonts w:asciiTheme="minorHAnsi" w:hAnsiTheme="minorHAnsi" w:cstheme="minorHAnsi"/>
                <w:color w:val="FFFFFF" w:themeColor="background1"/>
                <w:sz w:val="18"/>
                <w:szCs w:val="18"/>
              </w:rPr>
              <w:t xml:space="preserve">Trimestre previo </w:t>
            </w:r>
          </w:p>
        </w:tc>
        <w:tc>
          <w:tcPr>
            <w:tcW w:w="1791" w:type="dxa"/>
            <w:tcBorders>
              <w:top w:val="nil"/>
              <w:left w:val="nil"/>
              <w:bottom w:val="single" w:sz="4" w:space="0" w:color="auto"/>
              <w:right w:val="single" w:sz="4" w:space="0" w:color="auto"/>
            </w:tcBorders>
            <w:shd w:val="clear" w:color="auto" w:fill="990033"/>
            <w:noWrap/>
            <w:vAlign w:val="center"/>
            <w:hideMark/>
          </w:tcPr>
          <w:p w:rsidR="008C2FDE" w:rsidRPr="00676CED" w:rsidRDefault="008C2FDE" w:rsidP="00060D88">
            <w:pPr>
              <w:jc w:val="center"/>
              <w:rPr>
                <w:rFonts w:asciiTheme="minorHAnsi" w:hAnsiTheme="minorHAnsi" w:cstheme="minorHAnsi"/>
                <w:color w:val="FFFFFF" w:themeColor="background1"/>
                <w:sz w:val="18"/>
                <w:szCs w:val="18"/>
              </w:rPr>
            </w:pPr>
            <w:r w:rsidRPr="00676CED">
              <w:rPr>
                <w:rFonts w:asciiTheme="minorHAnsi" w:hAnsiTheme="minorHAnsi" w:cstheme="minorHAnsi"/>
                <w:color w:val="FFFFFF" w:themeColor="background1"/>
                <w:sz w:val="18"/>
                <w:szCs w:val="18"/>
              </w:rPr>
              <w:t xml:space="preserve">Mismo trimestre de 2021 </w:t>
            </w:r>
          </w:p>
        </w:tc>
        <w:tc>
          <w:tcPr>
            <w:tcW w:w="1258" w:type="dxa"/>
            <w:tcBorders>
              <w:top w:val="nil"/>
              <w:left w:val="nil"/>
              <w:bottom w:val="single" w:sz="4" w:space="0" w:color="auto"/>
              <w:right w:val="double" w:sz="6" w:space="0" w:color="auto"/>
            </w:tcBorders>
            <w:shd w:val="clear" w:color="auto" w:fill="990033"/>
            <w:noWrap/>
            <w:vAlign w:val="center"/>
            <w:hideMark/>
          </w:tcPr>
          <w:p w:rsidR="008C2FDE" w:rsidRPr="00676CED" w:rsidRDefault="008C2FDE" w:rsidP="00060D88">
            <w:pPr>
              <w:jc w:val="center"/>
              <w:rPr>
                <w:rFonts w:asciiTheme="minorHAnsi" w:hAnsiTheme="minorHAnsi" w:cstheme="minorHAnsi"/>
                <w:color w:val="FFFFFF" w:themeColor="background1"/>
                <w:sz w:val="18"/>
                <w:szCs w:val="18"/>
              </w:rPr>
            </w:pPr>
            <w:r w:rsidRPr="00676CED">
              <w:rPr>
                <w:rFonts w:asciiTheme="minorHAnsi" w:hAnsiTheme="minorHAnsi" w:cstheme="minorHAnsi"/>
                <w:color w:val="FFFFFF" w:themeColor="background1"/>
                <w:sz w:val="18"/>
                <w:szCs w:val="18"/>
              </w:rPr>
              <w:t xml:space="preserve">9 meses de 2021 </w:t>
            </w:r>
          </w:p>
        </w:tc>
      </w:tr>
      <w:tr w:rsidR="008C2FDE" w:rsidRPr="00676CED" w:rsidTr="00060D88">
        <w:trPr>
          <w:trHeight w:val="320"/>
          <w:jc w:val="center"/>
        </w:trPr>
        <w:tc>
          <w:tcPr>
            <w:tcW w:w="2520" w:type="dxa"/>
            <w:tcBorders>
              <w:top w:val="nil"/>
              <w:left w:val="double" w:sz="6" w:space="0" w:color="auto"/>
              <w:bottom w:val="single" w:sz="4" w:space="0" w:color="auto"/>
              <w:right w:val="single" w:sz="4" w:space="0" w:color="auto"/>
            </w:tcBorders>
            <w:shd w:val="clear" w:color="auto" w:fill="auto"/>
            <w:noWrap/>
            <w:vAlign w:val="center"/>
            <w:hideMark/>
          </w:tcPr>
          <w:p w:rsidR="008C2FDE" w:rsidRPr="00676CED" w:rsidRDefault="008C2FDE" w:rsidP="00060D88">
            <w:pPr>
              <w:jc w:val="center"/>
              <w:rPr>
                <w:rFonts w:asciiTheme="minorHAnsi" w:hAnsiTheme="minorHAnsi" w:cstheme="minorHAnsi"/>
                <w:b/>
                <w:bCs/>
                <w:color w:val="000000"/>
                <w:sz w:val="18"/>
                <w:szCs w:val="18"/>
              </w:rPr>
            </w:pPr>
            <w:r w:rsidRPr="00676CED">
              <w:rPr>
                <w:rFonts w:asciiTheme="minorHAnsi" w:hAnsiTheme="minorHAnsi" w:cstheme="minorHAnsi"/>
                <w:b/>
                <w:bCs/>
                <w:color w:val="000000"/>
                <w:sz w:val="18"/>
                <w:szCs w:val="18"/>
              </w:rPr>
              <w:t xml:space="preserve">PIB </w:t>
            </w:r>
          </w:p>
        </w:tc>
        <w:tc>
          <w:tcPr>
            <w:tcW w:w="1186" w:type="dxa"/>
            <w:tcBorders>
              <w:top w:val="nil"/>
              <w:left w:val="nil"/>
              <w:bottom w:val="single" w:sz="4" w:space="0" w:color="auto"/>
              <w:right w:val="single" w:sz="4" w:space="0" w:color="auto"/>
            </w:tcBorders>
            <w:shd w:val="clear" w:color="auto" w:fill="auto"/>
            <w:noWrap/>
            <w:vAlign w:val="center"/>
            <w:hideMark/>
          </w:tcPr>
          <w:p w:rsidR="008C2FDE" w:rsidRPr="00676CED" w:rsidRDefault="008C2FDE" w:rsidP="00060D88">
            <w:pPr>
              <w:jc w:val="center"/>
              <w:rPr>
                <w:rFonts w:asciiTheme="minorHAnsi" w:hAnsiTheme="minorHAnsi" w:cstheme="minorHAnsi"/>
                <w:b/>
                <w:bCs/>
                <w:color w:val="000000"/>
                <w:sz w:val="18"/>
                <w:szCs w:val="18"/>
              </w:rPr>
            </w:pPr>
            <w:r w:rsidRPr="00676CED">
              <w:rPr>
                <w:rFonts w:asciiTheme="minorHAnsi" w:hAnsiTheme="minorHAnsi" w:cstheme="minorHAnsi"/>
                <w:b/>
                <w:bCs/>
                <w:color w:val="000000"/>
                <w:sz w:val="18"/>
                <w:szCs w:val="18"/>
              </w:rPr>
              <w:t>0.9</w:t>
            </w:r>
          </w:p>
        </w:tc>
        <w:tc>
          <w:tcPr>
            <w:tcW w:w="1791" w:type="dxa"/>
            <w:tcBorders>
              <w:top w:val="nil"/>
              <w:left w:val="nil"/>
              <w:bottom w:val="single" w:sz="4" w:space="0" w:color="auto"/>
              <w:right w:val="single" w:sz="4" w:space="0" w:color="auto"/>
            </w:tcBorders>
            <w:shd w:val="clear" w:color="auto" w:fill="auto"/>
            <w:noWrap/>
            <w:vAlign w:val="center"/>
            <w:hideMark/>
          </w:tcPr>
          <w:p w:rsidR="008C2FDE" w:rsidRPr="00676CED" w:rsidRDefault="008C2FDE" w:rsidP="00060D88">
            <w:pPr>
              <w:jc w:val="center"/>
              <w:rPr>
                <w:rFonts w:asciiTheme="minorHAnsi" w:hAnsiTheme="minorHAnsi" w:cstheme="minorHAnsi"/>
                <w:b/>
                <w:bCs/>
                <w:color w:val="000000"/>
                <w:sz w:val="18"/>
                <w:szCs w:val="18"/>
              </w:rPr>
            </w:pPr>
            <w:r w:rsidRPr="00676CED">
              <w:rPr>
                <w:rFonts w:asciiTheme="minorHAnsi" w:hAnsiTheme="minorHAnsi" w:cstheme="minorHAnsi"/>
                <w:b/>
                <w:bCs/>
                <w:color w:val="000000"/>
                <w:sz w:val="18"/>
                <w:szCs w:val="18"/>
              </w:rPr>
              <w:t>4.3</w:t>
            </w:r>
          </w:p>
        </w:tc>
        <w:tc>
          <w:tcPr>
            <w:tcW w:w="1258" w:type="dxa"/>
            <w:tcBorders>
              <w:top w:val="nil"/>
              <w:left w:val="nil"/>
              <w:bottom w:val="single" w:sz="4" w:space="0" w:color="auto"/>
              <w:right w:val="double" w:sz="6" w:space="0" w:color="auto"/>
            </w:tcBorders>
            <w:shd w:val="clear" w:color="auto" w:fill="auto"/>
            <w:noWrap/>
            <w:vAlign w:val="center"/>
            <w:hideMark/>
          </w:tcPr>
          <w:p w:rsidR="008C2FDE" w:rsidRPr="00676CED" w:rsidRDefault="008C2FDE" w:rsidP="00060D88">
            <w:pPr>
              <w:jc w:val="center"/>
              <w:rPr>
                <w:rFonts w:asciiTheme="minorHAnsi" w:hAnsiTheme="minorHAnsi" w:cstheme="minorHAnsi"/>
                <w:b/>
                <w:bCs/>
                <w:color w:val="000000"/>
                <w:sz w:val="18"/>
                <w:szCs w:val="18"/>
              </w:rPr>
            </w:pPr>
            <w:r w:rsidRPr="00676CED">
              <w:rPr>
                <w:rFonts w:asciiTheme="minorHAnsi" w:hAnsiTheme="minorHAnsi" w:cstheme="minorHAnsi"/>
                <w:b/>
                <w:bCs/>
                <w:color w:val="000000"/>
                <w:sz w:val="18"/>
                <w:szCs w:val="18"/>
              </w:rPr>
              <w:t>2.8</w:t>
            </w:r>
          </w:p>
        </w:tc>
      </w:tr>
      <w:tr w:rsidR="008C2FDE" w:rsidRPr="00676CED" w:rsidTr="00060D88">
        <w:trPr>
          <w:trHeight w:val="320"/>
          <w:jc w:val="center"/>
        </w:trPr>
        <w:tc>
          <w:tcPr>
            <w:tcW w:w="2520" w:type="dxa"/>
            <w:tcBorders>
              <w:top w:val="nil"/>
              <w:left w:val="double" w:sz="6" w:space="0" w:color="auto"/>
              <w:bottom w:val="single" w:sz="4" w:space="0" w:color="auto"/>
              <w:right w:val="single" w:sz="4" w:space="0" w:color="auto"/>
            </w:tcBorders>
            <w:shd w:val="clear" w:color="auto" w:fill="auto"/>
            <w:noWrap/>
            <w:vAlign w:val="center"/>
            <w:hideMark/>
          </w:tcPr>
          <w:p w:rsidR="008C2FDE" w:rsidRPr="00676CED" w:rsidRDefault="008C2FDE" w:rsidP="00060D88">
            <w:pPr>
              <w:jc w:val="center"/>
              <w:rPr>
                <w:rFonts w:asciiTheme="minorHAnsi" w:hAnsiTheme="minorHAnsi" w:cstheme="minorHAnsi"/>
                <w:color w:val="000000"/>
                <w:sz w:val="18"/>
                <w:szCs w:val="18"/>
              </w:rPr>
            </w:pPr>
            <w:r w:rsidRPr="00676CED">
              <w:rPr>
                <w:rFonts w:asciiTheme="minorHAnsi" w:hAnsiTheme="minorHAnsi" w:cstheme="minorHAnsi"/>
                <w:color w:val="000000"/>
                <w:sz w:val="18"/>
                <w:szCs w:val="18"/>
              </w:rPr>
              <w:t>Actividades Primarias</w:t>
            </w:r>
          </w:p>
        </w:tc>
        <w:tc>
          <w:tcPr>
            <w:tcW w:w="1186" w:type="dxa"/>
            <w:tcBorders>
              <w:top w:val="nil"/>
              <w:left w:val="nil"/>
              <w:bottom w:val="single" w:sz="4" w:space="0" w:color="auto"/>
              <w:right w:val="single" w:sz="4" w:space="0" w:color="auto"/>
            </w:tcBorders>
            <w:shd w:val="clear" w:color="auto" w:fill="auto"/>
            <w:noWrap/>
            <w:vAlign w:val="center"/>
            <w:hideMark/>
          </w:tcPr>
          <w:p w:rsidR="008C2FDE" w:rsidRPr="00676CED" w:rsidRDefault="008C2FDE" w:rsidP="00060D88">
            <w:pPr>
              <w:jc w:val="center"/>
              <w:rPr>
                <w:rFonts w:asciiTheme="minorHAnsi" w:hAnsiTheme="minorHAnsi" w:cstheme="minorHAnsi"/>
                <w:color w:val="000000"/>
                <w:sz w:val="18"/>
                <w:szCs w:val="18"/>
              </w:rPr>
            </w:pPr>
            <w:r w:rsidRPr="00676CED">
              <w:rPr>
                <w:rFonts w:asciiTheme="minorHAnsi" w:hAnsiTheme="minorHAnsi" w:cstheme="minorHAnsi"/>
                <w:color w:val="000000"/>
                <w:sz w:val="18"/>
                <w:szCs w:val="18"/>
              </w:rPr>
              <w:t>2.0</w:t>
            </w:r>
          </w:p>
        </w:tc>
        <w:tc>
          <w:tcPr>
            <w:tcW w:w="1791" w:type="dxa"/>
            <w:tcBorders>
              <w:top w:val="nil"/>
              <w:left w:val="nil"/>
              <w:bottom w:val="single" w:sz="4" w:space="0" w:color="auto"/>
              <w:right w:val="single" w:sz="4" w:space="0" w:color="auto"/>
            </w:tcBorders>
            <w:shd w:val="clear" w:color="auto" w:fill="auto"/>
            <w:noWrap/>
            <w:vAlign w:val="center"/>
            <w:hideMark/>
          </w:tcPr>
          <w:p w:rsidR="008C2FDE" w:rsidRPr="00676CED" w:rsidRDefault="008C2FDE" w:rsidP="00060D88">
            <w:pPr>
              <w:jc w:val="center"/>
              <w:rPr>
                <w:rFonts w:asciiTheme="minorHAnsi" w:hAnsiTheme="minorHAnsi" w:cstheme="minorHAnsi"/>
                <w:color w:val="000000"/>
                <w:sz w:val="18"/>
                <w:szCs w:val="18"/>
              </w:rPr>
            </w:pPr>
            <w:r w:rsidRPr="00676CED">
              <w:rPr>
                <w:rFonts w:asciiTheme="minorHAnsi" w:hAnsiTheme="minorHAnsi" w:cstheme="minorHAnsi"/>
                <w:color w:val="000000"/>
                <w:sz w:val="18"/>
                <w:szCs w:val="18"/>
              </w:rPr>
              <w:t>3.2</w:t>
            </w:r>
          </w:p>
        </w:tc>
        <w:tc>
          <w:tcPr>
            <w:tcW w:w="1258" w:type="dxa"/>
            <w:tcBorders>
              <w:top w:val="nil"/>
              <w:left w:val="nil"/>
              <w:bottom w:val="single" w:sz="4" w:space="0" w:color="auto"/>
              <w:right w:val="double" w:sz="6" w:space="0" w:color="auto"/>
            </w:tcBorders>
            <w:shd w:val="clear" w:color="auto" w:fill="auto"/>
            <w:noWrap/>
            <w:vAlign w:val="center"/>
            <w:hideMark/>
          </w:tcPr>
          <w:p w:rsidR="008C2FDE" w:rsidRPr="00676CED" w:rsidRDefault="008C2FDE" w:rsidP="00060D88">
            <w:pPr>
              <w:jc w:val="center"/>
              <w:rPr>
                <w:rFonts w:asciiTheme="minorHAnsi" w:hAnsiTheme="minorHAnsi" w:cstheme="minorHAnsi"/>
                <w:color w:val="000000"/>
                <w:sz w:val="18"/>
                <w:szCs w:val="18"/>
              </w:rPr>
            </w:pPr>
            <w:r w:rsidRPr="00676CED">
              <w:rPr>
                <w:rFonts w:asciiTheme="minorHAnsi" w:hAnsiTheme="minorHAnsi" w:cstheme="minorHAnsi"/>
                <w:color w:val="000000"/>
                <w:sz w:val="18"/>
                <w:szCs w:val="18"/>
              </w:rPr>
              <w:t>1.5</w:t>
            </w:r>
          </w:p>
        </w:tc>
      </w:tr>
      <w:tr w:rsidR="008C2FDE" w:rsidRPr="00676CED" w:rsidTr="00060D88">
        <w:trPr>
          <w:trHeight w:val="320"/>
          <w:jc w:val="center"/>
        </w:trPr>
        <w:tc>
          <w:tcPr>
            <w:tcW w:w="2520" w:type="dxa"/>
            <w:tcBorders>
              <w:top w:val="nil"/>
              <w:left w:val="double" w:sz="6" w:space="0" w:color="auto"/>
              <w:bottom w:val="single" w:sz="4" w:space="0" w:color="auto"/>
              <w:right w:val="single" w:sz="4" w:space="0" w:color="auto"/>
            </w:tcBorders>
            <w:shd w:val="clear" w:color="auto" w:fill="auto"/>
            <w:noWrap/>
            <w:vAlign w:val="center"/>
            <w:hideMark/>
          </w:tcPr>
          <w:p w:rsidR="008C2FDE" w:rsidRPr="00676CED" w:rsidRDefault="008C2FDE" w:rsidP="00060D88">
            <w:pPr>
              <w:jc w:val="center"/>
              <w:rPr>
                <w:rFonts w:asciiTheme="minorHAnsi" w:hAnsiTheme="minorHAnsi" w:cstheme="minorHAnsi"/>
                <w:color w:val="000000"/>
                <w:sz w:val="18"/>
                <w:szCs w:val="18"/>
              </w:rPr>
            </w:pPr>
            <w:r w:rsidRPr="00676CED">
              <w:rPr>
                <w:rFonts w:asciiTheme="minorHAnsi" w:hAnsiTheme="minorHAnsi" w:cstheme="minorHAnsi"/>
                <w:color w:val="000000"/>
                <w:sz w:val="18"/>
                <w:szCs w:val="18"/>
              </w:rPr>
              <w:t>Actividades Secundarias</w:t>
            </w:r>
          </w:p>
        </w:tc>
        <w:tc>
          <w:tcPr>
            <w:tcW w:w="1186" w:type="dxa"/>
            <w:tcBorders>
              <w:top w:val="nil"/>
              <w:left w:val="nil"/>
              <w:bottom w:val="single" w:sz="4" w:space="0" w:color="auto"/>
              <w:right w:val="single" w:sz="4" w:space="0" w:color="auto"/>
            </w:tcBorders>
            <w:shd w:val="clear" w:color="auto" w:fill="auto"/>
            <w:noWrap/>
            <w:vAlign w:val="center"/>
            <w:hideMark/>
          </w:tcPr>
          <w:p w:rsidR="008C2FDE" w:rsidRPr="00676CED" w:rsidRDefault="008C2FDE" w:rsidP="00060D88">
            <w:pPr>
              <w:jc w:val="center"/>
              <w:rPr>
                <w:rFonts w:asciiTheme="minorHAnsi" w:hAnsiTheme="minorHAnsi" w:cstheme="minorHAnsi"/>
                <w:color w:val="000000"/>
                <w:sz w:val="18"/>
                <w:szCs w:val="18"/>
              </w:rPr>
            </w:pPr>
            <w:r w:rsidRPr="00676CED">
              <w:rPr>
                <w:rFonts w:asciiTheme="minorHAnsi" w:hAnsiTheme="minorHAnsi" w:cstheme="minorHAnsi"/>
                <w:color w:val="000000"/>
                <w:sz w:val="18"/>
                <w:szCs w:val="18"/>
              </w:rPr>
              <w:t>0.6</w:t>
            </w:r>
          </w:p>
        </w:tc>
        <w:tc>
          <w:tcPr>
            <w:tcW w:w="1791" w:type="dxa"/>
            <w:tcBorders>
              <w:top w:val="nil"/>
              <w:left w:val="nil"/>
              <w:bottom w:val="single" w:sz="4" w:space="0" w:color="auto"/>
              <w:right w:val="single" w:sz="4" w:space="0" w:color="auto"/>
            </w:tcBorders>
            <w:shd w:val="clear" w:color="auto" w:fill="auto"/>
            <w:noWrap/>
            <w:vAlign w:val="center"/>
            <w:hideMark/>
          </w:tcPr>
          <w:p w:rsidR="008C2FDE" w:rsidRPr="00676CED" w:rsidRDefault="008C2FDE" w:rsidP="00060D88">
            <w:pPr>
              <w:jc w:val="center"/>
              <w:rPr>
                <w:rFonts w:asciiTheme="minorHAnsi" w:hAnsiTheme="minorHAnsi" w:cstheme="minorHAnsi"/>
                <w:color w:val="000000"/>
                <w:sz w:val="18"/>
                <w:szCs w:val="18"/>
              </w:rPr>
            </w:pPr>
            <w:r w:rsidRPr="00676CED">
              <w:rPr>
                <w:rFonts w:asciiTheme="minorHAnsi" w:hAnsiTheme="minorHAnsi" w:cstheme="minorHAnsi"/>
                <w:color w:val="000000"/>
                <w:sz w:val="18"/>
                <w:szCs w:val="18"/>
              </w:rPr>
              <w:t>3.7</w:t>
            </w:r>
          </w:p>
        </w:tc>
        <w:tc>
          <w:tcPr>
            <w:tcW w:w="1258" w:type="dxa"/>
            <w:tcBorders>
              <w:top w:val="nil"/>
              <w:left w:val="nil"/>
              <w:bottom w:val="single" w:sz="4" w:space="0" w:color="auto"/>
              <w:right w:val="double" w:sz="6" w:space="0" w:color="auto"/>
            </w:tcBorders>
            <w:shd w:val="clear" w:color="auto" w:fill="auto"/>
            <w:noWrap/>
            <w:vAlign w:val="center"/>
            <w:hideMark/>
          </w:tcPr>
          <w:p w:rsidR="008C2FDE" w:rsidRPr="00676CED" w:rsidRDefault="008C2FDE" w:rsidP="00060D88">
            <w:pPr>
              <w:jc w:val="center"/>
              <w:rPr>
                <w:rFonts w:asciiTheme="minorHAnsi" w:hAnsiTheme="minorHAnsi" w:cstheme="minorHAnsi"/>
                <w:color w:val="000000"/>
                <w:sz w:val="18"/>
                <w:szCs w:val="18"/>
              </w:rPr>
            </w:pPr>
            <w:r w:rsidRPr="00676CED">
              <w:rPr>
                <w:rFonts w:asciiTheme="minorHAnsi" w:hAnsiTheme="minorHAnsi" w:cstheme="minorHAnsi"/>
                <w:color w:val="000000"/>
                <w:sz w:val="18"/>
                <w:szCs w:val="18"/>
              </w:rPr>
              <w:t>3.3.</w:t>
            </w:r>
          </w:p>
        </w:tc>
      </w:tr>
      <w:tr w:rsidR="008C2FDE" w:rsidRPr="00676CED" w:rsidTr="00060D88">
        <w:trPr>
          <w:trHeight w:val="340"/>
          <w:jc w:val="center"/>
        </w:trPr>
        <w:tc>
          <w:tcPr>
            <w:tcW w:w="2520" w:type="dxa"/>
            <w:tcBorders>
              <w:top w:val="nil"/>
              <w:left w:val="double" w:sz="6" w:space="0" w:color="auto"/>
              <w:bottom w:val="double" w:sz="6" w:space="0" w:color="auto"/>
              <w:right w:val="single" w:sz="4" w:space="0" w:color="auto"/>
            </w:tcBorders>
            <w:shd w:val="clear" w:color="auto" w:fill="auto"/>
            <w:noWrap/>
            <w:vAlign w:val="center"/>
            <w:hideMark/>
          </w:tcPr>
          <w:p w:rsidR="008C2FDE" w:rsidRPr="00676CED" w:rsidRDefault="008C2FDE" w:rsidP="00060D88">
            <w:pPr>
              <w:jc w:val="center"/>
              <w:rPr>
                <w:rFonts w:asciiTheme="minorHAnsi" w:hAnsiTheme="minorHAnsi" w:cstheme="minorHAnsi"/>
                <w:color w:val="000000"/>
                <w:sz w:val="18"/>
                <w:szCs w:val="18"/>
              </w:rPr>
            </w:pPr>
            <w:r w:rsidRPr="00676CED">
              <w:rPr>
                <w:rFonts w:asciiTheme="minorHAnsi" w:hAnsiTheme="minorHAnsi" w:cstheme="minorHAnsi"/>
                <w:color w:val="000000"/>
                <w:sz w:val="18"/>
                <w:szCs w:val="18"/>
              </w:rPr>
              <w:t>Actividades Terciarias</w:t>
            </w:r>
          </w:p>
        </w:tc>
        <w:tc>
          <w:tcPr>
            <w:tcW w:w="1186" w:type="dxa"/>
            <w:tcBorders>
              <w:top w:val="nil"/>
              <w:left w:val="nil"/>
              <w:bottom w:val="double" w:sz="6" w:space="0" w:color="auto"/>
              <w:right w:val="single" w:sz="4" w:space="0" w:color="auto"/>
            </w:tcBorders>
            <w:shd w:val="clear" w:color="auto" w:fill="auto"/>
            <w:noWrap/>
            <w:vAlign w:val="center"/>
            <w:hideMark/>
          </w:tcPr>
          <w:p w:rsidR="008C2FDE" w:rsidRPr="00676CED" w:rsidRDefault="008C2FDE" w:rsidP="00060D88">
            <w:pPr>
              <w:jc w:val="center"/>
              <w:rPr>
                <w:rFonts w:asciiTheme="minorHAnsi" w:hAnsiTheme="minorHAnsi" w:cstheme="minorHAnsi"/>
                <w:color w:val="000000"/>
                <w:sz w:val="18"/>
                <w:szCs w:val="18"/>
              </w:rPr>
            </w:pPr>
            <w:r w:rsidRPr="00676CED">
              <w:rPr>
                <w:rFonts w:asciiTheme="minorHAnsi" w:hAnsiTheme="minorHAnsi" w:cstheme="minorHAnsi"/>
                <w:color w:val="000000"/>
                <w:sz w:val="18"/>
                <w:szCs w:val="18"/>
              </w:rPr>
              <w:t>1.1.</w:t>
            </w:r>
          </w:p>
        </w:tc>
        <w:tc>
          <w:tcPr>
            <w:tcW w:w="1791" w:type="dxa"/>
            <w:tcBorders>
              <w:top w:val="nil"/>
              <w:left w:val="nil"/>
              <w:bottom w:val="double" w:sz="6" w:space="0" w:color="auto"/>
              <w:right w:val="single" w:sz="4" w:space="0" w:color="auto"/>
            </w:tcBorders>
            <w:shd w:val="clear" w:color="auto" w:fill="auto"/>
            <w:noWrap/>
            <w:vAlign w:val="center"/>
            <w:hideMark/>
          </w:tcPr>
          <w:p w:rsidR="008C2FDE" w:rsidRPr="00676CED" w:rsidRDefault="008C2FDE" w:rsidP="00060D88">
            <w:pPr>
              <w:jc w:val="center"/>
              <w:rPr>
                <w:rFonts w:asciiTheme="minorHAnsi" w:hAnsiTheme="minorHAnsi" w:cstheme="minorHAnsi"/>
                <w:color w:val="000000"/>
                <w:sz w:val="18"/>
                <w:szCs w:val="18"/>
              </w:rPr>
            </w:pPr>
            <w:r w:rsidRPr="00676CED">
              <w:rPr>
                <w:rFonts w:asciiTheme="minorHAnsi" w:hAnsiTheme="minorHAnsi" w:cstheme="minorHAnsi"/>
                <w:color w:val="000000"/>
                <w:sz w:val="18"/>
                <w:szCs w:val="18"/>
              </w:rPr>
              <w:t>4.5</w:t>
            </w:r>
          </w:p>
        </w:tc>
        <w:tc>
          <w:tcPr>
            <w:tcW w:w="1258" w:type="dxa"/>
            <w:tcBorders>
              <w:top w:val="nil"/>
              <w:left w:val="nil"/>
              <w:bottom w:val="double" w:sz="6" w:space="0" w:color="auto"/>
              <w:right w:val="double" w:sz="6" w:space="0" w:color="auto"/>
            </w:tcBorders>
            <w:shd w:val="clear" w:color="auto" w:fill="auto"/>
            <w:noWrap/>
            <w:vAlign w:val="center"/>
            <w:hideMark/>
          </w:tcPr>
          <w:p w:rsidR="008C2FDE" w:rsidRPr="00676CED" w:rsidRDefault="008C2FDE" w:rsidP="00060D88">
            <w:pPr>
              <w:jc w:val="center"/>
              <w:rPr>
                <w:rFonts w:asciiTheme="minorHAnsi" w:hAnsiTheme="minorHAnsi" w:cstheme="minorHAnsi"/>
                <w:color w:val="000000"/>
                <w:sz w:val="18"/>
                <w:szCs w:val="18"/>
              </w:rPr>
            </w:pPr>
            <w:r w:rsidRPr="00676CED">
              <w:rPr>
                <w:rFonts w:asciiTheme="minorHAnsi" w:hAnsiTheme="minorHAnsi" w:cstheme="minorHAnsi"/>
                <w:color w:val="000000"/>
                <w:sz w:val="18"/>
                <w:szCs w:val="18"/>
              </w:rPr>
              <w:t>2.4</w:t>
            </w:r>
          </w:p>
        </w:tc>
      </w:tr>
    </w:tbl>
    <w:p w:rsidR="008C2FDE" w:rsidRPr="00676CED" w:rsidRDefault="008C2FDE" w:rsidP="008C2FDE">
      <w:pPr>
        <w:pStyle w:val="NormalWeb"/>
        <w:spacing w:before="0" w:beforeAutospacing="0" w:after="0" w:afterAutospacing="0"/>
        <w:ind w:left="993"/>
        <w:rPr>
          <w:rFonts w:asciiTheme="minorHAnsi" w:hAnsiTheme="minorHAnsi" w:cstheme="minorHAnsi"/>
          <w:sz w:val="14"/>
          <w:szCs w:val="14"/>
        </w:rPr>
      </w:pPr>
      <w:r w:rsidRPr="00676CED">
        <w:rPr>
          <w:rFonts w:asciiTheme="minorHAnsi" w:hAnsiTheme="minorHAnsi" w:cstheme="minorHAnsi"/>
          <w:sz w:val="14"/>
          <w:szCs w:val="14"/>
        </w:rPr>
        <w:t xml:space="preserve">Nota: La serie </w:t>
      </w:r>
      <w:proofErr w:type="spellStart"/>
      <w:r w:rsidRPr="00676CED">
        <w:rPr>
          <w:rFonts w:asciiTheme="minorHAnsi" w:hAnsiTheme="minorHAnsi" w:cstheme="minorHAnsi"/>
          <w:sz w:val="14"/>
          <w:szCs w:val="14"/>
        </w:rPr>
        <w:t>desestacionalizada</w:t>
      </w:r>
      <w:proofErr w:type="spellEnd"/>
      <w:r w:rsidRPr="00676CED">
        <w:rPr>
          <w:rFonts w:asciiTheme="minorHAnsi" w:hAnsiTheme="minorHAnsi" w:cstheme="minorHAnsi"/>
          <w:sz w:val="14"/>
          <w:szCs w:val="14"/>
        </w:rPr>
        <w:t xml:space="preserve"> de los agregados se calcula de manera independiente a la de sus componentes.</w:t>
      </w:r>
    </w:p>
    <w:p w:rsidR="008C2FDE" w:rsidRPr="00676CED" w:rsidRDefault="008C2FDE" w:rsidP="008C2FDE">
      <w:pPr>
        <w:pStyle w:val="NormalWeb"/>
        <w:spacing w:before="0" w:beforeAutospacing="0" w:after="0" w:afterAutospacing="0"/>
        <w:ind w:left="993"/>
        <w:rPr>
          <w:rFonts w:asciiTheme="minorHAnsi" w:hAnsiTheme="minorHAnsi" w:cstheme="minorHAnsi"/>
          <w:sz w:val="14"/>
          <w:szCs w:val="14"/>
        </w:rPr>
      </w:pPr>
      <w:r w:rsidRPr="00676CED">
        <w:rPr>
          <w:rFonts w:asciiTheme="minorHAnsi" w:hAnsiTheme="minorHAnsi" w:cstheme="minorHAnsi"/>
          <w:sz w:val="14"/>
          <w:szCs w:val="14"/>
        </w:rPr>
        <w:t>Fuente: INEGI</w:t>
      </w:r>
    </w:p>
    <w:p w:rsidR="008C2FDE" w:rsidRPr="00676CED" w:rsidRDefault="008C2FDE" w:rsidP="008C2FDE">
      <w:pPr>
        <w:pStyle w:val="NormalWeb"/>
        <w:spacing w:before="0" w:beforeAutospacing="0" w:after="0" w:afterAutospacing="0"/>
        <w:jc w:val="center"/>
        <w:rPr>
          <w:rFonts w:asciiTheme="minorHAnsi" w:hAnsiTheme="minorHAnsi" w:cstheme="minorHAnsi"/>
        </w:rPr>
      </w:pPr>
    </w:p>
    <w:p w:rsidR="008C2FDE" w:rsidRPr="00060D88" w:rsidRDefault="00C264F4" w:rsidP="008C2FDE">
      <w:pPr>
        <w:pStyle w:val="NormalWeb"/>
        <w:spacing w:before="0" w:beforeAutospacing="0" w:after="0" w:afterAutospacing="0"/>
        <w:jc w:val="both"/>
        <w:rPr>
          <w:rFonts w:asciiTheme="minorHAnsi" w:hAnsiTheme="minorHAnsi" w:cstheme="minorHAnsi"/>
          <w:b/>
          <w:sz w:val="22"/>
          <w:szCs w:val="22"/>
        </w:rPr>
      </w:pPr>
      <w:r>
        <w:rPr>
          <w:rFonts w:asciiTheme="minorHAnsi" w:hAnsiTheme="minorHAnsi" w:cstheme="minorHAnsi"/>
          <w:b/>
          <w:sz w:val="22"/>
          <w:szCs w:val="22"/>
        </w:rPr>
        <w:t>1.</w:t>
      </w:r>
      <w:r w:rsidR="008C2FDE" w:rsidRPr="00060D88">
        <w:rPr>
          <w:rFonts w:asciiTheme="minorHAnsi" w:hAnsiTheme="minorHAnsi" w:cstheme="minorHAnsi"/>
          <w:b/>
          <w:sz w:val="22"/>
          <w:szCs w:val="22"/>
        </w:rPr>
        <w:t>2.2.- Tasa de Interés referencial a un día del Banxico.</w:t>
      </w:r>
    </w:p>
    <w:p w:rsidR="008C2FDE" w:rsidRPr="00E850D6" w:rsidRDefault="008C2FDE" w:rsidP="008C2FDE">
      <w:pPr>
        <w:jc w:val="both"/>
        <w:rPr>
          <w:rFonts w:asciiTheme="minorHAnsi" w:hAnsiTheme="minorHAnsi" w:cstheme="minorHAnsi"/>
          <w:sz w:val="18"/>
          <w:szCs w:val="18"/>
        </w:rPr>
      </w:pPr>
    </w:p>
    <w:p w:rsidR="008C2FDE" w:rsidRPr="007D5DA7" w:rsidRDefault="008C2FDE" w:rsidP="008C2FDE">
      <w:pPr>
        <w:jc w:val="both"/>
        <w:rPr>
          <w:rFonts w:asciiTheme="minorHAnsi" w:hAnsiTheme="minorHAnsi" w:cstheme="minorHAnsi"/>
          <w:sz w:val="21"/>
          <w:szCs w:val="21"/>
        </w:rPr>
      </w:pPr>
      <w:r w:rsidRPr="007D5DA7">
        <w:rPr>
          <w:rFonts w:asciiTheme="minorHAnsi" w:hAnsiTheme="minorHAnsi" w:cstheme="minorHAnsi"/>
          <w:sz w:val="21"/>
          <w:szCs w:val="21"/>
        </w:rPr>
        <w:t>La Junta de Gobierno del Banco de México decidió́ incrementar en 50 puntos base el objetivo para la Tasa de Interés Interbancaria a un día a un nivel de 10.50%, con efectos a partir del 16 de diciembre de 2022.</w:t>
      </w:r>
    </w:p>
    <w:p w:rsidR="008C2FDE" w:rsidRPr="007D5DA7" w:rsidRDefault="008C2FDE" w:rsidP="008C2FDE">
      <w:pPr>
        <w:jc w:val="both"/>
        <w:rPr>
          <w:rFonts w:asciiTheme="minorHAnsi" w:hAnsiTheme="minorHAnsi" w:cstheme="minorHAnsi"/>
          <w:sz w:val="21"/>
          <w:szCs w:val="21"/>
        </w:rPr>
      </w:pPr>
      <w:r w:rsidRPr="007D5DA7">
        <w:rPr>
          <w:rFonts w:asciiTheme="minorHAnsi" w:hAnsiTheme="minorHAnsi" w:cstheme="minorHAnsi"/>
          <w:sz w:val="21"/>
          <w:szCs w:val="21"/>
        </w:rPr>
        <w:t xml:space="preserve">La actividad económica mundial se recuperó́ moderadamente en el tercer trimestre, aunque las perspectivas para 2023 siguieron deteriorándose. La inflación global se mantiene elevada, si bien la general disminuyó en diversas economías ante menores presiones en los precios de alimentos y energéticos. Un amplio número de bancos centrales continuó incrementando sus tasas de referencia. Algunos mencionaron que comenzarían a </w:t>
      </w:r>
      <w:r w:rsidRPr="007D5DA7">
        <w:rPr>
          <w:rFonts w:asciiTheme="minorHAnsi" w:hAnsiTheme="minorHAnsi" w:cstheme="minorHAnsi"/>
          <w:sz w:val="21"/>
          <w:szCs w:val="21"/>
        </w:rPr>
        <w:lastRenderedPageBreak/>
        <w:t xml:space="preserve">moderar la magnitud de sus aumentos. No obstante, se anticipa que dichas tasas permanezcan en niveles altos por un periodo prolongado. En su decisión más reciente, la Reserva Federal de Estados Unidos aumentó el rango objetivo para la tasa de fondos federales en 50 puntos base, después de cuatro incrementos consecutivos de 75 puntos base. Asimismo, anticipó incrementos adicionales. Entre los riesgos globales destacan los asociados a la pandemia, la prolongación de las presiones inflacionarias, el agravamiento de las tensiones geopolíticas y condiciones monetarias y financieras </w:t>
      </w:r>
      <w:proofErr w:type="spellStart"/>
      <w:r w:rsidRPr="007D5DA7">
        <w:rPr>
          <w:rFonts w:asciiTheme="minorHAnsi" w:hAnsiTheme="minorHAnsi" w:cstheme="minorHAnsi"/>
          <w:sz w:val="21"/>
          <w:szCs w:val="21"/>
        </w:rPr>
        <w:t>más</w:t>
      </w:r>
      <w:proofErr w:type="spellEnd"/>
      <w:r w:rsidRPr="007D5DA7">
        <w:rPr>
          <w:rFonts w:asciiTheme="minorHAnsi" w:hAnsiTheme="minorHAnsi" w:cstheme="minorHAnsi"/>
          <w:sz w:val="21"/>
          <w:szCs w:val="21"/>
        </w:rPr>
        <w:t xml:space="preserve"> apretadas.</w:t>
      </w:r>
    </w:p>
    <w:p w:rsidR="008C2FDE" w:rsidRPr="007D5DA7" w:rsidRDefault="008C2FDE" w:rsidP="008C2FDE">
      <w:pPr>
        <w:jc w:val="both"/>
        <w:rPr>
          <w:rFonts w:asciiTheme="minorHAnsi" w:hAnsiTheme="minorHAnsi" w:cstheme="minorHAnsi"/>
          <w:sz w:val="21"/>
          <w:szCs w:val="21"/>
        </w:rPr>
      </w:pPr>
      <w:r w:rsidRPr="007D5DA7">
        <w:rPr>
          <w:rFonts w:asciiTheme="minorHAnsi" w:hAnsiTheme="minorHAnsi" w:cstheme="minorHAnsi"/>
          <w:sz w:val="21"/>
          <w:szCs w:val="21"/>
        </w:rPr>
        <w:t xml:space="preserve">El peso mexicano </w:t>
      </w:r>
      <w:proofErr w:type="spellStart"/>
      <w:r w:rsidRPr="007D5DA7">
        <w:rPr>
          <w:rFonts w:asciiTheme="minorHAnsi" w:hAnsiTheme="minorHAnsi" w:cstheme="minorHAnsi"/>
          <w:sz w:val="21"/>
          <w:szCs w:val="21"/>
        </w:rPr>
        <w:t>siguio</w:t>
      </w:r>
      <w:proofErr w:type="spellEnd"/>
      <w:r w:rsidRPr="007D5DA7">
        <w:rPr>
          <w:rFonts w:asciiTheme="minorHAnsi" w:hAnsiTheme="minorHAnsi" w:cstheme="minorHAnsi"/>
          <w:sz w:val="21"/>
          <w:szCs w:val="21"/>
        </w:rPr>
        <w:t xml:space="preserve">́ mostrando resiliencia, si bien con cierta volatilidad. Por su parte, las tasas de interés de corto plazo aumentaron y las de mediano y largo plazos disminuyeron significativamente. Se espera que en el cuarto trimestre la economía mexicana haya continuado recuperándose, si bien a un ritmo menor. </w:t>
      </w:r>
      <w:proofErr w:type="spellStart"/>
      <w:r w:rsidRPr="007D5DA7">
        <w:rPr>
          <w:rFonts w:asciiTheme="minorHAnsi" w:hAnsiTheme="minorHAnsi" w:cstheme="minorHAnsi"/>
          <w:sz w:val="21"/>
          <w:szCs w:val="21"/>
        </w:rPr>
        <w:t>Asi</w:t>
      </w:r>
      <w:proofErr w:type="spellEnd"/>
      <w:r w:rsidRPr="007D5DA7">
        <w:rPr>
          <w:rFonts w:asciiTheme="minorHAnsi" w:hAnsiTheme="minorHAnsi" w:cstheme="minorHAnsi"/>
          <w:sz w:val="21"/>
          <w:szCs w:val="21"/>
        </w:rPr>
        <w:t xml:space="preserve">́, se </w:t>
      </w:r>
      <w:proofErr w:type="spellStart"/>
      <w:r w:rsidRPr="007D5DA7">
        <w:rPr>
          <w:rFonts w:asciiTheme="minorHAnsi" w:hAnsiTheme="minorHAnsi" w:cstheme="minorHAnsi"/>
          <w:sz w:val="21"/>
          <w:szCs w:val="21"/>
        </w:rPr>
        <w:t>preve</w:t>
      </w:r>
      <w:proofErr w:type="spellEnd"/>
      <w:r w:rsidRPr="007D5DA7">
        <w:rPr>
          <w:rFonts w:asciiTheme="minorHAnsi" w:hAnsiTheme="minorHAnsi" w:cstheme="minorHAnsi"/>
          <w:sz w:val="21"/>
          <w:szCs w:val="21"/>
        </w:rPr>
        <w:t xml:space="preserve">́ que las condiciones de holgura sigan </w:t>
      </w:r>
      <w:proofErr w:type="spellStart"/>
      <w:r w:rsidRPr="007D5DA7">
        <w:rPr>
          <w:rFonts w:asciiTheme="minorHAnsi" w:hAnsiTheme="minorHAnsi" w:cstheme="minorHAnsi"/>
          <w:sz w:val="21"/>
          <w:szCs w:val="21"/>
        </w:rPr>
        <w:t>reduciéndose</w:t>
      </w:r>
      <w:proofErr w:type="spellEnd"/>
      <w:r w:rsidRPr="007D5DA7">
        <w:rPr>
          <w:rFonts w:asciiTheme="minorHAnsi" w:hAnsiTheme="minorHAnsi" w:cstheme="minorHAnsi"/>
          <w:sz w:val="21"/>
          <w:szCs w:val="21"/>
        </w:rPr>
        <w:t>.</w:t>
      </w:r>
    </w:p>
    <w:p w:rsidR="008C2FDE" w:rsidRPr="007D5DA7" w:rsidRDefault="008C2FDE" w:rsidP="008C2FDE">
      <w:pPr>
        <w:jc w:val="both"/>
        <w:rPr>
          <w:rFonts w:asciiTheme="minorHAnsi" w:hAnsiTheme="minorHAnsi" w:cstheme="minorHAnsi"/>
          <w:sz w:val="21"/>
          <w:szCs w:val="21"/>
        </w:rPr>
      </w:pPr>
      <w:r w:rsidRPr="007D5DA7">
        <w:rPr>
          <w:rFonts w:asciiTheme="minorHAnsi" w:hAnsiTheme="minorHAnsi" w:cstheme="minorHAnsi"/>
          <w:sz w:val="21"/>
          <w:szCs w:val="21"/>
        </w:rPr>
        <w:t>La inflación general continuó disminuyendo en noviembre para ubicarse en 7.80%, reflejando la reducción del componente no subyacente. En cambio, la inflación subyacente mantuvo su tendencia al alza, para ubicarse en 8.51%. La inflación general como la subyacente fueron menores que las expectativas de los analistas. Las expectativas de inflación para 2022 y 2023 disminuyeron para la general, mientras que para la subyacente volvieron a ajustarse moderadamente al alza. Las de mediano y largo plazos se mantuvieron estables, si bien por arriba de la meta.</w:t>
      </w:r>
    </w:p>
    <w:p w:rsidR="008C2FDE" w:rsidRPr="007D5DA7" w:rsidRDefault="008C2FDE" w:rsidP="008C2FDE">
      <w:pPr>
        <w:jc w:val="both"/>
        <w:rPr>
          <w:rFonts w:asciiTheme="minorHAnsi" w:hAnsiTheme="minorHAnsi" w:cstheme="minorHAnsi"/>
          <w:sz w:val="21"/>
          <w:szCs w:val="21"/>
        </w:rPr>
      </w:pPr>
      <w:r w:rsidRPr="007D5DA7">
        <w:rPr>
          <w:rFonts w:asciiTheme="minorHAnsi" w:hAnsiTheme="minorHAnsi" w:cstheme="minorHAnsi"/>
          <w:sz w:val="21"/>
          <w:szCs w:val="21"/>
        </w:rPr>
        <w:t>Los pronósticos para la inflación general se ajustaron a la baja para los dos primeros trimestres y posteriormente se revisaron marginalmente al alza hasta el cuarto trimestre de 2023, ante cierto incremento en la trayectoria prevista de la inflación subyacente. Se sigue anticipando que la inflación converja a la meta de 3% en el tercer trimestre de 2024 (ver cuadro). Estas previsiones están sujetas a riesgos. Al alza: i) persistencia de la inflación subyacente en niveles elevados; ii) presiones inflacionarias externas derivadas de la pandemia; iii) presiones en los precios agropecuarios y energéticos por el conflicto geopolítico; iv) depreciación cambiaria; y v) mayores presiones de costos. A la baja: i) una desaceleración de la economía global mayor a la anticipada; ii) una disminución en la intensidad del conflicto geopolítico; iii) un mejor funcionamiento de las cadenas de suministro; iv) un menor traspaso de algunas presiones de costos; y v) un efecto mayor al previsto de las medidas del Gobierno Federal ante la carestía. Si bien algunos choques han dado señales de mitigación, el balance de riesgos en la trayectoria prevista para la inflación en el horizonte de pronóstico sigue sesgado al alza.</w:t>
      </w:r>
    </w:p>
    <w:p w:rsidR="008C2FDE" w:rsidRDefault="008C2FDE" w:rsidP="008C2FDE">
      <w:pPr>
        <w:jc w:val="both"/>
        <w:rPr>
          <w:rFonts w:asciiTheme="minorHAnsi" w:hAnsiTheme="minorHAnsi" w:cstheme="minorHAnsi"/>
          <w:sz w:val="21"/>
          <w:szCs w:val="21"/>
        </w:rPr>
      </w:pPr>
      <w:r w:rsidRPr="007D5DA7">
        <w:rPr>
          <w:rFonts w:asciiTheme="minorHAnsi" w:hAnsiTheme="minorHAnsi" w:cstheme="minorHAnsi"/>
          <w:sz w:val="21"/>
          <w:szCs w:val="21"/>
        </w:rPr>
        <w:t xml:space="preserve">La Junta de Gobierno evaluó́ la magnitud y diversidad de los choques que han afectado a la inflación y sus determinantes, </w:t>
      </w:r>
      <w:proofErr w:type="spellStart"/>
      <w:r w:rsidRPr="007D5DA7">
        <w:rPr>
          <w:rFonts w:asciiTheme="minorHAnsi" w:hAnsiTheme="minorHAnsi" w:cstheme="minorHAnsi"/>
          <w:sz w:val="21"/>
          <w:szCs w:val="21"/>
        </w:rPr>
        <w:t>asi</w:t>
      </w:r>
      <w:proofErr w:type="spellEnd"/>
      <w:r w:rsidRPr="007D5DA7">
        <w:rPr>
          <w:rFonts w:asciiTheme="minorHAnsi" w:hAnsiTheme="minorHAnsi" w:cstheme="minorHAnsi"/>
          <w:sz w:val="21"/>
          <w:szCs w:val="21"/>
        </w:rPr>
        <w:t>́ como la evolución de las expectativas de mediano y largo plazos y el proceso de formación de precios. Consideró los retos para la conducción de la política monetaria ante el apretamiento de las condiciones financieras globales, el entorno de incertidumbre, las presiones inflacionarias acumuladas de la pandemia y del conflicto geopolítico, y la posibilidad de mayores afectaciones a la inflación, así́ como la postura monetaria que ya se ha alcanzado en este ciclo alcista. Con base en ello, decidió́ por mayoría incrementar en 50 puntos base el objetivo para la Tasa de Interés Interbancaria a un día a un nivel de 10.50%. Con esta acción, la postura de política monetaria se ajusta a la trayectoria que se requiere para que la inflación converja a su meta de 3% dentro del horizonte de pronóstico.</w:t>
      </w:r>
    </w:p>
    <w:p w:rsidR="007D5DA7" w:rsidRDefault="007D5DA7" w:rsidP="008C2FDE">
      <w:pPr>
        <w:jc w:val="both"/>
        <w:rPr>
          <w:rFonts w:asciiTheme="minorHAnsi" w:hAnsiTheme="minorHAnsi" w:cstheme="minorHAnsi"/>
          <w:sz w:val="21"/>
          <w:szCs w:val="21"/>
        </w:rPr>
      </w:pPr>
    </w:p>
    <w:p w:rsidR="007D5DA7" w:rsidRPr="007D5DA7" w:rsidRDefault="007D5DA7" w:rsidP="008C2FDE">
      <w:pPr>
        <w:jc w:val="both"/>
        <w:rPr>
          <w:rFonts w:asciiTheme="minorHAnsi" w:hAnsiTheme="minorHAnsi" w:cstheme="minorHAnsi"/>
          <w:sz w:val="21"/>
          <w:szCs w:val="21"/>
        </w:rPr>
      </w:pPr>
    </w:p>
    <w:p w:rsidR="008C2FDE" w:rsidRPr="00676CED" w:rsidRDefault="008C2FDE" w:rsidP="008C2FDE">
      <w:pPr>
        <w:jc w:val="both"/>
        <w:rPr>
          <w:rFonts w:asciiTheme="minorHAnsi" w:hAnsiTheme="minorHAnsi" w:cstheme="minorHAnsi"/>
          <w:sz w:val="18"/>
          <w:szCs w:val="18"/>
        </w:rPr>
      </w:pPr>
      <w:r w:rsidRPr="00676CED">
        <w:rPr>
          <w:rFonts w:asciiTheme="minorHAnsi" w:hAnsiTheme="minorHAnsi" w:cstheme="minorHAnsi"/>
          <w:noProof/>
          <w:sz w:val="18"/>
          <w:szCs w:val="18"/>
          <w:lang w:eastAsia="es-MX"/>
        </w:rPr>
        <w:drawing>
          <wp:inline distT="0" distB="0" distL="0" distR="0" wp14:anchorId="071E99B6" wp14:editId="3BFB96FC">
            <wp:extent cx="5612130" cy="2917190"/>
            <wp:effectExtent l="0" t="0" r="1270" b="381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2130" cy="2917190"/>
                    </a:xfrm>
                    <a:prstGeom prst="rect">
                      <a:avLst/>
                    </a:prstGeom>
                  </pic:spPr>
                </pic:pic>
              </a:graphicData>
            </a:graphic>
          </wp:inline>
        </w:drawing>
      </w:r>
    </w:p>
    <w:p w:rsidR="008C2FDE" w:rsidRPr="00676CED" w:rsidRDefault="008C2FDE" w:rsidP="008C2FDE">
      <w:pPr>
        <w:pStyle w:val="NormalWeb"/>
        <w:spacing w:before="0" w:beforeAutospacing="0" w:after="0" w:afterAutospacing="0"/>
        <w:jc w:val="both"/>
        <w:rPr>
          <w:rFonts w:asciiTheme="minorHAnsi" w:hAnsiTheme="minorHAnsi" w:cstheme="minorHAnsi"/>
          <w:b/>
          <w:color w:val="000000"/>
          <w:sz w:val="18"/>
          <w:szCs w:val="18"/>
        </w:rPr>
      </w:pPr>
    </w:p>
    <w:p w:rsidR="008C2FDE" w:rsidRPr="00060D88" w:rsidRDefault="00C264F4" w:rsidP="008C2FDE">
      <w:pPr>
        <w:pStyle w:val="NormalWeb"/>
        <w:spacing w:before="0" w:beforeAutospacing="0" w:after="0" w:afterAutospacing="0"/>
        <w:jc w:val="both"/>
        <w:rPr>
          <w:rFonts w:asciiTheme="minorHAnsi" w:hAnsiTheme="minorHAnsi" w:cstheme="minorHAnsi"/>
          <w:b/>
        </w:rPr>
      </w:pPr>
      <w:r>
        <w:rPr>
          <w:rFonts w:asciiTheme="minorHAnsi" w:hAnsiTheme="minorHAnsi" w:cstheme="minorHAnsi"/>
          <w:b/>
        </w:rPr>
        <w:t>1.</w:t>
      </w:r>
      <w:r w:rsidR="008C2FDE" w:rsidRPr="00060D88">
        <w:rPr>
          <w:rFonts w:asciiTheme="minorHAnsi" w:hAnsiTheme="minorHAnsi" w:cstheme="minorHAnsi"/>
          <w:b/>
        </w:rPr>
        <w:t>2.3.- Paridad cambiaria Peso/Dólar.</w:t>
      </w:r>
    </w:p>
    <w:p w:rsidR="008C2FDE" w:rsidRPr="00060D88" w:rsidRDefault="008C2FDE" w:rsidP="008C2FDE">
      <w:pPr>
        <w:jc w:val="both"/>
        <w:rPr>
          <w:rFonts w:asciiTheme="minorHAnsi" w:hAnsiTheme="minorHAnsi" w:cstheme="minorHAnsi"/>
          <w:b/>
          <w:bCs/>
        </w:rPr>
      </w:pPr>
      <w:r w:rsidRPr="00060D88">
        <w:rPr>
          <w:rFonts w:asciiTheme="minorHAnsi" w:hAnsiTheme="minorHAnsi" w:cstheme="minorHAnsi"/>
          <w:b/>
          <w:bCs/>
        </w:rPr>
        <w:t>El peso mexicano es una de las divisas con mejor desempeño en 2022</w:t>
      </w:r>
    </w:p>
    <w:p w:rsidR="008C2FDE" w:rsidRPr="007D5DA7" w:rsidRDefault="008C2FDE" w:rsidP="008C2FDE">
      <w:pPr>
        <w:jc w:val="both"/>
        <w:rPr>
          <w:rFonts w:asciiTheme="minorHAnsi" w:hAnsiTheme="minorHAnsi" w:cstheme="minorHAnsi"/>
          <w:sz w:val="21"/>
          <w:szCs w:val="21"/>
        </w:rPr>
      </w:pPr>
      <w:r w:rsidRPr="007D5DA7">
        <w:rPr>
          <w:rFonts w:asciiTheme="minorHAnsi" w:hAnsiTheme="minorHAnsi" w:cstheme="minorHAnsi"/>
          <w:sz w:val="21"/>
          <w:szCs w:val="21"/>
        </w:rPr>
        <w:t xml:space="preserve">Por segundo año consecutivo el peso mexicano ha tenido un desempeño superior al promedio de una canasta de divisas de economías emergentes. El alto diferencial de tasas de interés con respecto a EE.UU., el manejo prudente de las finanzas públicas por parte del gobierno federal, en un contexto de expansión fiscal en la gran mayoría de países y la previsión de bajos </w:t>
      </w:r>
      <w:proofErr w:type="spellStart"/>
      <w:r w:rsidRPr="007D5DA7">
        <w:rPr>
          <w:rFonts w:asciiTheme="minorHAnsi" w:hAnsiTheme="minorHAnsi" w:cstheme="minorHAnsi"/>
          <w:sz w:val="21"/>
          <w:szCs w:val="21"/>
        </w:rPr>
        <w:t>déficits</w:t>
      </w:r>
      <w:proofErr w:type="spellEnd"/>
      <w:r w:rsidRPr="007D5DA7">
        <w:rPr>
          <w:rFonts w:asciiTheme="minorHAnsi" w:hAnsiTheme="minorHAnsi" w:cstheme="minorHAnsi"/>
          <w:sz w:val="21"/>
          <w:szCs w:val="21"/>
        </w:rPr>
        <w:t xml:space="preserve"> de cuenta corriente en el corto y mediano plazo son los principales factores que explican la relativa fortaleza del peso mexicano en el pasado reciente y continuarán apoyando el desempeño del mismo en los próximos meses. Prevemos que el tipo de cambio sea 19.6 pesos por dólar para diciembre de 2022 y 20.1 pesos por dólar para fines de 2023.</w:t>
      </w:r>
    </w:p>
    <w:p w:rsidR="008C2FDE" w:rsidRPr="007D5DA7" w:rsidRDefault="008C2FDE" w:rsidP="008C2FDE">
      <w:pPr>
        <w:jc w:val="both"/>
        <w:rPr>
          <w:rFonts w:asciiTheme="minorHAnsi" w:hAnsiTheme="minorHAnsi" w:cstheme="minorHAnsi"/>
          <w:sz w:val="21"/>
          <w:szCs w:val="21"/>
        </w:rPr>
      </w:pPr>
      <w:r w:rsidRPr="007D5DA7">
        <w:rPr>
          <w:rFonts w:asciiTheme="minorHAnsi" w:hAnsiTheme="minorHAnsi" w:cstheme="minorHAnsi"/>
          <w:sz w:val="21"/>
          <w:szCs w:val="21"/>
        </w:rPr>
        <w:t>La política cambiaria es responsabilidad de la Comisión de Cambios, la cual está integrada por funcionarios de la Secretaría de Hacienda y Crédito Público y el Banco de México. A finales de 1994, dicha Comisión acordó que el tipo de cambio fuera determinado libremente por las fuerzas del mercado (tipo de cambio flexible o flotante).</w:t>
      </w:r>
    </w:p>
    <w:p w:rsidR="008C2FDE" w:rsidRPr="007D5DA7" w:rsidRDefault="008C2FDE" w:rsidP="008C2FDE">
      <w:pPr>
        <w:pStyle w:val="NormalWeb"/>
        <w:spacing w:before="0" w:beforeAutospacing="0" w:after="0" w:afterAutospacing="0"/>
        <w:jc w:val="both"/>
        <w:rPr>
          <w:rFonts w:asciiTheme="minorHAnsi" w:hAnsiTheme="minorHAnsi" w:cstheme="minorHAnsi"/>
          <w:sz w:val="21"/>
          <w:szCs w:val="21"/>
        </w:rPr>
      </w:pPr>
      <w:r w:rsidRPr="007D5DA7">
        <w:rPr>
          <w:rFonts w:asciiTheme="minorHAnsi" w:hAnsiTheme="minorHAnsi" w:cstheme="minorHAnsi"/>
          <w:bCs/>
          <w:sz w:val="21"/>
          <w:szCs w:val="21"/>
        </w:rPr>
        <w:t xml:space="preserve">En relación con este tema, la SHCP informó que se renovó de nueva cuenta la Línea de Crédito Flexible con el Fondo Monetario Internacional, disminuyéndola de 61 mil </w:t>
      </w:r>
      <w:proofErr w:type="spellStart"/>
      <w:r w:rsidRPr="007D5DA7">
        <w:rPr>
          <w:rFonts w:asciiTheme="minorHAnsi" w:hAnsiTheme="minorHAnsi" w:cstheme="minorHAnsi"/>
          <w:bCs/>
          <w:sz w:val="21"/>
          <w:szCs w:val="21"/>
        </w:rPr>
        <w:t>mdd</w:t>
      </w:r>
      <w:proofErr w:type="spellEnd"/>
      <w:r w:rsidRPr="007D5DA7">
        <w:rPr>
          <w:rFonts w:asciiTheme="minorHAnsi" w:hAnsiTheme="minorHAnsi" w:cstheme="minorHAnsi"/>
          <w:bCs/>
          <w:sz w:val="21"/>
          <w:szCs w:val="21"/>
        </w:rPr>
        <w:t xml:space="preserve"> a 50 mil </w:t>
      </w:r>
      <w:proofErr w:type="spellStart"/>
      <w:r w:rsidRPr="007D5DA7">
        <w:rPr>
          <w:rFonts w:asciiTheme="minorHAnsi" w:hAnsiTheme="minorHAnsi" w:cstheme="minorHAnsi"/>
          <w:bCs/>
          <w:sz w:val="21"/>
          <w:szCs w:val="21"/>
        </w:rPr>
        <w:t>mdd</w:t>
      </w:r>
      <w:proofErr w:type="spellEnd"/>
      <w:r w:rsidRPr="007D5DA7">
        <w:rPr>
          <w:rFonts w:asciiTheme="minorHAnsi" w:hAnsiTheme="minorHAnsi" w:cstheme="minorHAnsi"/>
          <w:bCs/>
          <w:sz w:val="21"/>
          <w:szCs w:val="21"/>
        </w:rPr>
        <w:t xml:space="preserve">, y manifestando que podría solicitar otra reducción a mediados del 2022, opción que no realizó dada la estabilidad del Peso vs él Dólar. </w:t>
      </w:r>
    </w:p>
    <w:p w:rsidR="008C2FDE" w:rsidRPr="00060D88" w:rsidRDefault="008C2FDE" w:rsidP="008C2FDE">
      <w:pPr>
        <w:jc w:val="both"/>
        <w:rPr>
          <w:rFonts w:asciiTheme="minorHAnsi" w:hAnsiTheme="minorHAnsi" w:cstheme="minorHAnsi"/>
          <w:sz w:val="20"/>
          <w:szCs w:val="20"/>
        </w:rPr>
      </w:pPr>
    </w:p>
    <w:p w:rsidR="008C2FDE" w:rsidRPr="00060D88" w:rsidRDefault="00C264F4" w:rsidP="008C2FDE">
      <w:pPr>
        <w:pStyle w:val="NormalWeb"/>
        <w:spacing w:before="0" w:beforeAutospacing="0" w:after="0" w:afterAutospacing="0"/>
        <w:jc w:val="both"/>
        <w:rPr>
          <w:rFonts w:asciiTheme="minorHAnsi" w:hAnsiTheme="minorHAnsi" w:cstheme="minorHAnsi"/>
          <w:b/>
          <w:sz w:val="22"/>
          <w:szCs w:val="22"/>
        </w:rPr>
      </w:pPr>
      <w:r>
        <w:rPr>
          <w:rFonts w:asciiTheme="minorHAnsi" w:hAnsiTheme="minorHAnsi" w:cstheme="minorHAnsi"/>
          <w:b/>
          <w:sz w:val="22"/>
          <w:szCs w:val="22"/>
        </w:rPr>
        <w:t>1.</w:t>
      </w:r>
      <w:r w:rsidR="008C2FDE" w:rsidRPr="00060D88">
        <w:rPr>
          <w:rFonts w:asciiTheme="minorHAnsi" w:hAnsiTheme="minorHAnsi" w:cstheme="minorHAnsi"/>
          <w:b/>
          <w:sz w:val="22"/>
          <w:szCs w:val="22"/>
        </w:rPr>
        <w:t xml:space="preserve">2.4.- Tasa de Inflación al Consumidor. </w:t>
      </w:r>
      <w:proofErr w:type="spellStart"/>
      <w:r w:rsidR="008C2FDE" w:rsidRPr="00060D88">
        <w:rPr>
          <w:rFonts w:asciiTheme="minorHAnsi" w:hAnsiTheme="minorHAnsi" w:cstheme="minorHAnsi"/>
          <w:b/>
          <w:sz w:val="22"/>
          <w:szCs w:val="22"/>
        </w:rPr>
        <w:t>INPC</w:t>
      </w:r>
      <w:proofErr w:type="spellEnd"/>
    </w:p>
    <w:p w:rsidR="008C2FDE" w:rsidRPr="00E850D6" w:rsidRDefault="008C2FDE" w:rsidP="008C2FDE">
      <w:pPr>
        <w:pStyle w:val="NormalWeb"/>
        <w:spacing w:before="0" w:beforeAutospacing="0" w:after="0" w:afterAutospacing="0"/>
        <w:jc w:val="both"/>
        <w:rPr>
          <w:rFonts w:asciiTheme="minorHAnsi" w:hAnsiTheme="minorHAnsi" w:cstheme="minorHAnsi"/>
          <w:b/>
          <w:sz w:val="18"/>
          <w:szCs w:val="18"/>
        </w:rPr>
      </w:pPr>
    </w:p>
    <w:p w:rsidR="008C2FDE" w:rsidRPr="007D5DA7" w:rsidRDefault="008C2FDE" w:rsidP="008C2FDE">
      <w:pPr>
        <w:jc w:val="both"/>
        <w:rPr>
          <w:rFonts w:asciiTheme="minorHAnsi" w:hAnsiTheme="minorHAnsi" w:cstheme="minorHAnsi"/>
          <w:bCs/>
          <w:sz w:val="21"/>
          <w:szCs w:val="21"/>
        </w:rPr>
      </w:pPr>
      <w:r w:rsidRPr="007D5DA7">
        <w:rPr>
          <w:rFonts w:asciiTheme="minorHAnsi" w:hAnsiTheme="minorHAnsi" w:cstheme="minorHAnsi"/>
          <w:bCs/>
          <w:sz w:val="21"/>
          <w:szCs w:val="21"/>
        </w:rPr>
        <w:t>En la primera quincena de diciembre de 2022, el Índice Nacional de Precios al Consumidor (</w:t>
      </w:r>
      <w:proofErr w:type="spellStart"/>
      <w:r w:rsidRPr="007D5DA7">
        <w:rPr>
          <w:rFonts w:asciiTheme="minorHAnsi" w:hAnsiTheme="minorHAnsi" w:cstheme="minorHAnsi"/>
          <w:bCs/>
          <w:sz w:val="21"/>
          <w:szCs w:val="21"/>
        </w:rPr>
        <w:t>INPC</w:t>
      </w:r>
      <w:proofErr w:type="spellEnd"/>
      <w:r w:rsidRPr="007D5DA7">
        <w:rPr>
          <w:rFonts w:asciiTheme="minorHAnsi" w:hAnsiTheme="minorHAnsi" w:cstheme="minorHAnsi"/>
          <w:bCs/>
          <w:sz w:val="21"/>
          <w:szCs w:val="21"/>
        </w:rPr>
        <w:t xml:space="preserve">) aumentó 0.39 % respecto a la quincena anterior. Con este resultado, la inflación general anual se </w:t>
      </w:r>
      <w:proofErr w:type="spellStart"/>
      <w:r w:rsidRPr="007D5DA7">
        <w:rPr>
          <w:rFonts w:asciiTheme="minorHAnsi" w:hAnsiTheme="minorHAnsi" w:cstheme="minorHAnsi"/>
          <w:bCs/>
          <w:sz w:val="21"/>
          <w:szCs w:val="21"/>
        </w:rPr>
        <w:t>ubico</w:t>
      </w:r>
      <w:proofErr w:type="spellEnd"/>
      <w:r w:rsidRPr="007D5DA7">
        <w:rPr>
          <w:rFonts w:asciiTheme="minorHAnsi" w:hAnsiTheme="minorHAnsi" w:cstheme="minorHAnsi"/>
          <w:bCs/>
          <w:sz w:val="21"/>
          <w:szCs w:val="21"/>
        </w:rPr>
        <w:t>́ en 7.77 por ciento. En la misma quincena de 2021, la inflación quincenal fue de 0.10 % y la anual, de 7.45 por ciento.</w:t>
      </w:r>
    </w:p>
    <w:p w:rsidR="008C2FDE" w:rsidRPr="007D5DA7" w:rsidRDefault="008C2FDE" w:rsidP="008C2FDE">
      <w:pPr>
        <w:jc w:val="both"/>
        <w:rPr>
          <w:rFonts w:asciiTheme="minorHAnsi" w:hAnsiTheme="minorHAnsi" w:cstheme="minorHAnsi"/>
          <w:bCs/>
          <w:sz w:val="21"/>
          <w:szCs w:val="21"/>
        </w:rPr>
      </w:pPr>
      <w:r w:rsidRPr="007D5DA7">
        <w:rPr>
          <w:rFonts w:asciiTheme="minorHAnsi" w:hAnsiTheme="minorHAnsi" w:cstheme="minorHAnsi"/>
          <w:bCs/>
          <w:sz w:val="21"/>
          <w:szCs w:val="21"/>
        </w:rPr>
        <w:lastRenderedPageBreak/>
        <w:t xml:space="preserve">El índice de precios subyacente1 registró un incremento de 0.57 % a tasa quincenal y de 8.35 % a tasa anual. En el mismo periodo, el índice de precios no subyacente disminuyó 0.14 % a tasa quincenal y </w:t>
      </w:r>
      <w:proofErr w:type="spellStart"/>
      <w:r w:rsidRPr="007D5DA7">
        <w:rPr>
          <w:rFonts w:asciiTheme="minorHAnsi" w:hAnsiTheme="minorHAnsi" w:cstheme="minorHAnsi"/>
          <w:bCs/>
          <w:sz w:val="21"/>
          <w:szCs w:val="21"/>
        </w:rPr>
        <w:t>subio</w:t>
      </w:r>
      <w:proofErr w:type="spellEnd"/>
      <w:r w:rsidRPr="007D5DA7">
        <w:rPr>
          <w:rFonts w:asciiTheme="minorHAnsi" w:hAnsiTheme="minorHAnsi" w:cstheme="minorHAnsi"/>
          <w:bCs/>
          <w:sz w:val="21"/>
          <w:szCs w:val="21"/>
        </w:rPr>
        <w:t>́ 6.08 % a tasa anual.</w:t>
      </w:r>
    </w:p>
    <w:p w:rsidR="008C2FDE" w:rsidRPr="007D5DA7" w:rsidRDefault="008C2FDE" w:rsidP="008C2FDE">
      <w:pPr>
        <w:jc w:val="both"/>
        <w:rPr>
          <w:rFonts w:asciiTheme="minorHAnsi" w:hAnsiTheme="minorHAnsi" w:cstheme="minorHAnsi"/>
          <w:bCs/>
          <w:sz w:val="21"/>
          <w:szCs w:val="21"/>
        </w:rPr>
      </w:pPr>
      <w:r w:rsidRPr="007D5DA7">
        <w:rPr>
          <w:rFonts w:asciiTheme="minorHAnsi" w:hAnsiTheme="minorHAnsi" w:cstheme="minorHAnsi"/>
          <w:bCs/>
          <w:sz w:val="21"/>
          <w:szCs w:val="21"/>
        </w:rPr>
        <w:t>Al interior del índice subyacente, los precios de las mercancías crecieron 0.62 % y los de servicios, 0.51 % a tasa quincenal.</w:t>
      </w:r>
    </w:p>
    <w:p w:rsidR="008C2FDE" w:rsidRPr="007D5DA7" w:rsidRDefault="008C2FDE" w:rsidP="008C2FDE">
      <w:pPr>
        <w:jc w:val="both"/>
        <w:rPr>
          <w:rFonts w:asciiTheme="minorHAnsi" w:hAnsiTheme="minorHAnsi" w:cstheme="minorHAnsi"/>
          <w:bCs/>
          <w:sz w:val="21"/>
          <w:szCs w:val="21"/>
        </w:rPr>
      </w:pPr>
      <w:r w:rsidRPr="007D5DA7">
        <w:rPr>
          <w:rFonts w:asciiTheme="minorHAnsi" w:hAnsiTheme="minorHAnsi" w:cstheme="minorHAnsi"/>
          <w:bCs/>
          <w:sz w:val="21"/>
          <w:szCs w:val="21"/>
        </w:rPr>
        <w:t>Dentro del índice no subyacente y a tasa quincenal, los precios de los productos agropecuarios aumentaron 0.34 % y los de energéticos y tarifas autorizadas por el gobierno bajaron 0.54 por ciento.</w:t>
      </w:r>
    </w:p>
    <w:p w:rsidR="008C2FDE" w:rsidRPr="00060D88" w:rsidRDefault="008C2FDE" w:rsidP="008C2FDE">
      <w:pPr>
        <w:jc w:val="both"/>
        <w:rPr>
          <w:rFonts w:asciiTheme="minorHAnsi" w:hAnsiTheme="minorHAnsi" w:cstheme="minorHAnsi"/>
          <w:b/>
          <w:bCs/>
        </w:rPr>
      </w:pPr>
      <w:r w:rsidRPr="00060D88">
        <w:rPr>
          <w:rFonts w:asciiTheme="minorHAnsi" w:hAnsiTheme="minorHAnsi" w:cstheme="minorHAnsi"/>
          <w:b/>
          <w:bCs/>
        </w:rPr>
        <w:t>Componentes del Índice Nacional de Precios al Consumidor</w:t>
      </w:r>
    </w:p>
    <w:p w:rsidR="008C2FDE" w:rsidRPr="007D5DA7" w:rsidRDefault="008C2FDE" w:rsidP="008C2FDE">
      <w:pPr>
        <w:jc w:val="both"/>
        <w:rPr>
          <w:rFonts w:asciiTheme="minorHAnsi" w:hAnsiTheme="minorHAnsi" w:cstheme="minorHAnsi"/>
          <w:sz w:val="21"/>
          <w:szCs w:val="21"/>
        </w:rPr>
      </w:pPr>
      <w:r w:rsidRPr="007D5DA7">
        <w:rPr>
          <w:rFonts w:asciiTheme="minorHAnsi" w:hAnsiTheme="minorHAnsi" w:cstheme="minorHAnsi"/>
          <w:sz w:val="21"/>
          <w:szCs w:val="21"/>
        </w:rPr>
        <w:t xml:space="preserve">En la primera quincena de diciembre de 2022, la variación de los índices subyacente y no subyacente fue de 0.57 y -0.14%, respectivamente. En la misma quincena de 2021 fue de 0.59 y -1.29 por ciento, </w:t>
      </w:r>
      <w:proofErr w:type="spellStart"/>
      <w:r w:rsidRPr="007D5DA7">
        <w:rPr>
          <w:rFonts w:asciiTheme="minorHAnsi" w:hAnsiTheme="minorHAnsi" w:cstheme="minorHAnsi"/>
          <w:sz w:val="21"/>
          <w:szCs w:val="21"/>
        </w:rPr>
        <w:t>asi</w:t>
      </w:r>
      <w:proofErr w:type="spellEnd"/>
      <w:r w:rsidRPr="007D5DA7">
        <w:rPr>
          <w:rFonts w:asciiTheme="minorHAnsi" w:hAnsiTheme="minorHAnsi" w:cstheme="minorHAnsi"/>
          <w:sz w:val="21"/>
          <w:szCs w:val="21"/>
        </w:rPr>
        <w:t xml:space="preserve"> mismo la variación anual del </w:t>
      </w:r>
      <w:proofErr w:type="spellStart"/>
      <w:r w:rsidRPr="007D5DA7">
        <w:rPr>
          <w:rFonts w:asciiTheme="minorHAnsi" w:hAnsiTheme="minorHAnsi" w:cstheme="minorHAnsi"/>
          <w:sz w:val="21"/>
          <w:szCs w:val="21"/>
        </w:rPr>
        <w:t>INPC</w:t>
      </w:r>
      <w:proofErr w:type="spellEnd"/>
      <w:r w:rsidRPr="007D5DA7">
        <w:rPr>
          <w:rFonts w:asciiTheme="minorHAnsi" w:hAnsiTheme="minorHAnsi" w:cstheme="minorHAnsi"/>
          <w:sz w:val="21"/>
          <w:szCs w:val="21"/>
        </w:rPr>
        <w:t xml:space="preserve"> fue de 7.77 % y la de los índices subyacente y no subyacente de 8.35 y 6.08 %, respectivamente. En el mismo periodo del año anterior, el </w:t>
      </w:r>
      <w:proofErr w:type="spellStart"/>
      <w:r w:rsidRPr="007D5DA7">
        <w:rPr>
          <w:rFonts w:asciiTheme="minorHAnsi" w:hAnsiTheme="minorHAnsi" w:cstheme="minorHAnsi"/>
          <w:sz w:val="21"/>
          <w:szCs w:val="21"/>
        </w:rPr>
        <w:t>INPC</w:t>
      </w:r>
      <w:proofErr w:type="spellEnd"/>
      <w:r w:rsidRPr="007D5DA7">
        <w:rPr>
          <w:rFonts w:asciiTheme="minorHAnsi" w:hAnsiTheme="minorHAnsi" w:cstheme="minorHAnsi"/>
          <w:sz w:val="21"/>
          <w:szCs w:val="21"/>
        </w:rPr>
        <w:t xml:space="preserve"> aumentó 7.45 % y sus componentes, 5.87 y 12.34 %, en ese orden.</w:t>
      </w:r>
    </w:p>
    <w:p w:rsidR="008C2FDE" w:rsidRPr="007D5DA7" w:rsidRDefault="008C2FDE" w:rsidP="008C2FDE">
      <w:pPr>
        <w:jc w:val="both"/>
        <w:rPr>
          <w:rFonts w:asciiTheme="minorHAnsi" w:hAnsiTheme="minorHAnsi" w:cstheme="minorHAnsi"/>
          <w:sz w:val="21"/>
          <w:szCs w:val="21"/>
        </w:rPr>
      </w:pPr>
      <w:r w:rsidRPr="007D5DA7">
        <w:rPr>
          <w:rFonts w:asciiTheme="minorHAnsi" w:hAnsiTheme="minorHAnsi" w:cstheme="minorHAnsi"/>
          <w:sz w:val="21"/>
          <w:szCs w:val="21"/>
        </w:rPr>
        <w:t xml:space="preserve">En el siguiente cuadro se muestran las entidades federativas en las que el </w:t>
      </w:r>
      <w:proofErr w:type="spellStart"/>
      <w:r w:rsidRPr="007D5DA7">
        <w:rPr>
          <w:rFonts w:asciiTheme="minorHAnsi" w:hAnsiTheme="minorHAnsi" w:cstheme="minorHAnsi"/>
          <w:sz w:val="21"/>
          <w:szCs w:val="21"/>
        </w:rPr>
        <w:t>INPC</w:t>
      </w:r>
      <w:proofErr w:type="spellEnd"/>
      <w:r w:rsidRPr="007D5DA7">
        <w:rPr>
          <w:rFonts w:asciiTheme="minorHAnsi" w:hAnsiTheme="minorHAnsi" w:cstheme="minorHAnsi"/>
          <w:sz w:val="21"/>
          <w:szCs w:val="21"/>
        </w:rPr>
        <w:t xml:space="preserve"> alcanzó las mayores y menores variaciones en la primera quincena de diciembre de 2022.</w:t>
      </w:r>
    </w:p>
    <w:p w:rsidR="008C2FDE" w:rsidRPr="00676CED" w:rsidRDefault="008C2FDE" w:rsidP="008C2FDE">
      <w:pPr>
        <w:jc w:val="both"/>
        <w:rPr>
          <w:rFonts w:asciiTheme="minorHAnsi" w:hAnsiTheme="minorHAnsi" w:cstheme="minorHAnsi"/>
          <w:sz w:val="18"/>
          <w:szCs w:val="18"/>
        </w:rPr>
      </w:pPr>
    </w:p>
    <w:p w:rsidR="008C2FDE" w:rsidRPr="00676CED" w:rsidRDefault="008C2FDE" w:rsidP="008C2FDE">
      <w:pPr>
        <w:jc w:val="center"/>
        <w:rPr>
          <w:rFonts w:asciiTheme="minorHAnsi" w:hAnsiTheme="minorHAnsi" w:cstheme="minorHAnsi"/>
          <w:b/>
          <w:bCs/>
          <w:sz w:val="18"/>
          <w:szCs w:val="18"/>
        </w:rPr>
      </w:pPr>
      <w:proofErr w:type="spellStart"/>
      <w:r w:rsidRPr="00676CED">
        <w:rPr>
          <w:rFonts w:asciiTheme="minorHAnsi" w:hAnsiTheme="minorHAnsi" w:cstheme="minorHAnsi"/>
          <w:b/>
          <w:bCs/>
          <w:sz w:val="18"/>
          <w:szCs w:val="18"/>
        </w:rPr>
        <w:t>ÍNDICE</w:t>
      </w:r>
      <w:proofErr w:type="spellEnd"/>
      <w:r w:rsidRPr="00676CED">
        <w:rPr>
          <w:rFonts w:asciiTheme="minorHAnsi" w:hAnsiTheme="minorHAnsi" w:cstheme="minorHAnsi"/>
          <w:b/>
          <w:bCs/>
          <w:sz w:val="18"/>
          <w:szCs w:val="18"/>
        </w:rPr>
        <w:t xml:space="preserve"> NACIONAL DE PRECIOS AL CONSUMIDOR </w:t>
      </w:r>
    </w:p>
    <w:p w:rsidR="008C2FDE" w:rsidRPr="00676CED" w:rsidRDefault="008C2FDE" w:rsidP="008C2FDE">
      <w:pPr>
        <w:jc w:val="center"/>
        <w:rPr>
          <w:rFonts w:asciiTheme="minorHAnsi" w:hAnsiTheme="minorHAnsi" w:cstheme="minorHAnsi"/>
          <w:b/>
          <w:bCs/>
          <w:sz w:val="18"/>
          <w:szCs w:val="18"/>
        </w:rPr>
      </w:pPr>
      <w:r w:rsidRPr="00676CED">
        <w:rPr>
          <w:rFonts w:asciiTheme="minorHAnsi" w:hAnsiTheme="minorHAnsi" w:cstheme="minorHAnsi"/>
          <w:b/>
          <w:bCs/>
          <w:sz w:val="18"/>
          <w:szCs w:val="18"/>
        </w:rPr>
        <w:t xml:space="preserve">ENTIDADES FEDERATIVAS CON MAYOR Y MENOR </w:t>
      </w:r>
      <w:proofErr w:type="spellStart"/>
      <w:r w:rsidRPr="00676CED">
        <w:rPr>
          <w:rFonts w:asciiTheme="minorHAnsi" w:hAnsiTheme="minorHAnsi" w:cstheme="minorHAnsi"/>
          <w:b/>
          <w:bCs/>
          <w:sz w:val="18"/>
          <w:szCs w:val="18"/>
        </w:rPr>
        <w:t>VARIACIÓN</w:t>
      </w:r>
      <w:proofErr w:type="spellEnd"/>
      <w:r w:rsidRPr="00676CED">
        <w:rPr>
          <w:rFonts w:asciiTheme="minorHAnsi" w:hAnsiTheme="minorHAnsi" w:cstheme="minorHAnsi"/>
          <w:b/>
          <w:bCs/>
          <w:sz w:val="18"/>
          <w:szCs w:val="18"/>
        </w:rPr>
        <w:t xml:space="preserve"> *</w:t>
      </w:r>
    </w:p>
    <w:p w:rsidR="008C2FDE" w:rsidRPr="00676CED" w:rsidRDefault="008C2FDE" w:rsidP="008C2FDE">
      <w:pPr>
        <w:jc w:val="center"/>
        <w:rPr>
          <w:rFonts w:asciiTheme="minorHAnsi" w:hAnsiTheme="minorHAnsi" w:cstheme="minorHAnsi"/>
          <w:b/>
          <w:bCs/>
          <w:sz w:val="18"/>
          <w:szCs w:val="18"/>
        </w:rPr>
      </w:pPr>
      <w:r w:rsidRPr="00676CED">
        <w:rPr>
          <w:rFonts w:asciiTheme="minorHAnsi" w:hAnsiTheme="minorHAnsi" w:cstheme="minorHAnsi"/>
          <w:b/>
          <w:bCs/>
          <w:sz w:val="18"/>
          <w:szCs w:val="18"/>
        </w:rPr>
        <w:t>Diciembre de 2022</w:t>
      </w:r>
    </w:p>
    <w:tbl>
      <w:tblPr>
        <w:tblW w:w="7960" w:type="dxa"/>
        <w:jc w:val="center"/>
        <w:tblCellMar>
          <w:left w:w="70" w:type="dxa"/>
          <w:right w:w="70" w:type="dxa"/>
        </w:tblCellMar>
        <w:tblLook w:val="04A0" w:firstRow="1" w:lastRow="0" w:firstColumn="1" w:lastColumn="0" w:noHBand="0" w:noVBand="1"/>
      </w:tblPr>
      <w:tblGrid>
        <w:gridCol w:w="2420"/>
        <w:gridCol w:w="1500"/>
        <w:gridCol w:w="2420"/>
        <w:gridCol w:w="1620"/>
      </w:tblGrid>
      <w:tr w:rsidR="008C2FDE" w:rsidRPr="00676CED" w:rsidTr="00060D88">
        <w:trPr>
          <w:trHeight w:val="520"/>
          <w:jc w:val="center"/>
        </w:trPr>
        <w:tc>
          <w:tcPr>
            <w:tcW w:w="2420" w:type="dxa"/>
            <w:tcBorders>
              <w:top w:val="single" w:sz="4" w:space="0" w:color="auto"/>
              <w:left w:val="single" w:sz="4" w:space="0" w:color="auto"/>
              <w:bottom w:val="single" w:sz="4" w:space="0" w:color="auto"/>
              <w:right w:val="single" w:sz="4" w:space="0" w:color="auto"/>
            </w:tcBorders>
            <w:shd w:val="clear" w:color="auto" w:fill="AB0033"/>
            <w:vAlign w:val="center"/>
            <w:hideMark/>
          </w:tcPr>
          <w:p w:rsidR="008C2FDE" w:rsidRPr="00676CED" w:rsidRDefault="008C2FDE" w:rsidP="00060D88">
            <w:pPr>
              <w:jc w:val="center"/>
              <w:rPr>
                <w:rFonts w:asciiTheme="minorHAnsi" w:hAnsiTheme="minorHAnsi" w:cstheme="minorHAnsi"/>
                <w:b/>
                <w:bCs/>
                <w:color w:val="FFFFFF"/>
                <w:sz w:val="18"/>
                <w:szCs w:val="18"/>
              </w:rPr>
            </w:pPr>
            <w:r w:rsidRPr="00676CED">
              <w:rPr>
                <w:rFonts w:asciiTheme="minorHAnsi" w:hAnsiTheme="minorHAnsi" w:cstheme="minorHAnsi"/>
                <w:b/>
                <w:bCs/>
                <w:color w:val="FFFFFF"/>
                <w:sz w:val="18"/>
                <w:szCs w:val="18"/>
              </w:rPr>
              <w:t xml:space="preserve">Entidades con </w:t>
            </w:r>
            <w:proofErr w:type="spellStart"/>
            <w:r w:rsidRPr="00676CED">
              <w:rPr>
                <w:rFonts w:asciiTheme="minorHAnsi" w:hAnsiTheme="minorHAnsi" w:cstheme="minorHAnsi"/>
                <w:b/>
                <w:bCs/>
                <w:color w:val="FFFFFF"/>
                <w:sz w:val="18"/>
                <w:szCs w:val="18"/>
              </w:rPr>
              <w:t>variación</w:t>
            </w:r>
            <w:proofErr w:type="spellEnd"/>
            <w:r w:rsidRPr="00676CED">
              <w:rPr>
                <w:rFonts w:asciiTheme="minorHAnsi" w:hAnsiTheme="minorHAnsi" w:cstheme="minorHAnsi"/>
                <w:b/>
                <w:bCs/>
                <w:color w:val="FFFFFF"/>
                <w:sz w:val="18"/>
                <w:szCs w:val="18"/>
              </w:rPr>
              <w:t xml:space="preserve"> por arriba del promedio nacional</w:t>
            </w:r>
          </w:p>
        </w:tc>
        <w:tc>
          <w:tcPr>
            <w:tcW w:w="1500" w:type="dxa"/>
            <w:tcBorders>
              <w:top w:val="single" w:sz="4" w:space="0" w:color="auto"/>
              <w:left w:val="nil"/>
              <w:bottom w:val="single" w:sz="4" w:space="0" w:color="auto"/>
              <w:right w:val="single" w:sz="4" w:space="0" w:color="auto"/>
            </w:tcBorders>
            <w:shd w:val="clear" w:color="auto" w:fill="AB0033"/>
            <w:vAlign w:val="center"/>
            <w:hideMark/>
          </w:tcPr>
          <w:p w:rsidR="008C2FDE" w:rsidRPr="00676CED" w:rsidRDefault="008C2FDE" w:rsidP="00060D88">
            <w:pPr>
              <w:jc w:val="center"/>
              <w:rPr>
                <w:rFonts w:asciiTheme="minorHAnsi" w:hAnsiTheme="minorHAnsi" w:cstheme="minorHAnsi"/>
                <w:b/>
                <w:bCs/>
                <w:color w:val="FFFFFF"/>
                <w:sz w:val="18"/>
                <w:szCs w:val="18"/>
              </w:rPr>
            </w:pPr>
            <w:proofErr w:type="spellStart"/>
            <w:r w:rsidRPr="00676CED">
              <w:rPr>
                <w:rFonts w:asciiTheme="minorHAnsi" w:hAnsiTheme="minorHAnsi" w:cstheme="minorHAnsi"/>
                <w:b/>
                <w:bCs/>
                <w:color w:val="FFFFFF"/>
                <w:sz w:val="18"/>
                <w:szCs w:val="18"/>
              </w:rPr>
              <w:t>Variación</w:t>
            </w:r>
            <w:proofErr w:type="spellEnd"/>
            <w:r w:rsidRPr="00676CED">
              <w:rPr>
                <w:rFonts w:asciiTheme="minorHAnsi" w:hAnsiTheme="minorHAnsi" w:cstheme="minorHAnsi"/>
                <w:b/>
                <w:bCs/>
                <w:color w:val="FFFFFF"/>
                <w:sz w:val="18"/>
                <w:szCs w:val="18"/>
              </w:rPr>
              <w:t xml:space="preserve"> % quincenal</w:t>
            </w:r>
          </w:p>
        </w:tc>
        <w:tc>
          <w:tcPr>
            <w:tcW w:w="2420" w:type="dxa"/>
            <w:tcBorders>
              <w:top w:val="single" w:sz="4" w:space="0" w:color="auto"/>
              <w:left w:val="nil"/>
              <w:bottom w:val="single" w:sz="4" w:space="0" w:color="auto"/>
              <w:right w:val="single" w:sz="4" w:space="0" w:color="auto"/>
            </w:tcBorders>
            <w:shd w:val="clear" w:color="auto" w:fill="AB0033"/>
            <w:vAlign w:val="center"/>
            <w:hideMark/>
          </w:tcPr>
          <w:p w:rsidR="008C2FDE" w:rsidRPr="00676CED" w:rsidRDefault="008C2FDE" w:rsidP="00060D88">
            <w:pPr>
              <w:jc w:val="center"/>
              <w:rPr>
                <w:rFonts w:asciiTheme="minorHAnsi" w:hAnsiTheme="minorHAnsi" w:cstheme="minorHAnsi"/>
                <w:b/>
                <w:bCs/>
                <w:color w:val="FFFFFF"/>
                <w:sz w:val="18"/>
                <w:szCs w:val="18"/>
              </w:rPr>
            </w:pPr>
            <w:r w:rsidRPr="00676CED">
              <w:rPr>
                <w:rFonts w:asciiTheme="minorHAnsi" w:hAnsiTheme="minorHAnsi" w:cstheme="minorHAnsi"/>
                <w:b/>
                <w:bCs/>
                <w:color w:val="FFFFFF"/>
                <w:sz w:val="18"/>
                <w:szCs w:val="18"/>
              </w:rPr>
              <w:t xml:space="preserve">Entidades con </w:t>
            </w:r>
            <w:proofErr w:type="spellStart"/>
            <w:r w:rsidRPr="00676CED">
              <w:rPr>
                <w:rFonts w:asciiTheme="minorHAnsi" w:hAnsiTheme="minorHAnsi" w:cstheme="minorHAnsi"/>
                <w:b/>
                <w:bCs/>
                <w:color w:val="FFFFFF"/>
                <w:sz w:val="18"/>
                <w:szCs w:val="18"/>
              </w:rPr>
              <w:t>variación</w:t>
            </w:r>
            <w:proofErr w:type="spellEnd"/>
            <w:r w:rsidRPr="00676CED">
              <w:rPr>
                <w:rFonts w:asciiTheme="minorHAnsi" w:hAnsiTheme="minorHAnsi" w:cstheme="minorHAnsi"/>
                <w:b/>
                <w:bCs/>
                <w:color w:val="FFFFFF"/>
                <w:sz w:val="18"/>
                <w:szCs w:val="18"/>
              </w:rPr>
              <w:t xml:space="preserve"> por debajo del promedio nacional</w:t>
            </w:r>
          </w:p>
        </w:tc>
        <w:tc>
          <w:tcPr>
            <w:tcW w:w="1620" w:type="dxa"/>
            <w:tcBorders>
              <w:top w:val="single" w:sz="4" w:space="0" w:color="auto"/>
              <w:left w:val="nil"/>
              <w:bottom w:val="single" w:sz="4" w:space="0" w:color="auto"/>
              <w:right w:val="single" w:sz="4" w:space="0" w:color="auto"/>
            </w:tcBorders>
            <w:shd w:val="clear" w:color="auto" w:fill="AB0033"/>
            <w:vAlign w:val="center"/>
            <w:hideMark/>
          </w:tcPr>
          <w:p w:rsidR="008C2FDE" w:rsidRPr="00676CED" w:rsidRDefault="008C2FDE" w:rsidP="00060D88">
            <w:pPr>
              <w:jc w:val="center"/>
              <w:rPr>
                <w:rFonts w:asciiTheme="minorHAnsi" w:hAnsiTheme="minorHAnsi" w:cstheme="minorHAnsi"/>
                <w:b/>
                <w:bCs/>
                <w:color w:val="FFFFFF"/>
                <w:sz w:val="18"/>
                <w:szCs w:val="18"/>
              </w:rPr>
            </w:pPr>
            <w:proofErr w:type="spellStart"/>
            <w:r w:rsidRPr="00676CED">
              <w:rPr>
                <w:rFonts w:asciiTheme="minorHAnsi" w:hAnsiTheme="minorHAnsi" w:cstheme="minorHAnsi"/>
                <w:b/>
                <w:bCs/>
                <w:color w:val="FFFFFF"/>
                <w:sz w:val="18"/>
                <w:szCs w:val="18"/>
              </w:rPr>
              <w:t>Variación</w:t>
            </w:r>
            <w:proofErr w:type="spellEnd"/>
            <w:r w:rsidRPr="00676CED">
              <w:rPr>
                <w:rFonts w:asciiTheme="minorHAnsi" w:hAnsiTheme="minorHAnsi" w:cstheme="minorHAnsi"/>
                <w:b/>
                <w:bCs/>
                <w:color w:val="FFFFFF"/>
                <w:sz w:val="18"/>
                <w:szCs w:val="18"/>
              </w:rPr>
              <w:t xml:space="preserve"> % quincenal</w:t>
            </w:r>
          </w:p>
        </w:tc>
      </w:tr>
      <w:tr w:rsidR="008C2FDE" w:rsidRPr="00676CED" w:rsidTr="00060D88">
        <w:trPr>
          <w:trHeight w:val="320"/>
          <w:jc w:val="center"/>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8C2FDE" w:rsidRPr="00676CED" w:rsidRDefault="008C2FDE" w:rsidP="00060D88">
            <w:pPr>
              <w:rPr>
                <w:rFonts w:asciiTheme="minorHAnsi" w:hAnsiTheme="minorHAnsi" w:cstheme="minorHAnsi"/>
                <w:color w:val="000000"/>
                <w:sz w:val="18"/>
                <w:szCs w:val="18"/>
              </w:rPr>
            </w:pPr>
            <w:r w:rsidRPr="00676CED">
              <w:rPr>
                <w:rFonts w:asciiTheme="minorHAnsi" w:hAnsiTheme="minorHAnsi" w:cstheme="minorHAnsi"/>
                <w:color w:val="000000"/>
                <w:sz w:val="18"/>
                <w:szCs w:val="18"/>
              </w:rPr>
              <w:t xml:space="preserve">Campeche </w:t>
            </w:r>
          </w:p>
        </w:tc>
        <w:tc>
          <w:tcPr>
            <w:tcW w:w="1500" w:type="dxa"/>
            <w:tcBorders>
              <w:top w:val="nil"/>
              <w:left w:val="nil"/>
              <w:bottom w:val="single" w:sz="4" w:space="0" w:color="auto"/>
              <w:right w:val="single" w:sz="4" w:space="0" w:color="auto"/>
            </w:tcBorders>
            <w:shd w:val="clear" w:color="auto" w:fill="auto"/>
            <w:noWrap/>
            <w:vAlign w:val="bottom"/>
            <w:hideMark/>
          </w:tcPr>
          <w:p w:rsidR="008C2FDE" w:rsidRPr="00676CED" w:rsidRDefault="008C2FDE" w:rsidP="00060D88">
            <w:pPr>
              <w:jc w:val="center"/>
              <w:rPr>
                <w:rFonts w:asciiTheme="minorHAnsi" w:hAnsiTheme="minorHAnsi" w:cstheme="minorHAnsi"/>
                <w:color w:val="000000"/>
                <w:sz w:val="18"/>
                <w:szCs w:val="18"/>
              </w:rPr>
            </w:pPr>
            <w:r w:rsidRPr="00676CED">
              <w:rPr>
                <w:rFonts w:asciiTheme="minorHAnsi" w:hAnsiTheme="minorHAnsi" w:cstheme="minorHAnsi"/>
                <w:color w:val="000000"/>
                <w:sz w:val="18"/>
                <w:szCs w:val="18"/>
              </w:rPr>
              <w:t>0.99</w:t>
            </w:r>
          </w:p>
        </w:tc>
        <w:tc>
          <w:tcPr>
            <w:tcW w:w="2420" w:type="dxa"/>
            <w:tcBorders>
              <w:top w:val="nil"/>
              <w:left w:val="nil"/>
              <w:bottom w:val="single" w:sz="4" w:space="0" w:color="auto"/>
              <w:right w:val="single" w:sz="4" w:space="0" w:color="auto"/>
            </w:tcBorders>
            <w:shd w:val="clear" w:color="auto" w:fill="auto"/>
            <w:noWrap/>
            <w:vAlign w:val="bottom"/>
            <w:hideMark/>
          </w:tcPr>
          <w:p w:rsidR="008C2FDE" w:rsidRPr="00676CED" w:rsidRDefault="008C2FDE" w:rsidP="00060D88">
            <w:pPr>
              <w:rPr>
                <w:rFonts w:asciiTheme="minorHAnsi" w:hAnsiTheme="minorHAnsi" w:cstheme="minorHAnsi"/>
                <w:color w:val="000000"/>
                <w:sz w:val="18"/>
                <w:szCs w:val="18"/>
              </w:rPr>
            </w:pPr>
            <w:r w:rsidRPr="00676CED">
              <w:rPr>
                <w:rFonts w:asciiTheme="minorHAnsi" w:hAnsiTheme="minorHAnsi" w:cstheme="minorHAnsi"/>
                <w:color w:val="000000"/>
                <w:sz w:val="18"/>
                <w:szCs w:val="18"/>
              </w:rPr>
              <w:t>Chiapas</w:t>
            </w:r>
          </w:p>
        </w:tc>
        <w:tc>
          <w:tcPr>
            <w:tcW w:w="1620" w:type="dxa"/>
            <w:tcBorders>
              <w:top w:val="nil"/>
              <w:left w:val="nil"/>
              <w:bottom w:val="single" w:sz="4" w:space="0" w:color="auto"/>
              <w:right w:val="single" w:sz="4" w:space="0" w:color="auto"/>
            </w:tcBorders>
            <w:shd w:val="clear" w:color="auto" w:fill="auto"/>
            <w:noWrap/>
            <w:vAlign w:val="bottom"/>
            <w:hideMark/>
          </w:tcPr>
          <w:p w:rsidR="008C2FDE" w:rsidRPr="00676CED" w:rsidRDefault="008C2FDE" w:rsidP="00060D88">
            <w:pPr>
              <w:jc w:val="center"/>
              <w:rPr>
                <w:rFonts w:asciiTheme="minorHAnsi" w:hAnsiTheme="minorHAnsi" w:cstheme="minorHAnsi"/>
                <w:color w:val="000000"/>
                <w:sz w:val="18"/>
                <w:szCs w:val="18"/>
              </w:rPr>
            </w:pPr>
            <w:r w:rsidRPr="00676CED">
              <w:rPr>
                <w:rFonts w:asciiTheme="minorHAnsi" w:hAnsiTheme="minorHAnsi" w:cstheme="minorHAnsi"/>
                <w:color w:val="000000"/>
                <w:sz w:val="18"/>
                <w:szCs w:val="18"/>
              </w:rPr>
              <w:t>-0.16</w:t>
            </w:r>
          </w:p>
        </w:tc>
      </w:tr>
      <w:tr w:rsidR="008C2FDE" w:rsidRPr="00676CED" w:rsidTr="00060D88">
        <w:trPr>
          <w:trHeight w:val="320"/>
          <w:jc w:val="center"/>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8C2FDE" w:rsidRPr="00676CED" w:rsidRDefault="008C2FDE" w:rsidP="00060D88">
            <w:pPr>
              <w:rPr>
                <w:rFonts w:asciiTheme="minorHAnsi" w:hAnsiTheme="minorHAnsi" w:cstheme="minorHAnsi"/>
                <w:color w:val="000000"/>
                <w:sz w:val="18"/>
                <w:szCs w:val="18"/>
              </w:rPr>
            </w:pPr>
            <w:r w:rsidRPr="00676CED">
              <w:rPr>
                <w:rFonts w:asciiTheme="minorHAnsi" w:hAnsiTheme="minorHAnsi" w:cstheme="minorHAnsi"/>
                <w:color w:val="000000"/>
                <w:sz w:val="18"/>
                <w:szCs w:val="18"/>
              </w:rPr>
              <w:t xml:space="preserve">Tlaxcala </w:t>
            </w:r>
          </w:p>
        </w:tc>
        <w:tc>
          <w:tcPr>
            <w:tcW w:w="1500" w:type="dxa"/>
            <w:tcBorders>
              <w:top w:val="nil"/>
              <w:left w:val="nil"/>
              <w:bottom w:val="single" w:sz="4" w:space="0" w:color="auto"/>
              <w:right w:val="single" w:sz="4" w:space="0" w:color="auto"/>
            </w:tcBorders>
            <w:shd w:val="clear" w:color="auto" w:fill="auto"/>
            <w:noWrap/>
            <w:vAlign w:val="bottom"/>
            <w:hideMark/>
          </w:tcPr>
          <w:p w:rsidR="008C2FDE" w:rsidRPr="00676CED" w:rsidRDefault="008C2FDE" w:rsidP="00060D88">
            <w:pPr>
              <w:jc w:val="center"/>
              <w:rPr>
                <w:rFonts w:asciiTheme="minorHAnsi" w:hAnsiTheme="minorHAnsi" w:cstheme="minorHAnsi"/>
                <w:color w:val="000000"/>
                <w:sz w:val="18"/>
                <w:szCs w:val="18"/>
              </w:rPr>
            </w:pPr>
            <w:r w:rsidRPr="00676CED">
              <w:rPr>
                <w:rFonts w:asciiTheme="minorHAnsi" w:hAnsiTheme="minorHAnsi" w:cstheme="minorHAnsi"/>
                <w:color w:val="000000"/>
                <w:sz w:val="18"/>
                <w:szCs w:val="18"/>
              </w:rPr>
              <w:t>0.82</w:t>
            </w:r>
          </w:p>
        </w:tc>
        <w:tc>
          <w:tcPr>
            <w:tcW w:w="2420" w:type="dxa"/>
            <w:tcBorders>
              <w:top w:val="nil"/>
              <w:left w:val="nil"/>
              <w:bottom w:val="single" w:sz="4" w:space="0" w:color="auto"/>
              <w:right w:val="single" w:sz="4" w:space="0" w:color="auto"/>
            </w:tcBorders>
            <w:shd w:val="clear" w:color="auto" w:fill="auto"/>
            <w:noWrap/>
            <w:vAlign w:val="bottom"/>
            <w:hideMark/>
          </w:tcPr>
          <w:p w:rsidR="008C2FDE" w:rsidRPr="00676CED" w:rsidRDefault="008C2FDE" w:rsidP="00060D88">
            <w:pPr>
              <w:rPr>
                <w:rFonts w:asciiTheme="minorHAnsi" w:hAnsiTheme="minorHAnsi" w:cstheme="minorHAnsi"/>
                <w:color w:val="000000"/>
                <w:sz w:val="18"/>
                <w:szCs w:val="18"/>
              </w:rPr>
            </w:pPr>
            <w:r w:rsidRPr="00676CED">
              <w:rPr>
                <w:rFonts w:asciiTheme="minorHAnsi" w:hAnsiTheme="minorHAnsi" w:cstheme="minorHAnsi"/>
                <w:color w:val="000000"/>
                <w:sz w:val="18"/>
                <w:szCs w:val="18"/>
              </w:rPr>
              <w:t>San Luis Potosí</w:t>
            </w:r>
          </w:p>
        </w:tc>
        <w:tc>
          <w:tcPr>
            <w:tcW w:w="1620" w:type="dxa"/>
            <w:tcBorders>
              <w:top w:val="nil"/>
              <w:left w:val="nil"/>
              <w:bottom w:val="single" w:sz="4" w:space="0" w:color="auto"/>
              <w:right w:val="single" w:sz="4" w:space="0" w:color="auto"/>
            </w:tcBorders>
            <w:shd w:val="clear" w:color="auto" w:fill="auto"/>
            <w:noWrap/>
            <w:vAlign w:val="bottom"/>
            <w:hideMark/>
          </w:tcPr>
          <w:p w:rsidR="008C2FDE" w:rsidRPr="00676CED" w:rsidRDefault="008C2FDE" w:rsidP="00060D88">
            <w:pPr>
              <w:jc w:val="center"/>
              <w:rPr>
                <w:rFonts w:asciiTheme="minorHAnsi" w:hAnsiTheme="minorHAnsi" w:cstheme="minorHAnsi"/>
                <w:color w:val="000000"/>
                <w:sz w:val="18"/>
                <w:szCs w:val="18"/>
              </w:rPr>
            </w:pPr>
            <w:r w:rsidRPr="00676CED">
              <w:rPr>
                <w:rFonts w:asciiTheme="minorHAnsi" w:hAnsiTheme="minorHAnsi" w:cstheme="minorHAnsi"/>
                <w:color w:val="000000"/>
                <w:sz w:val="18"/>
                <w:szCs w:val="18"/>
              </w:rPr>
              <w:t>-0.03</w:t>
            </w:r>
          </w:p>
        </w:tc>
      </w:tr>
      <w:tr w:rsidR="008C2FDE" w:rsidRPr="00676CED" w:rsidTr="00060D88">
        <w:trPr>
          <w:trHeight w:val="320"/>
          <w:jc w:val="center"/>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8C2FDE" w:rsidRPr="00676CED" w:rsidRDefault="008C2FDE" w:rsidP="00060D88">
            <w:pPr>
              <w:rPr>
                <w:rFonts w:asciiTheme="minorHAnsi" w:hAnsiTheme="minorHAnsi" w:cstheme="minorHAnsi"/>
                <w:color w:val="000000"/>
                <w:sz w:val="18"/>
                <w:szCs w:val="18"/>
              </w:rPr>
            </w:pPr>
            <w:r w:rsidRPr="00676CED">
              <w:rPr>
                <w:rFonts w:asciiTheme="minorHAnsi" w:hAnsiTheme="minorHAnsi" w:cstheme="minorHAnsi"/>
                <w:color w:val="000000"/>
                <w:sz w:val="18"/>
                <w:szCs w:val="18"/>
              </w:rPr>
              <w:t xml:space="preserve">Aguascalientes </w:t>
            </w:r>
          </w:p>
        </w:tc>
        <w:tc>
          <w:tcPr>
            <w:tcW w:w="1500" w:type="dxa"/>
            <w:tcBorders>
              <w:top w:val="nil"/>
              <w:left w:val="nil"/>
              <w:bottom w:val="single" w:sz="4" w:space="0" w:color="auto"/>
              <w:right w:val="single" w:sz="4" w:space="0" w:color="auto"/>
            </w:tcBorders>
            <w:shd w:val="clear" w:color="auto" w:fill="auto"/>
            <w:noWrap/>
            <w:vAlign w:val="bottom"/>
            <w:hideMark/>
          </w:tcPr>
          <w:p w:rsidR="008C2FDE" w:rsidRPr="00676CED" w:rsidRDefault="008C2FDE" w:rsidP="00060D88">
            <w:pPr>
              <w:jc w:val="center"/>
              <w:rPr>
                <w:rFonts w:asciiTheme="minorHAnsi" w:hAnsiTheme="minorHAnsi" w:cstheme="minorHAnsi"/>
                <w:color w:val="000000"/>
                <w:sz w:val="18"/>
                <w:szCs w:val="18"/>
              </w:rPr>
            </w:pPr>
            <w:r w:rsidRPr="00676CED">
              <w:rPr>
                <w:rFonts w:asciiTheme="minorHAnsi" w:hAnsiTheme="minorHAnsi" w:cstheme="minorHAnsi"/>
                <w:color w:val="000000"/>
                <w:sz w:val="18"/>
                <w:szCs w:val="18"/>
              </w:rPr>
              <w:t>0.69</w:t>
            </w:r>
          </w:p>
        </w:tc>
        <w:tc>
          <w:tcPr>
            <w:tcW w:w="2420" w:type="dxa"/>
            <w:tcBorders>
              <w:top w:val="nil"/>
              <w:left w:val="nil"/>
              <w:bottom w:val="single" w:sz="4" w:space="0" w:color="auto"/>
              <w:right w:val="single" w:sz="4" w:space="0" w:color="auto"/>
            </w:tcBorders>
            <w:shd w:val="clear" w:color="auto" w:fill="auto"/>
            <w:noWrap/>
            <w:vAlign w:val="bottom"/>
            <w:hideMark/>
          </w:tcPr>
          <w:p w:rsidR="008C2FDE" w:rsidRPr="00676CED" w:rsidRDefault="008C2FDE" w:rsidP="00060D88">
            <w:pPr>
              <w:rPr>
                <w:rFonts w:asciiTheme="minorHAnsi" w:hAnsiTheme="minorHAnsi" w:cstheme="minorHAnsi"/>
                <w:color w:val="000000"/>
                <w:sz w:val="18"/>
                <w:szCs w:val="18"/>
              </w:rPr>
            </w:pPr>
            <w:r w:rsidRPr="00676CED">
              <w:rPr>
                <w:rFonts w:asciiTheme="minorHAnsi" w:hAnsiTheme="minorHAnsi" w:cstheme="minorHAnsi"/>
                <w:color w:val="000000"/>
                <w:sz w:val="18"/>
                <w:szCs w:val="18"/>
              </w:rPr>
              <w:t>Sonora</w:t>
            </w:r>
          </w:p>
        </w:tc>
        <w:tc>
          <w:tcPr>
            <w:tcW w:w="1620" w:type="dxa"/>
            <w:tcBorders>
              <w:top w:val="nil"/>
              <w:left w:val="nil"/>
              <w:bottom w:val="single" w:sz="4" w:space="0" w:color="auto"/>
              <w:right w:val="single" w:sz="4" w:space="0" w:color="auto"/>
            </w:tcBorders>
            <w:shd w:val="clear" w:color="auto" w:fill="auto"/>
            <w:noWrap/>
            <w:vAlign w:val="bottom"/>
            <w:hideMark/>
          </w:tcPr>
          <w:p w:rsidR="008C2FDE" w:rsidRPr="00676CED" w:rsidRDefault="008C2FDE" w:rsidP="00060D88">
            <w:pPr>
              <w:jc w:val="center"/>
              <w:rPr>
                <w:rFonts w:asciiTheme="minorHAnsi" w:hAnsiTheme="minorHAnsi" w:cstheme="minorHAnsi"/>
                <w:color w:val="000000"/>
                <w:sz w:val="18"/>
                <w:szCs w:val="18"/>
              </w:rPr>
            </w:pPr>
            <w:r w:rsidRPr="00676CED">
              <w:rPr>
                <w:rFonts w:asciiTheme="minorHAnsi" w:hAnsiTheme="minorHAnsi" w:cstheme="minorHAnsi"/>
                <w:color w:val="000000"/>
                <w:sz w:val="18"/>
                <w:szCs w:val="18"/>
              </w:rPr>
              <w:t>0.01</w:t>
            </w:r>
          </w:p>
        </w:tc>
      </w:tr>
      <w:tr w:rsidR="008C2FDE" w:rsidRPr="00676CED" w:rsidTr="00060D88">
        <w:trPr>
          <w:trHeight w:val="320"/>
          <w:jc w:val="center"/>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8C2FDE" w:rsidRPr="00676CED" w:rsidRDefault="008C2FDE" w:rsidP="00060D88">
            <w:pPr>
              <w:rPr>
                <w:rFonts w:asciiTheme="minorHAnsi" w:hAnsiTheme="minorHAnsi" w:cstheme="minorHAnsi"/>
                <w:color w:val="000000"/>
                <w:sz w:val="18"/>
                <w:szCs w:val="18"/>
              </w:rPr>
            </w:pPr>
            <w:r w:rsidRPr="00676CED">
              <w:rPr>
                <w:rFonts w:asciiTheme="minorHAnsi" w:hAnsiTheme="minorHAnsi" w:cstheme="minorHAnsi"/>
                <w:color w:val="000000"/>
                <w:sz w:val="18"/>
                <w:szCs w:val="18"/>
              </w:rPr>
              <w:t xml:space="preserve">Jalisco </w:t>
            </w:r>
          </w:p>
        </w:tc>
        <w:tc>
          <w:tcPr>
            <w:tcW w:w="1500" w:type="dxa"/>
            <w:tcBorders>
              <w:top w:val="nil"/>
              <w:left w:val="nil"/>
              <w:bottom w:val="single" w:sz="4" w:space="0" w:color="auto"/>
              <w:right w:val="single" w:sz="4" w:space="0" w:color="auto"/>
            </w:tcBorders>
            <w:shd w:val="clear" w:color="auto" w:fill="auto"/>
            <w:noWrap/>
            <w:vAlign w:val="bottom"/>
            <w:hideMark/>
          </w:tcPr>
          <w:p w:rsidR="008C2FDE" w:rsidRPr="00676CED" w:rsidRDefault="008C2FDE" w:rsidP="00060D88">
            <w:pPr>
              <w:jc w:val="center"/>
              <w:rPr>
                <w:rFonts w:asciiTheme="minorHAnsi" w:hAnsiTheme="minorHAnsi" w:cstheme="minorHAnsi"/>
                <w:color w:val="000000"/>
                <w:sz w:val="18"/>
                <w:szCs w:val="18"/>
              </w:rPr>
            </w:pPr>
            <w:r w:rsidRPr="00676CED">
              <w:rPr>
                <w:rFonts w:asciiTheme="minorHAnsi" w:hAnsiTheme="minorHAnsi" w:cstheme="minorHAnsi"/>
                <w:color w:val="000000"/>
                <w:sz w:val="18"/>
                <w:szCs w:val="18"/>
              </w:rPr>
              <w:t>0.65</w:t>
            </w:r>
          </w:p>
        </w:tc>
        <w:tc>
          <w:tcPr>
            <w:tcW w:w="2420" w:type="dxa"/>
            <w:tcBorders>
              <w:top w:val="nil"/>
              <w:left w:val="nil"/>
              <w:bottom w:val="single" w:sz="4" w:space="0" w:color="auto"/>
              <w:right w:val="single" w:sz="4" w:space="0" w:color="auto"/>
            </w:tcBorders>
            <w:shd w:val="clear" w:color="auto" w:fill="auto"/>
            <w:noWrap/>
            <w:vAlign w:val="bottom"/>
            <w:hideMark/>
          </w:tcPr>
          <w:p w:rsidR="008C2FDE" w:rsidRPr="00676CED" w:rsidRDefault="008C2FDE" w:rsidP="00060D88">
            <w:pPr>
              <w:rPr>
                <w:rFonts w:asciiTheme="minorHAnsi" w:hAnsiTheme="minorHAnsi" w:cstheme="minorHAnsi"/>
                <w:color w:val="000000"/>
                <w:sz w:val="18"/>
                <w:szCs w:val="18"/>
              </w:rPr>
            </w:pPr>
            <w:r w:rsidRPr="00676CED">
              <w:rPr>
                <w:rFonts w:asciiTheme="minorHAnsi" w:hAnsiTheme="minorHAnsi" w:cstheme="minorHAnsi"/>
                <w:color w:val="000000"/>
                <w:sz w:val="18"/>
                <w:szCs w:val="18"/>
              </w:rPr>
              <w:t>Querétaro</w:t>
            </w:r>
          </w:p>
        </w:tc>
        <w:tc>
          <w:tcPr>
            <w:tcW w:w="1620" w:type="dxa"/>
            <w:tcBorders>
              <w:top w:val="nil"/>
              <w:left w:val="nil"/>
              <w:bottom w:val="single" w:sz="4" w:space="0" w:color="auto"/>
              <w:right w:val="single" w:sz="4" w:space="0" w:color="auto"/>
            </w:tcBorders>
            <w:shd w:val="clear" w:color="auto" w:fill="auto"/>
            <w:noWrap/>
            <w:vAlign w:val="bottom"/>
            <w:hideMark/>
          </w:tcPr>
          <w:p w:rsidR="008C2FDE" w:rsidRPr="00676CED" w:rsidRDefault="008C2FDE" w:rsidP="00060D88">
            <w:pPr>
              <w:jc w:val="center"/>
              <w:rPr>
                <w:rFonts w:asciiTheme="minorHAnsi" w:hAnsiTheme="minorHAnsi" w:cstheme="minorHAnsi"/>
                <w:color w:val="000000"/>
                <w:sz w:val="18"/>
                <w:szCs w:val="18"/>
              </w:rPr>
            </w:pPr>
            <w:r w:rsidRPr="00676CED">
              <w:rPr>
                <w:rFonts w:asciiTheme="minorHAnsi" w:hAnsiTheme="minorHAnsi" w:cstheme="minorHAnsi"/>
                <w:color w:val="000000"/>
                <w:sz w:val="18"/>
                <w:szCs w:val="18"/>
              </w:rPr>
              <w:t>0.10</w:t>
            </w:r>
          </w:p>
        </w:tc>
      </w:tr>
      <w:tr w:rsidR="008C2FDE" w:rsidRPr="00676CED" w:rsidTr="00060D88">
        <w:trPr>
          <w:trHeight w:val="320"/>
          <w:jc w:val="center"/>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8C2FDE" w:rsidRPr="00676CED" w:rsidRDefault="008C2FDE" w:rsidP="00060D88">
            <w:pPr>
              <w:rPr>
                <w:rFonts w:asciiTheme="minorHAnsi" w:hAnsiTheme="minorHAnsi" w:cstheme="minorHAnsi"/>
                <w:color w:val="000000"/>
                <w:sz w:val="18"/>
                <w:szCs w:val="18"/>
              </w:rPr>
            </w:pPr>
            <w:r w:rsidRPr="00676CED">
              <w:rPr>
                <w:rFonts w:asciiTheme="minorHAnsi" w:hAnsiTheme="minorHAnsi" w:cstheme="minorHAnsi"/>
                <w:color w:val="000000"/>
                <w:sz w:val="18"/>
                <w:szCs w:val="18"/>
              </w:rPr>
              <w:t xml:space="preserve">Oaxaca </w:t>
            </w:r>
          </w:p>
        </w:tc>
        <w:tc>
          <w:tcPr>
            <w:tcW w:w="1500" w:type="dxa"/>
            <w:tcBorders>
              <w:top w:val="nil"/>
              <w:left w:val="nil"/>
              <w:bottom w:val="single" w:sz="4" w:space="0" w:color="auto"/>
              <w:right w:val="single" w:sz="4" w:space="0" w:color="auto"/>
            </w:tcBorders>
            <w:shd w:val="clear" w:color="auto" w:fill="auto"/>
            <w:noWrap/>
            <w:vAlign w:val="bottom"/>
            <w:hideMark/>
          </w:tcPr>
          <w:p w:rsidR="008C2FDE" w:rsidRPr="00676CED" w:rsidRDefault="008C2FDE" w:rsidP="00060D88">
            <w:pPr>
              <w:jc w:val="center"/>
              <w:rPr>
                <w:rFonts w:asciiTheme="minorHAnsi" w:hAnsiTheme="minorHAnsi" w:cstheme="minorHAnsi"/>
                <w:color w:val="000000"/>
                <w:sz w:val="18"/>
                <w:szCs w:val="18"/>
              </w:rPr>
            </w:pPr>
            <w:r w:rsidRPr="00676CED">
              <w:rPr>
                <w:rFonts w:asciiTheme="minorHAnsi" w:hAnsiTheme="minorHAnsi" w:cstheme="minorHAnsi"/>
                <w:color w:val="000000"/>
                <w:sz w:val="18"/>
                <w:szCs w:val="18"/>
              </w:rPr>
              <w:t>0.64</w:t>
            </w:r>
          </w:p>
        </w:tc>
        <w:tc>
          <w:tcPr>
            <w:tcW w:w="2420" w:type="dxa"/>
            <w:tcBorders>
              <w:top w:val="nil"/>
              <w:left w:val="nil"/>
              <w:bottom w:val="single" w:sz="4" w:space="0" w:color="auto"/>
              <w:right w:val="single" w:sz="4" w:space="0" w:color="auto"/>
            </w:tcBorders>
            <w:shd w:val="clear" w:color="auto" w:fill="auto"/>
            <w:noWrap/>
            <w:vAlign w:val="bottom"/>
            <w:hideMark/>
          </w:tcPr>
          <w:p w:rsidR="008C2FDE" w:rsidRPr="00676CED" w:rsidRDefault="008C2FDE" w:rsidP="00060D88">
            <w:pPr>
              <w:rPr>
                <w:rFonts w:asciiTheme="minorHAnsi" w:hAnsiTheme="minorHAnsi" w:cstheme="minorHAnsi"/>
                <w:color w:val="000000"/>
                <w:sz w:val="18"/>
                <w:szCs w:val="18"/>
              </w:rPr>
            </w:pPr>
            <w:r w:rsidRPr="00676CED">
              <w:rPr>
                <w:rFonts w:asciiTheme="minorHAnsi" w:hAnsiTheme="minorHAnsi" w:cstheme="minorHAnsi"/>
                <w:color w:val="000000"/>
                <w:sz w:val="18"/>
                <w:szCs w:val="18"/>
              </w:rPr>
              <w:t>Baja California</w:t>
            </w:r>
          </w:p>
        </w:tc>
        <w:tc>
          <w:tcPr>
            <w:tcW w:w="1620" w:type="dxa"/>
            <w:tcBorders>
              <w:top w:val="nil"/>
              <w:left w:val="nil"/>
              <w:bottom w:val="single" w:sz="4" w:space="0" w:color="auto"/>
              <w:right w:val="single" w:sz="4" w:space="0" w:color="auto"/>
            </w:tcBorders>
            <w:shd w:val="clear" w:color="auto" w:fill="auto"/>
            <w:noWrap/>
            <w:vAlign w:val="bottom"/>
            <w:hideMark/>
          </w:tcPr>
          <w:p w:rsidR="008C2FDE" w:rsidRPr="00676CED" w:rsidRDefault="008C2FDE" w:rsidP="00060D88">
            <w:pPr>
              <w:jc w:val="center"/>
              <w:rPr>
                <w:rFonts w:asciiTheme="minorHAnsi" w:hAnsiTheme="minorHAnsi" w:cstheme="minorHAnsi"/>
                <w:color w:val="000000"/>
                <w:sz w:val="18"/>
                <w:szCs w:val="18"/>
              </w:rPr>
            </w:pPr>
            <w:r w:rsidRPr="00676CED">
              <w:rPr>
                <w:rFonts w:asciiTheme="minorHAnsi" w:hAnsiTheme="minorHAnsi" w:cstheme="minorHAnsi"/>
                <w:color w:val="000000"/>
                <w:sz w:val="18"/>
                <w:szCs w:val="18"/>
              </w:rPr>
              <w:t>0.13</w:t>
            </w:r>
          </w:p>
        </w:tc>
      </w:tr>
    </w:tbl>
    <w:p w:rsidR="008C2FDE" w:rsidRPr="00676CED" w:rsidRDefault="008C2FDE" w:rsidP="008C2FDE">
      <w:pPr>
        <w:rPr>
          <w:rFonts w:asciiTheme="minorHAnsi" w:hAnsiTheme="minorHAnsi" w:cstheme="minorHAnsi"/>
          <w:b/>
          <w:bCs/>
          <w:sz w:val="14"/>
          <w:szCs w:val="14"/>
        </w:rPr>
      </w:pPr>
    </w:p>
    <w:p w:rsidR="008C2FDE" w:rsidRPr="00676CED" w:rsidRDefault="008C2FDE" w:rsidP="008C2FDE">
      <w:pPr>
        <w:pStyle w:val="NormalWeb"/>
        <w:spacing w:before="0" w:beforeAutospacing="0" w:after="0" w:afterAutospacing="0"/>
        <w:ind w:left="426"/>
        <w:rPr>
          <w:rFonts w:asciiTheme="minorHAnsi" w:hAnsiTheme="minorHAnsi" w:cstheme="minorHAnsi"/>
          <w:sz w:val="14"/>
          <w:szCs w:val="14"/>
        </w:rPr>
      </w:pPr>
      <w:r w:rsidRPr="00676CED">
        <w:rPr>
          <w:rFonts w:asciiTheme="minorHAnsi" w:hAnsiTheme="minorHAnsi" w:cstheme="minorHAnsi"/>
          <w:sz w:val="14"/>
          <w:szCs w:val="14"/>
        </w:rPr>
        <w:t xml:space="preserve">* Las desagregaciones del </w:t>
      </w:r>
      <w:proofErr w:type="spellStart"/>
      <w:r w:rsidRPr="00676CED">
        <w:rPr>
          <w:rFonts w:asciiTheme="minorHAnsi" w:hAnsiTheme="minorHAnsi" w:cstheme="minorHAnsi"/>
          <w:sz w:val="14"/>
          <w:szCs w:val="14"/>
        </w:rPr>
        <w:t>INPC</w:t>
      </w:r>
      <w:proofErr w:type="spellEnd"/>
      <w:r w:rsidRPr="00676CED">
        <w:rPr>
          <w:rFonts w:asciiTheme="minorHAnsi" w:hAnsiTheme="minorHAnsi" w:cstheme="minorHAnsi"/>
          <w:sz w:val="14"/>
          <w:szCs w:val="14"/>
        </w:rPr>
        <w:t xml:space="preserve"> solo tienen valor informativo. </w:t>
      </w:r>
    </w:p>
    <w:p w:rsidR="008C2FDE" w:rsidRPr="00676CED" w:rsidRDefault="008C2FDE" w:rsidP="008C2FDE">
      <w:pPr>
        <w:pStyle w:val="NormalWeb"/>
        <w:spacing w:before="0" w:beforeAutospacing="0"/>
        <w:ind w:left="426"/>
        <w:rPr>
          <w:rFonts w:asciiTheme="minorHAnsi" w:hAnsiTheme="minorHAnsi" w:cstheme="minorHAnsi"/>
          <w:sz w:val="14"/>
          <w:szCs w:val="14"/>
        </w:rPr>
      </w:pPr>
      <w:r w:rsidRPr="00676CED">
        <w:rPr>
          <w:rFonts w:asciiTheme="minorHAnsi" w:hAnsiTheme="minorHAnsi" w:cstheme="minorHAnsi"/>
          <w:sz w:val="14"/>
          <w:szCs w:val="14"/>
        </w:rPr>
        <w:t>Fuente: INEGI</w:t>
      </w:r>
    </w:p>
    <w:p w:rsidR="007D5DA7" w:rsidRDefault="007D5DA7" w:rsidP="008C2FDE">
      <w:pPr>
        <w:pStyle w:val="NormalWeb"/>
        <w:spacing w:before="0" w:beforeAutospacing="0" w:after="0" w:afterAutospacing="0"/>
        <w:jc w:val="both"/>
        <w:rPr>
          <w:rFonts w:asciiTheme="minorHAnsi" w:hAnsiTheme="minorHAnsi" w:cstheme="minorHAnsi"/>
          <w:b/>
          <w:sz w:val="22"/>
          <w:szCs w:val="22"/>
        </w:rPr>
      </w:pPr>
    </w:p>
    <w:p w:rsidR="007D5DA7" w:rsidRDefault="007D5DA7" w:rsidP="008C2FDE">
      <w:pPr>
        <w:pStyle w:val="NormalWeb"/>
        <w:spacing w:before="0" w:beforeAutospacing="0" w:after="0" w:afterAutospacing="0"/>
        <w:jc w:val="both"/>
        <w:rPr>
          <w:rFonts w:asciiTheme="minorHAnsi" w:hAnsiTheme="minorHAnsi" w:cstheme="minorHAnsi"/>
          <w:b/>
          <w:sz w:val="22"/>
          <w:szCs w:val="22"/>
        </w:rPr>
      </w:pPr>
    </w:p>
    <w:p w:rsidR="007D5DA7" w:rsidRDefault="007D5DA7" w:rsidP="008C2FDE">
      <w:pPr>
        <w:pStyle w:val="NormalWeb"/>
        <w:spacing w:before="0" w:beforeAutospacing="0" w:after="0" w:afterAutospacing="0"/>
        <w:jc w:val="both"/>
        <w:rPr>
          <w:rFonts w:asciiTheme="minorHAnsi" w:hAnsiTheme="minorHAnsi" w:cstheme="minorHAnsi"/>
          <w:b/>
          <w:sz w:val="22"/>
          <w:szCs w:val="22"/>
        </w:rPr>
      </w:pPr>
    </w:p>
    <w:p w:rsidR="007D5DA7" w:rsidRDefault="007D5DA7" w:rsidP="008C2FDE">
      <w:pPr>
        <w:pStyle w:val="NormalWeb"/>
        <w:spacing w:before="0" w:beforeAutospacing="0" w:after="0" w:afterAutospacing="0"/>
        <w:jc w:val="both"/>
        <w:rPr>
          <w:rFonts w:asciiTheme="minorHAnsi" w:hAnsiTheme="minorHAnsi" w:cstheme="minorHAnsi"/>
          <w:b/>
          <w:sz w:val="22"/>
          <w:szCs w:val="22"/>
        </w:rPr>
      </w:pPr>
    </w:p>
    <w:p w:rsidR="008C2FDE" w:rsidRPr="00060D88" w:rsidRDefault="00C264F4" w:rsidP="008C2FDE">
      <w:pPr>
        <w:pStyle w:val="NormalWeb"/>
        <w:spacing w:before="0" w:beforeAutospacing="0" w:after="0" w:afterAutospacing="0"/>
        <w:jc w:val="both"/>
        <w:rPr>
          <w:rFonts w:asciiTheme="minorHAnsi" w:hAnsiTheme="minorHAnsi" w:cstheme="minorHAnsi"/>
          <w:b/>
          <w:sz w:val="22"/>
          <w:szCs w:val="22"/>
        </w:rPr>
      </w:pPr>
      <w:r>
        <w:rPr>
          <w:rFonts w:asciiTheme="minorHAnsi" w:hAnsiTheme="minorHAnsi" w:cstheme="minorHAnsi"/>
          <w:b/>
          <w:sz w:val="22"/>
          <w:szCs w:val="22"/>
        </w:rPr>
        <w:lastRenderedPageBreak/>
        <w:t>1.</w:t>
      </w:r>
      <w:r w:rsidR="008C2FDE" w:rsidRPr="00060D88">
        <w:rPr>
          <w:rFonts w:asciiTheme="minorHAnsi" w:hAnsiTheme="minorHAnsi" w:cstheme="minorHAnsi"/>
          <w:b/>
          <w:sz w:val="22"/>
          <w:szCs w:val="22"/>
        </w:rPr>
        <w:t>2.5.- Precio de la Mezcla Mexicana de Exportación de Petróleo.</w:t>
      </w:r>
    </w:p>
    <w:p w:rsidR="008C2FDE" w:rsidRPr="00E850D6" w:rsidRDefault="008C2FDE" w:rsidP="008C2FDE">
      <w:pPr>
        <w:pStyle w:val="NormalWeb"/>
        <w:spacing w:before="0" w:beforeAutospacing="0" w:after="0" w:afterAutospacing="0"/>
        <w:jc w:val="both"/>
        <w:rPr>
          <w:rFonts w:asciiTheme="minorHAnsi" w:hAnsiTheme="minorHAnsi" w:cstheme="minorHAnsi"/>
          <w:b/>
          <w:sz w:val="18"/>
          <w:szCs w:val="18"/>
        </w:rPr>
      </w:pPr>
    </w:p>
    <w:p w:rsidR="008C2FDE" w:rsidRPr="007D5DA7" w:rsidRDefault="008C2FDE" w:rsidP="008C2FDE">
      <w:pPr>
        <w:pStyle w:val="NormalWeb"/>
        <w:spacing w:before="0" w:beforeAutospacing="0" w:after="0" w:afterAutospacing="0"/>
        <w:jc w:val="both"/>
        <w:rPr>
          <w:rFonts w:asciiTheme="minorHAnsi" w:hAnsiTheme="minorHAnsi" w:cstheme="minorHAnsi"/>
          <w:bCs/>
          <w:sz w:val="21"/>
          <w:szCs w:val="21"/>
        </w:rPr>
      </w:pPr>
      <w:r w:rsidRPr="007D5DA7">
        <w:rPr>
          <w:rFonts w:asciiTheme="minorHAnsi" w:hAnsiTheme="minorHAnsi" w:cstheme="minorHAnsi"/>
          <w:bCs/>
          <w:sz w:val="21"/>
          <w:szCs w:val="21"/>
        </w:rPr>
        <w:t>El ejercicio 2022 fue un año turbulento y de mucha volatilidad, en gran medida provocada por la guerra de Ucrania y por la demanda debilitada de China, luego de su lucha contra el Covid-19. Al último día hábil, el precio del petróleo ganó para cerrar el 2022 con su última ganancia.</w:t>
      </w:r>
    </w:p>
    <w:p w:rsidR="008C2FDE" w:rsidRPr="007D5DA7" w:rsidRDefault="008C2FDE" w:rsidP="008C2FDE">
      <w:pPr>
        <w:pStyle w:val="NormalWeb"/>
        <w:spacing w:before="0" w:beforeAutospacing="0" w:after="0" w:afterAutospacing="0"/>
        <w:jc w:val="both"/>
        <w:rPr>
          <w:rFonts w:asciiTheme="minorHAnsi" w:hAnsiTheme="minorHAnsi" w:cstheme="minorHAnsi"/>
          <w:b/>
          <w:sz w:val="21"/>
          <w:szCs w:val="21"/>
        </w:rPr>
      </w:pPr>
    </w:p>
    <w:p w:rsidR="008C2FDE" w:rsidRPr="007D5DA7" w:rsidRDefault="008C2FDE" w:rsidP="008C2FDE">
      <w:pPr>
        <w:pStyle w:val="NormalWeb"/>
        <w:spacing w:before="0" w:beforeAutospacing="0" w:after="0" w:afterAutospacing="0"/>
        <w:jc w:val="both"/>
        <w:rPr>
          <w:rFonts w:asciiTheme="minorHAnsi" w:hAnsiTheme="minorHAnsi" w:cstheme="minorHAnsi"/>
          <w:bCs/>
          <w:sz w:val="21"/>
          <w:szCs w:val="21"/>
        </w:rPr>
      </w:pPr>
      <w:r w:rsidRPr="007D5DA7">
        <w:rPr>
          <w:rFonts w:asciiTheme="minorHAnsi" w:hAnsiTheme="minorHAnsi" w:cstheme="minorHAnsi"/>
          <w:bCs/>
          <w:sz w:val="21"/>
          <w:szCs w:val="21"/>
        </w:rPr>
        <w:t>El petróleo Brent subió 0.7% para cerrar en $84.01 dólares por barril, mientras que el WTI cayó dos centavos y cerró en $78.38 dólares por barril. Por su parte, la mezcla mexicana de petróleo perdió 0.96% y cerró en $67.32 dólares por barril.</w:t>
      </w:r>
    </w:p>
    <w:p w:rsidR="00060D88" w:rsidRPr="007D5DA7" w:rsidRDefault="00060D88" w:rsidP="008C2FDE">
      <w:pPr>
        <w:pStyle w:val="NormalWeb"/>
        <w:spacing w:before="0" w:beforeAutospacing="0" w:after="0" w:afterAutospacing="0"/>
        <w:jc w:val="both"/>
        <w:rPr>
          <w:rFonts w:asciiTheme="minorHAnsi" w:hAnsiTheme="minorHAnsi" w:cstheme="minorHAnsi"/>
          <w:bCs/>
          <w:sz w:val="21"/>
          <w:szCs w:val="21"/>
        </w:rPr>
      </w:pPr>
    </w:p>
    <w:p w:rsidR="008C2FDE" w:rsidRPr="007D5DA7" w:rsidRDefault="008C2FDE" w:rsidP="008C2FDE">
      <w:pPr>
        <w:pStyle w:val="NormalWeb"/>
        <w:spacing w:before="0" w:beforeAutospacing="0" w:after="0" w:afterAutospacing="0"/>
        <w:jc w:val="both"/>
        <w:rPr>
          <w:rFonts w:asciiTheme="minorHAnsi" w:hAnsiTheme="minorHAnsi" w:cstheme="minorHAnsi"/>
          <w:bCs/>
          <w:sz w:val="21"/>
          <w:szCs w:val="21"/>
        </w:rPr>
      </w:pPr>
      <w:r w:rsidRPr="007D5DA7">
        <w:rPr>
          <w:rFonts w:asciiTheme="minorHAnsi" w:hAnsiTheme="minorHAnsi" w:cstheme="minorHAnsi"/>
          <w:bCs/>
          <w:sz w:val="21"/>
          <w:szCs w:val="21"/>
        </w:rPr>
        <w:t>Sobre este tema, la SHCP confirmó que se contrataron las coberturas petroleras para 2023, blindando los ingresos de Pemex por la exportación de crudo, y los del gobierno federal también, el precio contratado fue de 68.70 dólares por barril y protege el precio de entre 200 y 300 millones de barriles de petróleo de exportación.</w:t>
      </w:r>
    </w:p>
    <w:p w:rsidR="008C2FDE" w:rsidRPr="007D5DA7" w:rsidRDefault="008C2FDE" w:rsidP="008C2FDE">
      <w:pPr>
        <w:pStyle w:val="NormalWeb"/>
        <w:jc w:val="both"/>
        <w:rPr>
          <w:rFonts w:asciiTheme="minorHAnsi" w:hAnsiTheme="minorHAnsi" w:cstheme="minorHAnsi"/>
          <w:bCs/>
          <w:sz w:val="21"/>
          <w:szCs w:val="21"/>
        </w:rPr>
      </w:pPr>
      <w:r w:rsidRPr="007D5DA7">
        <w:rPr>
          <w:rFonts w:asciiTheme="minorHAnsi" w:hAnsiTheme="minorHAnsi" w:cstheme="minorHAnsi"/>
          <w:bCs/>
          <w:sz w:val="21"/>
          <w:szCs w:val="21"/>
        </w:rPr>
        <w:t>En relación a la operación de Pemex, esta se ha beneficiado de los altos precios que registra la mezcla mexicana de exportación en este 2022, lo cual le reporta un fuerte incremento en sus ingresos, y dado que sigue arrastrando una considerable deuda externa, el gobierno federal a través de la SHCP la sigue apoyando, otorgándole importantes apoyos presupuestales para sanear sus finanzas internas.</w:t>
      </w:r>
    </w:p>
    <w:p w:rsidR="008C2FDE" w:rsidRPr="007D5DA7" w:rsidRDefault="008C2FDE" w:rsidP="008C2FDE">
      <w:pPr>
        <w:pStyle w:val="NormalWeb"/>
        <w:jc w:val="both"/>
        <w:rPr>
          <w:rFonts w:asciiTheme="minorHAnsi" w:hAnsiTheme="minorHAnsi" w:cstheme="minorHAnsi"/>
          <w:bCs/>
          <w:sz w:val="21"/>
          <w:szCs w:val="21"/>
        </w:rPr>
      </w:pPr>
      <w:r w:rsidRPr="007D5DA7">
        <w:rPr>
          <w:rFonts w:asciiTheme="minorHAnsi" w:hAnsiTheme="minorHAnsi" w:cstheme="minorHAnsi"/>
          <w:bCs/>
          <w:sz w:val="21"/>
          <w:szCs w:val="21"/>
        </w:rPr>
        <w:t xml:space="preserve">Pero si bien la vacunación global empujó la recuperación de la economía mundial, y con ello también a los precios </w:t>
      </w:r>
      <w:proofErr w:type="gramStart"/>
      <w:r w:rsidRPr="007D5DA7">
        <w:rPr>
          <w:rFonts w:asciiTheme="minorHAnsi" w:hAnsiTheme="minorHAnsi" w:cstheme="minorHAnsi"/>
          <w:bCs/>
          <w:sz w:val="21"/>
          <w:szCs w:val="21"/>
        </w:rPr>
        <w:t>del barriles</w:t>
      </w:r>
      <w:proofErr w:type="gramEnd"/>
      <w:r w:rsidRPr="007D5DA7">
        <w:rPr>
          <w:rFonts w:asciiTheme="minorHAnsi" w:hAnsiTheme="minorHAnsi" w:cstheme="minorHAnsi"/>
          <w:bCs/>
          <w:sz w:val="21"/>
          <w:szCs w:val="21"/>
        </w:rPr>
        <w:t xml:space="preserve"> de petróleo mexicano de exportación, marcando precios máximos de cierre en la segunda parte del 2021, la invasión de Rusia en Ucrania en febrero del 2022, catapultó lo precios aún más, acercándose a los 120 dólares por barril el 08 de Marzo del 2022, mes el cual terminaría en 98 dólares por barril.</w:t>
      </w:r>
    </w:p>
    <w:p w:rsidR="008C2FDE" w:rsidRPr="00060D88" w:rsidRDefault="008C2FDE" w:rsidP="008C2FDE">
      <w:pPr>
        <w:jc w:val="both"/>
        <w:rPr>
          <w:rFonts w:asciiTheme="minorHAnsi" w:hAnsiTheme="minorHAnsi" w:cstheme="minorHAnsi"/>
          <w:b/>
          <w:sz w:val="20"/>
          <w:szCs w:val="20"/>
        </w:rPr>
      </w:pPr>
    </w:p>
    <w:p w:rsidR="008C2FDE" w:rsidRPr="00060D88" w:rsidRDefault="008C2FDE" w:rsidP="008C2FDE">
      <w:pPr>
        <w:jc w:val="both"/>
        <w:rPr>
          <w:rFonts w:asciiTheme="minorHAnsi" w:hAnsiTheme="minorHAnsi" w:cstheme="minorHAnsi"/>
          <w:b/>
        </w:rPr>
      </w:pPr>
      <w:r w:rsidRPr="00060D88">
        <w:rPr>
          <w:rFonts w:asciiTheme="minorHAnsi" w:hAnsiTheme="minorHAnsi" w:cstheme="minorHAnsi"/>
          <w:b/>
        </w:rPr>
        <w:t>Tipos de crudo en México</w:t>
      </w:r>
    </w:p>
    <w:p w:rsidR="008C2FDE" w:rsidRPr="007D5DA7" w:rsidRDefault="008C2FDE" w:rsidP="008C2FDE">
      <w:pPr>
        <w:jc w:val="both"/>
        <w:rPr>
          <w:rFonts w:asciiTheme="minorHAnsi" w:hAnsiTheme="minorHAnsi" w:cstheme="minorHAnsi"/>
          <w:bCs/>
          <w:sz w:val="21"/>
          <w:szCs w:val="21"/>
        </w:rPr>
      </w:pPr>
      <w:r w:rsidRPr="007D5DA7">
        <w:rPr>
          <w:rFonts w:asciiTheme="minorHAnsi" w:hAnsiTheme="minorHAnsi" w:cstheme="minorHAnsi"/>
          <w:bCs/>
          <w:sz w:val="21"/>
          <w:szCs w:val="21"/>
        </w:rPr>
        <w:t xml:space="preserve">De acuerdo con indicadores de Pemex, de la producción petrolera en el país, el 54% es considerada como crudo pesado (Maya), el 33% como ligero (Istmo) y el 12% restante corresponde a crudo </w:t>
      </w:r>
      <w:proofErr w:type="spellStart"/>
      <w:r w:rsidRPr="007D5DA7">
        <w:rPr>
          <w:rFonts w:asciiTheme="minorHAnsi" w:hAnsiTheme="minorHAnsi" w:cstheme="minorHAnsi"/>
          <w:bCs/>
          <w:sz w:val="21"/>
          <w:szCs w:val="21"/>
        </w:rPr>
        <w:t>superligero</w:t>
      </w:r>
      <w:proofErr w:type="spellEnd"/>
      <w:r w:rsidRPr="007D5DA7">
        <w:rPr>
          <w:rFonts w:asciiTheme="minorHAnsi" w:hAnsiTheme="minorHAnsi" w:cstheme="minorHAnsi"/>
          <w:bCs/>
          <w:sz w:val="21"/>
          <w:szCs w:val="21"/>
        </w:rPr>
        <w:t xml:space="preserve"> (Olmeca).</w:t>
      </w:r>
    </w:p>
    <w:p w:rsidR="008C2FDE" w:rsidRPr="007D5DA7" w:rsidRDefault="008C2FDE" w:rsidP="008C2FDE">
      <w:pPr>
        <w:jc w:val="both"/>
        <w:rPr>
          <w:rFonts w:asciiTheme="minorHAnsi" w:hAnsiTheme="minorHAnsi" w:cstheme="minorHAnsi"/>
          <w:bCs/>
          <w:sz w:val="21"/>
          <w:szCs w:val="21"/>
        </w:rPr>
      </w:pPr>
      <w:r w:rsidRPr="007D5DA7">
        <w:rPr>
          <w:rFonts w:asciiTheme="minorHAnsi" w:hAnsiTheme="minorHAnsi" w:cstheme="minorHAnsi"/>
          <w:bCs/>
          <w:sz w:val="21"/>
          <w:szCs w:val="21"/>
        </w:rPr>
        <w:t xml:space="preserve">Se considera que la mezcla Maya es la más competitiva de las mexicanas al ser la de mayor exportación, además de utilizarse como mezcla sustituta de las otras dos. Por tratarse de un crudo "pesado" tiene un menor rendimiento en la producción de gasolinas y </w:t>
      </w:r>
      <w:proofErr w:type="spellStart"/>
      <w:r w:rsidRPr="007D5DA7">
        <w:rPr>
          <w:rFonts w:asciiTheme="minorHAnsi" w:hAnsiTheme="minorHAnsi" w:cstheme="minorHAnsi"/>
          <w:bCs/>
          <w:sz w:val="21"/>
          <w:szCs w:val="21"/>
        </w:rPr>
        <w:t>diesel</w:t>
      </w:r>
      <w:proofErr w:type="spellEnd"/>
      <w:r w:rsidRPr="007D5DA7">
        <w:rPr>
          <w:rFonts w:asciiTheme="minorHAnsi" w:hAnsiTheme="minorHAnsi" w:cstheme="minorHAnsi"/>
          <w:bCs/>
          <w:sz w:val="21"/>
          <w:szCs w:val="21"/>
        </w:rPr>
        <w:t>, sin embargo, gracias a esta característica, es la principal fuente de energía para la producción de energía para uso doméstico.</w:t>
      </w:r>
    </w:p>
    <w:p w:rsidR="008C2FDE" w:rsidRPr="007D5DA7" w:rsidRDefault="008C2FDE" w:rsidP="008C2FDE">
      <w:pPr>
        <w:jc w:val="both"/>
        <w:rPr>
          <w:rFonts w:asciiTheme="minorHAnsi" w:hAnsiTheme="minorHAnsi" w:cstheme="minorHAnsi"/>
          <w:bCs/>
          <w:sz w:val="21"/>
          <w:szCs w:val="21"/>
        </w:rPr>
      </w:pPr>
      <w:r w:rsidRPr="007D5DA7">
        <w:rPr>
          <w:rFonts w:asciiTheme="minorHAnsi" w:hAnsiTheme="minorHAnsi" w:cstheme="minorHAnsi"/>
          <w:bCs/>
          <w:sz w:val="21"/>
          <w:szCs w:val="21"/>
        </w:rPr>
        <w:t>El Istmo, al ser un crudo ligero, puede dar mayor rendimiento en la producción de gasolinas y destilados intermedios (productos derivados del petróleo que se obtienen en el intervalo "medio" de ebullición, entre 180°C y 360°C).</w:t>
      </w:r>
    </w:p>
    <w:p w:rsidR="008C2FDE" w:rsidRPr="007D5DA7" w:rsidRDefault="008C2FDE" w:rsidP="008C2FDE">
      <w:pPr>
        <w:jc w:val="both"/>
        <w:rPr>
          <w:rFonts w:asciiTheme="minorHAnsi" w:hAnsiTheme="minorHAnsi" w:cstheme="minorHAnsi"/>
          <w:bCs/>
          <w:sz w:val="21"/>
          <w:szCs w:val="21"/>
        </w:rPr>
      </w:pPr>
      <w:r w:rsidRPr="007D5DA7">
        <w:rPr>
          <w:rFonts w:asciiTheme="minorHAnsi" w:hAnsiTheme="minorHAnsi" w:cstheme="minorHAnsi"/>
          <w:bCs/>
          <w:sz w:val="21"/>
          <w:szCs w:val="21"/>
        </w:rPr>
        <w:t>La mezcla Olmeca está considerada como “extra ligera”, característica que la hace útil para la producción de lubricantes y petroquímicos.</w:t>
      </w:r>
    </w:p>
    <w:p w:rsidR="008C2FDE" w:rsidRPr="00060D88" w:rsidRDefault="00C264F4" w:rsidP="008C2FDE">
      <w:pPr>
        <w:jc w:val="both"/>
        <w:rPr>
          <w:rFonts w:asciiTheme="minorHAnsi" w:hAnsiTheme="minorHAnsi" w:cstheme="minorHAnsi"/>
          <w:b/>
        </w:rPr>
      </w:pPr>
      <w:r>
        <w:rPr>
          <w:rFonts w:asciiTheme="minorHAnsi" w:hAnsiTheme="minorHAnsi" w:cstheme="minorHAnsi"/>
          <w:b/>
        </w:rPr>
        <w:t>1.</w:t>
      </w:r>
      <w:r w:rsidR="008C2FDE" w:rsidRPr="00060D88">
        <w:rPr>
          <w:rFonts w:asciiTheme="minorHAnsi" w:hAnsiTheme="minorHAnsi" w:cstheme="minorHAnsi"/>
          <w:b/>
        </w:rPr>
        <w:t>2.6.- Remesas recibidas de los paisanos que trabajan en el extranjero.</w:t>
      </w:r>
    </w:p>
    <w:p w:rsidR="008C2FDE" w:rsidRPr="007D5DA7" w:rsidRDefault="008C2FDE" w:rsidP="008C2FDE">
      <w:pPr>
        <w:jc w:val="both"/>
        <w:rPr>
          <w:rFonts w:asciiTheme="minorHAnsi" w:hAnsiTheme="minorHAnsi" w:cstheme="minorHAnsi"/>
          <w:bCs/>
          <w:sz w:val="21"/>
          <w:szCs w:val="21"/>
        </w:rPr>
      </w:pPr>
      <w:r w:rsidRPr="007D5DA7">
        <w:rPr>
          <w:rFonts w:asciiTheme="minorHAnsi" w:hAnsiTheme="minorHAnsi" w:cstheme="minorHAnsi"/>
          <w:bCs/>
          <w:sz w:val="21"/>
          <w:szCs w:val="21"/>
        </w:rPr>
        <w:t>Las remesas contribuyen a la macroeconomía de las naciones a donde son enviadas, impactando en el consumo global. A nivel microeconómico, en la economía del hogar, ayudan a las familias que las reciben en sus gastos cotidianos.</w:t>
      </w:r>
    </w:p>
    <w:p w:rsidR="008C2FDE" w:rsidRPr="007D5DA7" w:rsidRDefault="008C2FDE" w:rsidP="008C2FDE">
      <w:pPr>
        <w:jc w:val="both"/>
        <w:rPr>
          <w:rFonts w:asciiTheme="minorHAnsi" w:hAnsiTheme="minorHAnsi" w:cstheme="minorHAnsi"/>
          <w:bCs/>
          <w:sz w:val="21"/>
          <w:szCs w:val="21"/>
        </w:rPr>
      </w:pPr>
      <w:r w:rsidRPr="007D5DA7">
        <w:rPr>
          <w:rFonts w:asciiTheme="minorHAnsi" w:hAnsiTheme="minorHAnsi" w:cstheme="minorHAnsi"/>
          <w:bCs/>
          <w:sz w:val="21"/>
          <w:szCs w:val="21"/>
        </w:rPr>
        <w:lastRenderedPageBreak/>
        <w:t>La principal fuente de ingresos al país fueron las remesas recibidas desde el extranjero, pero prevé una afectación negativa ante el aumento de la tasa de desempleo en Estados Unidos.</w:t>
      </w:r>
    </w:p>
    <w:p w:rsidR="008C2FDE" w:rsidRPr="007D5DA7" w:rsidRDefault="008C2FDE" w:rsidP="00AA300D">
      <w:pPr>
        <w:jc w:val="both"/>
        <w:rPr>
          <w:rFonts w:asciiTheme="minorHAnsi" w:hAnsiTheme="minorHAnsi" w:cstheme="minorHAnsi"/>
          <w:bCs/>
          <w:sz w:val="21"/>
          <w:szCs w:val="21"/>
        </w:rPr>
      </w:pPr>
      <w:r w:rsidRPr="007D5DA7">
        <w:rPr>
          <w:rFonts w:asciiTheme="minorHAnsi" w:hAnsiTheme="minorHAnsi" w:cstheme="minorHAnsi"/>
          <w:bCs/>
          <w:sz w:val="21"/>
          <w:szCs w:val="21"/>
        </w:rPr>
        <w:t>México ha podido mantener una importante estabilidad en materia económica, así como una recuperación en varios ámbitos luego de diversos acontecimientos mundiales que provocaron importantes alteraciones. Uno de los pilares que durante 2022 fue clave para la economía nacional fue la cantidad histórica de remesas que se recibieron desde el extranjero, un nuevo récord que sólo en 11 meses superó cualquier año previo.</w:t>
      </w:r>
    </w:p>
    <w:p w:rsidR="008C2FDE" w:rsidRPr="007D5DA7" w:rsidRDefault="008C2FDE" w:rsidP="008C2FDE">
      <w:pPr>
        <w:jc w:val="both"/>
        <w:rPr>
          <w:rFonts w:asciiTheme="minorHAnsi" w:hAnsiTheme="minorHAnsi" w:cstheme="minorHAnsi"/>
          <w:bCs/>
          <w:sz w:val="21"/>
          <w:szCs w:val="21"/>
        </w:rPr>
      </w:pPr>
      <w:r w:rsidRPr="007D5DA7">
        <w:rPr>
          <w:rFonts w:asciiTheme="minorHAnsi" w:hAnsiTheme="minorHAnsi" w:cstheme="minorHAnsi"/>
          <w:bCs/>
          <w:sz w:val="21"/>
          <w:szCs w:val="21"/>
        </w:rPr>
        <w:t>No obstante, y a pesar de que son múltiples los indicadores que dan muestra de un fortalecimiento respecto a los dos años anteriores, el país lidió con la inflación como el principal reto. Debido al impacto que tiene directamente sobre los bolsillos de las familias mexicanas, el aumento en los precios de bienes y servicios fue el problema central que las autoridades debieron gestionar y que, para 2023, se mantendrá en esta misma condición.</w:t>
      </w:r>
    </w:p>
    <w:p w:rsidR="008C2FDE" w:rsidRPr="007D5DA7" w:rsidRDefault="008C2FDE" w:rsidP="008C2FDE">
      <w:pPr>
        <w:jc w:val="both"/>
        <w:rPr>
          <w:rFonts w:asciiTheme="minorHAnsi" w:hAnsiTheme="minorHAnsi" w:cstheme="minorHAnsi"/>
          <w:bCs/>
          <w:sz w:val="21"/>
          <w:szCs w:val="21"/>
        </w:rPr>
      </w:pPr>
      <w:r w:rsidRPr="007D5DA7">
        <w:rPr>
          <w:rFonts w:asciiTheme="minorHAnsi" w:hAnsiTheme="minorHAnsi" w:cstheme="minorHAnsi"/>
          <w:bCs/>
          <w:sz w:val="21"/>
          <w:szCs w:val="21"/>
        </w:rPr>
        <w:t>En relación al dinero enviado desde el extranjero, el Banco de México calcula que se han recibido más de 53 mil millones de dólares (</w:t>
      </w:r>
      <w:proofErr w:type="spellStart"/>
      <w:r w:rsidRPr="007D5DA7">
        <w:rPr>
          <w:rFonts w:asciiTheme="minorHAnsi" w:hAnsiTheme="minorHAnsi" w:cstheme="minorHAnsi"/>
          <w:bCs/>
          <w:sz w:val="21"/>
          <w:szCs w:val="21"/>
        </w:rPr>
        <w:t>mmdd</w:t>
      </w:r>
      <w:proofErr w:type="spellEnd"/>
      <w:r w:rsidRPr="007D5DA7">
        <w:rPr>
          <w:rFonts w:asciiTheme="minorHAnsi" w:hAnsiTheme="minorHAnsi" w:cstheme="minorHAnsi"/>
          <w:bCs/>
          <w:sz w:val="21"/>
          <w:szCs w:val="21"/>
        </w:rPr>
        <w:t xml:space="preserve">) de enero a noviembre de 2022. Con ello, se ha superado el máximo histórico de 51.5 </w:t>
      </w:r>
      <w:proofErr w:type="spellStart"/>
      <w:r w:rsidRPr="007D5DA7">
        <w:rPr>
          <w:rFonts w:asciiTheme="minorHAnsi" w:hAnsiTheme="minorHAnsi" w:cstheme="minorHAnsi"/>
          <w:bCs/>
          <w:sz w:val="21"/>
          <w:szCs w:val="21"/>
        </w:rPr>
        <w:t>mmdd</w:t>
      </w:r>
      <w:proofErr w:type="spellEnd"/>
      <w:r w:rsidRPr="007D5DA7">
        <w:rPr>
          <w:rFonts w:asciiTheme="minorHAnsi" w:hAnsiTheme="minorHAnsi" w:cstheme="minorHAnsi"/>
          <w:bCs/>
          <w:sz w:val="21"/>
          <w:szCs w:val="21"/>
        </w:rPr>
        <w:t xml:space="preserve"> registrado durante 2021. Sin embargo, con diciembre aún por contabilizar la cifra se acercará a los 60 </w:t>
      </w:r>
      <w:proofErr w:type="spellStart"/>
      <w:r w:rsidRPr="007D5DA7">
        <w:rPr>
          <w:rFonts w:asciiTheme="minorHAnsi" w:hAnsiTheme="minorHAnsi" w:cstheme="minorHAnsi"/>
          <w:bCs/>
          <w:sz w:val="21"/>
          <w:szCs w:val="21"/>
        </w:rPr>
        <w:t>mmdd</w:t>
      </w:r>
      <w:proofErr w:type="spellEnd"/>
      <w:r w:rsidRPr="007D5DA7">
        <w:rPr>
          <w:rFonts w:asciiTheme="minorHAnsi" w:hAnsiTheme="minorHAnsi" w:cstheme="minorHAnsi"/>
          <w:bCs/>
          <w:sz w:val="21"/>
          <w:szCs w:val="21"/>
        </w:rPr>
        <w:t>, algo nunca antes visto en la economía mexicana.</w:t>
      </w:r>
    </w:p>
    <w:p w:rsidR="008C2FDE" w:rsidRPr="00060D88" w:rsidRDefault="00C264F4" w:rsidP="008C2FDE">
      <w:pPr>
        <w:pStyle w:val="NormalWeb"/>
        <w:spacing w:before="0" w:beforeAutospacing="0" w:after="0" w:afterAutospacing="0"/>
        <w:jc w:val="both"/>
        <w:rPr>
          <w:rFonts w:asciiTheme="minorHAnsi" w:hAnsiTheme="minorHAnsi" w:cstheme="minorHAnsi"/>
          <w:b/>
          <w:sz w:val="22"/>
          <w:szCs w:val="22"/>
        </w:rPr>
      </w:pPr>
      <w:r>
        <w:rPr>
          <w:rFonts w:asciiTheme="minorHAnsi" w:hAnsiTheme="minorHAnsi" w:cstheme="minorHAnsi"/>
          <w:b/>
          <w:sz w:val="22"/>
          <w:szCs w:val="22"/>
        </w:rPr>
        <w:t>1.</w:t>
      </w:r>
      <w:r w:rsidR="008C2FDE" w:rsidRPr="00060D88">
        <w:rPr>
          <w:rFonts w:asciiTheme="minorHAnsi" w:hAnsiTheme="minorHAnsi" w:cstheme="minorHAnsi"/>
          <w:b/>
          <w:sz w:val="22"/>
          <w:szCs w:val="22"/>
        </w:rPr>
        <w:t>2.7.- Bolsa Mexicana de Valores y Bolsa Institucional de Valores.</w:t>
      </w:r>
    </w:p>
    <w:p w:rsidR="008C2FDE" w:rsidRPr="00060D88" w:rsidRDefault="008C2FDE" w:rsidP="008C2FDE">
      <w:pPr>
        <w:pStyle w:val="NormalWeb"/>
        <w:spacing w:before="0" w:beforeAutospacing="0" w:after="0" w:afterAutospacing="0"/>
        <w:jc w:val="both"/>
        <w:rPr>
          <w:rFonts w:asciiTheme="minorHAnsi" w:hAnsiTheme="minorHAnsi" w:cstheme="minorHAnsi"/>
          <w:b/>
          <w:sz w:val="22"/>
          <w:szCs w:val="22"/>
        </w:rPr>
      </w:pPr>
    </w:p>
    <w:p w:rsidR="008C2FDE" w:rsidRPr="007D5DA7" w:rsidRDefault="008C2FDE" w:rsidP="008C2FDE">
      <w:pPr>
        <w:jc w:val="both"/>
        <w:rPr>
          <w:rFonts w:asciiTheme="minorHAnsi" w:hAnsiTheme="minorHAnsi" w:cstheme="minorHAnsi"/>
          <w:bCs/>
          <w:sz w:val="21"/>
          <w:szCs w:val="21"/>
        </w:rPr>
      </w:pPr>
      <w:r w:rsidRPr="007D5DA7">
        <w:rPr>
          <w:rFonts w:asciiTheme="minorHAnsi" w:hAnsiTheme="minorHAnsi" w:cstheme="minorHAnsi"/>
          <w:bCs/>
          <w:sz w:val="21"/>
          <w:szCs w:val="21"/>
        </w:rPr>
        <w:t xml:space="preserve">En un año marcado por las políticas restrictivas de los bancos centrales, por la inflación y la incertidumbre ante el conflicto ruso en Ucrania y el aumento de contagios de </w:t>
      </w:r>
      <w:proofErr w:type="spellStart"/>
      <w:r w:rsidRPr="007D5DA7">
        <w:rPr>
          <w:rFonts w:asciiTheme="minorHAnsi" w:hAnsiTheme="minorHAnsi" w:cstheme="minorHAnsi"/>
          <w:bCs/>
          <w:sz w:val="21"/>
          <w:szCs w:val="21"/>
        </w:rPr>
        <w:t>covid</w:t>
      </w:r>
      <w:proofErr w:type="spellEnd"/>
      <w:r w:rsidRPr="007D5DA7">
        <w:rPr>
          <w:rFonts w:asciiTheme="minorHAnsi" w:hAnsiTheme="minorHAnsi" w:cstheme="minorHAnsi"/>
          <w:bCs/>
          <w:sz w:val="21"/>
          <w:szCs w:val="21"/>
        </w:rPr>
        <w:t xml:space="preserve"> en China, la Bolsa Mexicana de Valores ha seguido la estela de las grandes Bolsas mundiales, que se han teñido de rojo, y concluye 2022 con una caída del 9%, su peor resultado desde 2018, año en que su pérdida fue del 15%, y el éxodo de empresas. </w:t>
      </w:r>
    </w:p>
    <w:p w:rsidR="008C2FDE" w:rsidRPr="007D5DA7" w:rsidRDefault="008C2FDE" w:rsidP="008C2FDE">
      <w:pPr>
        <w:jc w:val="both"/>
        <w:rPr>
          <w:rFonts w:asciiTheme="minorHAnsi" w:hAnsiTheme="minorHAnsi" w:cstheme="minorHAnsi"/>
          <w:bCs/>
          <w:sz w:val="21"/>
          <w:szCs w:val="21"/>
        </w:rPr>
      </w:pPr>
      <w:r w:rsidRPr="007D5DA7">
        <w:rPr>
          <w:rFonts w:asciiTheme="minorHAnsi" w:hAnsiTheme="minorHAnsi" w:cstheme="minorHAnsi"/>
          <w:bCs/>
          <w:sz w:val="21"/>
          <w:szCs w:val="21"/>
        </w:rPr>
        <w:t>El índice IPC de la Bolsa Mexicana de Valores (BMV) —integrado por las 36 firmas más líquidas del mercado doméstico cerró con 48.463,8 puntos, un 9% menos respecto a las 53.175,2 unidades reportadas el 30 de diciembre de 2021.</w:t>
      </w:r>
    </w:p>
    <w:p w:rsidR="008C2FDE" w:rsidRPr="00060D88" w:rsidRDefault="00C264F4" w:rsidP="008C2FDE">
      <w:pPr>
        <w:pStyle w:val="NormalWeb"/>
        <w:spacing w:before="0" w:beforeAutospacing="0" w:after="0" w:afterAutospacing="0"/>
        <w:jc w:val="both"/>
        <w:rPr>
          <w:rFonts w:asciiTheme="minorHAnsi" w:hAnsiTheme="minorHAnsi" w:cstheme="minorHAnsi"/>
          <w:b/>
          <w:sz w:val="22"/>
          <w:szCs w:val="22"/>
        </w:rPr>
      </w:pPr>
      <w:r>
        <w:rPr>
          <w:rFonts w:asciiTheme="minorHAnsi" w:hAnsiTheme="minorHAnsi" w:cstheme="minorHAnsi"/>
          <w:b/>
          <w:sz w:val="22"/>
          <w:szCs w:val="22"/>
        </w:rPr>
        <w:t>1</w:t>
      </w:r>
      <w:r w:rsidR="008C2FDE" w:rsidRPr="00060D88">
        <w:rPr>
          <w:rFonts w:asciiTheme="minorHAnsi" w:hAnsiTheme="minorHAnsi" w:cstheme="minorHAnsi"/>
          <w:b/>
          <w:sz w:val="22"/>
          <w:szCs w:val="22"/>
        </w:rPr>
        <w:t xml:space="preserve">.3.- Escenario Económico Estatal al cierre del </w:t>
      </w:r>
      <w:r w:rsidR="00060D88">
        <w:rPr>
          <w:rFonts w:asciiTheme="minorHAnsi" w:hAnsiTheme="minorHAnsi" w:cstheme="minorHAnsi"/>
          <w:b/>
          <w:sz w:val="22"/>
          <w:szCs w:val="22"/>
        </w:rPr>
        <w:t>ejercicio</w:t>
      </w:r>
      <w:r w:rsidR="008C2FDE" w:rsidRPr="00060D88">
        <w:rPr>
          <w:rFonts w:asciiTheme="minorHAnsi" w:hAnsiTheme="minorHAnsi" w:cstheme="minorHAnsi"/>
          <w:b/>
          <w:sz w:val="22"/>
          <w:szCs w:val="22"/>
        </w:rPr>
        <w:t xml:space="preserve"> 2022. </w:t>
      </w:r>
    </w:p>
    <w:p w:rsidR="008C2FDE" w:rsidRPr="00060D88" w:rsidRDefault="00C264F4" w:rsidP="008C2FDE">
      <w:pPr>
        <w:jc w:val="both"/>
        <w:rPr>
          <w:rFonts w:asciiTheme="minorHAnsi" w:hAnsiTheme="minorHAnsi" w:cstheme="minorHAnsi"/>
          <w:b/>
          <w:bCs/>
        </w:rPr>
      </w:pPr>
      <w:r>
        <w:rPr>
          <w:rFonts w:asciiTheme="minorHAnsi" w:hAnsiTheme="minorHAnsi" w:cstheme="minorHAnsi"/>
          <w:b/>
          <w:bCs/>
        </w:rPr>
        <w:t>1</w:t>
      </w:r>
      <w:r w:rsidR="008C2FDE" w:rsidRPr="00060D88">
        <w:rPr>
          <w:rFonts w:asciiTheme="minorHAnsi" w:hAnsiTheme="minorHAnsi" w:cstheme="minorHAnsi"/>
          <w:b/>
          <w:bCs/>
        </w:rPr>
        <w:t>.3.1. Tamaulipas y la frontera norte, fortaleza del comercio exterior de México.</w:t>
      </w:r>
    </w:p>
    <w:p w:rsidR="008C2FDE" w:rsidRPr="007D5DA7" w:rsidRDefault="008C2FDE" w:rsidP="008C2FDE">
      <w:pPr>
        <w:jc w:val="both"/>
        <w:rPr>
          <w:rFonts w:asciiTheme="minorHAnsi" w:hAnsiTheme="minorHAnsi" w:cstheme="minorHAnsi"/>
          <w:sz w:val="21"/>
          <w:szCs w:val="21"/>
        </w:rPr>
      </w:pPr>
      <w:r w:rsidRPr="007D5DA7">
        <w:rPr>
          <w:rFonts w:asciiTheme="minorHAnsi" w:hAnsiTheme="minorHAnsi" w:cstheme="minorHAnsi"/>
          <w:sz w:val="21"/>
          <w:szCs w:val="21"/>
        </w:rPr>
        <w:t>Tamaulipas es una entidad federativa ubicada en la frontera norte del país, con una extensión territorial de 80,249 kilómetros cuadrados, comparte con los Estados Unidos de América una frontera común de 370 kilómetros con el Estado de Texas, colinda también con los Estados de Nuevo León, Veracruz y San Luis Potosí, además cuenta con un litoral de 433 kilómetros con el Golfo de México, que incluye la operación de los Puertos de Tampico, Altamira y Matamoros.</w:t>
      </w:r>
    </w:p>
    <w:p w:rsidR="008C2FDE" w:rsidRPr="007D5DA7" w:rsidRDefault="008C2FDE" w:rsidP="008C2FDE">
      <w:pPr>
        <w:jc w:val="both"/>
        <w:rPr>
          <w:rFonts w:asciiTheme="minorHAnsi" w:hAnsiTheme="minorHAnsi" w:cstheme="minorHAnsi"/>
          <w:sz w:val="21"/>
          <w:szCs w:val="21"/>
        </w:rPr>
      </w:pPr>
      <w:r w:rsidRPr="007D5DA7">
        <w:rPr>
          <w:rFonts w:asciiTheme="minorHAnsi" w:hAnsiTheme="minorHAnsi" w:cstheme="minorHAnsi"/>
          <w:sz w:val="21"/>
          <w:szCs w:val="21"/>
        </w:rPr>
        <w:t>En el rubro de servicios de aeronavegación, Tamaulipas cuenta con los Aeropuertos internacionales de Tampico, Cd. Victoria, Matamoros, Reynosa y Nuevo Laredo.</w:t>
      </w:r>
    </w:p>
    <w:p w:rsidR="008C2FDE" w:rsidRPr="007D5DA7" w:rsidRDefault="008C2FDE" w:rsidP="008C2FDE">
      <w:pPr>
        <w:jc w:val="both"/>
        <w:rPr>
          <w:rFonts w:asciiTheme="minorHAnsi" w:hAnsiTheme="minorHAnsi" w:cstheme="minorHAnsi"/>
          <w:sz w:val="21"/>
          <w:szCs w:val="21"/>
        </w:rPr>
      </w:pPr>
      <w:r w:rsidRPr="007D5DA7">
        <w:rPr>
          <w:rFonts w:asciiTheme="minorHAnsi" w:hAnsiTheme="minorHAnsi" w:cstheme="minorHAnsi"/>
          <w:sz w:val="21"/>
          <w:szCs w:val="21"/>
        </w:rPr>
        <w:t>En su importante relación comercial con los Estados Unidos, Tamaulipas comparte con el Estado de Texas un total de 18 cruces internacionales, de los cuales 9 son comerciales, 7 vehiculares y 2 ferroviarios.</w:t>
      </w:r>
    </w:p>
    <w:p w:rsidR="008C2FDE" w:rsidRPr="007D5DA7" w:rsidRDefault="008C2FDE" w:rsidP="008C2FDE">
      <w:pPr>
        <w:jc w:val="both"/>
        <w:rPr>
          <w:rFonts w:asciiTheme="minorHAnsi" w:hAnsiTheme="minorHAnsi" w:cstheme="minorHAnsi"/>
          <w:sz w:val="21"/>
          <w:szCs w:val="21"/>
        </w:rPr>
      </w:pPr>
      <w:r w:rsidRPr="007D5DA7">
        <w:rPr>
          <w:rFonts w:asciiTheme="minorHAnsi" w:hAnsiTheme="minorHAnsi" w:cstheme="minorHAnsi"/>
          <w:sz w:val="21"/>
          <w:szCs w:val="21"/>
        </w:rPr>
        <w:lastRenderedPageBreak/>
        <w:t xml:space="preserve">De acuerdo al último Censo de Población y Vivienda 2020 publicado por el INEGI, Tamaulipas cuenta con una población de 3.52 millones de habitantes, de los cuales un 61.3% está clasificada como población económicamente activa (PEA), ello considerando a un universo de población de 12 años y más. De este universo, un 40.3% son mujeres, y el restante 59.7% son hombres. </w:t>
      </w:r>
    </w:p>
    <w:p w:rsidR="008C2FDE" w:rsidRPr="00060D88" w:rsidRDefault="00C264F4" w:rsidP="008C2FDE">
      <w:pPr>
        <w:jc w:val="both"/>
        <w:rPr>
          <w:rFonts w:asciiTheme="minorHAnsi" w:hAnsiTheme="minorHAnsi" w:cstheme="minorHAnsi"/>
          <w:b/>
          <w:bCs/>
        </w:rPr>
      </w:pPr>
      <w:r>
        <w:rPr>
          <w:rFonts w:asciiTheme="minorHAnsi" w:hAnsiTheme="minorHAnsi" w:cstheme="minorHAnsi"/>
          <w:b/>
          <w:bCs/>
        </w:rPr>
        <w:t>1</w:t>
      </w:r>
      <w:r w:rsidR="008C2FDE" w:rsidRPr="00060D88">
        <w:rPr>
          <w:rFonts w:asciiTheme="minorHAnsi" w:hAnsiTheme="minorHAnsi" w:cstheme="minorHAnsi"/>
          <w:b/>
          <w:bCs/>
        </w:rPr>
        <w:t>.3.2.- Captación de Inversión Extranjera Directa. (</w:t>
      </w:r>
      <w:proofErr w:type="spellStart"/>
      <w:r w:rsidR="008C2FDE" w:rsidRPr="00060D88">
        <w:rPr>
          <w:rFonts w:asciiTheme="minorHAnsi" w:hAnsiTheme="minorHAnsi" w:cstheme="minorHAnsi"/>
          <w:b/>
          <w:bCs/>
        </w:rPr>
        <w:t>IED</w:t>
      </w:r>
      <w:proofErr w:type="spellEnd"/>
      <w:r w:rsidR="008C2FDE" w:rsidRPr="00060D88">
        <w:rPr>
          <w:rFonts w:asciiTheme="minorHAnsi" w:hAnsiTheme="minorHAnsi" w:cstheme="minorHAnsi"/>
          <w:b/>
          <w:bCs/>
        </w:rPr>
        <w:t xml:space="preserve">) </w:t>
      </w:r>
    </w:p>
    <w:p w:rsidR="008C2FDE" w:rsidRPr="007D5DA7" w:rsidRDefault="008C2FDE" w:rsidP="008C2FDE">
      <w:pPr>
        <w:jc w:val="both"/>
        <w:rPr>
          <w:rFonts w:asciiTheme="minorHAnsi" w:hAnsiTheme="minorHAnsi" w:cstheme="minorHAnsi"/>
          <w:sz w:val="21"/>
          <w:szCs w:val="21"/>
        </w:rPr>
      </w:pPr>
      <w:r w:rsidRPr="007D5DA7">
        <w:rPr>
          <w:rFonts w:asciiTheme="minorHAnsi" w:hAnsiTheme="minorHAnsi" w:cstheme="minorHAnsi"/>
          <w:sz w:val="21"/>
          <w:szCs w:val="21"/>
        </w:rPr>
        <w:t xml:space="preserve">Según el último Informe Estadístico sobre el Comportamiento de la Inversión Extranjera Directa en México, emitido por la Comisión Nacional de Inversiones Extranjeras, entre </w:t>
      </w:r>
      <w:proofErr w:type="gramStart"/>
      <w:r w:rsidRPr="007D5DA7">
        <w:rPr>
          <w:rFonts w:asciiTheme="minorHAnsi" w:hAnsiTheme="minorHAnsi" w:cstheme="minorHAnsi"/>
          <w:sz w:val="21"/>
          <w:szCs w:val="21"/>
        </w:rPr>
        <w:t>los mes</w:t>
      </w:r>
      <w:proofErr w:type="gramEnd"/>
      <w:r w:rsidRPr="007D5DA7">
        <w:rPr>
          <w:rFonts w:asciiTheme="minorHAnsi" w:hAnsiTheme="minorHAnsi" w:cstheme="minorHAnsi"/>
          <w:sz w:val="21"/>
          <w:szCs w:val="21"/>
        </w:rPr>
        <w:t xml:space="preserve"> de enero y septiembre de 2022, México registró 32,147.4 millones de dólares (</w:t>
      </w:r>
      <w:proofErr w:type="spellStart"/>
      <w:r w:rsidRPr="007D5DA7">
        <w:rPr>
          <w:rFonts w:asciiTheme="minorHAnsi" w:hAnsiTheme="minorHAnsi" w:cstheme="minorHAnsi"/>
          <w:sz w:val="21"/>
          <w:szCs w:val="21"/>
        </w:rPr>
        <w:t>mdd</w:t>
      </w:r>
      <w:proofErr w:type="spellEnd"/>
      <w:r w:rsidRPr="007D5DA7">
        <w:rPr>
          <w:rFonts w:asciiTheme="minorHAnsi" w:hAnsiTheme="minorHAnsi" w:cstheme="minorHAnsi"/>
          <w:sz w:val="21"/>
          <w:szCs w:val="21"/>
        </w:rPr>
        <w:t xml:space="preserve">) por concepto de Inversión Extranjera Directa, cifra 29.5% mayor que la cifra preliminar del mismo periodo de 2021 (24,831.7 </w:t>
      </w:r>
      <w:proofErr w:type="spellStart"/>
      <w:r w:rsidRPr="007D5DA7">
        <w:rPr>
          <w:rFonts w:asciiTheme="minorHAnsi" w:hAnsiTheme="minorHAnsi" w:cstheme="minorHAnsi"/>
          <w:sz w:val="21"/>
          <w:szCs w:val="21"/>
        </w:rPr>
        <w:t>mdd</w:t>
      </w:r>
      <w:proofErr w:type="spellEnd"/>
      <w:r w:rsidRPr="007D5DA7">
        <w:rPr>
          <w:rFonts w:asciiTheme="minorHAnsi" w:hAnsiTheme="minorHAnsi" w:cstheme="minorHAnsi"/>
          <w:sz w:val="21"/>
          <w:szCs w:val="21"/>
        </w:rPr>
        <w:t>).</w:t>
      </w:r>
    </w:p>
    <w:p w:rsidR="008C2FDE" w:rsidRPr="007D5DA7" w:rsidRDefault="008C2FDE" w:rsidP="008C2FDE">
      <w:pPr>
        <w:jc w:val="both"/>
        <w:rPr>
          <w:rFonts w:asciiTheme="minorHAnsi" w:hAnsiTheme="minorHAnsi" w:cstheme="minorHAnsi"/>
          <w:sz w:val="21"/>
          <w:szCs w:val="21"/>
        </w:rPr>
      </w:pPr>
      <w:r w:rsidRPr="007D5DA7">
        <w:rPr>
          <w:rFonts w:asciiTheme="minorHAnsi" w:hAnsiTheme="minorHAnsi" w:cstheme="minorHAnsi"/>
          <w:sz w:val="21"/>
          <w:szCs w:val="21"/>
        </w:rPr>
        <w:t>Informando que de lo anterior el Estado de Tamaulipas captó un total de 834.0 millones de dólares, con una participación del 2.6 % a nivel nacional, posicionándose con ello en el noveno lugar de participación según su acumulado histórico de Inversión Extranjera Directa por el periodo acumulado de 1999 a 2022, con un valor de inversión de 24,815.9 millones dólares (</w:t>
      </w:r>
      <w:proofErr w:type="spellStart"/>
      <w:r w:rsidRPr="007D5DA7">
        <w:rPr>
          <w:rFonts w:asciiTheme="minorHAnsi" w:hAnsiTheme="minorHAnsi" w:cstheme="minorHAnsi"/>
          <w:sz w:val="21"/>
          <w:szCs w:val="21"/>
        </w:rPr>
        <w:t>mdd</w:t>
      </w:r>
      <w:proofErr w:type="spellEnd"/>
      <w:r w:rsidRPr="007D5DA7">
        <w:rPr>
          <w:rFonts w:asciiTheme="minorHAnsi" w:hAnsiTheme="minorHAnsi" w:cstheme="minorHAnsi"/>
          <w:sz w:val="21"/>
          <w:szCs w:val="21"/>
        </w:rPr>
        <w:t>) alcanzando un porcentaje de participación del 3.7%.</w:t>
      </w:r>
    </w:p>
    <w:p w:rsidR="008C2FDE" w:rsidRPr="007D5DA7" w:rsidRDefault="008C2FDE" w:rsidP="008C2FDE">
      <w:pPr>
        <w:jc w:val="both"/>
        <w:rPr>
          <w:rFonts w:asciiTheme="minorHAnsi" w:hAnsiTheme="minorHAnsi" w:cstheme="minorHAnsi"/>
          <w:sz w:val="21"/>
          <w:szCs w:val="21"/>
        </w:rPr>
      </w:pPr>
      <w:r w:rsidRPr="007D5DA7">
        <w:rPr>
          <w:rFonts w:asciiTheme="minorHAnsi" w:hAnsiTheme="minorHAnsi" w:cstheme="minorHAnsi"/>
          <w:sz w:val="21"/>
          <w:szCs w:val="21"/>
        </w:rPr>
        <w:t>La información oficial anterior puede ser consultada en la siguiente liga.</w:t>
      </w:r>
    </w:p>
    <w:p w:rsidR="008C2FDE" w:rsidRPr="00E850D6" w:rsidRDefault="008C2FDE" w:rsidP="008C2FDE">
      <w:pPr>
        <w:jc w:val="both"/>
        <w:rPr>
          <w:rFonts w:asciiTheme="minorHAnsi" w:hAnsiTheme="minorHAnsi" w:cstheme="minorHAnsi"/>
          <w:b/>
          <w:sz w:val="18"/>
          <w:szCs w:val="18"/>
        </w:rPr>
      </w:pPr>
      <w:r w:rsidRPr="00E850D6">
        <w:rPr>
          <w:rFonts w:asciiTheme="minorHAnsi" w:hAnsiTheme="minorHAnsi" w:cstheme="minorHAnsi"/>
          <w:b/>
          <w:sz w:val="18"/>
          <w:szCs w:val="18"/>
        </w:rPr>
        <w:t>COMISIÓN NACIONAL DE INVERSIONES EXTRANJERAS (</w:t>
      </w:r>
      <w:hyperlink r:id="rId13" w:history="1">
        <w:r w:rsidRPr="00E850D6">
          <w:rPr>
            <w:rStyle w:val="Hipervnculo"/>
            <w:rFonts w:asciiTheme="minorHAnsi" w:hAnsiTheme="minorHAnsi" w:cstheme="minorHAnsi"/>
            <w:b/>
            <w:sz w:val="18"/>
            <w:szCs w:val="18"/>
          </w:rPr>
          <w:t>www.gob.mx</w:t>
        </w:r>
      </w:hyperlink>
      <w:r w:rsidRPr="00E850D6">
        <w:rPr>
          <w:rFonts w:asciiTheme="minorHAnsi" w:hAnsiTheme="minorHAnsi" w:cstheme="minorHAnsi"/>
          <w:b/>
          <w:sz w:val="18"/>
          <w:szCs w:val="18"/>
        </w:rPr>
        <w:t>)</w:t>
      </w:r>
    </w:p>
    <w:p w:rsidR="008C2FDE" w:rsidRPr="00060D88" w:rsidRDefault="00C264F4" w:rsidP="008C2FDE">
      <w:pPr>
        <w:jc w:val="both"/>
        <w:rPr>
          <w:rFonts w:asciiTheme="minorHAnsi" w:hAnsiTheme="minorHAnsi" w:cstheme="minorHAnsi"/>
          <w:b/>
        </w:rPr>
      </w:pPr>
      <w:r>
        <w:rPr>
          <w:rFonts w:asciiTheme="minorHAnsi" w:hAnsiTheme="minorHAnsi" w:cstheme="minorHAnsi"/>
          <w:b/>
          <w:bCs/>
        </w:rPr>
        <w:t>1.</w:t>
      </w:r>
      <w:r w:rsidR="008C2FDE" w:rsidRPr="00060D88">
        <w:rPr>
          <w:rFonts w:asciiTheme="minorHAnsi" w:hAnsiTheme="minorHAnsi" w:cstheme="minorHAnsi"/>
          <w:b/>
          <w:bCs/>
        </w:rPr>
        <w:t>3.3.- Producto Interno Bruto Estatal. (PIB Estatal)</w:t>
      </w:r>
    </w:p>
    <w:p w:rsidR="008C2FDE" w:rsidRPr="007D5DA7" w:rsidRDefault="008C2FDE" w:rsidP="008C2FDE">
      <w:pPr>
        <w:jc w:val="both"/>
        <w:rPr>
          <w:rFonts w:asciiTheme="minorHAnsi" w:hAnsiTheme="minorHAnsi" w:cstheme="minorHAnsi"/>
          <w:sz w:val="21"/>
          <w:szCs w:val="21"/>
        </w:rPr>
      </w:pPr>
      <w:r w:rsidRPr="007D5DA7">
        <w:rPr>
          <w:rFonts w:asciiTheme="minorHAnsi" w:hAnsiTheme="minorHAnsi" w:cstheme="minorHAnsi"/>
          <w:sz w:val="21"/>
          <w:szCs w:val="21"/>
        </w:rPr>
        <w:t>Durante el segundo trimestre de 2022, la actividad económica de Tamaulipas mostró un crecimiento anual de 3 %, que resultó del avance de las Actividades Primarias, Secundarias y Terciarias de 44.7, 3 y 1.8 %, respectivamente.</w:t>
      </w:r>
    </w:p>
    <w:p w:rsidR="008C2FDE" w:rsidRPr="007D5DA7" w:rsidRDefault="008C2FDE" w:rsidP="008C2FDE">
      <w:pPr>
        <w:jc w:val="both"/>
        <w:rPr>
          <w:rFonts w:asciiTheme="minorHAnsi" w:hAnsiTheme="minorHAnsi" w:cstheme="minorHAnsi"/>
          <w:sz w:val="21"/>
          <w:szCs w:val="21"/>
        </w:rPr>
      </w:pPr>
      <w:r w:rsidRPr="007D5DA7">
        <w:rPr>
          <w:rFonts w:asciiTheme="minorHAnsi" w:hAnsiTheme="minorHAnsi" w:cstheme="minorHAnsi"/>
          <w:sz w:val="21"/>
          <w:szCs w:val="21"/>
        </w:rPr>
        <w:t>Durante el periodo enero a junio de 2022, el acumulado de la actividad económica estatal creció́ 2.7 %, por el aumento en las Actividades Primarias, Secundarias y Terciarias de 28.8, 2.8 y 1.3 %, respectivamente.</w:t>
      </w:r>
    </w:p>
    <w:p w:rsidR="008C2FDE" w:rsidRPr="007D5DA7" w:rsidRDefault="008C2FDE" w:rsidP="008C2FDE">
      <w:pPr>
        <w:jc w:val="both"/>
        <w:rPr>
          <w:rFonts w:asciiTheme="minorHAnsi" w:hAnsiTheme="minorHAnsi" w:cstheme="minorHAnsi"/>
          <w:sz w:val="21"/>
          <w:szCs w:val="21"/>
        </w:rPr>
      </w:pPr>
      <w:r w:rsidRPr="007D5DA7">
        <w:rPr>
          <w:rFonts w:asciiTheme="minorHAnsi" w:hAnsiTheme="minorHAnsi" w:cstheme="minorHAnsi"/>
          <w:sz w:val="21"/>
          <w:szCs w:val="21"/>
        </w:rPr>
        <w:t>De lo cual las Actividades Terciarias contribuyeron 1.1 %, seguidas de las Secundarias con 1 %, a la variación total del estado. Por su parte, en los primeros seis meses del año, las Actividades Secundarias fueron las de mayor aportación.</w:t>
      </w:r>
    </w:p>
    <w:p w:rsidR="008C2FDE" w:rsidRPr="007D5DA7" w:rsidRDefault="008C2FDE" w:rsidP="008C2FDE">
      <w:pPr>
        <w:jc w:val="both"/>
        <w:rPr>
          <w:rFonts w:asciiTheme="minorHAnsi" w:hAnsiTheme="minorHAnsi" w:cstheme="minorHAnsi"/>
          <w:b/>
          <w:bCs/>
          <w:szCs w:val="21"/>
        </w:rPr>
      </w:pPr>
      <w:r w:rsidRPr="007D5DA7">
        <w:rPr>
          <w:rFonts w:asciiTheme="minorHAnsi" w:hAnsiTheme="minorHAnsi" w:cstheme="minorHAnsi"/>
          <w:b/>
          <w:bCs/>
          <w:szCs w:val="21"/>
        </w:rPr>
        <w:t xml:space="preserve">Actividades </w:t>
      </w:r>
      <w:proofErr w:type="gramStart"/>
      <w:r w:rsidRPr="007D5DA7">
        <w:rPr>
          <w:rFonts w:asciiTheme="minorHAnsi" w:hAnsiTheme="minorHAnsi" w:cstheme="minorHAnsi"/>
          <w:b/>
          <w:bCs/>
          <w:szCs w:val="21"/>
        </w:rPr>
        <w:t>Primarias.-</w:t>
      </w:r>
      <w:proofErr w:type="gramEnd"/>
    </w:p>
    <w:p w:rsidR="008C2FDE" w:rsidRPr="007D5DA7" w:rsidRDefault="008C2FDE" w:rsidP="008C2FDE">
      <w:pPr>
        <w:jc w:val="both"/>
        <w:rPr>
          <w:rFonts w:asciiTheme="minorHAnsi" w:hAnsiTheme="minorHAnsi" w:cstheme="minorHAnsi"/>
          <w:sz w:val="21"/>
          <w:szCs w:val="21"/>
        </w:rPr>
      </w:pPr>
      <w:r w:rsidRPr="007D5DA7">
        <w:rPr>
          <w:rFonts w:asciiTheme="minorHAnsi" w:hAnsiTheme="minorHAnsi" w:cstheme="minorHAnsi"/>
          <w:sz w:val="21"/>
          <w:szCs w:val="21"/>
        </w:rPr>
        <w:t>En el segundo trimestre de 2022, las Actividades Primarias (agricultura, cría y explotación de animales, aprovechamiento forestal, pesca y caza) reportaron un aumento anual de 44.7 %, principalmente por el comportamiento de la agricultura. Con ello, Tamaulipas se situó́ en el primer lugar a nivel nacional.</w:t>
      </w:r>
    </w:p>
    <w:p w:rsidR="008C2FDE" w:rsidRPr="007D5DA7" w:rsidRDefault="008C2FDE" w:rsidP="008C2FDE">
      <w:pPr>
        <w:jc w:val="both"/>
        <w:rPr>
          <w:rFonts w:asciiTheme="minorHAnsi" w:hAnsiTheme="minorHAnsi" w:cstheme="minorHAnsi"/>
          <w:b/>
          <w:bCs/>
          <w:szCs w:val="21"/>
        </w:rPr>
      </w:pPr>
      <w:r w:rsidRPr="007D5DA7">
        <w:rPr>
          <w:rFonts w:asciiTheme="minorHAnsi" w:hAnsiTheme="minorHAnsi" w:cstheme="minorHAnsi"/>
          <w:b/>
          <w:bCs/>
          <w:szCs w:val="21"/>
        </w:rPr>
        <w:t xml:space="preserve">Actividades </w:t>
      </w:r>
      <w:proofErr w:type="gramStart"/>
      <w:r w:rsidRPr="007D5DA7">
        <w:rPr>
          <w:rFonts w:asciiTheme="minorHAnsi" w:hAnsiTheme="minorHAnsi" w:cstheme="minorHAnsi"/>
          <w:b/>
          <w:bCs/>
          <w:szCs w:val="21"/>
        </w:rPr>
        <w:t>Secundarias.-</w:t>
      </w:r>
      <w:proofErr w:type="gramEnd"/>
    </w:p>
    <w:p w:rsidR="008C2FDE" w:rsidRDefault="008C2FDE" w:rsidP="008C2FDE">
      <w:pPr>
        <w:jc w:val="both"/>
        <w:rPr>
          <w:rFonts w:asciiTheme="minorHAnsi" w:hAnsiTheme="minorHAnsi" w:cstheme="minorHAnsi"/>
          <w:sz w:val="21"/>
          <w:szCs w:val="21"/>
        </w:rPr>
      </w:pPr>
      <w:r w:rsidRPr="007D5DA7">
        <w:rPr>
          <w:rFonts w:asciiTheme="minorHAnsi" w:hAnsiTheme="minorHAnsi" w:cstheme="minorHAnsi"/>
          <w:sz w:val="21"/>
          <w:szCs w:val="21"/>
        </w:rPr>
        <w:t xml:space="preserve">Las Actividades Secundarias corresponden a los sectores dedicados a la industria de la minería, manufacturas, construcción y electricidad. El alza anual de 3 % de las Actividades Secundarias ubicó a Tamaulipas en el lugar 15 entre las 32 entidades federativas del </w:t>
      </w:r>
      <w:proofErr w:type="spellStart"/>
      <w:r w:rsidRPr="007D5DA7">
        <w:rPr>
          <w:rFonts w:asciiTheme="minorHAnsi" w:hAnsiTheme="minorHAnsi" w:cstheme="minorHAnsi"/>
          <w:sz w:val="21"/>
          <w:szCs w:val="21"/>
        </w:rPr>
        <w:t>país</w:t>
      </w:r>
      <w:proofErr w:type="spellEnd"/>
      <w:r w:rsidRPr="007D5DA7">
        <w:rPr>
          <w:rFonts w:asciiTheme="minorHAnsi" w:hAnsiTheme="minorHAnsi" w:cstheme="minorHAnsi"/>
          <w:sz w:val="21"/>
          <w:szCs w:val="21"/>
        </w:rPr>
        <w:t>.</w:t>
      </w:r>
    </w:p>
    <w:p w:rsidR="007D5DA7" w:rsidRPr="007D5DA7" w:rsidRDefault="007D5DA7" w:rsidP="008C2FDE">
      <w:pPr>
        <w:jc w:val="both"/>
        <w:rPr>
          <w:rFonts w:asciiTheme="minorHAnsi" w:hAnsiTheme="minorHAnsi" w:cstheme="minorHAnsi"/>
          <w:sz w:val="21"/>
          <w:szCs w:val="21"/>
        </w:rPr>
      </w:pPr>
    </w:p>
    <w:p w:rsidR="008C2FDE" w:rsidRPr="007D5DA7" w:rsidRDefault="008C2FDE" w:rsidP="008C2FDE">
      <w:pPr>
        <w:jc w:val="both"/>
        <w:rPr>
          <w:rFonts w:asciiTheme="minorHAnsi" w:hAnsiTheme="minorHAnsi" w:cstheme="minorHAnsi"/>
          <w:b/>
          <w:bCs/>
          <w:sz w:val="24"/>
        </w:rPr>
      </w:pPr>
      <w:r w:rsidRPr="007D5DA7">
        <w:rPr>
          <w:rFonts w:asciiTheme="minorHAnsi" w:hAnsiTheme="minorHAnsi" w:cstheme="minorHAnsi"/>
          <w:b/>
          <w:bCs/>
          <w:sz w:val="24"/>
        </w:rPr>
        <w:lastRenderedPageBreak/>
        <w:t xml:space="preserve">Actividades </w:t>
      </w:r>
      <w:proofErr w:type="gramStart"/>
      <w:r w:rsidRPr="007D5DA7">
        <w:rPr>
          <w:rFonts w:asciiTheme="minorHAnsi" w:hAnsiTheme="minorHAnsi" w:cstheme="minorHAnsi"/>
          <w:b/>
          <w:bCs/>
          <w:sz w:val="24"/>
        </w:rPr>
        <w:t>Terciarias.-</w:t>
      </w:r>
      <w:proofErr w:type="gramEnd"/>
    </w:p>
    <w:p w:rsidR="008C2FDE" w:rsidRPr="007D5DA7" w:rsidRDefault="008C2FDE" w:rsidP="007D5DA7">
      <w:pPr>
        <w:jc w:val="both"/>
        <w:rPr>
          <w:rFonts w:asciiTheme="minorHAnsi" w:hAnsiTheme="minorHAnsi" w:cstheme="minorHAnsi"/>
          <w:sz w:val="21"/>
          <w:szCs w:val="21"/>
        </w:rPr>
      </w:pPr>
      <w:r w:rsidRPr="007D5DA7">
        <w:rPr>
          <w:rFonts w:asciiTheme="minorHAnsi" w:hAnsiTheme="minorHAnsi" w:cstheme="minorHAnsi"/>
          <w:sz w:val="21"/>
          <w:szCs w:val="21"/>
        </w:rPr>
        <w:t>Las Actividades Terciarias incluyen los sectores dedicados a la distribución de bienes y aquellas actividades relativas a operaciones con información o con activos, así́ como a servicios cuyo insumo principal es el conocimiento y la experiencia de personal. Incluyen también los relacionados con la recreación y el gobierno, entre otros. En el segundo trimestre de 2022, Tamaulipas registró en estas actividades una variación anual de 1.8 %, lo que ubicó a este estado en el lugar 22 a nivel nacional.</w:t>
      </w:r>
    </w:p>
    <w:p w:rsidR="008C2FDE" w:rsidRPr="007D5DA7" w:rsidRDefault="008C2FDE" w:rsidP="007D5DA7">
      <w:pPr>
        <w:jc w:val="both"/>
        <w:rPr>
          <w:rFonts w:asciiTheme="minorHAnsi" w:hAnsiTheme="minorHAnsi" w:cstheme="minorHAnsi"/>
          <w:sz w:val="21"/>
          <w:szCs w:val="21"/>
        </w:rPr>
      </w:pPr>
      <w:r w:rsidRPr="007D5DA7">
        <w:rPr>
          <w:rFonts w:asciiTheme="minorHAnsi" w:hAnsiTheme="minorHAnsi" w:cstheme="minorHAnsi"/>
          <w:sz w:val="21"/>
          <w:szCs w:val="21"/>
        </w:rPr>
        <w:t>Finalmente, en el segundo trimestre de 2022, el resultado de 3 % en el total de la actividad económica ubicó a Tamaulipas en el lugar 13 a nivel nacional. Además, su aportación a la variación nacional fue de 0.08 por ciento.</w:t>
      </w:r>
    </w:p>
    <w:p w:rsidR="008C2FDE" w:rsidRPr="007D5DA7" w:rsidRDefault="008C2FDE" w:rsidP="007D5DA7">
      <w:pPr>
        <w:jc w:val="both"/>
        <w:rPr>
          <w:rFonts w:asciiTheme="minorHAnsi" w:hAnsiTheme="minorHAnsi" w:cstheme="minorHAnsi"/>
          <w:sz w:val="21"/>
          <w:szCs w:val="21"/>
        </w:rPr>
      </w:pPr>
      <w:r w:rsidRPr="007D5DA7">
        <w:rPr>
          <w:rFonts w:asciiTheme="minorHAnsi" w:hAnsiTheme="minorHAnsi" w:cstheme="minorHAnsi"/>
          <w:sz w:val="21"/>
          <w:szCs w:val="21"/>
        </w:rPr>
        <w:t>La información oficial anterior puede ser consultada en la siguiente liga.</w:t>
      </w:r>
    </w:p>
    <w:p w:rsidR="008C2FDE" w:rsidRPr="007D5DA7" w:rsidRDefault="008C2FDE" w:rsidP="007D5DA7">
      <w:pPr>
        <w:jc w:val="both"/>
        <w:rPr>
          <w:rFonts w:asciiTheme="minorHAnsi" w:hAnsiTheme="minorHAnsi" w:cstheme="minorHAnsi"/>
          <w:color w:val="8A002B"/>
          <w:sz w:val="21"/>
          <w:szCs w:val="21"/>
        </w:rPr>
      </w:pPr>
      <w:r w:rsidRPr="007D5DA7">
        <w:rPr>
          <w:rFonts w:asciiTheme="minorHAnsi" w:hAnsiTheme="minorHAnsi" w:cstheme="minorHAnsi"/>
          <w:color w:val="8A002B"/>
          <w:sz w:val="21"/>
          <w:szCs w:val="21"/>
        </w:rPr>
        <w:t>https://www.inegi.org.mx/contenidos/saladeprensa/boletines/2022/itaee/itaee2022_10_Tamps.pdf</w:t>
      </w:r>
    </w:p>
    <w:p w:rsidR="008C2FDE" w:rsidRPr="00060D88" w:rsidRDefault="00C264F4" w:rsidP="008C2FDE">
      <w:pPr>
        <w:jc w:val="both"/>
        <w:rPr>
          <w:rFonts w:asciiTheme="minorHAnsi" w:hAnsiTheme="minorHAnsi" w:cstheme="minorHAnsi"/>
          <w:b/>
        </w:rPr>
      </w:pPr>
      <w:r>
        <w:rPr>
          <w:rFonts w:asciiTheme="minorHAnsi" w:hAnsiTheme="minorHAnsi" w:cstheme="minorHAnsi"/>
          <w:b/>
          <w:bCs/>
        </w:rPr>
        <w:t>1</w:t>
      </w:r>
      <w:r w:rsidR="008C2FDE" w:rsidRPr="00060D88">
        <w:rPr>
          <w:rFonts w:asciiTheme="minorHAnsi" w:hAnsiTheme="minorHAnsi" w:cstheme="minorHAnsi"/>
          <w:b/>
          <w:bCs/>
        </w:rPr>
        <w:t>.3.4.- Nivel de Exportaciones</w:t>
      </w:r>
      <w:r w:rsidR="008C2FDE" w:rsidRPr="00060D88">
        <w:rPr>
          <w:rFonts w:asciiTheme="minorHAnsi" w:hAnsiTheme="minorHAnsi" w:cstheme="minorHAnsi"/>
          <w:b/>
        </w:rPr>
        <w:t>.</w:t>
      </w:r>
    </w:p>
    <w:p w:rsidR="008C2FDE" w:rsidRPr="007D5DA7" w:rsidRDefault="008C2FDE" w:rsidP="008C2FDE">
      <w:pPr>
        <w:jc w:val="both"/>
        <w:rPr>
          <w:rFonts w:asciiTheme="minorHAnsi" w:hAnsiTheme="minorHAnsi" w:cstheme="minorHAnsi"/>
          <w:sz w:val="21"/>
          <w:szCs w:val="21"/>
        </w:rPr>
      </w:pPr>
      <w:r w:rsidRPr="007D5DA7">
        <w:rPr>
          <w:rFonts w:asciiTheme="minorHAnsi" w:hAnsiTheme="minorHAnsi" w:cstheme="minorHAnsi"/>
          <w:sz w:val="21"/>
          <w:szCs w:val="21"/>
        </w:rPr>
        <w:t xml:space="preserve">En el tercer trimestre de 2022, el estado de Tamaulipas se encuentra el quinto lugar de los estados con mayor contribución al valor total de las exportaciones, con una representación del 6.4 % del total del país, según datos publicados por </w:t>
      </w:r>
      <w:proofErr w:type="gramStart"/>
      <w:r w:rsidRPr="007D5DA7">
        <w:rPr>
          <w:rFonts w:asciiTheme="minorHAnsi" w:hAnsiTheme="minorHAnsi" w:cstheme="minorHAnsi"/>
          <w:sz w:val="21"/>
          <w:szCs w:val="21"/>
        </w:rPr>
        <w:t>INEGI  y</w:t>
      </w:r>
      <w:proofErr w:type="gramEnd"/>
      <w:r w:rsidRPr="007D5DA7">
        <w:rPr>
          <w:rFonts w:asciiTheme="minorHAnsi" w:hAnsiTheme="minorHAnsi" w:cstheme="minorHAnsi"/>
          <w:sz w:val="21"/>
          <w:szCs w:val="21"/>
        </w:rPr>
        <w:t xml:space="preserve"> que se puede apreciar en la siguiente tabla:</w:t>
      </w:r>
    </w:p>
    <w:p w:rsidR="008C2FDE" w:rsidRPr="00676CED" w:rsidRDefault="008C2FDE" w:rsidP="008C2FDE">
      <w:pPr>
        <w:jc w:val="center"/>
        <w:rPr>
          <w:rFonts w:asciiTheme="minorHAnsi" w:hAnsiTheme="minorHAnsi" w:cstheme="minorHAnsi"/>
          <w:b/>
          <w:bCs/>
          <w:sz w:val="18"/>
          <w:szCs w:val="18"/>
        </w:rPr>
      </w:pPr>
      <w:r w:rsidRPr="00676CED">
        <w:rPr>
          <w:rFonts w:asciiTheme="minorHAnsi" w:hAnsiTheme="minorHAnsi" w:cstheme="minorHAnsi"/>
          <w:b/>
          <w:bCs/>
          <w:sz w:val="18"/>
          <w:szCs w:val="18"/>
        </w:rPr>
        <w:t>VALOR DE LAS EXPORTACIONES POR ENTIDADES FEDERATIVAS CON MAYOR PARTICIPACIÓN</w:t>
      </w:r>
    </w:p>
    <w:p w:rsidR="008C2FDE" w:rsidRDefault="008C2FDE" w:rsidP="008C2FDE">
      <w:pPr>
        <w:jc w:val="center"/>
        <w:rPr>
          <w:rFonts w:asciiTheme="minorHAnsi" w:hAnsiTheme="minorHAnsi" w:cstheme="minorHAnsi"/>
          <w:b/>
          <w:bCs/>
          <w:sz w:val="18"/>
          <w:szCs w:val="18"/>
        </w:rPr>
      </w:pPr>
      <w:r w:rsidRPr="00676CED">
        <w:rPr>
          <w:rFonts w:asciiTheme="minorHAnsi" w:hAnsiTheme="minorHAnsi" w:cstheme="minorHAnsi"/>
          <w:b/>
          <w:bCs/>
          <w:sz w:val="18"/>
          <w:szCs w:val="18"/>
        </w:rPr>
        <w:t>TERCER TRIMESTRE DE 2022</w:t>
      </w:r>
    </w:p>
    <w:tbl>
      <w:tblPr>
        <w:tblW w:w="9260" w:type="dxa"/>
        <w:tblInd w:w="-10" w:type="dxa"/>
        <w:tblCellMar>
          <w:left w:w="70" w:type="dxa"/>
          <w:right w:w="70" w:type="dxa"/>
        </w:tblCellMar>
        <w:tblLook w:val="04A0" w:firstRow="1" w:lastRow="0" w:firstColumn="1" w:lastColumn="0" w:noHBand="0" w:noVBand="1"/>
      </w:tblPr>
      <w:tblGrid>
        <w:gridCol w:w="2500"/>
        <w:gridCol w:w="1760"/>
        <w:gridCol w:w="1680"/>
        <w:gridCol w:w="1660"/>
        <w:gridCol w:w="1660"/>
      </w:tblGrid>
      <w:tr w:rsidR="008C2FDE" w:rsidRPr="006F7FB0" w:rsidTr="00060D88">
        <w:trPr>
          <w:trHeight w:val="885"/>
        </w:trPr>
        <w:tc>
          <w:tcPr>
            <w:tcW w:w="2500" w:type="dxa"/>
            <w:tcBorders>
              <w:top w:val="single" w:sz="8" w:space="0" w:color="auto"/>
              <w:left w:val="single" w:sz="8" w:space="0" w:color="auto"/>
              <w:bottom w:val="single" w:sz="8" w:space="0" w:color="auto"/>
              <w:right w:val="single" w:sz="8" w:space="0" w:color="auto"/>
            </w:tcBorders>
            <w:shd w:val="clear" w:color="000000" w:fill="AB0033"/>
            <w:vAlign w:val="center"/>
            <w:hideMark/>
          </w:tcPr>
          <w:p w:rsidR="008C2FDE" w:rsidRPr="006F7FB0" w:rsidRDefault="008C2FDE" w:rsidP="00060D88">
            <w:pPr>
              <w:spacing w:after="0" w:line="240" w:lineRule="auto"/>
              <w:jc w:val="center"/>
              <w:rPr>
                <w:rFonts w:eastAsia="Times New Roman" w:cs="Calibri"/>
                <w:b/>
                <w:bCs/>
                <w:color w:val="FFFFFF"/>
                <w:sz w:val="18"/>
                <w:szCs w:val="18"/>
                <w:lang w:eastAsia="es-MX"/>
              </w:rPr>
            </w:pPr>
            <w:r w:rsidRPr="006F7FB0">
              <w:rPr>
                <w:rFonts w:eastAsia="Times New Roman" w:cs="Calibri"/>
                <w:b/>
                <w:bCs/>
                <w:color w:val="FFFFFF"/>
                <w:sz w:val="18"/>
                <w:szCs w:val="18"/>
                <w:lang w:eastAsia="es-MX"/>
              </w:rPr>
              <w:t>Entidad</w:t>
            </w:r>
          </w:p>
        </w:tc>
        <w:tc>
          <w:tcPr>
            <w:tcW w:w="1760" w:type="dxa"/>
            <w:tcBorders>
              <w:top w:val="single" w:sz="8" w:space="0" w:color="auto"/>
              <w:left w:val="nil"/>
              <w:bottom w:val="single" w:sz="8" w:space="0" w:color="auto"/>
              <w:right w:val="single" w:sz="8" w:space="0" w:color="auto"/>
            </w:tcBorders>
            <w:shd w:val="clear" w:color="000000" w:fill="AB0033"/>
            <w:vAlign w:val="center"/>
            <w:hideMark/>
          </w:tcPr>
          <w:p w:rsidR="008C2FDE" w:rsidRPr="006F7FB0" w:rsidRDefault="008C2FDE" w:rsidP="00060D88">
            <w:pPr>
              <w:spacing w:after="0" w:line="240" w:lineRule="auto"/>
              <w:jc w:val="center"/>
              <w:rPr>
                <w:rFonts w:eastAsia="Times New Roman" w:cs="Calibri"/>
                <w:b/>
                <w:bCs/>
                <w:color w:val="FFFFFF"/>
                <w:sz w:val="18"/>
                <w:szCs w:val="18"/>
                <w:lang w:eastAsia="es-MX"/>
              </w:rPr>
            </w:pPr>
            <w:r w:rsidRPr="006F7FB0">
              <w:rPr>
                <w:rFonts w:eastAsia="Times New Roman" w:cs="Calibri"/>
                <w:b/>
                <w:bCs/>
                <w:color w:val="FFFFFF"/>
                <w:sz w:val="18"/>
                <w:szCs w:val="18"/>
                <w:lang w:eastAsia="es-MX"/>
              </w:rPr>
              <w:t>Millones de dólares</w:t>
            </w:r>
          </w:p>
        </w:tc>
        <w:tc>
          <w:tcPr>
            <w:tcW w:w="1680" w:type="dxa"/>
            <w:tcBorders>
              <w:top w:val="single" w:sz="8" w:space="0" w:color="auto"/>
              <w:left w:val="nil"/>
              <w:bottom w:val="single" w:sz="8" w:space="0" w:color="auto"/>
              <w:right w:val="single" w:sz="8" w:space="0" w:color="auto"/>
            </w:tcBorders>
            <w:shd w:val="clear" w:color="000000" w:fill="AB0033"/>
            <w:vAlign w:val="center"/>
            <w:hideMark/>
          </w:tcPr>
          <w:p w:rsidR="008C2FDE" w:rsidRPr="006F7FB0" w:rsidRDefault="008C2FDE" w:rsidP="00060D88">
            <w:pPr>
              <w:spacing w:after="0" w:line="240" w:lineRule="auto"/>
              <w:jc w:val="center"/>
              <w:rPr>
                <w:rFonts w:eastAsia="Times New Roman" w:cs="Calibri"/>
                <w:b/>
                <w:bCs/>
                <w:color w:val="FFFFFF"/>
                <w:sz w:val="18"/>
                <w:szCs w:val="18"/>
                <w:lang w:eastAsia="es-MX"/>
              </w:rPr>
            </w:pPr>
            <w:proofErr w:type="spellStart"/>
            <w:r w:rsidRPr="006F7FB0">
              <w:rPr>
                <w:rFonts w:eastAsia="Times New Roman" w:cs="Calibri"/>
                <w:b/>
                <w:bCs/>
                <w:color w:val="FFFFFF"/>
                <w:sz w:val="18"/>
                <w:szCs w:val="18"/>
                <w:lang w:eastAsia="es-MX"/>
              </w:rPr>
              <w:t>Variación</w:t>
            </w:r>
            <w:proofErr w:type="spellEnd"/>
            <w:r w:rsidRPr="006F7FB0">
              <w:rPr>
                <w:rFonts w:eastAsia="Times New Roman" w:cs="Calibri"/>
                <w:b/>
                <w:bCs/>
                <w:color w:val="FFFFFF"/>
                <w:sz w:val="18"/>
                <w:szCs w:val="18"/>
                <w:lang w:eastAsia="es-MX"/>
              </w:rPr>
              <w:t xml:space="preserve"> porcentual anual</w:t>
            </w:r>
          </w:p>
        </w:tc>
        <w:tc>
          <w:tcPr>
            <w:tcW w:w="1660" w:type="dxa"/>
            <w:tcBorders>
              <w:top w:val="single" w:sz="8" w:space="0" w:color="auto"/>
              <w:left w:val="nil"/>
              <w:bottom w:val="single" w:sz="8" w:space="0" w:color="auto"/>
              <w:right w:val="single" w:sz="8" w:space="0" w:color="auto"/>
            </w:tcBorders>
            <w:shd w:val="clear" w:color="000000" w:fill="AB0033"/>
            <w:vAlign w:val="center"/>
            <w:hideMark/>
          </w:tcPr>
          <w:p w:rsidR="008C2FDE" w:rsidRPr="006F7FB0" w:rsidRDefault="008C2FDE" w:rsidP="00060D88">
            <w:pPr>
              <w:spacing w:after="0" w:line="240" w:lineRule="auto"/>
              <w:jc w:val="center"/>
              <w:rPr>
                <w:rFonts w:eastAsia="Times New Roman" w:cs="Calibri"/>
                <w:b/>
                <w:bCs/>
                <w:color w:val="FFFFFF"/>
                <w:sz w:val="18"/>
                <w:szCs w:val="18"/>
                <w:lang w:eastAsia="es-MX"/>
              </w:rPr>
            </w:pPr>
            <w:proofErr w:type="spellStart"/>
            <w:r w:rsidRPr="006F7FB0">
              <w:rPr>
                <w:rFonts w:eastAsia="Times New Roman" w:cs="Calibri"/>
                <w:b/>
                <w:bCs/>
                <w:color w:val="FFFFFF"/>
                <w:sz w:val="18"/>
                <w:szCs w:val="18"/>
                <w:lang w:eastAsia="es-MX"/>
              </w:rPr>
              <w:t>Participación</w:t>
            </w:r>
            <w:proofErr w:type="spellEnd"/>
            <w:r w:rsidRPr="006F7FB0">
              <w:rPr>
                <w:rFonts w:eastAsia="Times New Roman" w:cs="Calibri"/>
                <w:b/>
                <w:bCs/>
                <w:color w:val="FFFFFF"/>
                <w:sz w:val="18"/>
                <w:szCs w:val="18"/>
                <w:lang w:eastAsia="es-MX"/>
              </w:rPr>
              <w:t xml:space="preserve"> porcentual</w:t>
            </w:r>
          </w:p>
        </w:tc>
        <w:tc>
          <w:tcPr>
            <w:tcW w:w="1660" w:type="dxa"/>
            <w:tcBorders>
              <w:top w:val="single" w:sz="8" w:space="0" w:color="auto"/>
              <w:left w:val="nil"/>
              <w:bottom w:val="single" w:sz="8" w:space="0" w:color="auto"/>
              <w:right w:val="single" w:sz="8" w:space="0" w:color="auto"/>
            </w:tcBorders>
            <w:shd w:val="clear" w:color="000000" w:fill="AB0033"/>
            <w:vAlign w:val="center"/>
            <w:hideMark/>
          </w:tcPr>
          <w:p w:rsidR="008C2FDE" w:rsidRPr="006F7FB0" w:rsidRDefault="008C2FDE" w:rsidP="00060D88">
            <w:pPr>
              <w:spacing w:after="0" w:line="240" w:lineRule="auto"/>
              <w:jc w:val="center"/>
              <w:rPr>
                <w:rFonts w:eastAsia="Times New Roman" w:cs="Calibri"/>
                <w:b/>
                <w:bCs/>
                <w:color w:val="FFFFFF"/>
                <w:sz w:val="18"/>
                <w:szCs w:val="18"/>
                <w:lang w:eastAsia="es-MX"/>
              </w:rPr>
            </w:pPr>
            <w:r w:rsidRPr="006F7FB0">
              <w:rPr>
                <w:rFonts w:eastAsia="Times New Roman" w:cs="Calibri"/>
                <w:b/>
                <w:bCs/>
                <w:color w:val="FFFFFF"/>
                <w:sz w:val="18"/>
                <w:szCs w:val="18"/>
                <w:lang w:eastAsia="es-MX"/>
              </w:rPr>
              <w:t>Lugar conforme al total de las exportaciones</w:t>
            </w:r>
          </w:p>
        </w:tc>
      </w:tr>
      <w:tr w:rsidR="008C2FDE" w:rsidRPr="006F7FB0" w:rsidTr="00060D88">
        <w:trPr>
          <w:trHeight w:val="43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8C2FDE" w:rsidRPr="006F7FB0" w:rsidRDefault="008C2FDE" w:rsidP="00060D88">
            <w:pPr>
              <w:spacing w:after="0" w:line="240" w:lineRule="auto"/>
              <w:rPr>
                <w:rFonts w:eastAsia="Times New Roman" w:cs="Calibri"/>
                <w:b/>
                <w:bCs/>
                <w:color w:val="000000"/>
                <w:sz w:val="16"/>
                <w:szCs w:val="16"/>
                <w:lang w:eastAsia="es-MX"/>
              </w:rPr>
            </w:pPr>
            <w:r w:rsidRPr="006F7FB0">
              <w:rPr>
                <w:rFonts w:eastAsia="Times New Roman" w:cs="Calibri"/>
                <w:b/>
                <w:bCs/>
                <w:color w:val="000000"/>
                <w:sz w:val="16"/>
                <w:szCs w:val="16"/>
                <w:lang w:eastAsia="es-MX"/>
              </w:rPr>
              <w:t>Total1/</w:t>
            </w:r>
          </w:p>
        </w:tc>
        <w:tc>
          <w:tcPr>
            <w:tcW w:w="1760" w:type="dxa"/>
            <w:tcBorders>
              <w:top w:val="nil"/>
              <w:left w:val="nil"/>
              <w:bottom w:val="single" w:sz="8" w:space="0" w:color="auto"/>
              <w:right w:val="single" w:sz="8" w:space="0" w:color="auto"/>
            </w:tcBorders>
            <w:shd w:val="clear" w:color="auto" w:fill="auto"/>
            <w:vAlign w:val="center"/>
            <w:hideMark/>
          </w:tcPr>
          <w:p w:rsidR="008C2FDE" w:rsidRPr="006F7FB0" w:rsidRDefault="008C2FDE" w:rsidP="00060D88">
            <w:pPr>
              <w:spacing w:after="0" w:line="240" w:lineRule="auto"/>
              <w:jc w:val="center"/>
              <w:rPr>
                <w:rFonts w:eastAsia="Times New Roman" w:cs="Calibri"/>
                <w:b/>
                <w:bCs/>
                <w:color w:val="000000"/>
                <w:sz w:val="16"/>
                <w:szCs w:val="16"/>
                <w:lang w:eastAsia="es-MX"/>
              </w:rPr>
            </w:pPr>
            <w:r w:rsidRPr="006F7FB0">
              <w:rPr>
                <w:rFonts w:eastAsia="Times New Roman" w:cs="Calibri"/>
                <w:b/>
                <w:bCs/>
                <w:color w:val="000000"/>
                <w:sz w:val="16"/>
                <w:szCs w:val="16"/>
                <w:lang w:eastAsia="es-MX"/>
              </w:rPr>
              <w:t>134 876.4</w:t>
            </w:r>
          </w:p>
        </w:tc>
        <w:tc>
          <w:tcPr>
            <w:tcW w:w="1680" w:type="dxa"/>
            <w:tcBorders>
              <w:top w:val="nil"/>
              <w:left w:val="nil"/>
              <w:bottom w:val="single" w:sz="8" w:space="0" w:color="auto"/>
              <w:right w:val="single" w:sz="8" w:space="0" w:color="auto"/>
            </w:tcBorders>
            <w:shd w:val="clear" w:color="auto" w:fill="auto"/>
            <w:vAlign w:val="center"/>
            <w:hideMark/>
          </w:tcPr>
          <w:p w:rsidR="008C2FDE" w:rsidRPr="006F7FB0" w:rsidRDefault="008C2FDE" w:rsidP="00060D88">
            <w:pPr>
              <w:spacing w:after="0" w:line="240" w:lineRule="auto"/>
              <w:jc w:val="center"/>
              <w:rPr>
                <w:rFonts w:eastAsia="Times New Roman" w:cs="Calibri"/>
                <w:b/>
                <w:bCs/>
                <w:color w:val="000000"/>
                <w:sz w:val="16"/>
                <w:szCs w:val="16"/>
                <w:lang w:eastAsia="es-MX"/>
              </w:rPr>
            </w:pPr>
            <w:r w:rsidRPr="006F7FB0">
              <w:rPr>
                <w:rFonts w:eastAsia="Times New Roman" w:cs="Calibri"/>
                <w:b/>
                <w:bCs/>
                <w:color w:val="000000"/>
                <w:sz w:val="16"/>
                <w:szCs w:val="16"/>
                <w:lang w:eastAsia="es-MX"/>
              </w:rPr>
              <w:t>22.9</w:t>
            </w:r>
          </w:p>
        </w:tc>
        <w:tc>
          <w:tcPr>
            <w:tcW w:w="1660" w:type="dxa"/>
            <w:tcBorders>
              <w:top w:val="nil"/>
              <w:left w:val="nil"/>
              <w:bottom w:val="single" w:sz="8" w:space="0" w:color="auto"/>
              <w:right w:val="single" w:sz="8" w:space="0" w:color="auto"/>
            </w:tcBorders>
            <w:shd w:val="clear" w:color="auto" w:fill="auto"/>
            <w:vAlign w:val="center"/>
            <w:hideMark/>
          </w:tcPr>
          <w:p w:rsidR="008C2FDE" w:rsidRPr="006F7FB0" w:rsidRDefault="008C2FDE" w:rsidP="00060D88">
            <w:pPr>
              <w:spacing w:after="0" w:line="240" w:lineRule="auto"/>
              <w:jc w:val="center"/>
              <w:rPr>
                <w:rFonts w:eastAsia="Times New Roman" w:cs="Calibri"/>
                <w:color w:val="000000"/>
                <w:sz w:val="16"/>
                <w:szCs w:val="16"/>
                <w:lang w:eastAsia="es-MX"/>
              </w:rPr>
            </w:pPr>
            <w:r w:rsidRPr="006F7FB0">
              <w:rPr>
                <w:rFonts w:eastAsia="Times New Roman" w:cs="Calibri"/>
                <w:color w:val="000000"/>
                <w:sz w:val="16"/>
                <w:szCs w:val="16"/>
                <w:lang w:eastAsia="es-MX"/>
              </w:rPr>
              <w:t>100</w:t>
            </w:r>
          </w:p>
        </w:tc>
        <w:tc>
          <w:tcPr>
            <w:tcW w:w="1660" w:type="dxa"/>
            <w:tcBorders>
              <w:top w:val="nil"/>
              <w:left w:val="nil"/>
              <w:bottom w:val="single" w:sz="8" w:space="0" w:color="auto"/>
              <w:right w:val="single" w:sz="8" w:space="0" w:color="auto"/>
            </w:tcBorders>
            <w:shd w:val="clear" w:color="auto" w:fill="auto"/>
            <w:vAlign w:val="center"/>
            <w:hideMark/>
          </w:tcPr>
          <w:p w:rsidR="008C2FDE" w:rsidRPr="006F7FB0" w:rsidRDefault="008C2FDE" w:rsidP="00060D88">
            <w:pPr>
              <w:spacing w:after="0" w:line="240" w:lineRule="auto"/>
              <w:rPr>
                <w:rFonts w:eastAsia="Times New Roman" w:cs="Calibri"/>
                <w:color w:val="000000"/>
                <w:sz w:val="20"/>
                <w:szCs w:val="20"/>
                <w:lang w:eastAsia="es-MX"/>
              </w:rPr>
            </w:pPr>
            <w:r w:rsidRPr="006F7FB0">
              <w:rPr>
                <w:rFonts w:eastAsia="Times New Roman" w:cs="Calibri"/>
                <w:color w:val="000000"/>
                <w:sz w:val="20"/>
                <w:szCs w:val="20"/>
                <w:lang w:eastAsia="es-MX"/>
              </w:rPr>
              <w:t> </w:t>
            </w:r>
          </w:p>
        </w:tc>
      </w:tr>
      <w:tr w:rsidR="008C2FDE" w:rsidRPr="006F7FB0" w:rsidTr="00060D88">
        <w:trPr>
          <w:trHeight w:val="43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8C2FDE" w:rsidRPr="006F7FB0" w:rsidRDefault="008C2FDE" w:rsidP="00060D88">
            <w:pPr>
              <w:spacing w:after="0" w:line="240" w:lineRule="auto"/>
              <w:rPr>
                <w:rFonts w:eastAsia="Times New Roman" w:cs="Calibri"/>
                <w:color w:val="000000"/>
                <w:sz w:val="16"/>
                <w:szCs w:val="16"/>
                <w:lang w:eastAsia="es-MX"/>
              </w:rPr>
            </w:pPr>
            <w:r w:rsidRPr="006F7FB0">
              <w:rPr>
                <w:rFonts w:eastAsia="Times New Roman" w:cs="Calibri"/>
                <w:color w:val="000000"/>
                <w:sz w:val="16"/>
                <w:szCs w:val="16"/>
                <w:lang w:eastAsia="es-MX"/>
              </w:rPr>
              <w:t>Chihuahua</w:t>
            </w:r>
          </w:p>
        </w:tc>
        <w:tc>
          <w:tcPr>
            <w:tcW w:w="1760" w:type="dxa"/>
            <w:tcBorders>
              <w:top w:val="nil"/>
              <w:left w:val="nil"/>
              <w:bottom w:val="single" w:sz="8" w:space="0" w:color="auto"/>
              <w:right w:val="single" w:sz="8" w:space="0" w:color="auto"/>
            </w:tcBorders>
            <w:shd w:val="clear" w:color="auto" w:fill="auto"/>
            <w:vAlign w:val="center"/>
            <w:hideMark/>
          </w:tcPr>
          <w:p w:rsidR="008C2FDE" w:rsidRPr="006F7FB0" w:rsidRDefault="008C2FDE" w:rsidP="00060D88">
            <w:pPr>
              <w:spacing w:after="0" w:line="240" w:lineRule="auto"/>
              <w:jc w:val="center"/>
              <w:rPr>
                <w:rFonts w:eastAsia="Times New Roman" w:cs="Calibri"/>
                <w:color w:val="000000"/>
                <w:sz w:val="16"/>
                <w:szCs w:val="16"/>
                <w:lang w:eastAsia="es-MX"/>
              </w:rPr>
            </w:pPr>
            <w:r w:rsidRPr="006F7FB0">
              <w:rPr>
                <w:rFonts w:eastAsia="Times New Roman" w:cs="Calibri"/>
                <w:color w:val="000000"/>
                <w:sz w:val="16"/>
                <w:szCs w:val="16"/>
                <w:lang w:eastAsia="es-MX"/>
              </w:rPr>
              <w:t>20 151.0</w:t>
            </w:r>
          </w:p>
        </w:tc>
        <w:tc>
          <w:tcPr>
            <w:tcW w:w="1680" w:type="dxa"/>
            <w:tcBorders>
              <w:top w:val="nil"/>
              <w:left w:val="nil"/>
              <w:bottom w:val="single" w:sz="8" w:space="0" w:color="auto"/>
              <w:right w:val="single" w:sz="8" w:space="0" w:color="auto"/>
            </w:tcBorders>
            <w:shd w:val="clear" w:color="auto" w:fill="auto"/>
            <w:vAlign w:val="center"/>
            <w:hideMark/>
          </w:tcPr>
          <w:p w:rsidR="008C2FDE" w:rsidRPr="006F7FB0" w:rsidRDefault="008C2FDE" w:rsidP="00060D88">
            <w:pPr>
              <w:spacing w:after="0" w:line="240" w:lineRule="auto"/>
              <w:jc w:val="center"/>
              <w:rPr>
                <w:rFonts w:eastAsia="Times New Roman" w:cs="Calibri"/>
                <w:color w:val="000000"/>
                <w:sz w:val="16"/>
                <w:szCs w:val="16"/>
                <w:lang w:eastAsia="es-MX"/>
              </w:rPr>
            </w:pPr>
            <w:r w:rsidRPr="006F7FB0">
              <w:rPr>
                <w:rFonts w:eastAsia="Times New Roman" w:cs="Calibri"/>
                <w:color w:val="000000"/>
                <w:sz w:val="16"/>
                <w:szCs w:val="16"/>
                <w:lang w:eastAsia="es-MX"/>
              </w:rPr>
              <w:t>40.4</w:t>
            </w:r>
          </w:p>
        </w:tc>
        <w:tc>
          <w:tcPr>
            <w:tcW w:w="1660" w:type="dxa"/>
            <w:tcBorders>
              <w:top w:val="nil"/>
              <w:left w:val="nil"/>
              <w:bottom w:val="single" w:sz="8" w:space="0" w:color="auto"/>
              <w:right w:val="single" w:sz="8" w:space="0" w:color="auto"/>
            </w:tcBorders>
            <w:shd w:val="clear" w:color="auto" w:fill="auto"/>
            <w:vAlign w:val="center"/>
            <w:hideMark/>
          </w:tcPr>
          <w:p w:rsidR="008C2FDE" w:rsidRPr="006F7FB0" w:rsidRDefault="008C2FDE" w:rsidP="00060D88">
            <w:pPr>
              <w:spacing w:after="0" w:line="240" w:lineRule="auto"/>
              <w:jc w:val="center"/>
              <w:rPr>
                <w:rFonts w:eastAsia="Times New Roman" w:cs="Calibri"/>
                <w:color w:val="000000"/>
                <w:sz w:val="16"/>
                <w:szCs w:val="16"/>
                <w:lang w:eastAsia="es-MX"/>
              </w:rPr>
            </w:pPr>
            <w:r w:rsidRPr="006F7FB0">
              <w:rPr>
                <w:rFonts w:eastAsia="Times New Roman" w:cs="Calibri"/>
                <w:color w:val="000000"/>
                <w:sz w:val="16"/>
                <w:szCs w:val="16"/>
                <w:lang w:eastAsia="es-MX"/>
              </w:rPr>
              <w:t>14.9</w:t>
            </w:r>
          </w:p>
        </w:tc>
        <w:tc>
          <w:tcPr>
            <w:tcW w:w="1660" w:type="dxa"/>
            <w:tcBorders>
              <w:top w:val="nil"/>
              <w:left w:val="nil"/>
              <w:bottom w:val="single" w:sz="8" w:space="0" w:color="auto"/>
              <w:right w:val="single" w:sz="8" w:space="0" w:color="auto"/>
            </w:tcBorders>
            <w:shd w:val="clear" w:color="auto" w:fill="auto"/>
            <w:vAlign w:val="center"/>
            <w:hideMark/>
          </w:tcPr>
          <w:p w:rsidR="008C2FDE" w:rsidRPr="006F7FB0" w:rsidRDefault="008C2FDE" w:rsidP="00060D88">
            <w:pPr>
              <w:spacing w:after="0" w:line="240" w:lineRule="auto"/>
              <w:jc w:val="center"/>
              <w:rPr>
                <w:rFonts w:eastAsia="Times New Roman" w:cs="Calibri"/>
                <w:color w:val="000000"/>
                <w:sz w:val="16"/>
                <w:szCs w:val="16"/>
                <w:lang w:eastAsia="es-MX"/>
              </w:rPr>
            </w:pPr>
            <w:r w:rsidRPr="006F7FB0">
              <w:rPr>
                <w:rFonts w:eastAsia="Times New Roman" w:cs="Calibri"/>
                <w:color w:val="000000"/>
                <w:sz w:val="16"/>
                <w:szCs w:val="16"/>
                <w:lang w:eastAsia="es-MX"/>
              </w:rPr>
              <w:t>1</w:t>
            </w:r>
          </w:p>
        </w:tc>
      </w:tr>
      <w:tr w:rsidR="008C2FDE" w:rsidRPr="006F7FB0" w:rsidTr="00060D88">
        <w:trPr>
          <w:trHeight w:val="43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8C2FDE" w:rsidRPr="006F7FB0" w:rsidRDefault="008C2FDE" w:rsidP="00060D88">
            <w:pPr>
              <w:spacing w:after="0" w:line="240" w:lineRule="auto"/>
              <w:rPr>
                <w:rFonts w:eastAsia="Times New Roman" w:cs="Calibri"/>
                <w:color w:val="000000"/>
                <w:sz w:val="16"/>
                <w:szCs w:val="16"/>
                <w:lang w:eastAsia="es-MX"/>
              </w:rPr>
            </w:pPr>
            <w:r w:rsidRPr="006F7FB0">
              <w:rPr>
                <w:rFonts w:eastAsia="Times New Roman" w:cs="Calibri"/>
                <w:color w:val="000000"/>
                <w:sz w:val="16"/>
                <w:szCs w:val="16"/>
                <w:lang w:eastAsia="es-MX"/>
              </w:rPr>
              <w:t>Coahuila de Zaragoza</w:t>
            </w:r>
          </w:p>
        </w:tc>
        <w:tc>
          <w:tcPr>
            <w:tcW w:w="1760" w:type="dxa"/>
            <w:tcBorders>
              <w:top w:val="nil"/>
              <w:left w:val="nil"/>
              <w:bottom w:val="single" w:sz="8" w:space="0" w:color="auto"/>
              <w:right w:val="single" w:sz="8" w:space="0" w:color="auto"/>
            </w:tcBorders>
            <w:shd w:val="clear" w:color="auto" w:fill="auto"/>
            <w:vAlign w:val="center"/>
            <w:hideMark/>
          </w:tcPr>
          <w:p w:rsidR="008C2FDE" w:rsidRPr="006F7FB0" w:rsidRDefault="008C2FDE" w:rsidP="00060D88">
            <w:pPr>
              <w:spacing w:after="0" w:line="240" w:lineRule="auto"/>
              <w:jc w:val="center"/>
              <w:rPr>
                <w:rFonts w:eastAsia="Times New Roman" w:cs="Calibri"/>
                <w:color w:val="000000"/>
                <w:sz w:val="16"/>
                <w:szCs w:val="16"/>
                <w:lang w:eastAsia="es-MX"/>
              </w:rPr>
            </w:pPr>
            <w:r w:rsidRPr="006F7FB0">
              <w:rPr>
                <w:rFonts w:eastAsia="Times New Roman" w:cs="Calibri"/>
                <w:color w:val="000000"/>
                <w:sz w:val="16"/>
                <w:szCs w:val="16"/>
                <w:lang w:eastAsia="es-MX"/>
              </w:rPr>
              <w:t>15 613.6</w:t>
            </w:r>
          </w:p>
        </w:tc>
        <w:tc>
          <w:tcPr>
            <w:tcW w:w="1680" w:type="dxa"/>
            <w:tcBorders>
              <w:top w:val="nil"/>
              <w:left w:val="nil"/>
              <w:bottom w:val="single" w:sz="8" w:space="0" w:color="auto"/>
              <w:right w:val="single" w:sz="8" w:space="0" w:color="auto"/>
            </w:tcBorders>
            <w:shd w:val="clear" w:color="auto" w:fill="auto"/>
            <w:vAlign w:val="center"/>
            <w:hideMark/>
          </w:tcPr>
          <w:p w:rsidR="008C2FDE" w:rsidRPr="006F7FB0" w:rsidRDefault="008C2FDE" w:rsidP="00060D88">
            <w:pPr>
              <w:spacing w:after="0" w:line="240" w:lineRule="auto"/>
              <w:jc w:val="center"/>
              <w:rPr>
                <w:rFonts w:eastAsia="Times New Roman" w:cs="Calibri"/>
                <w:color w:val="000000"/>
                <w:sz w:val="16"/>
                <w:szCs w:val="16"/>
                <w:lang w:eastAsia="es-MX"/>
              </w:rPr>
            </w:pPr>
            <w:r w:rsidRPr="006F7FB0">
              <w:rPr>
                <w:rFonts w:eastAsia="Times New Roman" w:cs="Calibri"/>
                <w:color w:val="000000"/>
                <w:sz w:val="16"/>
                <w:szCs w:val="16"/>
                <w:lang w:eastAsia="es-MX"/>
              </w:rPr>
              <w:t>20.2</w:t>
            </w:r>
          </w:p>
        </w:tc>
        <w:tc>
          <w:tcPr>
            <w:tcW w:w="1660" w:type="dxa"/>
            <w:tcBorders>
              <w:top w:val="nil"/>
              <w:left w:val="nil"/>
              <w:bottom w:val="single" w:sz="8" w:space="0" w:color="auto"/>
              <w:right w:val="single" w:sz="8" w:space="0" w:color="auto"/>
            </w:tcBorders>
            <w:shd w:val="clear" w:color="auto" w:fill="auto"/>
            <w:vAlign w:val="center"/>
            <w:hideMark/>
          </w:tcPr>
          <w:p w:rsidR="008C2FDE" w:rsidRPr="006F7FB0" w:rsidRDefault="008C2FDE" w:rsidP="00060D88">
            <w:pPr>
              <w:spacing w:after="0" w:line="240" w:lineRule="auto"/>
              <w:jc w:val="center"/>
              <w:rPr>
                <w:rFonts w:eastAsia="Times New Roman" w:cs="Calibri"/>
                <w:color w:val="000000"/>
                <w:sz w:val="16"/>
                <w:szCs w:val="16"/>
                <w:lang w:eastAsia="es-MX"/>
              </w:rPr>
            </w:pPr>
            <w:r w:rsidRPr="006F7FB0">
              <w:rPr>
                <w:rFonts w:eastAsia="Times New Roman" w:cs="Calibri"/>
                <w:color w:val="000000"/>
                <w:sz w:val="16"/>
                <w:szCs w:val="16"/>
                <w:lang w:eastAsia="es-MX"/>
              </w:rPr>
              <w:t>11.6</w:t>
            </w:r>
          </w:p>
        </w:tc>
        <w:tc>
          <w:tcPr>
            <w:tcW w:w="1660" w:type="dxa"/>
            <w:tcBorders>
              <w:top w:val="nil"/>
              <w:left w:val="nil"/>
              <w:bottom w:val="single" w:sz="8" w:space="0" w:color="auto"/>
              <w:right w:val="single" w:sz="8" w:space="0" w:color="auto"/>
            </w:tcBorders>
            <w:shd w:val="clear" w:color="auto" w:fill="auto"/>
            <w:vAlign w:val="center"/>
            <w:hideMark/>
          </w:tcPr>
          <w:p w:rsidR="008C2FDE" w:rsidRPr="006F7FB0" w:rsidRDefault="008C2FDE" w:rsidP="00060D88">
            <w:pPr>
              <w:spacing w:after="0" w:line="240" w:lineRule="auto"/>
              <w:jc w:val="center"/>
              <w:rPr>
                <w:rFonts w:eastAsia="Times New Roman" w:cs="Calibri"/>
                <w:color w:val="000000"/>
                <w:sz w:val="16"/>
                <w:szCs w:val="16"/>
                <w:lang w:eastAsia="es-MX"/>
              </w:rPr>
            </w:pPr>
            <w:r w:rsidRPr="006F7FB0">
              <w:rPr>
                <w:rFonts w:eastAsia="Times New Roman" w:cs="Calibri"/>
                <w:color w:val="000000"/>
                <w:sz w:val="16"/>
                <w:szCs w:val="16"/>
                <w:lang w:eastAsia="es-MX"/>
              </w:rPr>
              <w:t>2</w:t>
            </w:r>
          </w:p>
        </w:tc>
      </w:tr>
      <w:tr w:rsidR="008C2FDE" w:rsidRPr="006F7FB0" w:rsidTr="00060D88">
        <w:trPr>
          <w:trHeight w:val="43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8C2FDE" w:rsidRPr="006F7FB0" w:rsidRDefault="008C2FDE" w:rsidP="00060D88">
            <w:pPr>
              <w:spacing w:after="0" w:line="240" w:lineRule="auto"/>
              <w:rPr>
                <w:rFonts w:eastAsia="Times New Roman" w:cs="Calibri"/>
                <w:color w:val="000000"/>
                <w:sz w:val="16"/>
                <w:szCs w:val="16"/>
                <w:lang w:eastAsia="es-MX"/>
              </w:rPr>
            </w:pPr>
            <w:r w:rsidRPr="006F7FB0">
              <w:rPr>
                <w:rFonts w:eastAsia="Times New Roman" w:cs="Calibri"/>
                <w:color w:val="000000"/>
                <w:sz w:val="16"/>
                <w:szCs w:val="16"/>
                <w:lang w:eastAsia="es-MX"/>
              </w:rPr>
              <w:t>Nuevo León</w:t>
            </w:r>
          </w:p>
        </w:tc>
        <w:tc>
          <w:tcPr>
            <w:tcW w:w="1760" w:type="dxa"/>
            <w:tcBorders>
              <w:top w:val="nil"/>
              <w:left w:val="nil"/>
              <w:bottom w:val="single" w:sz="8" w:space="0" w:color="auto"/>
              <w:right w:val="single" w:sz="8" w:space="0" w:color="auto"/>
            </w:tcBorders>
            <w:shd w:val="clear" w:color="auto" w:fill="auto"/>
            <w:vAlign w:val="center"/>
            <w:hideMark/>
          </w:tcPr>
          <w:p w:rsidR="008C2FDE" w:rsidRPr="006F7FB0" w:rsidRDefault="008C2FDE" w:rsidP="00060D88">
            <w:pPr>
              <w:spacing w:after="0" w:line="240" w:lineRule="auto"/>
              <w:jc w:val="center"/>
              <w:rPr>
                <w:rFonts w:eastAsia="Times New Roman" w:cs="Calibri"/>
                <w:color w:val="000000"/>
                <w:sz w:val="16"/>
                <w:szCs w:val="16"/>
                <w:lang w:eastAsia="es-MX"/>
              </w:rPr>
            </w:pPr>
            <w:r w:rsidRPr="006F7FB0">
              <w:rPr>
                <w:rFonts w:eastAsia="Times New Roman" w:cs="Calibri"/>
                <w:color w:val="000000"/>
                <w:sz w:val="16"/>
                <w:szCs w:val="16"/>
                <w:lang w:eastAsia="es-MX"/>
              </w:rPr>
              <w:t>13 775.0</w:t>
            </w:r>
          </w:p>
        </w:tc>
        <w:tc>
          <w:tcPr>
            <w:tcW w:w="1680" w:type="dxa"/>
            <w:tcBorders>
              <w:top w:val="nil"/>
              <w:left w:val="nil"/>
              <w:bottom w:val="single" w:sz="8" w:space="0" w:color="auto"/>
              <w:right w:val="single" w:sz="8" w:space="0" w:color="auto"/>
            </w:tcBorders>
            <w:shd w:val="clear" w:color="auto" w:fill="auto"/>
            <w:vAlign w:val="center"/>
            <w:hideMark/>
          </w:tcPr>
          <w:p w:rsidR="008C2FDE" w:rsidRPr="006F7FB0" w:rsidRDefault="008C2FDE" w:rsidP="00060D88">
            <w:pPr>
              <w:spacing w:after="0" w:line="240" w:lineRule="auto"/>
              <w:jc w:val="center"/>
              <w:rPr>
                <w:rFonts w:eastAsia="Times New Roman" w:cs="Calibri"/>
                <w:color w:val="000000"/>
                <w:sz w:val="16"/>
                <w:szCs w:val="16"/>
                <w:lang w:eastAsia="es-MX"/>
              </w:rPr>
            </w:pPr>
            <w:r w:rsidRPr="006F7FB0">
              <w:rPr>
                <w:rFonts w:eastAsia="Times New Roman" w:cs="Calibri"/>
                <w:color w:val="000000"/>
                <w:sz w:val="16"/>
                <w:szCs w:val="16"/>
                <w:lang w:eastAsia="es-MX"/>
              </w:rPr>
              <w:t>30.2</w:t>
            </w:r>
          </w:p>
        </w:tc>
        <w:tc>
          <w:tcPr>
            <w:tcW w:w="1660" w:type="dxa"/>
            <w:tcBorders>
              <w:top w:val="nil"/>
              <w:left w:val="nil"/>
              <w:bottom w:val="single" w:sz="8" w:space="0" w:color="auto"/>
              <w:right w:val="single" w:sz="8" w:space="0" w:color="auto"/>
            </w:tcBorders>
            <w:shd w:val="clear" w:color="auto" w:fill="auto"/>
            <w:vAlign w:val="center"/>
            <w:hideMark/>
          </w:tcPr>
          <w:p w:rsidR="008C2FDE" w:rsidRPr="006F7FB0" w:rsidRDefault="008C2FDE" w:rsidP="00060D88">
            <w:pPr>
              <w:spacing w:after="0" w:line="240" w:lineRule="auto"/>
              <w:jc w:val="center"/>
              <w:rPr>
                <w:rFonts w:eastAsia="Times New Roman" w:cs="Calibri"/>
                <w:color w:val="000000"/>
                <w:sz w:val="16"/>
                <w:szCs w:val="16"/>
                <w:lang w:eastAsia="es-MX"/>
              </w:rPr>
            </w:pPr>
            <w:r w:rsidRPr="006F7FB0">
              <w:rPr>
                <w:rFonts w:eastAsia="Times New Roman" w:cs="Calibri"/>
                <w:color w:val="000000"/>
                <w:sz w:val="16"/>
                <w:szCs w:val="16"/>
                <w:lang w:eastAsia="es-MX"/>
              </w:rPr>
              <w:t>10.2</w:t>
            </w:r>
          </w:p>
        </w:tc>
        <w:tc>
          <w:tcPr>
            <w:tcW w:w="1660" w:type="dxa"/>
            <w:tcBorders>
              <w:top w:val="nil"/>
              <w:left w:val="nil"/>
              <w:bottom w:val="single" w:sz="8" w:space="0" w:color="auto"/>
              <w:right w:val="single" w:sz="8" w:space="0" w:color="auto"/>
            </w:tcBorders>
            <w:shd w:val="clear" w:color="auto" w:fill="auto"/>
            <w:vAlign w:val="center"/>
            <w:hideMark/>
          </w:tcPr>
          <w:p w:rsidR="008C2FDE" w:rsidRPr="006F7FB0" w:rsidRDefault="008C2FDE" w:rsidP="00060D88">
            <w:pPr>
              <w:spacing w:after="0" w:line="240" w:lineRule="auto"/>
              <w:jc w:val="center"/>
              <w:rPr>
                <w:rFonts w:eastAsia="Times New Roman" w:cs="Calibri"/>
                <w:color w:val="000000"/>
                <w:sz w:val="16"/>
                <w:szCs w:val="16"/>
                <w:lang w:eastAsia="es-MX"/>
              </w:rPr>
            </w:pPr>
            <w:r w:rsidRPr="006F7FB0">
              <w:rPr>
                <w:rFonts w:eastAsia="Times New Roman" w:cs="Calibri"/>
                <w:color w:val="000000"/>
                <w:sz w:val="16"/>
                <w:szCs w:val="16"/>
                <w:lang w:eastAsia="es-MX"/>
              </w:rPr>
              <w:t>3</w:t>
            </w:r>
          </w:p>
        </w:tc>
      </w:tr>
      <w:tr w:rsidR="008C2FDE" w:rsidRPr="006F7FB0" w:rsidTr="00060D88">
        <w:trPr>
          <w:trHeight w:val="43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8C2FDE" w:rsidRPr="006F7FB0" w:rsidRDefault="008C2FDE" w:rsidP="00060D88">
            <w:pPr>
              <w:spacing w:after="0" w:line="240" w:lineRule="auto"/>
              <w:rPr>
                <w:rFonts w:eastAsia="Times New Roman" w:cs="Calibri"/>
                <w:color w:val="000000"/>
                <w:sz w:val="16"/>
                <w:szCs w:val="16"/>
                <w:lang w:eastAsia="es-MX"/>
              </w:rPr>
            </w:pPr>
            <w:r w:rsidRPr="006F7FB0">
              <w:rPr>
                <w:rFonts w:eastAsia="Times New Roman" w:cs="Calibri"/>
                <w:color w:val="000000"/>
                <w:sz w:val="16"/>
                <w:szCs w:val="16"/>
                <w:lang w:eastAsia="es-MX"/>
              </w:rPr>
              <w:t>Baja California</w:t>
            </w:r>
          </w:p>
        </w:tc>
        <w:tc>
          <w:tcPr>
            <w:tcW w:w="1760" w:type="dxa"/>
            <w:tcBorders>
              <w:top w:val="nil"/>
              <w:left w:val="nil"/>
              <w:bottom w:val="single" w:sz="8" w:space="0" w:color="auto"/>
              <w:right w:val="single" w:sz="8" w:space="0" w:color="auto"/>
            </w:tcBorders>
            <w:shd w:val="clear" w:color="auto" w:fill="auto"/>
            <w:vAlign w:val="center"/>
            <w:hideMark/>
          </w:tcPr>
          <w:p w:rsidR="008C2FDE" w:rsidRPr="006F7FB0" w:rsidRDefault="008C2FDE" w:rsidP="00060D88">
            <w:pPr>
              <w:spacing w:after="0" w:line="240" w:lineRule="auto"/>
              <w:jc w:val="center"/>
              <w:rPr>
                <w:rFonts w:eastAsia="Times New Roman" w:cs="Calibri"/>
                <w:color w:val="000000"/>
                <w:sz w:val="16"/>
                <w:szCs w:val="16"/>
                <w:lang w:eastAsia="es-MX"/>
              </w:rPr>
            </w:pPr>
            <w:r w:rsidRPr="006F7FB0">
              <w:rPr>
                <w:rFonts w:eastAsia="Times New Roman" w:cs="Calibri"/>
                <w:color w:val="000000"/>
                <w:sz w:val="16"/>
                <w:szCs w:val="16"/>
                <w:lang w:eastAsia="es-MX"/>
              </w:rPr>
              <w:t>13 624.3</w:t>
            </w:r>
          </w:p>
        </w:tc>
        <w:tc>
          <w:tcPr>
            <w:tcW w:w="1680" w:type="dxa"/>
            <w:tcBorders>
              <w:top w:val="nil"/>
              <w:left w:val="nil"/>
              <w:bottom w:val="single" w:sz="8" w:space="0" w:color="auto"/>
              <w:right w:val="single" w:sz="8" w:space="0" w:color="auto"/>
            </w:tcBorders>
            <w:shd w:val="clear" w:color="auto" w:fill="auto"/>
            <w:vAlign w:val="center"/>
            <w:hideMark/>
          </w:tcPr>
          <w:p w:rsidR="008C2FDE" w:rsidRPr="006F7FB0" w:rsidRDefault="008C2FDE" w:rsidP="00060D88">
            <w:pPr>
              <w:spacing w:after="0" w:line="240" w:lineRule="auto"/>
              <w:jc w:val="center"/>
              <w:rPr>
                <w:rFonts w:eastAsia="Times New Roman" w:cs="Calibri"/>
                <w:color w:val="000000"/>
                <w:sz w:val="16"/>
                <w:szCs w:val="16"/>
                <w:lang w:eastAsia="es-MX"/>
              </w:rPr>
            </w:pPr>
            <w:r w:rsidRPr="006F7FB0">
              <w:rPr>
                <w:rFonts w:eastAsia="Times New Roman" w:cs="Calibri"/>
                <w:color w:val="000000"/>
                <w:sz w:val="16"/>
                <w:szCs w:val="16"/>
                <w:lang w:eastAsia="es-MX"/>
              </w:rPr>
              <w:t>5</w:t>
            </w:r>
          </w:p>
        </w:tc>
        <w:tc>
          <w:tcPr>
            <w:tcW w:w="1660" w:type="dxa"/>
            <w:tcBorders>
              <w:top w:val="nil"/>
              <w:left w:val="nil"/>
              <w:bottom w:val="single" w:sz="8" w:space="0" w:color="auto"/>
              <w:right w:val="single" w:sz="8" w:space="0" w:color="auto"/>
            </w:tcBorders>
            <w:shd w:val="clear" w:color="auto" w:fill="auto"/>
            <w:vAlign w:val="center"/>
            <w:hideMark/>
          </w:tcPr>
          <w:p w:rsidR="008C2FDE" w:rsidRPr="006F7FB0" w:rsidRDefault="008C2FDE" w:rsidP="00060D88">
            <w:pPr>
              <w:spacing w:after="0" w:line="240" w:lineRule="auto"/>
              <w:jc w:val="center"/>
              <w:rPr>
                <w:rFonts w:eastAsia="Times New Roman" w:cs="Calibri"/>
                <w:color w:val="000000"/>
                <w:sz w:val="16"/>
                <w:szCs w:val="16"/>
                <w:lang w:eastAsia="es-MX"/>
              </w:rPr>
            </w:pPr>
            <w:r w:rsidRPr="006F7FB0">
              <w:rPr>
                <w:rFonts w:eastAsia="Times New Roman" w:cs="Calibri"/>
                <w:color w:val="000000"/>
                <w:sz w:val="16"/>
                <w:szCs w:val="16"/>
                <w:lang w:eastAsia="es-MX"/>
              </w:rPr>
              <w:t>10.1</w:t>
            </w:r>
          </w:p>
        </w:tc>
        <w:tc>
          <w:tcPr>
            <w:tcW w:w="1660" w:type="dxa"/>
            <w:tcBorders>
              <w:top w:val="nil"/>
              <w:left w:val="nil"/>
              <w:bottom w:val="single" w:sz="8" w:space="0" w:color="auto"/>
              <w:right w:val="single" w:sz="8" w:space="0" w:color="auto"/>
            </w:tcBorders>
            <w:shd w:val="clear" w:color="auto" w:fill="auto"/>
            <w:vAlign w:val="center"/>
            <w:hideMark/>
          </w:tcPr>
          <w:p w:rsidR="008C2FDE" w:rsidRPr="006F7FB0" w:rsidRDefault="008C2FDE" w:rsidP="00060D88">
            <w:pPr>
              <w:spacing w:after="0" w:line="240" w:lineRule="auto"/>
              <w:jc w:val="center"/>
              <w:rPr>
                <w:rFonts w:eastAsia="Times New Roman" w:cs="Calibri"/>
                <w:color w:val="000000"/>
                <w:sz w:val="16"/>
                <w:szCs w:val="16"/>
                <w:lang w:eastAsia="es-MX"/>
              </w:rPr>
            </w:pPr>
            <w:r w:rsidRPr="006F7FB0">
              <w:rPr>
                <w:rFonts w:eastAsia="Times New Roman" w:cs="Calibri"/>
                <w:color w:val="000000"/>
                <w:sz w:val="16"/>
                <w:szCs w:val="16"/>
                <w:lang w:eastAsia="es-MX"/>
              </w:rPr>
              <w:t>4</w:t>
            </w:r>
          </w:p>
        </w:tc>
      </w:tr>
      <w:tr w:rsidR="008C2FDE" w:rsidRPr="006F7FB0" w:rsidTr="00060D88">
        <w:trPr>
          <w:trHeight w:val="435"/>
        </w:trPr>
        <w:tc>
          <w:tcPr>
            <w:tcW w:w="2500" w:type="dxa"/>
            <w:tcBorders>
              <w:top w:val="nil"/>
              <w:left w:val="single" w:sz="8" w:space="0" w:color="auto"/>
              <w:bottom w:val="single" w:sz="8" w:space="0" w:color="auto"/>
              <w:right w:val="single" w:sz="8" w:space="0" w:color="auto"/>
            </w:tcBorders>
            <w:shd w:val="clear" w:color="000000" w:fill="DDC9A3"/>
            <w:vAlign w:val="center"/>
            <w:hideMark/>
          </w:tcPr>
          <w:p w:rsidR="008C2FDE" w:rsidRPr="006F7FB0" w:rsidRDefault="008C2FDE" w:rsidP="00060D88">
            <w:pPr>
              <w:spacing w:after="0" w:line="240" w:lineRule="auto"/>
              <w:jc w:val="both"/>
              <w:rPr>
                <w:rFonts w:eastAsia="Times New Roman" w:cs="Calibri"/>
                <w:color w:val="000000"/>
                <w:sz w:val="16"/>
                <w:szCs w:val="16"/>
                <w:lang w:eastAsia="es-MX"/>
              </w:rPr>
            </w:pPr>
            <w:r w:rsidRPr="006F7FB0">
              <w:rPr>
                <w:rFonts w:eastAsia="Times New Roman" w:cs="Calibri"/>
                <w:color w:val="000000"/>
                <w:sz w:val="16"/>
                <w:szCs w:val="16"/>
                <w:lang w:eastAsia="es-MX"/>
              </w:rPr>
              <w:t>Tamaulipas</w:t>
            </w:r>
          </w:p>
        </w:tc>
        <w:tc>
          <w:tcPr>
            <w:tcW w:w="1760" w:type="dxa"/>
            <w:tcBorders>
              <w:top w:val="nil"/>
              <w:left w:val="nil"/>
              <w:bottom w:val="single" w:sz="8" w:space="0" w:color="auto"/>
              <w:right w:val="single" w:sz="8" w:space="0" w:color="auto"/>
            </w:tcBorders>
            <w:shd w:val="clear" w:color="000000" w:fill="DDC9A3"/>
            <w:vAlign w:val="center"/>
            <w:hideMark/>
          </w:tcPr>
          <w:p w:rsidR="008C2FDE" w:rsidRPr="006F7FB0" w:rsidRDefault="008C2FDE" w:rsidP="00060D88">
            <w:pPr>
              <w:spacing w:after="0" w:line="240" w:lineRule="auto"/>
              <w:jc w:val="center"/>
              <w:rPr>
                <w:rFonts w:eastAsia="Times New Roman" w:cs="Calibri"/>
                <w:color w:val="000000"/>
                <w:sz w:val="16"/>
                <w:szCs w:val="16"/>
                <w:lang w:eastAsia="es-MX"/>
              </w:rPr>
            </w:pPr>
            <w:r w:rsidRPr="006F7FB0">
              <w:rPr>
                <w:rFonts w:eastAsia="Times New Roman" w:cs="Calibri"/>
                <w:color w:val="000000"/>
                <w:sz w:val="16"/>
                <w:szCs w:val="16"/>
                <w:lang w:eastAsia="es-MX"/>
              </w:rPr>
              <w:t>8 574.0</w:t>
            </w:r>
          </w:p>
        </w:tc>
        <w:tc>
          <w:tcPr>
            <w:tcW w:w="1680" w:type="dxa"/>
            <w:tcBorders>
              <w:top w:val="nil"/>
              <w:left w:val="nil"/>
              <w:bottom w:val="single" w:sz="8" w:space="0" w:color="auto"/>
              <w:right w:val="single" w:sz="8" w:space="0" w:color="auto"/>
            </w:tcBorders>
            <w:shd w:val="clear" w:color="000000" w:fill="DDC9A3"/>
            <w:vAlign w:val="center"/>
            <w:hideMark/>
          </w:tcPr>
          <w:p w:rsidR="008C2FDE" w:rsidRPr="006F7FB0" w:rsidRDefault="008C2FDE" w:rsidP="00060D88">
            <w:pPr>
              <w:spacing w:after="0" w:line="240" w:lineRule="auto"/>
              <w:jc w:val="center"/>
              <w:rPr>
                <w:rFonts w:eastAsia="Times New Roman" w:cs="Calibri"/>
                <w:color w:val="000000"/>
                <w:sz w:val="16"/>
                <w:szCs w:val="16"/>
                <w:lang w:eastAsia="es-MX"/>
              </w:rPr>
            </w:pPr>
            <w:r w:rsidRPr="006F7FB0">
              <w:rPr>
                <w:rFonts w:eastAsia="Times New Roman" w:cs="Calibri"/>
                <w:color w:val="000000"/>
                <w:sz w:val="16"/>
                <w:szCs w:val="16"/>
                <w:lang w:eastAsia="es-MX"/>
              </w:rPr>
              <w:t>1.2</w:t>
            </w:r>
          </w:p>
        </w:tc>
        <w:tc>
          <w:tcPr>
            <w:tcW w:w="1660" w:type="dxa"/>
            <w:tcBorders>
              <w:top w:val="nil"/>
              <w:left w:val="nil"/>
              <w:bottom w:val="single" w:sz="8" w:space="0" w:color="auto"/>
              <w:right w:val="single" w:sz="8" w:space="0" w:color="auto"/>
            </w:tcBorders>
            <w:shd w:val="clear" w:color="000000" w:fill="DDC9A3"/>
            <w:vAlign w:val="center"/>
            <w:hideMark/>
          </w:tcPr>
          <w:p w:rsidR="008C2FDE" w:rsidRPr="006F7FB0" w:rsidRDefault="008C2FDE" w:rsidP="00060D88">
            <w:pPr>
              <w:spacing w:after="0" w:line="240" w:lineRule="auto"/>
              <w:jc w:val="center"/>
              <w:rPr>
                <w:rFonts w:eastAsia="Times New Roman" w:cs="Calibri"/>
                <w:color w:val="000000"/>
                <w:sz w:val="16"/>
                <w:szCs w:val="16"/>
                <w:lang w:eastAsia="es-MX"/>
              </w:rPr>
            </w:pPr>
            <w:r w:rsidRPr="006F7FB0">
              <w:rPr>
                <w:rFonts w:eastAsia="Times New Roman" w:cs="Calibri"/>
                <w:color w:val="000000"/>
                <w:sz w:val="16"/>
                <w:szCs w:val="16"/>
                <w:lang w:eastAsia="es-MX"/>
              </w:rPr>
              <w:t>6.4</w:t>
            </w:r>
          </w:p>
        </w:tc>
        <w:tc>
          <w:tcPr>
            <w:tcW w:w="1660" w:type="dxa"/>
            <w:tcBorders>
              <w:top w:val="nil"/>
              <w:left w:val="nil"/>
              <w:bottom w:val="single" w:sz="8" w:space="0" w:color="auto"/>
              <w:right w:val="single" w:sz="8" w:space="0" w:color="auto"/>
            </w:tcBorders>
            <w:shd w:val="clear" w:color="000000" w:fill="DDC9A3"/>
            <w:vAlign w:val="center"/>
            <w:hideMark/>
          </w:tcPr>
          <w:p w:rsidR="008C2FDE" w:rsidRPr="006F7FB0" w:rsidRDefault="008C2FDE" w:rsidP="00060D88">
            <w:pPr>
              <w:spacing w:after="0" w:line="240" w:lineRule="auto"/>
              <w:jc w:val="center"/>
              <w:rPr>
                <w:rFonts w:eastAsia="Times New Roman" w:cs="Calibri"/>
                <w:color w:val="000000"/>
                <w:sz w:val="16"/>
                <w:szCs w:val="16"/>
                <w:lang w:eastAsia="es-MX"/>
              </w:rPr>
            </w:pPr>
            <w:r w:rsidRPr="006F7FB0">
              <w:rPr>
                <w:rFonts w:eastAsia="Times New Roman" w:cs="Calibri"/>
                <w:color w:val="000000"/>
                <w:sz w:val="16"/>
                <w:szCs w:val="16"/>
                <w:lang w:eastAsia="es-MX"/>
              </w:rPr>
              <w:t>5</w:t>
            </w:r>
          </w:p>
        </w:tc>
      </w:tr>
      <w:tr w:rsidR="008C2FDE" w:rsidRPr="006F7FB0" w:rsidTr="00060D88">
        <w:trPr>
          <w:trHeight w:val="43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8C2FDE" w:rsidRPr="006F7FB0" w:rsidRDefault="008C2FDE" w:rsidP="00060D88">
            <w:pPr>
              <w:spacing w:after="0" w:line="240" w:lineRule="auto"/>
              <w:rPr>
                <w:rFonts w:eastAsia="Times New Roman" w:cs="Calibri"/>
                <w:color w:val="000000"/>
                <w:sz w:val="16"/>
                <w:szCs w:val="16"/>
                <w:lang w:eastAsia="es-MX"/>
              </w:rPr>
            </w:pPr>
            <w:r w:rsidRPr="006F7FB0">
              <w:rPr>
                <w:rFonts w:eastAsia="Times New Roman" w:cs="Calibri"/>
                <w:color w:val="000000"/>
                <w:sz w:val="16"/>
                <w:szCs w:val="16"/>
                <w:lang w:eastAsia="es-MX"/>
              </w:rPr>
              <w:t>Resto de las entidades</w:t>
            </w:r>
          </w:p>
        </w:tc>
        <w:tc>
          <w:tcPr>
            <w:tcW w:w="1760" w:type="dxa"/>
            <w:tcBorders>
              <w:top w:val="nil"/>
              <w:left w:val="nil"/>
              <w:bottom w:val="single" w:sz="8" w:space="0" w:color="auto"/>
              <w:right w:val="single" w:sz="8" w:space="0" w:color="auto"/>
            </w:tcBorders>
            <w:shd w:val="clear" w:color="auto" w:fill="auto"/>
            <w:vAlign w:val="center"/>
            <w:hideMark/>
          </w:tcPr>
          <w:p w:rsidR="008C2FDE" w:rsidRPr="006F7FB0" w:rsidRDefault="008C2FDE" w:rsidP="00060D88">
            <w:pPr>
              <w:spacing w:after="0" w:line="240" w:lineRule="auto"/>
              <w:jc w:val="center"/>
              <w:rPr>
                <w:rFonts w:eastAsia="Times New Roman" w:cs="Calibri"/>
                <w:color w:val="000000"/>
                <w:sz w:val="16"/>
                <w:szCs w:val="16"/>
                <w:lang w:eastAsia="es-MX"/>
              </w:rPr>
            </w:pPr>
            <w:r w:rsidRPr="006F7FB0">
              <w:rPr>
                <w:rFonts w:eastAsia="Times New Roman" w:cs="Calibri"/>
                <w:color w:val="000000"/>
                <w:sz w:val="16"/>
                <w:szCs w:val="16"/>
                <w:lang w:eastAsia="es-MX"/>
              </w:rPr>
              <w:t>63,168.50</w:t>
            </w:r>
          </w:p>
        </w:tc>
        <w:tc>
          <w:tcPr>
            <w:tcW w:w="1680" w:type="dxa"/>
            <w:tcBorders>
              <w:top w:val="nil"/>
              <w:left w:val="nil"/>
              <w:bottom w:val="single" w:sz="8" w:space="0" w:color="auto"/>
              <w:right w:val="single" w:sz="8" w:space="0" w:color="auto"/>
            </w:tcBorders>
            <w:shd w:val="clear" w:color="auto" w:fill="auto"/>
            <w:vAlign w:val="center"/>
            <w:hideMark/>
          </w:tcPr>
          <w:p w:rsidR="008C2FDE" w:rsidRPr="006F7FB0" w:rsidRDefault="008C2FDE" w:rsidP="00060D88">
            <w:pPr>
              <w:spacing w:after="0" w:line="240" w:lineRule="auto"/>
              <w:jc w:val="center"/>
              <w:rPr>
                <w:rFonts w:eastAsia="Times New Roman" w:cs="Calibri"/>
                <w:color w:val="000000"/>
                <w:sz w:val="16"/>
                <w:szCs w:val="16"/>
                <w:lang w:eastAsia="es-MX"/>
              </w:rPr>
            </w:pPr>
            <w:r w:rsidRPr="006F7FB0">
              <w:rPr>
                <w:rFonts w:eastAsia="Times New Roman" w:cs="Calibri"/>
                <w:color w:val="000000"/>
                <w:sz w:val="16"/>
                <w:szCs w:val="16"/>
                <w:lang w:eastAsia="es-MX"/>
              </w:rPr>
              <w:t> </w:t>
            </w:r>
          </w:p>
        </w:tc>
        <w:tc>
          <w:tcPr>
            <w:tcW w:w="1660" w:type="dxa"/>
            <w:tcBorders>
              <w:top w:val="nil"/>
              <w:left w:val="nil"/>
              <w:bottom w:val="single" w:sz="8" w:space="0" w:color="auto"/>
              <w:right w:val="single" w:sz="8" w:space="0" w:color="auto"/>
            </w:tcBorders>
            <w:shd w:val="clear" w:color="auto" w:fill="auto"/>
            <w:vAlign w:val="center"/>
            <w:hideMark/>
          </w:tcPr>
          <w:p w:rsidR="008C2FDE" w:rsidRPr="006F7FB0" w:rsidRDefault="008C2FDE" w:rsidP="00060D88">
            <w:pPr>
              <w:spacing w:after="0" w:line="240" w:lineRule="auto"/>
              <w:jc w:val="center"/>
              <w:rPr>
                <w:rFonts w:eastAsia="Times New Roman" w:cs="Calibri"/>
                <w:color w:val="000000"/>
                <w:sz w:val="16"/>
                <w:szCs w:val="16"/>
                <w:lang w:eastAsia="es-MX"/>
              </w:rPr>
            </w:pPr>
            <w:r w:rsidRPr="006F7FB0">
              <w:rPr>
                <w:rFonts w:eastAsia="Times New Roman" w:cs="Calibri"/>
                <w:color w:val="000000"/>
                <w:sz w:val="16"/>
                <w:szCs w:val="16"/>
                <w:lang w:eastAsia="es-MX"/>
              </w:rPr>
              <w:t>46.8</w:t>
            </w:r>
          </w:p>
        </w:tc>
        <w:tc>
          <w:tcPr>
            <w:tcW w:w="1660" w:type="dxa"/>
            <w:tcBorders>
              <w:top w:val="nil"/>
              <w:left w:val="nil"/>
              <w:bottom w:val="single" w:sz="8" w:space="0" w:color="auto"/>
              <w:right w:val="single" w:sz="8" w:space="0" w:color="auto"/>
            </w:tcBorders>
            <w:shd w:val="clear" w:color="auto" w:fill="auto"/>
            <w:vAlign w:val="center"/>
            <w:hideMark/>
          </w:tcPr>
          <w:p w:rsidR="008C2FDE" w:rsidRPr="006F7FB0" w:rsidRDefault="008C2FDE" w:rsidP="00060D88">
            <w:pPr>
              <w:spacing w:after="0" w:line="240" w:lineRule="auto"/>
              <w:jc w:val="center"/>
              <w:rPr>
                <w:rFonts w:eastAsia="Times New Roman" w:cs="Calibri"/>
                <w:color w:val="000000"/>
                <w:sz w:val="16"/>
                <w:szCs w:val="16"/>
                <w:lang w:eastAsia="es-MX"/>
              </w:rPr>
            </w:pPr>
            <w:r w:rsidRPr="006F7FB0">
              <w:rPr>
                <w:rFonts w:eastAsia="Times New Roman" w:cs="Calibri"/>
                <w:color w:val="000000"/>
                <w:sz w:val="16"/>
                <w:szCs w:val="16"/>
                <w:lang w:eastAsia="es-MX"/>
              </w:rPr>
              <w:t> </w:t>
            </w:r>
          </w:p>
        </w:tc>
      </w:tr>
    </w:tbl>
    <w:p w:rsidR="008C2FDE" w:rsidRPr="00676CED" w:rsidRDefault="008C2FDE" w:rsidP="008C2FDE">
      <w:pPr>
        <w:pStyle w:val="NormalWeb"/>
        <w:spacing w:before="0" w:beforeAutospacing="0" w:after="0" w:afterAutospacing="0"/>
        <w:ind w:left="284"/>
        <w:rPr>
          <w:rFonts w:asciiTheme="minorHAnsi" w:hAnsiTheme="minorHAnsi" w:cstheme="minorHAnsi"/>
          <w:sz w:val="14"/>
          <w:szCs w:val="14"/>
        </w:rPr>
      </w:pPr>
      <w:r w:rsidRPr="00676CED">
        <w:rPr>
          <w:rFonts w:asciiTheme="minorHAnsi" w:hAnsiTheme="minorHAnsi" w:cstheme="minorHAnsi"/>
          <w:sz w:val="14"/>
          <w:szCs w:val="14"/>
        </w:rPr>
        <w:t>Cifras preliminares</w:t>
      </w:r>
      <w:r w:rsidRPr="00676CED">
        <w:rPr>
          <w:rFonts w:asciiTheme="minorHAnsi" w:hAnsiTheme="minorHAnsi" w:cstheme="minorHAnsi"/>
          <w:sz w:val="14"/>
          <w:szCs w:val="14"/>
        </w:rPr>
        <w:br/>
        <w:t xml:space="preserve">El total presenta una diferencia respecto al reportado por la Balanza Comercial de </w:t>
      </w:r>
      <w:proofErr w:type="spellStart"/>
      <w:r w:rsidRPr="00676CED">
        <w:rPr>
          <w:rFonts w:asciiTheme="minorHAnsi" w:hAnsiTheme="minorHAnsi" w:cstheme="minorHAnsi"/>
          <w:sz w:val="14"/>
          <w:szCs w:val="14"/>
        </w:rPr>
        <w:t>Mercancías</w:t>
      </w:r>
      <w:proofErr w:type="spellEnd"/>
      <w:r w:rsidRPr="00676CED">
        <w:rPr>
          <w:rFonts w:asciiTheme="minorHAnsi" w:hAnsiTheme="minorHAnsi" w:cstheme="minorHAnsi"/>
          <w:sz w:val="14"/>
          <w:szCs w:val="14"/>
        </w:rPr>
        <w:t xml:space="preserve"> de México</w:t>
      </w:r>
      <w:r>
        <w:rPr>
          <w:rFonts w:asciiTheme="minorHAnsi" w:hAnsiTheme="minorHAnsi" w:cstheme="minorHAnsi"/>
          <w:sz w:val="14"/>
          <w:szCs w:val="14"/>
        </w:rPr>
        <w:t xml:space="preserve">  </w:t>
      </w:r>
      <w:r w:rsidRPr="00676CED">
        <w:rPr>
          <w:rFonts w:asciiTheme="minorHAnsi" w:hAnsiTheme="minorHAnsi" w:cstheme="minorHAnsi"/>
          <w:sz w:val="14"/>
          <w:szCs w:val="14"/>
        </w:rPr>
        <w:t>debido a que no se consideran los sectores Servicios y Comercio, así́ como los establecimientos no</w:t>
      </w:r>
      <w:r>
        <w:rPr>
          <w:rFonts w:asciiTheme="minorHAnsi" w:hAnsiTheme="minorHAnsi" w:cstheme="minorHAnsi"/>
          <w:sz w:val="14"/>
          <w:szCs w:val="14"/>
        </w:rPr>
        <w:t xml:space="preserve"> </w:t>
      </w:r>
      <w:r w:rsidRPr="00676CED">
        <w:rPr>
          <w:rFonts w:asciiTheme="minorHAnsi" w:hAnsiTheme="minorHAnsi" w:cstheme="minorHAnsi"/>
          <w:sz w:val="14"/>
          <w:szCs w:val="14"/>
        </w:rPr>
        <w:t xml:space="preserve">vinculados al </w:t>
      </w:r>
      <w:proofErr w:type="spellStart"/>
      <w:r w:rsidRPr="00676CED">
        <w:rPr>
          <w:rFonts w:asciiTheme="minorHAnsi" w:hAnsiTheme="minorHAnsi" w:cstheme="minorHAnsi"/>
          <w:sz w:val="14"/>
          <w:szCs w:val="14"/>
        </w:rPr>
        <w:t>RENEM</w:t>
      </w:r>
      <w:proofErr w:type="spellEnd"/>
      <w:r w:rsidRPr="00676CED">
        <w:rPr>
          <w:rFonts w:asciiTheme="minorHAnsi" w:hAnsiTheme="minorHAnsi" w:cstheme="minorHAnsi"/>
          <w:sz w:val="14"/>
          <w:szCs w:val="14"/>
        </w:rPr>
        <w:t xml:space="preserve"> (ver nota metodológica al final de este documento).</w:t>
      </w:r>
    </w:p>
    <w:p w:rsidR="008C2FDE" w:rsidRPr="00676CED" w:rsidRDefault="008C2FDE" w:rsidP="008C2FDE">
      <w:pPr>
        <w:pStyle w:val="NormalWeb"/>
        <w:spacing w:before="0" w:beforeAutospacing="0" w:after="0" w:afterAutospacing="0"/>
        <w:ind w:left="709" w:hanging="425"/>
        <w:rPr>
          <w:rFonts w:asciiTheme="minorHAnsi" w:hAnsiTheme="minorHAnsi" w:cstheme="minorHAnsi"/>
          <w:sz w:val="14"/>
          <w:szCs w:val="14"/>
        </w:rPr>
      </w:pPr>
      <w:r w:rsidRPr="00676CED">
        <w:rPr>
          <w:rFonts w:asciiTheme="minorHAnsi" w:hAnsiTheme="minorHAnsi" w:cstheme="minorHAnsi"/>
          <w:sz w:val="14"/>
          <w:szCs w:val="14"/>
        </w:rPr>
        <w:t>Fuente: INEGI</w:t>
      </w:r>
    </w:p>
    <w:p w:rsidR="008C2FDE" w:rsidRPr="00676CED" w:rsidRDefault="008C2FDE" w:rsidP="008C2FDE">
      <w:pPr>
        <w:jc w:val="center"/>
        <w:rPr>
          <w:rFonts w:asciiTheme="minorHAnsi" w:hAnsiTheme="minorHAnsi" w:cstheme="minorHAnsi"/>
          <w:b/>
          <w:bCs/>
          <w:sz w:val="18"/>
          <w:szCs w:val="18"/>
        </w:rPr>
      </w:pPr>
    </w:p>
    <w:p w:rsidR="008C2FDE" w:rsidRPr="007D5DA7" w:rsidRDefault="008C2FDE" w:rsidP="008C2FDE">
      <w:pPr>
        <w:jc w:val="both"/>
        <w:rPr>
          <w:rFonts w:asciiTheme="minorHAnsi" w:hAnsiTheme="minorHAnsi" w:cstheme="minorHAnsi"/>
          <w:sz w:val="21"/>
          <w:szCs w:val="21"/>
        </w:rPr>
      </w:pPr>
      <w:r w:rsidRPr="007D5DA7">
        <w:rPr>
          <w:rFonts w:asciiTheme="minorHAnsi" w:hAnsiTheme="minorHAnsi" w:cstheme="minorHAnsi"/>
          <w:sz w:val="21"/>
          <w:szCs w:val="21"/>
        </w:rPr>
        <w:t>Cabe destacar que el estado de Tamaulipas en la comparativa anual sobresalió en las siguientes exportaciones:</w:t>
      </w:r>
    </w:p>
    <w:p w:rsidR="008C2FDE" w:rsidRPr="00060D88" w:rsidRDefault="008C2FDE" w:rsidP="008C2FDE">
      <w:pPr>
        <w:jc w:val="both"/>
        <w:rPr>
          <w:rFonts w:asciiTheme="minorHAnsi" w:hAnsiTheme="minorHAnsi" w:cstheme="minorHAnsi"/>
          <w:b/>
        </w:rPr>
      </w:pPr>
      <w:r w:rsidRPr="00060D88">
        <w:rPr>
          <w:rFonts w:asciiTheme="minorHAnsi" w:hAnsiTheme="minorHAnsi" w:cstheme="minorHAnsi"/>
          <w:b/>
        </w:rPr>
        <w:t>Equipo electrónico, con un 7.9%, Equipo eléctrico, 11.3%, Subsector de extracción de petróleo, 0.6%</w:t>
      </w:r>
    </w:p>
    <w:p w:rsidR="008C2FDE" w:rsidRPr="007D5DA7" w:rsidRDefault="008C2FDE" w:rsidP="008C2FDE">
      <w:pPr>
        <w:jc w:val="both"/>
        <w:rPr>
          <w:rFonts w:asciiTheme="minorHAnsi" w:hAnsiTheme="minorHAnsi" w:cstheme="minorHAnsi"/>
          <w:sz w:val="21"/>
          <w:szCs w:val="21"/>
        </w:rPr>
      </w:pPr>
      <w:r w:rsidRPr="007D5DA7">
        <w:rPr>
          <w:rFonts w:asciiTheme="minorHAnsi" w:hAnsiTheme="minorHAnsi" w:cstheme="minorHAnsi"/>
          <w:sz w:val="21"/>
          <w:szCs w:val="21"/>
        </w:rPr>
        <w:lastRenderedPageBreak/>
        <w:t>Por su parte, como ya es una tradición en el sector primario, específicamente en el agroindustrial, la producción de sorgo, soya y sábila siguen distinguiendo a Tamaulipas entre los primeros lugares de producción a nivel nacional. De igual forma, el comercio y los servicios son ampliamente dinámicos, siendo de los principales Estados exportadores del país, y líder en cuanto al movimiento de importaciones y exportaciones a los Estados Unidos de Norteamérica.</w:t>
      </w:r>
    </w:p>
    <w:sectPr w:rsidR="008C2FDE" w:rsidRPr="007D5DA7" w:rsidSect="00841F43">
      <w:headerReference w:type="even" r:id="rId14"/>
      <w:headerReference w:type="default" r:id="rId15"/>
      <w:footerReference w:type="even" r:id="rId16"/>
      <w:footerReference w:type="default" r:id="rId17"/>
      <w:pgSz w:w="12240" w:h="15840"/>
      <w:pgMar w:top="1814" w:right="1440" w:bottom="1134" w:left="1440" w:header="567"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F43" w:rsidRDefault="00841F43" w:rsidP="00EA5418">
      <w:pPr>
        <w:spacing w:after="0" w:line="240" w:lineRule="auto"/>
      </w:pPr>
      <w:r>
        <w:separator/>
      </w:r>
    </w:p>
  </w:endnote>
  <w:endnote w:type="continuationSeparator" w:id="0">
    <w:p w:rsidR="00841F43" w:rsidRDefault="00841F4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Encode Sans">
    <w:panose1 w:val="02000000000000000000"/>
    <w:charset w:val="00"/>
    <w:family w:val="auto"/>
    <w:pitch w:val="variable"/>
    <w:sig w:usb0="A00000F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panose1 w:val="020B0504020101020102"/>
    <w:charset w:val="00"/>
    <w:family w:val="swiss"/>
    <w:pitch w:val="variable"/>
    <w:sig w:usb0="A00002BF" w:usb1="4000207B" w:usb2="00000008" w:usb3="00000000" w:csb0="0000009F" w:csb1="00000000"/>
  </w:font>
  <w:font w:name="HelveticaNeueLT Std Lt">
    <w:panose1 w:val="020B0403020202020204"/>
    <w:charset w:val="00"/>
    <w:family w:val="swiss"/>
    <w:notTrueType/>
    <w:pitch w:val="variable"/>
    <w:sig w:usb0="00000003" w:usb1="00000000" w:usb2="00000000" w:usb3="00000000" w:csb0="00000001" w:csb1="00000000"/>
  </w:font>
  <w:font w:name="Encode Sans Medium">
    <w:panose1 w:val="00000000000000000000"/>
    <w:charset w:val="00"/>
    <w:family w:val="auto"/>
    <w:pitch w:val="variable"/>
    <w:sig w:usb0="A00000FF" w:usb1="4000207B" w:usb2="00000000" w:usb3="00000000" w:csb0="00000193" w:csb1="00000000"/>
  </w:font>
  <w:font w:name="DIN Pro Bold">
    <w:panose1 w:val="020B0804020101020102"/>
    <w:charset w:val="00"/>
    <w:family w:val="swiss"/>
    <w:pitch w:val="variable"/>
    <w:sig w:usb0="A00002BF" w:usb1="4000207B" w:usb2="00000008"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43" w:rsidRPr="00DF3D6D" w:rsidRDefault="00841F43" w:rsidP="0013011C">
    <w:pPr>
      <w:pStyle w:val="Piedepgina"/>
      <w:jc w:val="center"/>
      <w:rPr>
        <w:rFonts w:ascii="DIN Pro Regular" w:hAnsi="DIN Pro Regular" w:cs="DIN Pro Regular"/>
      </w:rPr>
    </w:pPr>
    <w:r w:rsidRPr="00DF3D6D">
      <w:rPr>
        <w:rFonts w:ascii="DIN Pro Regular" w:hAnsi="DIN Pro Regular" w:cs="DIN Pro Regular"/>
        <w:noProof/>
        <w:lang w:eastAsia="es-MX"/>
      </w:rPr>
      <mc:AlternateContent>
        <mc:Choice Requires="wps">
          <w:drawing>
            <wp:anchor distT="0" distB="0" distL="114300" distR="114300" simplePos="0" relativeHeight="251659776" behindDoc="0" locked="0" layoutInCell="1" allowOverlap="1" wp14:anchorId="0A021699" wp14:editId="0D29982B">
              <wp:simplePos x="0" y="0"/>
              <wp:positionH relativeFrom="column">
                <wp:posOffset>-2416810</wp:posOffset>
              </wp:positionH>
              <wp:positionV relativeFrom="paragraph">
                <wp:posOffset>-16510</wp:posOffset>
              </wp:positionV>
              <wp:extent cx="10083800" cy="16510"/>
              <wp:effectExtent l="0" t="0" r="1270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62BA2D9" id="12 Conector recto"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0.3pt,-1.3pt" to="603.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" strokecolor="#4a7ebb" strokeweight="1.5pt">
              <o:lock v:ext="edit" shapetype="f"/>
            </v:line>
          </w:pict>
        </mc:Fallback>
      </mc:AlternateContent>
    </w:r>
    <w:r w:rsidRPr="00DF3D6D">
      <w:rPr>
        <w:rFonts w:ascii="DIN Pro Regular" w:hAnsi="DIN Pro Regular" w:cs="DIN Pro Regular"/>
      </w:rPr>
      <w:t xml:space="preserve">Contable / </w:t>
    </w:r>
    <w:r w:rsidRPr="00DF3D6D">
      <w:rPr>
        <w:rFonts w:ascii="DIN Pro Regular" w:hAnsi="DIN Pro Regular" w:cs="DIN Pro Regular"/>
      </w:rPr>
      <w:fldChar w:fldCharType="begin"/>
    </w:r>
    <w:r w:rsidRPr="00DF3D6D">
      <w:rPr>
        <w:rFonts w:ascii="DIN Pro Regular" w:hAnsi="DIN Pro Regular" w:cs="DIN Pro Regular"/>
      </w:rPr>
      <w:instrText>PAGE   \* MERGEFORMAT</w:instrText>
    </w:r>
    <w:r w:rsidRPr="00DF3D6D">
      <w:rPr>
        <w:rFonts w:ascii="DIN Pro Regular" w:hAnsi="DIN Pro Regular" w:cs="DIN Pro Regular"/>
      </w:rPr>
      <w:fldChar w:fldCharType="separate"/>
    </w:r>
    <w:r w:rsidRPr="002B152B">
      <w:rPr>
        <w:rFonts w:ascii="DIN Pro Regular" w:hAnsi="DIN Pro Regular" w:cs="DIN Pro Regular"/>
        <w:noProof/>
        <w:lang w:val="es-ES"/>
      </w:rPr>
      <w:t>2</w:t>
    </w:r>
    <w:r w:rsidRPr="00DF3D6D">
      <w:rPr>
        <w:rFonts w:ascii="DIN Pro Regular" w:hAnsi="DIN Pro Regular" w:cs="DIN Pro Regular"/>
      </w:rPr>
      <w:fldChar w:fldCharType="end"/>
    </w:r>
  </w:p>
  <w:p w:rsidR="00841F43" w:rsidRDefault="00841F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43" w:rsidRPr="007D5DA7" w:rsidRDefault="00841F43" w:rsidP="008C2FDE">
    <w:pPr>
      <w:pStyle w:val="Piedepgina"/>
      <w:tabs>
        <w:tab w:val="left" w:pos="4010"/>
        <w:tab w:val="center" w:pos="4680"/>
      </w:tabs>
      <w:jc w:val="center"/>
      <w:rPr>
        <w:rFonts w:asciiTheme="minorHAnsi" w:hAnsiTheme="minorHAnsi" w:cstheme="minorHAnsi"/>
      </w:rPr>
    </w:pPr>
    <w:r w:rsidRPr="007D5DA7">
      <w:rPr>
        <w:rFonts w:asciiTheme="minorHAnsi" w:hAnsiTheme="minorHAnsi" w:cstheme="minorHAnsi"/>
      </w:rPr>
      <w:fldChar w:fldCharType="begin"/>
    </w:r>
    <w:r w:rsidRPr="007D5DA7">
      <w:rPr>
        <w:rFonts w:asciiTheme="minorHAnsi" w:hAnsiTheme="minorHAnsi" w:cstheme="minorHAnsi"/>
      </w:rPr>
      <w:instrText>PAGE   \* MERGEFORMAT</w:instrText>
    </w:r>
    <w:r w:rsidRPr="007D5DA7">
      <w:rPr>
        <w:rFonts w:asciiTheme="minorHAnsi" w:hAnsiTheme="minorHAnsi" w:cstheme="minorHAnsi"/>
      </w:rPr>
      <w:fldChar w:fldCharType="separate"/>
    </w:r>
    <w:r w:rsidR="00955BAD" w:rsidRPr="00955BAD">
      <w:rPr>
        <w:rFonts w:asciiTheme="minorHAnsi" w:hAnsiTheme="minorHAnsi" w:cstheme="minorHAnsi"/>
        <w:noProof/>
        <w:lang w:val="es-ES"/>
      </w:rPr>
      <w:t>14</w:t>
    </w:r>
    <w:r w:rsidRPr="007D5DA7">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F43" w:rsidRDefault="00841F43" w:rsidP="00EA5418">
      <w:pPr>
        <w:spacing w:after="0" w:line="240" w:lineRule="auto"/>
      </w:pPr>
      <w:r>
        <w:separator/>
      </w:r>
    </w:p>
  </w:footnote>
  <w:footnote w:type="continuationSeparator" w:id="0">
    <w:p w:rsidR="00841F43" w:rsidRDefault="00841F4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43" w:rsidRDefault="00841F43">
    <w:pPr>
      <w:pStyle w:val="Encabezado"/>
    </w:pPr>
    <w:r>
      <w:rPr>
        <w:noProof/>
        <w:lang w:eastAsia="es-MX"/>
      </w:rPr>
      <mc:AlternateContent>
        <mc:Choice Requires="wpg">
          <w:drawing>
            <wp:anchor distT="0" distB="0" distL="114300" distR="114300" simplePos="0" relativeHeight="251627520" behindDoc="0" locked="0" layoutInCell="1" allowOverlap="1" wp14:anchorId="2C9A5420" wp14:editId="379A0CD8">
              <wp:simplePos x="0" y="0"/>
              <wp:positionH relativeFrom="column">
                <wp:posOffset>3308350</wp:posOffset>
              </wp:positionH>
              <wp:positionV relativeFrom="paragraph">
                <wp:posOffset>-8890</wp:posOffset>
              </wp:positionV>
              <wp:extent cx="3172460" cy="504825"/>
              <wp:effectExtent l="0" t="0" r="0" b="9525"/>
              <wp:wrapNone/>
              <wp:docPr id="8"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2460" cy="504825"/>
                        <a:chOff x="0" y="21946"/>
                        <a:chExt cx="3172383" cy="475890"/>
                      </a:xfrm>
                    </wpg:grpSpPr>
                    <wps:wsp>
                      <wps:cNvPr id="9" name="Cuadro de texto 5"/>
                      <wps:cNvSpPr txBox="1">
                        <a:spLocks noChangeArrowheads="1"/>
                      </wps:cNvSpPr>
                      <wps:spPr bwMode="auto">
                        <a:xfrm>
                          <a:off x="0" y="58164"/>
                          <a:ext cx="2289175" cy="43967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F43" w:rsidRPr="00A05CB1" w:rsidRDefault="00841F43" w:rsidP="00A05CB1">
                            <w:pPr>
                              <w:spacing w:after="0"/>
                              <w:jc w:val="right"/>
                              <w:rPr>
                                <w:rFonts w:ascii="DIN Pro Regular" w:hAnsi="DIN Pro Regular" w:cs="DIN Pro Regular"/>
                                <w:color w:val="808080"/>
                                <w:sz w:val="18"/>
                                <w:szCs w:val="42"/>
                              </w:rPr>
                            </w:pPr>
                            <w:r w:rsidRPr="00A05CB1">
                              <w:rPr>
                                <w:rFonts w:ascii="DIN Pro Regular" w:hAnsi="DIN Pro Regular" w:cs="DIN Pro Regular"/>
                                <w:color w:val="808080"/>
                                <w:sz w:val="18"/>
                                <w:szCs w:val="42"/>
                              </w:rPr>
                              <w:t>CUENTA PÚBLICA</w:t>
                            </w:r>
                          </w:p>
                          <w:p w:rsidR="00841F43" w:rsidRPr="00A05CB1" w:rsidRDefault="00841F43" w:rsidP="00A05CB1">
                            <w:pPr>
                              <w:spacing w:after="0"/>
                              <w:jc w:val="right"/>
                              <w:rPr>
                                <w:rFonts w:ascii="DIN Pro Regular" w:hAnsi="DIN Pro Regular" w:cs="DIN Pro Regular"/>
                                <w:color w:val="808080"/>
                                <w:sz w:val="18"/>
                                <w:szCs w:val="42"/>
                              </w:rPr>
                            </w:pPr>
                            <w:r>
                              <w:rPr>
                                <w:rFonts w:ascii="DIN Pro Regular" w:hAnsi="DIN Pro Regular" w:cs="DIN Pro Regular"/>
                                <w:color w:val="808080"/>
                                <w:sz w:val="18"/>
                                <w:szCs w:val="42"/>
                              </w:rPr>
                              <w:t>CONSOLIDADA</w:t>
                            </w:r>
                          </w:p>
                          <w:p w:rsidR="00841F43" w:rsidRPr="00A05CB1" w:rsidRDefault="00841F43" w:rsidP="00040466">
                            <w:pPr>
                              <w:jc w:val="right"/>
                              <w:rPr>
                                <w:rFonts w:ascii="Arial" w:hAnsi="Arial" w:cs="Arial"/>
                                <w:sz w:val="20"/>
                                <w:szCs w:val="20"/>
                              </w:rPr>
                            </w:pPr>
                          </w:p>
                        </w:txbxContent>
                      </wps:txbx>
                      <wps:bodyPr rot="0" vert="horz" wrap="square" lIns="91440" tIns="45720" rIns="91440" bIns="45720" anchor="t" anchorCtr="0" upright="1">
                        <a:noAutofit/>
                      </wps:bodyPr>
                    </wps:wsp>
                    <wps:wsp>
                      <wps:cNvPr id="13" name="Cuadro de texto 5"/>
                      <wps:cNvSpPr txBox="1">
                        <a:spLocks noChangeArrowheads="1"/>
                      </wps:cNvSpPr>
                      <wps:spPr bwMode="auto">
                        <a:xfrm>
                          <a:off x="2333548" y="21946"/>
                          <a:ext cx="838835" cy="402590"/>
                        </a:xfrm>
                        <a:prstGeom prst="rect">
                          <a:avLst/>
                        </a:prstGeom>
                        <a:noFill/>
                        <a:ln w="9525">
                          <a:noFill/>
                          <a:miter lim="800000"/>
                          <a:headEnd/>
                          <a:tailEnd/>
                        </a:ln>
                        <a:extLst/>
                      </wps:spPr>
                      <wps:txbx>
                        <w:txbxContent>
                          <w:p w:rsidR="00841F43" w:rsidRPr="003A64F1" w:rsidRDefault="00841F43" w:rsidP="00040466">
                            <w:pPr>
                              <w:jc w:val="both"/>
                              <w:rPr>
                                <w:rFonts w:ascii="DIN Pro Regular" w:hAnsi="DIN Pro Regular" w:cs="DIN Pro Regular"/>
                                <w:color w:val="808080"/>
                                <w:sz w:val="42"/>
                                <w:szCs w:val="42"/>
                              </w:rPr>
                            </w:pPr>
                            <w:r>
                              <w:rPr>
                                <w:rFonts w:ascii="DIN Pro Regular" w:hAnsi="DIN Pro Regular" w:cs="DIN Pro Regular"/>
                                <w:color w:val="808080"/>
                                <w:sz w:val="42"/>
                                <w:szCs w:val="42"/>
                              </w:rPr>
                              <w:t>2022</w:t>
                            </w:r>
                          </w:p>
                          <w:p w:rsidR="00841F43" w:rsidRDefault="00841F43" w:rsidP="00040466">
                            <w:pPr>
                              <w:jc w:val="both"/>
                              <w:rPr>
                                <w:rFonts w:ascii="Helvetica" w:hAnsi="Helvetica" w:cs="Arial"/>
                                <w:color w:val="808080"/>
                                <w:sz w:val="42"/>
                                <w:szCs w:val="42"/>
                              </w:rPr>
                            </w:pPr>
                          </w:p>
                          <w:p w:rsidR="00841F43" w:rsidRPr="00F45C83" w:rsidRDefault="00841F43" w:rsidP="00040466">
                            <w:pPr>
                              <w:jc w:val="both"/>
                              <w:rPr>
                                <w:rFonts w:ascii="Helvetica" w:hAnsi="Helvetica" w:cs="Arial"/>
                                <w:color w:val="808080"/>
                                <w:sz w:val="42"/>
                                <w:szCs w:val="42"/>
                              </w:rPr>
                            </w:pPr>
                          </w:p>
                          <w:p w:rsidR="00841F43" w:rsidRPr="00DC53C5" w:rsidRDefault="00841F43" w:rsidP="00040466">
                            <w:pPr>
                              <w:jc w:val="both"/>
                              <w:rPr>
                                <w:rFonts w:ascii="Arial" w:hAnsi="Arial" w:cs="Arial"/>
                                <w:color w:val="808080"/>
                                <w:sz w:val="42"/>
                                <w:szCs w:val="42"/>
                              </w:rPr>
                            </w:pPr>
                            <w:r w:rsidRPr="00DC53C5">
                              <w:rPr>
                                <w:rFonts w:ascii="Arial" w:hAnsi="Arial" w:cs="Arial"/>
                                <w:color w:val="808080"/>
                                <w:sz w:val="42"/>
                                <w:szCs w:val="42"/>
                              </w:rPr>
                              <w:t>2014</w:t>
                            </w:r>
                          </w:p>
                          <w:p w:rsidR="00841F43" w:rsidRPr="00DC53C5" w:rsidRDefault="00841F43" w:rsidP="00040466">
                            <w:pPr>
                              <w:jc w:val="both"/>
                              <w:rPr>
                                <w:rFonts w:ascii="Arial" w:hAnsi="Arial" w:cs="Arial"/>
                                <w:color w:val="8080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9A5420" id="6 Grupo" o:spid="_x0000_s1026" style="position:absolute;margin-left:260.5pt;margin-top:-.7pt;width:249.8pt;height:39.75pt;z-index:251627520" coordorigin=",219" coordsize="31723,4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">
              <v:shapetype id="_x0000_t202" coordsize="21600,21600" o:spt="202" path="m,l,21600r21600,l21600,xe">
                <v:stroke joinstyle="miter"/>
                <v:path gradientshapeok="t" o:connecttype="rect"/>
              </v:shapetype>
              <v:shape id="Cuadro de texto 5" o:spid="_x0000_s1027" type="#_x0000_t202" style="position:absolute;top:581;width:22891;height:4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5241FE" w:rsidRPr="00A05CB1" w:rsidRDefault="005241FE" w:rsidP="00A05CB1">
                      <w:pPr>
                        <w:spacing w:after="0"/>
                        <w:jc w:val="right"/>
                        <w:rPr>
                          <w:rFonts w:ascii="DIN Pro Regular" w:hAnsi="DIN Pro Regular" w:cs="DIN Pro Regular"/>
                          <w:color w:val="808080"/>
                          <w:sz w:val="18"/>
                          <w:szCs w:val="42"/>
                        </w:rPr>
                      </w:pPr>
                      <w:r w:rsidRPr="00A05CB1">
                        <w:rPr>
                          <w:rFonts w:ascii="DIN Pro Regular" w:hAnsi="DIN Pro Regular" w:cs="DIN Pro Regular"/>
                          <w:color w:val="808080"/>
                          <w:sz w:val="18"/>
                          <w:szCs w:val="42"/>
                        </w:rPr>
                        <w:t>CUENTA PÚBLICA</w:t>
                      </w:r>
                    </w:p>
                    <w:p w:rsidR="005241FE" w:rsidRPr="00A05CB1" w:rsidRDefault="005241FE" w:rsidP="00A05CB1">
                      <w:pPr>
                        <w:spacing w:after="0"/>
                        <w:jc w:val="right"/>
                        <w:rPr>
                          <w:rFonts w:ascii="DIN Pro Regular" w:hAnsi="DIN Pro Regular" w:cs="DIN Pro Regular"/>
                          <w:color w:val="808080"/>
                          <w:sz w:val="18"/>
                          <w:szCs w:val="42"/>
                        </w:rPr>
                      </w:pPr>
                      <w:r>
                        <w:rPr>
                          <w:rFonts w:ascii="DIN Pro Regular" w:hAnsi="DIN Pro Regular" w:cs="DIN Pro Regular"/>
                          <w:color w:val="808080"/>
                          <w:sz w:val="18"/>
                          <w:szCs w:val="42"/>
                        </w:rPr>
                        <w:t>CONSOLIDADA</w:t>
                      </w:r>
                    </w:p>
                    <w:p w:rsidR="005241FE" w:rsidRPr="00A05CB1" w:rsidRDefault="005241FE" w:rsidP="00040466">
                      <w:pPr>
                        <w:jc w:val="right"/>
                        <w:rPr>
                          <w:rFonts w:ascii="Arial" w:hAnsi="Arial" w:cs="Arial"/>
                          <w:sz w:val="20"/>
                          <w:szCs w:val="20"/>
                        </w:rPr>
                      </w:pPr>
                    </w:p>
                  </w:txbxContent>
                </v:textbox>
              </v:shape>
              <v:shape id="Cuadro de texto 5" o:spid="_x0000_s1028" type="#_x0000_t202" style="position:absolute;left:23335;top:219;width:8388;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5241FE" w:rsidRPr="003A64F1" w:rsidRDefault="005241FE" w:rsidP="00040466">
                      <w:pPr>
                        <w:jc w:val="both"/>
                        <w:rPr>
                          <w:rFonts w:ascii="DIN Pro Regular" w:hAnsi="DIN Pro Regular" w:cs="DIN Pro Regular"/>
                          <w:color w:val="808080"/>
                          <w:sz w:val="42"/>
                          <w:szCs w:val="42"/>
                        </w:rPr>
                      </w:pPr>
                      <w:r>
                        <w:rPr>
                          <w:rFonts w:ascii="DIN Pro Regular" w:hAnsi="DIN Pro Regular" w:cs="DIN Pro Regular"/>
                          <w:color w:val="808080"/>
                          <w:sz w:val="42"/>
                          <w:szCs w:val="42"/>
                        </w:rPr>
                        <w:t>2022</w:t>
                      </w:r>
                    </w:p>
                    <w:p w:rsidR="005241FE" w:rsidRDefault="005241FE" w:rsidP="00040466">
                      <w:pPr>
                        <w:jc w:val="both"/>
                        <w:rPr>
                          <w:rFonts w:ascii="Helvetica" w:hAnsi="Helvetica" w:cs="Arial"/>
                          <w:color w:val="808080"/>
                          <w:sz w:val="42"/>
                          <w:szCs w:val="42"/>
                        </w:rPr>
                      </w:pPr>
                    </w:p>
                    <w:p w:rsidR="005241FE" w:rsidRPr="00F45C83" w:rsidRDefault="005241FE" w:rsidP="00040466">
                      <w:pPr>
                        <w:jc w:val="both"/>
                        <w:rPr>
                          <w:rFonts w:ascii="Helvetica" w:hAnsi="Helvetica" w:cs="Arial"/>
                          <w:color w:val="808080"/>
                          <w:sz w:val="42"/>
                          <w:szCs w:val="42"/>
                        </w:rPr>
                      </w:pPr>
                    </w:p>
                    <w:p w:rsidR="005241FE" w:rsidRPr="00DC53C5" w:rsidRDefault="005241FE" w:rsidP="00040466">
                      <w:pPr>
                        <w:jc w:val="both"/>
                        <w:rPr>
                          <w:rFonts w:ascii="Arial" w:hAnsi="Arial" w:cs="Arial"/>
                          <w:color w:val="808080"/>
                          <w:sz w:val="42"/>
                          <w:szCs w:val="42"/>
                        </w:rPr>
                      </w:pPr>
                      <w:r w:rsidRPr="00DC53C5">
                        <w:rPr>
                          <w:rFonts w:ascii="Arial" w:hAnsi="Arial" w:cs="Arial"/>
                          <w:color w:val="808080"/>
                          <w:sz w:val="42"/>
                          <w:szCs w:val="42"/>
                        </w:rPr>
                        <w:t>2014</w:t>
                      </w:r>
                    </w:p>
                    <w:p w:rsidR="005241FE" w:rsidRPr="00DC53C5" w:rsidRDefault="005241FE" w:rsidP="00040466">
                      <w:pPr>
                        <w:jc w:val="both"/>
                        <w:rPr>
                          <w:rFonts w:ascii="Arial" w:hAnsi="Arial" w:cs="Arial"/>
                          <w:color w:val="8080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25472" behindDoc="0" locked="0" layoutInCell="1" allowOverlap="1" wp14:anchorId="2BEB7D4E" wp14:editId="0432F414">
              <wp:simplePos x="0" y="0"/>
              <wp:positionH relativeFrom="page">
                <wp:align>left</wp:align>
              </wp:positionH>
              <wp:positionV relativeFrom="paragraph">
                <wp:posOffset>472440</wp:posOffset>
              </wp:positionV>
              <wp:extent cx="10083800" cy="16510"/>
              <wp:effectExtent l="0" t="0" r="31750" b="21590"/>
              <wp:wrapNone/>
              <wp:docPr id="7"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8494592" id="4 Conector recto" o:spid="_x0000_s1026" style="position:absolute;flip:y;z-index:2516254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 from="0,37.2pt" to="79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" strokecolor="#4a7ebb" strokeweight="1.5pt">
              <o:lock v:ext="edit" shapetype="f"/>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43" w:rsidRDefault="00841F43" w:rsidP="002B152B">
    <w:pPr>
      <w:pStyle w:val="Encabezado"/>
      <w:tabs>
        <w:tab w:val="left" w:pos="270"/>
        <w:tab w:val="center" w:pos="4680"/>
      </w:tabs>
      <w:jc w:val="center"/>
      <w:rPr>
        <w:rFonts w:ascii="Encode Sans" w:hAnsi="Encode Sans" w:cs="DIN Pro Regular"/>
        <w:b/>
        <w:sz w:val="20"/>
      </w:rPr>
    </w:pPr>
    <w:r w:rsidRPr="002B152B">
      <w:rPr>
        <w:rFonts w:ascii="HelveticaNeueLT Std Lt" w:hAnsi="HelveticaNeueLT Std Lt" w:cs="Arial"/>
        <w:b/>
        <w:noProof/>
        <w:sz w:val="30"/>
        <w:lang w:eastAsia="es-MX"/>
      </w:rPr>
      <w:drawing>
        <wp:anchor distT="0" distB="0" distL="114300" distR="114300" simplePos="0" relativeHeight="251728384" behindDoc="0" locked="0" layoutInCell="1" allowOverlap="1" wp14:anchorId="124BAB98" wp14:editId="7C0290A0">
          <wp:simplePos x="0" y="0"/>
          <wp:positionH relativeFrom="margin">
            <wp:posOffset>-323850</wp:posOffset>
          </wp:positionH>
          <wp:positionV relativeFrom="paragraph">
            <wp:posOffset>33655</wp:posOffset>
          </wp:positionV>
          <wp:extent cx="1583055" cy="603250"/>
          <wp:effectExtent l="0" t="0" r="0" b="635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a:extLst>
                      <a:ext uri="{28A0092B-C50C-407E-A947-70E740481C1C}">
                        <a14:useLocalDpi xmlns:a14="http://schemas.microsoft.com/office/drawing/2010/main" val="0"/>
                      </a:ext>
                    </a:extLst>
                  </a:blip>
                  <a:stretch>
                    <a:fillRect/>
                  </a:stretch>
                </pic:blipFill>
                <pic:spPr>
                  <a:xfrm>
                    <a:off x="0" y="0"/>
                    <a:ext cx="1583055" cy="603250"/>
                  </a:xfrm>
                  <a:prstGeom prst="rect">
                    <a:avLst/>
                  </a:prstGeom>
                </pic:spPr>
              </pic:pic>
            </a:graphicData>
          </a:graphic>
          <wp14:sizeRelH relativeFrom="margin">
            <wp14:pctWidth>0</wp14:pctWidth>
          </wp14:sizeRelH>
          <wp14:sizeRelV relativeFrom="margin">
            <wp14:pctHeight>0</wp14:pctHeight>
          </wp14:sizeRelV>
        </wp:anchor>
      </w:drawing>
    </w:r>
    <w:r>
      <w:rPr>
        <w:rFonts w:ascii="Encode Sans" w:hAnsi="Encode Sans" w:cs="DIN Pro Regular"/>
        <w:b/>
        <w:sz w:val="20"/>
      </w:rPr>
      <w:t xml:space="preserve">                                  </w:t>
    </w:r>
  </w:p>
  <w:p w:rsidR="00841F43" w:rsidRDefault="00841F43" w:rsidP="002B152B">
    <w:pPr>
      <w:pStyle w:val="Encabezado"/>
      <w:tabs>
        <w:tab w:val="left" w:pos="270"/>
        <w:tab w:val="center" w:pos="4680"/>
      </w:tabs>
      <w:jc w:val="center"/>
      <w:rPr>
        <w:rFonts w:ascii="Encode Sans" w:hAnsi="Encode Sans" w:cs="DIN Pro Regular"/>
        <w:b/>
        <w:sz w:val="20"/>
      </w:rPr>
    </w:pPr>
    <w:r w:rsidRPr="002B152B">
      <w:rPr>
        <w:rFonts w:ascii="Encode Sans" w:hAnsi="Encode Sans" w:cs="DIN Pro Regular"/>
        <w:b/>
        <w:noProof/>
        <w:sz w:val="20"/>
        <w:lang w:eastAsia="es-MX"/>
      </w:rPr>
      <mc:AlternateContent>
        <mc:Choice Requires="wps">
          <w:drawing>
            <wp:anchor distT="45720" distB="45720" distL="114300" distR="114300" simplePos="0" relativeHeight="251788800" behindDoc="0" locked="0" layoutInCell="1" allowOverlap="1" wp14:anchorId="2AF7E649" wp14:editId="034A5810">
              <wp:simplePos x="0" y="0"/>
              <wp:positionH relativeFrom="margin">
                <wp:posOffset>5572125</wp:posOffset>
              </wp:positionH>
              <wp:positionV relativeFrom="margin">
                <wp:posOffset>-781685</wp:posOffset>
              </wp:positionV>
              <wp:extent cx="819150" cy="374650"/>
              <wp:effectExtent l="0" t="0" r="0" b="6350"/>
              <wp:wrapSquare wrapText="bothSides"/>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74650"/>
                      </a:xfrm>
                      <a:prstGeom prst="rect">
                        <a:avLst/>
                      </a:prstGeom>
                      <a:noFill/>
                      <a:ln w="9525">
                        <a:noFill/>
                        <a:miter lim="800000"/>
                        <a:headEnd/>
                        <a:tailEnd/>
                      </a:ln>
                    </wps:spPr>
                    <wps:txbx>
                      <w:txbxContent>
                        <w:p w:rsidR="00841F43" w:rsidRPr="00502352" w:rsidRDefault="00841F43" w:rsidP="002B152B">
                          <w:pPr>
                            <w:rPr>
                              <w:sz w:val="32"/>
                              <w:szCs w:val="36"/>
                            </w:rPr>
                          </w:pPr>
                          <w:r w:rsidRPr="00502352">
                            <w:rPr>
                              <w:rFonts w:ascii="Encode Sans" w:hAnsi="Encode Sans" w:cs="DIN Pro Regular"/>
                              <w:b/>
                              <w:sz w:val="32"/>
                              <w:szCs w:val="36"/>
                            </w:rPr>
                            <w:t>2022</w:t>
                          </w:r>
                          <w:r w:rsidRPr="00502352">
                            <w:rPr>
                              <w:rFonts w:ascii="Encode Sans Medium" w:hAnsi="Encode Sans Medium" w:cs="DIN Pro Bold"/>
                              <w:b/>
                              <w:sz w:val="32"/>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7E649" id="_x0000_t202" coordsize="21600,21600" o:spt="202" path="m,l,21600r21600,l21600,xe">
              <v:stroke joinstyle="miter"/>
              <v:path gradientshapeok="t" o:connecttype="rect"/>
            </v:shapetype>
            <v:shape id="Cuadro de texto 2" o:spid="_x0000_s1029" type="#_x0000_t202" style="position:absolute;left:0;text-align:left;margin-left:438.75pt;margin-top:-61.55pt;width:64.5pt;height:29.5pt;z-index:251788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" filled="f" stroked="f">
              <v:textbox>
                <w:txbxContent>
                  <w:p w:rsidR="00841F43" w:rsidRPr="00502352" w:rsidRDefault="00841F43" w:rsidP="002B152B">
                    <w:pPr>
                      <w:rPr>
                        <w:sz w:val="32"/>
                        <w:szCs w:val="36"/>
                      </w:rPr>
                    </w:pPr>
                    <w:r w:rsidRPr="00502352">
                      <w:rPr>
                        <w:rFonts w:ascii="Encode Sans" w:hAnsi="Encode Sans" w:cs="DIN Pro Regular"/>
                        <w:b/>
                        <w:sz w:val="32"/>
                        <w:szCs w:val="36"/>
                      </w:rPr>
                      <w:t>2022</w:t>
                    </w:r>
                    <w:r w:rsidRPr="00502352">
                      <w:rPr>
                        <w:rFonts w:ascii="Encode Sans Medium" w:hAnsi="Encode Sans Medium" w:cs="DIN Pro Bold"/>
                        <w:b/>
                        <w:sz w:val="32"/>
                        <w:szCs w:val="36"/>
                      </w:rPr>
                      <w:t xml:space="preserve">     </w:t>
                    </w:r>
                  </w:p>
                </w:txbxContent>
              </v:textbox>
              <w10:wrap type="square" anchorx="margin" anchory="margin"/>
            </v:shape>
          </w:pict>
        </mc:Fallback>
      </mc:AlternateContent>
    </w:r>
    <w:r w:rsidRPr="002B152B">
      <w:rPr>
        <w:rFonts w:ascii="Encode Sans" w:hAnsi="Encode Sans" w:cs="DIN Pro Regular"/>
        <w:b/>
        <w:noProof/>
        <w:sz w:val="20"/>
        <w:lang w:eastAsia="es-MX"/>
      </w:rPr>
      <mc:AlternateContent>
        <mc:Choice Requires="wps">
          <w:drawing>
            <wp:anchor distT="45720" distB="45720" distL="114300" distR="114300" simplePos="0" relativeHeight="251769344" behindDoc="0" locked="0" layoutInCell="1" allowOverlap="1" wp14:anchorId="6A847F5E" wp14:editId="7817251E">
              <wp:simplePos x="0" y="0"/>
              <wp:positionH relativeFrom="margin">
                <wp:posOffset>4467225</wp:posOffset>
              </wp:positionH>
              <wp:positionV relativeFrom="margin">
                <wp:posOffset>-779780</wp:posOffset>
              </wp:positionV>
              <wp:extent cx="11811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57200"/>
                      </a:xfrm>
                      <a:prstGeom prst="rect">
                        <a:avLst/>
                      </a:prstGeom>
                      <a:noFill/>
                      <a:ln w="9525">
                        <a:noFill/>
                        <a:miter lim="800000"/>
                        <a:headEnd/>
                        <a:tailEnd/>
                      </a:ln>
                    </wps:spPr>
                    <wps:txbx>
                      <w:txbxContent>
                        <w:p w:rsidR="00841F43" w:rsidRPr="00955BAD" w:rsidRDefault="00841F43">
                          <w:pPr>
                            <w:rPr>
                              <w:rFonts w:ascii="Encode Sans Medium" w:hAnsi="Encode Sans Medium" w:cs="DIN Pro Bold"/>
                              <w:b/>
                              <w:sz w:val="18"/>
                              <w:szCs w:val="24"/>
                            </w:rPr>
                          </w:pPr>
                          <w:r w:rsidRPr="00955BAD">
                            <w:rPr>
                              <w:rFonts w:ascii="Encode Sans Medium" w:hAnsi="Encode Sans Medium" w:cs="DIN Pro Bold"/>
                              <w:b/>
                              <w:sz w:val="18"/>
                              <w:szCs w:val="24"/>
                            </w:rPr>
                            <w:t>CUENTA</w:t>
                          </w:r>
                          <w:r w:rsidRPr="0099102F">
                            <w:rPr>
                              <w:rFonts w:ascii="Encode Sans Medium" w:hAnsi="Encode Sans Medium" w:cs="DIN Pro Bold"/>
                              <w:b/>
                              <w:sz w:val="18"/>
                              <w:szCs w:val="24"/>
                            </w:rPr>
                            <w:t xml:space="preserve"> PÚBLICA CONSOLIDADA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847F5E" id="_x0000_t202" coordsize="21600,21600" o:spt="202" path="m,l,21600r21600,l21600,xe">
              <v:stroke joinstyle="miter"/>
              <v:path gradientshapeok="t" o:connecttype="rect"/>
            </v:shapetype>
            <v:shape id="_x0000_s1030" type="#_x0000_t202" style="position:absolute;left:0;text-align:left;margin-left:351.75pt;margin-top:-61.4pt;width:93pt;height:36pt;z-index:251769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" filled="f" stroked="f">
              <v:textbox>
                <w:txbxContent>
                  <w:p w:rsidR="00841F43" w:rsidRPr="00955BAD" w:rsidRDefault="00841F43">
                    <w:pPr>
                      <w:rPr>
                        <w:rFonts w:ascii="Encode Sans Medium" w:hAnsi="Encode Sans Medium" w:cs="DIN Pro Bold"/>
                        <w:b/>
                        <w:sz w:val="18"/>
                        <w:szCs w:val="24"/>
                      </w:rPr>
                    </w:pPr>
                    <w:r w:rsidRPr="00955BAD">
                      <w:rPr>
                        <w:rFonts w:ascii="Encode Sans Medium" w:hAnsi="Encode Sans Medium" w:cs="DIN Pro Bold"/>
                        <w:b/>
                        <w:sz w:val="18"/>
                        <w:szCs w:val="24"/>
                      </w:rPr>
                      <w:t>CUENTA</w:t>
                    </w:r>
                    <w:r w:rsidRPr="0099102F">
                      <w:rPr>
                        <w:rFonts w:ascii="Encode Sans Medium" w:hAnsi="Encode Sans Medium" w:cs="DIN Pro Bold"/>
                        <w:b/>
                        <w:sz w:val="18"/>
                        <w:szCs w:val="24"/>
                      </w:rPr>
                      <w:t xml:space="preserve"> PÚBLICA CONSOLIDADA     </w:t>
                    </w:r>
                  </w:p>
                </w:txbxContent>
              </v:textbox>
              <w10:wrap type="square" anchorx="margin" anchory="margin"/>
            </v:shape>
          </w:pict>
        </mc:Fallback>
      </mc:AlternateContent>
    </w:r>
    <w:r w:rsidRPr="002B152B">
      <w:rPr>
        <w:rFonts w:ascii="Encode Sans" w:hAnsi="Encode Sans" w:cs="DIN Pro Bold"/>
        <w:noProof/>
        <w:sz w:val="28"/>
        <w:szCs w:val="24"/>
        <w:lang w:eastAsia="es-MX"/>
      </w:rPr>
      <mc:AlternateContent>
        <mc:Choice Requires="wps">
          <w:drawing>
            <wp:anchor distT="0" distB="0" distL="114300" distR="114300" simplePos="0" relativeHeight="251613696" behindDoc="0" locked="0" layoutInCell="1" allowOverlap="1" wp14:anchorId="5621139C" wp14:editId="4DFA318C">
              <wp:simplePos x="0" y="0"/>
              <wp:positionH relativeFrom="column">
                <wp:posOffset>5619750</wp:posOffset>
              </wp:positionH>
              <wp:positionV relativeFrom="paragraph">
                <wp:posOffset>13970</wp:posOffset>
              </wp:positionV>
              <wp:extent cx="0" cy="36195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0" cy="361950"/>
                      </a:xfrm>
                      <a:prstGeom prst="line">
                        <a:avLst/>
                      </a:prstGeom>
                      <a:ln w="15875">
                        <a:solidFill>
                          <a:srgbClr val="BC955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F6E09F" id="Conector recto 5" o:spid="_x0000_s1026" style="position:absolute;z-index:251613696;visibility:visible;mso-wrap-style:square;mso-wrap-distance-left:9pt;mso-wrap-distance-top:0;mso-wrap-distance-right:9pt;mso-wrap-distance-bottom:0;mso-position-horizontal:absolute;mso-position-horizontal-relative:text;mso-position-vertical:absolute;mso-position-vertical-relative:text" from="442.5pt,1.1pt" to="442.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" strokecolor="#bc955c" strokeweight="1.25pt"/>
          </w:pict>
        </mc:Fallback>
      </mc:AlternateContent>
    </w:r>
  </w:p>
  <w:p w:rsidR="00841F43" w:rsidRPr="002B152B" w:rsidRDefault="00841F43" w:rsidP="002B152B">
    <w:pPr>
      <w:pStyle w:val="Encabezado"/>
      <w:tabs>
        <w:tab w:val="left" w:pos="270"/>
        <w:tab w:val="center" w:pos="4680"/>
      </w:tabs>
      <w:jc w:val="center"/>
      <w:rPr>
        <w:rFonts w:ascii="Encode Sans Medium" w:hAnsi="Encode Sans Medium" w:cs="DIN Pro Bold"/>
        <w:b/>
        <w:sz w:val="20"/>
        <w:szCs w:val="24"/>
      </w:rPr>
    </w:pPr>
    <w:r>
      <w:rPr>
        <w:rFonts w:ascii="Encode Sans" w:hAnsi="Encode Sans" w:cs="DIN Pro Regular"/>
        <w:b/>
        <w:sz w:val="20"/>
      </w:rPr>
      <w:t xml:space="preserve">    </w:t>
    </w:r>
    <w:r w:rsidRPr="00502352">
      <w:rPr>
        <w:rFonts w:ascii="Encode Sans" w:hAnsi="Encode Sans" w:cs="DIN Pro Regular"/>
        <w:b/>
      </w:rPr>
      <w:t>TOMO I    RESULTADOS GENERALES</w:t>
    </w:r>
  </w:p>
  <w:p w:rsidR="00841F43" w:rsidRDefault="00841F43" w:rsidP="002B152B">
    <w:pPr>
      <w:pStyle w:val="Encabezado"/>
      <w:tabs>
        <w:tab w:val="left" w:pos="270"/>
        <w:tab w:val="center" w:pos="4680"/>
      </w:tabs>
      <w:jc w:val="center"/>
      <w:rPr>
        <w:rFonts w:ascii="Encode Sans Medium" w:hAnsi="Encode Sans Medium" w:cs="DIN Pro Bold"/>
        <w:b/>
        <w:sz w:val="18"/>
        <w:szCs w:val="24"/>
      </w:rPr>
    </w:pPr>
  </w:p>
  <w:p w:rsidR="00841F43" w:rsidRDefault="00841F43" w:rsidP="00841F43">
    <w:pPr>
      <w:pStyle w:val="Encabezado"/>
      <w:tabs>
        <w:tab w:val="left" w:pos="270"/>
        <w:tab w:val="center" w:pos="4680"/>
      </w:tabs>
      <w:jc w:val="right"/>
      <w:rPr>
        <w:rFonts w:ascii="Arial" w:hAnsi="Arial" w:cs="Arial"/>
      </w:rPr>
    </w:pPr>
  </w:p>
  <w:p w:rsidR="00841F43" w:rsidRPr="002B152B" w:rsidRDefault="00841F43" w:rsidP="00841F43">
    <w:pPr>
      <w:pStyle w:val="Encabezado"/>
      <w:tabs>
        <w:tab w:val="left" w:pos="270"/>
        <w:tab w:val="center" w:pos="4680"/>
      </w:tabs>
      <w:jc w:val="right"/>
      <w:rPr>
        <w:rFonts w:ascii="Arial" w:hAnsi="Arial" w:cs="Arial"/>
      </w:rPr>
    </w:pPr>
    <w:r>
      <w:rPr>
        <w:rFonts w:ascii="HelveticaNeueLT Std Lt" w:hAnsi="HelveticaNeueLT Std Lt" w:cs="Arial"/>
        <w:b/>
        <w:noProof/>
        <w:lang w:eastAsia="es-MX"/>
      </w:rPr>
      <mc:AlternateContent>
        <mc:Choice Requires="wps">
          <w:drawing>
            <wp:anchor distT="0" distB="0" distL="114300" distR="114300" simplePos="0" relativeHeight="251680256" behindDoc="0" locked="0" layoutInCell="1" allowOverlap="1" wp14:anchorId="097342FD" wp14:editId="25DD96F0">
              <wp:simplePos x="0" y="0"/>
              <wp:positionH relativeFrom="column">
                <wp:posOffset>-114300</wp:posOffset>
              </wp:positionH>
              <wp:positionV relativeFrom="paragraph">
                <wp:posOffset>113030</wp:posOffset>
              </wp:positionV>
              <wp:extent cx="6192000" cy="0"/>
              <wp:effectExtent l="0" t="0" r="37465" b="19050"/>
              <wp:wrapNone/>
              <wp:docPr id="1" name="Conector recto 1"/>
              <wp:cNvGraphicFramePr/>
              <a:graphic xmlns:a="http://schemas.openxmlformats.org/drawingml/2006/main">
                <a:graphicData uri="http://schemas.microsoft.com/office/word/2010/wordprocessingShape">
                  <wps:wsp>
                    <wps:cNvCnPr/>
                    <wps:spPr>
                      <a:xfrm>
                        <a:off x="0" y="0"/>
                        <a:ext cx="6192000" cy="0"/>
                      </a:xfrm>
                      <a:prstGeom prst="line">
                        <a:avLst/>
                      </a:prstGeom>
                      <a:ln w="22225" cmpd="sng">
                        <a:solidFill>
                          <a:srgbClr val="BC955C"/>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4C839" id="Conector recto 1"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8.9pt" to="478.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" strokecolor="#bc955c" strokeweight="1.7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AA0CED"/>
    <w:multiLevelType w:val="hybridMultilevel"/>
    <w:tmpl w:val="5D143B1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B94660D"/>
    <w:multiLevelType w:val="hybridMultilevel"/>
    <w:tmpl w:val="02166370"/>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EE3786"/>
    <w:multiLevelType w:val="hybridMultilevel"/>
    <w:tmpl w:val="4A60B07C"/>
    <w:lvl w:ilvl="0" w:tplc="21FAD8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3527F4E"/>
    <w:multiLevelType w:val="hybridMultilevel"/>
    <w:tmpl w:val="94061C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137079"/>
    <w:multiLevelType w:val="hybridMultilevel"/>
    <w:tmpl w:val="A1F6ED50"/>
    <w:lvl w:ilvl="0" w:tplc="9D066E30">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A702CC0"/>
    <w:multiLevelType w:val="hybridMultilevel"/>
    <w:tmpl w:val="0A0CB55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0C2159D"/>
    <w:multiLevelType w:val="hybridMultilevel"/>
    <w:tmpl w:val="BF2EFE12"/>
    <w:lvl w:ilvl="0" w:tplc="0C209F24">
      <w:numFmt w:val="bullet"/>
      <w:lvlText w:val="-"/>
      <w:lvlJc w:val="left"/>
      <w:pPr>
        <w:ind w:left="720" w:hanging="360"/>
      </w:pPr>
      <w:rPr>
        <w:rFonts w:ascii="Helvetica" w:eastAsia="Times New Roman" w:hAnsi="Helvetica" w:cs="Helvetic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E54AB5"/>
    <w:multiLevelType w:val="hybridMultilevel"/>
    <w:tmpl w:val="79ECF2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8EB211D"/>
    <w:multiLevelType w:val="hybridMultilevel"/>
    <w:tmpl w:val="AF42FE08"/>
    <w:lvl w:ilvl="0" w:tplc="080A000F">
      <w:start w:val="1"/>
      <w:numFmt w:val="decimal"/>
      <w:lvlText w:val="%1."/>
      <w:lvlJc w:val="left"/>
      <w:pPr>
        <w:ind w:left="1728" w:hanging="360"/>
      </w:pPr>
    </w:lvl>
    <w:lvl w:ilvl="1" w:tplc="080A0019" w:tentative="1">
      <w:start w:val="1"/>
      <w:numFmt w:val="lowerLetter"/>
      <w:lvlText w:val="%2."/>
      <w:lvlJc w:val="left"/>
      <w:pPr>
        <w:ind w:left="2448" w:hanging="360"/>
      </w:pPr>
    </w:lvl>
    <w:lvl w:ilvl="2" w:tplc="080A001B" w:tentative="1">
      <w:start w:val="1"/>
      <w:numFmt w:val="lowerRoman"/>
      <w:lvlText w:val="%3."/>
      <w:lvlJc w:val="right"/>
      <w:pPr>
        <w:ind w:left="3168" w:hanging="180"/>
      </w:pPr>
    </w:lvl>
    <w:lvl w:ilvl="3" w:tplc="080A000F" w:tentative="1">
      <w:start w:val="1"/>
      <w:numFmt w:val="decimal"/>
      <w:lvlText w:val="%4."/>
      <w:lvlJc w:val="left"/>
      <w:pPr>
        <w:ind w:left="3888" w:hanging="360"/>
      </w:pPr>
    </w:lvl>
    <w:lvl w:ilvl="4" w:tplc="080A0019" w:tentative="1">
      <w:start w:val="1"/>
      <w:numFmt w:val="lowerLetter"/>
      <w:lvlText w:val="%5."/>
      <w:lvlJc w:val="left"/>
      <w:pPr>
        <w:ind w:left="4608" w:hanging="360"/>
      </w:pPr>
    </w:lvl>
    <w:lvl w:ilvl="5" w:tplc="080A001B" w:tentative="1">
      <w:start w:val="1"/>
      <w:numFmt w:val="lowerRoman"/>
      <w:lvlText w:val="%6."/>
      <w:lvlJc w:val="right"/>
      <w:pPr>
        <w:ind w:left="5328" w:hanging="180"/>
      </w:pPr>
    </w:lvl>
    <w:lvl w:ilvl="6" w:tplc="080A000F" w:tentative="1">
      <w:start w:val="1"/>
      <w:numFmt w:val="decimal"/>
      <w:lvlText w:val="%7."/>
      <w:lvlJc w:val="left"/>
      <w:pPr>
        <w:ind w:left="6048" w:hanging="360"/>
      </w:pPr>
    </w:lvl>
    <w:lvl w:ilvl="7" w:tplc="080A0019" w:tentative="1">
      <w:start w:val="1"/>
      <w:numFmt w:val="lowerLetter"/>
      <w:lvlText w:val="%8."/>
      <w:lvlJc w:val="left"/>
      <w:pPr>
        <w:ind w:left="6768" w:hanging="360"/>
      </w:pPr>
    </w:lvl>
    <w:lvl w:ilvl="8" w:tplc="080A001B" w:tentative="1">
      <w:start w:val="1"/>
      <w:numFmt w:val="lowerRoman"/>
      <w:lvlText w:val="%9."/>
      <w:lvlJc w:val="right"/>
      <w:pPr>
        <w:ind w:left="7488" w:hanging="180"/>
      </w:pPr>
    </w:lvl>
  </w:abstractNum>
  <w:abstractNum w:abstractNumId="17" w15:restartNumberingAfterBreak="0">
    <w:nsid w:val="626751B4"/>
    <w:multiLevelType w:val="hybridMultilevel"/>
    <w:tmpl w:val="27A08A64"/>
    <w:lvl w:ilvl="0" w:tplc="7E66B528">
      <w:start w:val="1"/>
      <w:numFmt w:val="lowerLetter"/>
      <w:lvlText w:val="%1)"/>
      <w:lvlJc w:val="left"/>
      <w:pPr>
        <w:ind w:left="4330" w:hanging="360"/>
      </w:pPr>
      <w:rPr>
        <w:rFonts w:ascii="Encode Sans" w:hAnsi="Encode Sans" w:hint="default"/>
        <w:sz w:val="20"/>
        <w:szCs w:val="20"/>
      </w:rPr>
    </w:lvl>
    <w:lvl w:ilvl="1" w:tplc="080A0019" w:tentative="1">
      <w:start w:val="1"/>
      <w:numFmt w:val="lowerLetter"/>
      <w:lvlText w:val="%2."/>
      <w:lvlJc w:val="left"/>
      <w:pPr>
        <w:ind w:left="5050" w:hanging="360"/>
      </w:pPr>
    </w:lvl>
    <w:lvl w:ilvl="2" w:tplc="080A001B" w:tentative="1">
      <w:start w:val="1"/>
      <w:numFmt w:val="lowerRoman"/>
      <w:lvlText w:val="%3."/>
      <w:lvlJc w:val="right"/>
      <w:pPr>
        <w:ind w:left="5770" w:hanging="180"/>
      </w:pPr>
    </w:lvl>
    <w:lvl w:ilvl="3" w:tplc="080A000F" w:tentative="1">
      <w:start w:val="1"/>
      <w:numFmt w:val="decimal"/>
      <w:lvlText w:val="%4."/>
      <w:lvlJc w:val="left"/>
      <w:pPr>
        <w:ind w:left="6490" w:hanging="360"/>
      </w:pPr>
    </w:lvl>
    <w:lvl w:ilvl="4" w:tplc="080A0019" w:tentative="1">
      <w:start w:val="1"/>
      <w:numFmt w:val="lowerLetter"/>
      <w:lvlText w:val="%5."/>
      <w:lvlJc w:val="left"/>
      <w:pPr>
        <w:ind w:left="7210" w:hanging="360"/>
      </w:pPr>
    </w:lvl>
    <w:lvl w:ilvl="5" w:tplc="080A001B" w:tentative="1">
      <w:start w:val="1"/>
      <w:numFmt w:val="lowerRoman"/>
      <w:lvlText w:val="%6."/>
      <w:lvlJc w:val="right"/>
      <w:pPr>
        <w:ind w:left="7930" w:hanging="180"/>
      </w:pPr>
    </w:lvl>
    <w:lvl w:ilvl="6" w:tplc="080A000F" w:tentative="1">
      <w:start w:val="1"/>
      <w:numFmt w:val="decimal"/>
      <w:lvlText w:val="%7."/>
      <w:lvlJc w:val="left"/>
      <w:pPr>
        <w:ind w:left="8650" w:hanging="360"/>
      </w:pPr>
    </w:lvl>
    <w:lvl w:ilvl="7" w:tplc="080A0019" w:tentative="1">
      <w:start w:val="1"/>
      <w:numFmt w:val="lowerLetter"/>
      <w:lvlText w:val="%8."/>
      <w:lvlJc w:val="left"/>
      <w:pPr>
        <w:ind w:left="9370" w:hanging="360"/>
      </w:pPr>
    </w:lvl>
    <w:lvl w:ilvl="8" w:tplc="080A001B" w:tentative="1">
      <w:start w:val="1"/>
      <w:numFmt w:val="lowerRoman"/>
      <w:lvlText w:val="%9."/>
      <w:lvlJc w:val="right"/>
      <w:pPr>
        <w:ind w:left="10090" w:hanging="180"/>
      </w:pPr>
    </w:lvl>
  </w:abstractNum>
  <w:abstractNum w:abstractNumId="18" w15:restartNumberingAfterBreak="0">
    <w:nsid w:val="6A9E0434"/>
    <w:multiLevelType w:val="hybridMultilevel"/>
    <w:tmpl w:val="1B5E3E24"/>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9" w15:restartNumberingAfterBreak="0">
    <w:nsid w:val="6FA4246C"/>
    <w:multiLevelType w:val="hybridMultilevel"/>
    <w:tmpl w:val="FD8EF3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03750DD"/>
    <w:multiLevelType w:val="hybridMultilevel"/>
    <w:tmpl w:val="3EA4777E"/>
    <w:lvl w:ilvl="0" w:tplc="7F8A51BE">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4"/>
  </w:num>
  <w:num w:numId="3">
    <w:abstractNumId w:val="11"/>
  </w:num>
  <w:num w:numId="4">
    <w:abstractNumId w:val="6"/>
  </w:num>
  <w:num w:numId="5">
    <w:abstractNumId w:val="2"/>
  </w:num>
  <w:num w:numId="6">
    <w:abstractNumId w:val="5"/>
  </w:num>
  <w:num w:numId="7">
    <w:abstractNumId w:val="12"/>
  </w:num>
  <w:num w:numId="8">
    <w:abstractNumId w:val="10"/>
  </w:num>
  <w:num w:numId="9">
    <w:abstractNumId w:val="7"/>
  </w:num>
  <w:num w:numId="10">
    <w:abstractNumId w:val="9"/>
  </w:num>
  <w:num w:numId="11">
    <w:abstractNumId w:val="1"/>
  </w:num>
  <w:num w:numId="12">
    <w:abstractNumId w:val="13"/>
  </w:num>
  <w:num w:numId="13">
    <w:abstractNumId w:val="20"/>
  </w:num>
  <w:num w:numId="14">
    <w:abstractNumId w:val="14"/>
  </w:num>
  <w:num w:numId="15">
    <w:abstractNumId w:val="18"/>
  </w:num>
  <w:num w:numId="16">
    <w:abstractNumId w:val="3"/>
  </w:num>
  <w:num w:numId="17">
    <w:abstractNumId w:val="16"/>
  </w:num>
  <w:num w:numId="18">
    <w:abstractNumId w:val="15"/>
  </w:num>
  <w:num w:numId="19">
    <w:abstractNumId w:val="17"/>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45057">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52AF"/>
    <w:rsid w:val="00006500"/>
    <w:rsid w:val="0001248E"/>
    <w:rsid w:val="0003192B"/>
    <w:rsid w:val="00040466"/>
    <w:rsid w:val="00041A33"/>
    <w:rsid w:val="00042692"/>
    <w:rsid w:val="0004649B"/>
    <w:rsid w:val="00053DAD"/>
    <w:rsid w:val="00060D88"/>
    <w:rsid w:val="00060DB0"/>
    <w:rsid w:val="00066E4C"/>
    <w:rsid w:val="00072067"/>
    <w:rsid w:val="00075867"/>
    <w:rsid w:val="000803D2"/>
    <w:rsid w:val="00085C63"/>
    <w:rsid w:val="00090102"/>
    <w:rsid w:val="00091C67"/>
    <w:rsid w:val="000A1339"/>
    <w:rsid w:val="000A6616"/>
    <w:rsid w:val="000C0A06"/>
    <w:rsid w:val="000D06AB"/>
    <w:rsid w:val="000D3182"/>
    <w:rsid w:val="000D5EFE"/>
    <w:rsid w:val="000E06FF"/>
    <w:rsid w:val="000E3A68"/>
    <w:rsid w:val="000E6439"/>
    <w:rsid w:val="000F2712"/>
    <w:rsid w:val="000F55CA"/>
    <w:rsid w:val="0010281B"/>
    <w:rsid w:val="001057F6"/>
    <w:rsid w:val="0011357D"/>
    <w:rsid w:val="00126E87"/>
    <w:rsid w:val="0013011C"/>
    <w:rsid w:val="00135754"/>
    <w:rsid w:val="00144731"/>
    <w:rsid w:val="0014762A"/>
    <w:rsid w:val="00163D6C"/>
    <w:rsid w:val="0017292C"/>
    <w:rsid w:val="00174108"/>
    <w:rsid w:val="0017768C"/>
    <w:rsid w:val="00177B09"/>
    <w:rsid w:val="001819BD"/>
    <w:rsid w:val="00185224"/>
    <w:rsid w:val="00186C07"/>
    <w:rsid w:val="00195DEE"/>
    <w:rsid w:val="001A6923"/>
    <w:rsid w:val="001B1B72"/>
    <w:rsid w:val="001C1C55"/>
    <w:rsid w:val="001C2F26"/>
    <w:rsid w:val="001C5431"/>
    <w:rsid w:val="001C6FD8"/>
    <w:rsid w:val="001C760F"/>
    <w:rsid w:val="001D30D8"/>
    <w:rsid w:val="001D3162"/>
    <w:rsid w:val="001D51E2"/>
    <w:rsid w:val="001D6D6E"/>
    <w:rsid w:val="001E2701"/>
    <w:rsid w:val="001E518B"/>
    <w:rsid w:val="001E6A64"/>
    <w:rsid w:val="0021068D"/>
    <w:rsid w:val="00210747"/>
    <w:rsid w:val="002138D2"/>
    <w:rsid w:val="002211C5"/>
    <w:rsid w:val="00230699"/>
    <w:rsid w:val="0023093F"/>
    <w:rsid w:val="00236391"/>
    <w:rsid w:val="00241D8F"/>
    <w:rsid w:val="0024446D"/>
    <w:rsid w:val="0025226E"/>
    <w:rsid w:val="00260918"/>
    <w:rsid w:val="00261E04"/>
    <w:rsid w:val="00263D36"/>
    <w:rsid w:val="002644B4"/>
    <w:rsid w:val="00264F1F"/>
    <w:rsid w:val="00271B8D"/>
    <w:rsid w:val="00284716"/>
    <w:rsid w:val="00290E6D"/>
    <w:rsid w:val="0029470F"/>
    <w:rsid w:val="00294BDA"/>
    <w:rsid w:val="002A08CF"/>
    <w:rsid w:val="002A70B3"/>
    <w:rsid w:val="002B152B"/>
    <w:rsid w:val="002C1413"/>
    <w:rsid w:val="002C1B2A"/>
    <w:rsid w:val="002C2455"/>
    <w:rsid w:val="002C34C6"/>
    <w:rsid w:val="002C3BA7"/>
    <w:rsid w:val="002C4D9F"/>
    <w:rsid w:val="002C576A"/>
    <w:rsid w:val="002D015C"/>
    <w:rsid w:val="002D42BF"/>
    <w:rsid w:val="002D7A6B"/>
    <w:rsid w:val="002F20BF"/>
    <w:rsid w:val="002F33C5"/>
    <w:rsid w:val="002F46E2"/>
    <w:rsid w:val="002F581F"/>
    <w:rsid w:val="003010F3"/>
    <w:rsid w:val="003102A2"/>
    <w:rsid w:val="0031093A"/>
    <w:rsid w:val="00313A28"/>
    <w:rsid w:val="00324E4C"/>
    <w:rsid w:val="00336209"/>
    <w:rsid w:val="00344F1C"/>
    <w:rsid w:val="00345472"/>
    <w:rsid w:val="00353C71"/>
    <w:rsid w:val="00372F40"/>
    <w:rsid w:val="00373734"/>
    <w:rsid w:val="0037538E"/>
    <w:rsid w:val="00375BBC"/>
    <w:rsid w:val="003858E0"/>
    <w:rsid w:val="0039289D"/>
    <w:rsid w:val="003A0303"/>
    <w:rsid w:val="003A64F1"/>
    <w:rsid w:val="003B3723"/>
    <w:rsid w:val="003B7DF9"/>
    <w:rsid w:val="003C0E92"/>
    <w:rsid w:val="003C1806"/>
    <w:rsid w:val="003D0DE7"/>
    <w:rsid w:val="003D1BA0"/>
    <w:rsid w:val="003D3BF5"/>
    <w:rsid w:val="003D5DBF"/>
    <w:rsid w:val="003D6886"/>
    <w:rsid w:val="003D7B22"/>
    <w:rsid w:val="003E46AF"/>
    <w:rsid w:val="003E73C6"/>
    <w:rsid w:val="003E7FD0"/>
    <w:rsid w:val="003F39C5"/>
    <w:rsid w:val="003F7245"/>
    <w:rsid w:val="003F7CD7"/>
    <w:rsid w:val="00400CFA"/>
    <w:rsid w:val="00403049"/>
    <w:rsid w:val="004060D8"/>
    <w:rsid w:val="00406CFF"/>
    <w:rsid w:val="004152B3"/>
    <w:rsid w:val="00416466"/>
    <w:rsid w:val="00424C40"/>
    <w:rsid w:val="00426B09"/>
    <w:rsid w:val="004270EF"/>
    <w:rsid w:val="0044253C"/>
    <w:rsid w:val="004467A1"/>
    <w:rsid w:val="00446A17"/>
    <w:rsid w:val="00450F7D"/>
    <w:rsid w:val="00451D35"/>
    <w:rsid w:val="00452258"/>
    <w:rsid w:val="00452358"/>
    <w:rsid w:val="00460462"/>
    <w:rsid w:val="00462119"/>
    <w:rsid w:val="004638C6"/>
    <w:rsid w:val="00464E75"/>
    <w:rsid w:val="0048003C"/>
    <w:rsid w:val="00484C0D"/>
    <w:rsid w:val="00490D16"/>
    <w:rsid w:val="00493508"/>
    <w:rsid w:val="00497D8B"/>
    <w:rsid w:val="004B16B8"/>
    <w:rsid w:val="004C2B04"/>
    <w:rsid w:val="004D41B8"/>
    <w:rsid w:val="004F07E7"/>
    <w:rsid w:val="004F0A80"/>
    <w:rsid w:val="004F0E7F"/>
    <w:rsid w:val="004F0F5E"/>
    <w:rsid w:val="004F3590"/>
    <w:rsid w:val="004F3C91"/>
    <w:rsid w:val="004F534D"/>
    <w:rsid w:val="004F69FE"/>
    <w:rsid w:val="00502352"/>
    <w:rsid w:val="0050292B"/>
    <w:rsid w:val="00503D8D"/>
    <w:rsid w:val="0051129F"/>
    <w:rsid w:val="00522632"/>
    <w:rsid w:val="005241FE"/>
    <w:rsid w:val="0052590B"/>
    <w:rsid w:val="005350A1"/>
    <w:rsid w:val="00540418"/>
    <w:rsid w:val="00542DD2"/>
    <w:rsid w:val="00544D60"/>
    <w:rsid w:val="005502A5"/>
    <w:rsid w:val="005531B8"/>
    <w:rsid w:val="00553900"/>
    <w:rsid w:val="005655B2"/>
    <w:rsid w:val="00566709"/>
    <w:rsid w:val="005675A0"/>
    <w:rsid w:val="005754C0"/>
    <w:rsid w:val="005774F0"/>
    <w:rsid w:val="00582949"/>
    <w:rsid w:val="00587AB4"/>
    <w:rsid w:val="005A137F"/>
    <w:rsid w:val="005A4BE3"/>
    <w:rsid w:val="005B24BE"/>
    <w:rsid w:val="005B5860"/>
    <w:rsid w:val="005D04DD"/>
    <w:rsid w:val="005D1553"/>
    <w:rsid w:val="005D4295"/>
    <w:rsid w:val="005D42E1"/>
    <w:rsid w:val="005E24A6"/>
    <w:rsid w:val="005F4FD5"/>
    <w:rsid w:val="005F55F9"/>
    <w:rsid w:val="0060613C"/>
    <w:rsid w:val="006101D2"/>
    <w:rsid w:val="00620CE1"/>
    <w:rsid w:val="00626B18"/>
    <w:rsid w:val="00627F1A"/>
    <w:rsid w:val="00643949"/>
    <w:rsid w:val="00644C6C"/>
    <w:rsid w:val="00650FBE"/>
    <w:rsid w:val="00672A7A"/>
    <w:rsid w:val="00672C34"/>
    <w:rsid w:val="0067353B"/>
    <w:rsid w:val="00673F89"/>
    <w:rsid w:val="00675478"/>
    <w:rsid w:val="00677336"/>
    <w:rsid w:val="006A1D1F"/>
    <w:rsid w:val="006A30B4"/>
    <w:rsid w:val="006A77BA"/>
    <w:rsid w:val="006A7DF0"/>
    <w:rsid w:val="006B1D44"/>
    <w:rsid w:val="006C4E44"/>
    <w:rsid w:val="006D56E7"/>
    <w:rsid w:val="006E77DD"/>
    <w:rsid w:val="006E7ACC"/>
    <w:rsid w:val="0070015E"/>
    <w:rsid w:val="0070137D"/>
    <w:rsid w:val="00701739"/>
    <w:rsid w:val="0070709C"/>
    <w:rsid w:val="00710161"/>
    <w:rsid w:val="00722D7C"/>
    <w:rsid w:val="00725F56"/>
    <w:rsid w:val="00745746"/>
    <w:rsid w:val="007516D3"/>
    <w:rsid w:val="0075466F"/>
    <w:rsid w:val="00761E87"/>
    <w:rsid w:val="00763B74"/>
    <w:rsid w:val="007658CB"/>
    <w:rsid w:val="00765FFF"/>
    <w:rsid w:val="007818C6"/>
    <w:rsid w:val="0078579A"/>
    <w:rsid w:val="00790BD8"/>
    <w:rsid w:val="0079410C"/>
    <w:rsid w:val="00794F55"/>
    <w:rsid w:val="0079582C"/>
    <w:rsid w:val="007A5117"/>
    <w:rsid w:val="007A5B39"/>
    <w:rsid w:val="007B4614"/>
    <w:rsid w:val="007C4879"/>
    <w:rsid w:val="007C6DBB"/>
    <w:rsid w:val="007D0B5B"/>
    <w:rsid w:val="007D1CC1"/>
    <w:rsid w:val="007D381B"/>
    <w:rsid w:val="007D5DA7"/>
    <w:rsid w:val="007D6E9A"/>
    <w:rsid w:val="007E4A53"/>
    <w:rsid w:val="007F08FA"/>
    <w:rsid w:val="007F3E7F"/>
    <w:rsid w:val="007F5EA4"/>
    <w:rsid w:val="008000D8"/>
    <w:rsid w:val="00811DAC"/>
    <w:rsid w:val="00820190"/>
    <w:rsid w:val="00830D75"/>
    <w:rsid w:val="00831EAF"/>
    <w:rsid w:val="00834ECD"/>
    <w:rsid w:val="00837922"/>
    <w:rsid w:val="00841F43"/>
    <w:rsid w:val="00843B98"/>
    <w:rsid w:val="0084449D"/>
    <w:rsid w:val="00847907"/>
    <w:rsid w:val="00847B0D"/>
    <w:rsid w:val="00853269"/>
    <w:rsid w:val="0085677D"/>
    <w:rsid w:val="00861BF5"/>
    <w:rsid w:val="00862A0D"/>
    <w:rsid w:val="00863E0A"/>
    <w:rsid w:val="0087269A"/>
    <w:rsid w:val="008764B6"/>
    <w:rsid w:val="00876FA6"/>
    <w:rsid w:val="00884833"/>
    <w:rsid w:val="00886842"/>
    <w:rsid w:val="00890055"/>
    <w:rsid w:val="0089719D"/>
    <w:rsid w:val="008A120B"/>
    <w:rsid w:val="008A5C08"/>
    <w:rsid w:val="008A6E4D"/>
    <w:rsid w:val="008B0017"/>
    <w:rsid w:val="008B0D51"/>
    <w:rsid w:val="008B3251"/>
    <w:rsid w:val="008B365C"/>
    <w:rsid w:val="008B41CF"/>
    <w:rsid w:val="008C0955"/>
    <w:rsid w:val="008C2FDE"/>
    <w:rsid w:val="008C6E8E"/>
    <w:rsid w:val="008D0180"/>
    <w:rsid w:val="008E3652"/>
    <w:rsid w:val="008F1A59"/>
    <w:rsid w:val="008F3D0E"/>
    <w:rsid w:val="008F3D9E"/>
    <w:rsid w:val="008F41BC"/>
    <w:rsid w:val="008F4DD2"/>
    <w:rsid w:val="008F6D58"/>
    <w:rsid w:val="009026D1"/>
    <w:rsid w:val="00910AF6"/>
    <w:rsid w:val="009143F5"/>
    <w:rsid w:val="009153D7"/>
    <w:rsid w:val="00916252"/>
    <w:rsid w:val="00921C64"/>
    <w:rsid w:val="00921C7A"/>
    <w:rsid w:val="009237EF"/>
    <w:rsid w:val="009275ED"/>
    <w:rsid w:val="00936743"/>
    <w:rsid w:val="00951CA5"/>
    <w:rsid w:val="00954884"/>
    <w:rsid w:val="00955BAD"/>
    <w:rsid w:val="00967AF9"/>
    <w:rsid w:val="009748FA"/>
    <w:rsid w:val="00985A2E"/>
    <w:rsid w:val="009865A6"/>
    <w:rsid w:val="0099032D"/>
    <w:rsid w:val="0099102F"/>
    <w:rsid w:val="00992D09"/>
    <w:rsid w:val="00994738"/>
    <w:rsid w:val="00994B2E"/>
    <w:rsid w:val="00994CF0"/>
    <w:rsid w:val="009A6D76"/>
    <w:rsid w:val="009B48B1"/>
    <w:rsid w:val="009B6196"/>
    <w:rsid w:val="009B672A"/>
    <w:rsid w:val="009B6B02"/>
    <w:rsid w:val="009B6C1D"/>
    <w:rsid w:val="009C2B68"/>
    <w:rsid w:val="009C7A3A"/>
    <w:rsid w:val="009D1E0B"/>
    <w:rsid w:val="009D4C0F"/>
    <w:rsid w:val="009E1F45"/>
    <w:rsid w:val="009E52E8"/>
    <w:rsid w:val="009E6948"/>
    <w:rsid w:val="00A05C70"/>
    <w:rsid w:val="00A05CB1"/>
    <w:rsid w:val="00A0677A"/>
    <w:rsid w:val="00A07254"/>
    <w:rsid w:val="00A12542"/>
    <w:rsid w:val="00A17844"/>
    <w:rsid w:val="00A22757"/>
    <w:rsid w:val="00A23270"/>
    <w:rsid w:val="00A258F9"/>
    <w:rsid w:val="00A35095"/>
    <w:rsid w:val="00A35F4C"/>
    <w:rsid w:val="00A44D76"/>
    <w:rsid w:val="00A46109"/>
    <w:rsid w:val="00A523D5"/>
    <w:rsid w:val="00A540AF"/>
    <w:rsid w:val="00A73361"/>
    <w:rsid w:val="00A74F12"/>
    <w:rsid w:val="00A92B03"/>
    <w:rsid w:val="00A97010"/>
    <w:rsid w:val="00AA300D"/>
    <w:rsid w:val="00AA7EBA"/>
    <w:rsid w:val="00AD4BB3"/>
    <w:rsid w:val="00AD6B30"/>
    <w:rsid w:val="00AE3EFE"/>
    <w:rsid w:val="00AE608D"/>
    <w:rsid w:val="00AE75B2"/>
    <w:rsid w:val="00AF05C3"/>
    <w:rsid w:val="00AF1C0C"/>
    <w:rsid w:val="00AF2F48"/>
    <w:rsid w:val="00AF348B"/>
    <w:rsid w:val="00AF7996"/>
    <w:rsid w:val="00B01960"/>
    <w:rsid w:val="00B03469"/>
    <w:rsid w:val="00B10695"/>
    <w:rsid w:val="00B10D45"/>
    <w:rsid w:val="00B14CB8"/>
    <w:rsid w:val="00B16711"/>
    <w:rsid w:val="00B260CB"/>
    <w:rsid w:val="00B26248"/>
    <w:rsid w:val="00B32877"/>
    <w:rsid w:val="00B368BA"/>
    <w:rsid w:val="00B40480"/>
    <w:rsid w:val="00B4395C"/>
    <w:rsid w:val="00B6431B"/>
    <w:rsid w:val="00B732B1"/>
    <w:rsid w:val="00B739EF"/>
    <w:rsid w:val="00B73D95"/>
    <w:rsid w:val="00B73DF3"/>
    <w:rsid w:val="00B75838"/>
    <w:rsid w:val="00B849EE"/>
    <w:rsid w:val="00B854D5"/>
    <w:rsid w:val="00B86415"/>
    <w:rsid w:val="00BA2940"/>
    <w:rsid w:val="00BB189C"/>
    <w:rsid w:val="00BC702B"/>
    <w:rsid w:val="00BD6292"/>
    <w:rsid w:val="00BD77C4"/>
    <w:rsid w:val="00BE6581"/>
    <w:rsid w:val="00BF0017"/>
    <w:rsid w:val="00C07D59"/>
    <w:rsid w:val="00C10D9F"/>
    <w:rsid w:val="00C11164"/>
    <w:rsid w:val="00C15238"/>
    <w:rsid w:val="00C2567A"/>
    <w:rsid w:val="00C264F4"/>
    <w:rsid w:val="00C325A7"/>
    <w:rsid w:val="00C46CDB"/>
    <w:rsid w:val="00C51131"/>
    <w:rsid w:val="00C57315"/>
    <w:rsid w:val="00C71856"/>
    <w:rsid w:val="00C74960"/>
    <w:rsid w:val="00C758C0"/>
    <w:rsid w:val="00C7736C"/>
    <w:rsid w:val="00C80663"/>
    <w:rsid w:val="00C847FC"/>
    <w:rsid w:val="00C93D96"/>
    <w:rsid w:val="00CB06AF"/>
    <w:rsid w:val="00CB1DE4"/>
    <w:rsid w:val="00CC1F77"/>
    <w:rsid w:val="00CC2371"/>
    <w:rsid w:val="00CC5443"/>
    <w:rsid w:val="00CC6694"/>
    <w:rsid w:val="00CD0037"/>
    <w:rsid w:val="00CD1A91"/>
    <w:rsid w:val="00CD4B70"/>
    <w:rsid w:val="00CD6C61"/>
    <w:rsid w:val="00CE6475"/>
    <w:rsid w:val="00CF0B53"/>
    <w:rsid w:val="00CF18E4"/>
    <w:rsid w:val="00D0206A"/>
    <w:rsid w:val="00D055EC"/>
    <w:rsid w:val="00D05AC1"/>
    <w:rsid w:val="00D10273"/>
    <w:rsid w:val="00D137E1"/>
    <w:rsid w:val="00D150F7"/>
    <w:rsid w:val="00D23A2B"/>
    <w:rsid w:val="00D40EB2"/>
    <w:rsid w:val="00D43EEC"/>
    <w:rsid w:val="00D502DB"/>
    <w:rsid w:val="00D53591"/>
    <w:rsid w:val="00D6136C"/>
    <w:rsid w:val="00D62DF3"/>
    <w:rsid w:val="00D67555"/>
    <w:rsid w:val="00D74DD6"/>
    <w:rsid w:val="00D8089A"/>
    <w:rsid w:val="00D85F71"/>
    <w:rsid w:val="00D9138F"/>
    <w:rsid w:val="00DA0F15"/>
    <w:rsid w:val="00DC01A2"/>
    <w:rsid w:val="00DC53C5"/>
    <w:rsid w:val="00DC736A"/>
    <w:rsid w:val="00DD035D"/>
    <w:rsid w:val="00DD0CF4"/>
    <w:rsid w:val="00DD3BDC"/>
    <w:rsid w:val="00DD451E"/>
    <w:rsid w:val="00DD4EDA"/>
    <w:rsid w:val="00DE4AC2"/>
    <w:rsid w:val="00DF04EC"/>
    <w:rsid w:val="00DF166B"/>
    <w:rsid w:val="00DF3D6D"/>
    <w:rsid w:val="00DF5220"/>
    <w:rsid w:val="00DF6437"/>
    <w:rsid w:val="00E07C35"/>
    <w:rsid w:val="00E1118B"/>
    <w:rsid w:val="00E2498C"/>
    <w:rsid w:val="00E30A7D"/>
    <w:rsid w:val="00E30F32"/>
    <w:rsid w:val="00E32708"/>
    <w:rsid w:val="00E36BAF"/>
    <w:rsid w:val="00E459F4"/>
    <w:rsid w:val="00E45E06"/>
    <w:rsid w:val="00E47097"/>
    <w:rsid w:val="00E50807"/>
    <w:rsid w:val="00E529DB"/>
    <w:rsid w:val="00E66C7C"/>
    <w:rsid w:val="00E67274"/>
    <w:rsid w:val="00E71540"/>
    <w:rsid w:val="00E75E3C"/>
    <w:rsid w:val="00E878F0"/>
    <w:rsid w:val="00E97E17"/>
    <w:rsid w:val="00EA346B"/>
    <w:rsid w:val="00EA5418"/>
    <w:rsid w:val="00EA5EA0"/>
    <w:rsid w:val="00EB1ADE"/>
    <w:rsid w:val="00EB26B0"/>
    <w:rsid w:val="00EB37D6"/>
    <w:rsid w:val="00EB4758"/>
    <w:rsid w:val="00EB5EAA"/>
    <w:rsid w:val="00EB7BC1"/>
    <w:rsid w:val="00EC6157"/>
    <w:rsid w:val="00ED118F"/>
    <w:rsid w:val="00ED70CA"/>
    <w:rsid w:val="00ED7D2E"/>
    <w:rsid w:val="00EE6570"/>
    <w:rsid w:val="00EF33FD"/>
    <w:rsid w:val="00EF4650"/>
    <w:rsid w:val="00F05310"/>
    <w:rsid w:val="00F12593"/>
    <w:rsid w:val="00F138BE"/>
    <w:rsid w:val="00F16013"/>
    <w:rsid w:val="00F20634"/>
    <w:rsid w:val="00F30354"/>
    <w:rsid w:val="00F30C06"/>
    <w:rsid w:val="00F360AC"/>
    <w:rsid w:val="00F43A17"/>
    <w:rsid w:val="00F44E0B"/>
    <w:rsid w:val="00F45C83"/>
    <w:rsid w:val="00F45CAA"/>
    <w:rsid w:val="00F470A7"/>
    <w:rsid w:val="00F504F9"/>
    <w:rsid w:val="00F60192"/>
    <w:rsid w:val="00F7071B"/>
    <w:rsid w:val="00F73A6E"/>
    <w:rsid w:val="00F746DB"/>
    <w:rsid w:val="00F76815"/>
    <w:rsid w:val="00F94B6E"/>
    <w:rsid w:val="00F97452"/>
    <w:rsid w:val="00FA19C1"/>
    <w:rsid w:val="00FB0FD3"/>
    <w:rsid w:val="00FB1010"/>
    <w:rsid w:val="00FB1255"/>
    <w:rsid w:val="00FB702A"/>
    <w:rsid w:val="00FC0C83"/>
    <w:rsid w:val="00FD3303"/>
    <w:rsid w:val="00FE0BFD"/>
    <w:rsid w:val="00FE35B7"/>
    <w:rsid w:val="00FE3C54"/>
    <w:rsid w:val="00FE498D"/>
    <w:rsid w:val="00FE4A87"/>
    <w:rsid w:val="00FF042D"/>
    <w:rsid w:val="00FF61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colormru v:ext="edit" colors="#40b4e5,#005cb9,#95d600,#0064a7,#97c93d"/>
    </o:shapedefaults>
    <o:shapelayout v:ext="edit">
      <o:idmap v:ext="edit" data="1"/>
    </o:shapelayout>
  </w:shapeDefaults>
  <w:decimalSymbol w:val="."/>
  <w:listSeparator w:val=","/>
  <w15:docId w15:val="{DEF56C1C-5425-435A-98B9-AD24798E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92C"/>
    <w:pPr>
      <w:spacing w:after="200" w:line="276" w:lineRule="auto"/>
    </w:pPr>
    <w:rPr>
      <w:sz w:val="22"/>
      <w:szCs w:val="22"/>
      <w:lang w:eastAsia="en-US"/>
    </w:rPr>
  </w:style>
  <w:style w:type="paragraph" w:styleId="Ttulo2">
    <w:name w:val="heading 2"/>
    <w:basedOn w:val="Normal"/>
    <w:next w:val="Normal"/>
    <w:link w:val="Ttulo2Car"/>
    <w:uiPriority w:val="9"/>
    <w:semiHidden/>
    <w:unhideWhenUsed/>
    <w:qFormat/>
    <w:rsid w:val="00A92B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768C"/>
    <w:pPr>
      <w:autoSpaceDE w:val="0"/>
      <w:autoSpaceDN w:val="0"/>
      <w:adjustRightInd w:val="0"/>
    </w:pPr>
    <w:rPr>
      <w:rFonts w:cs="Calibri"/>
      <w:color w:val="000000"/>
      <w:sz w:val="24"/>
      <w:szCs w:val="24"/>
    </w:rPr>
  </w:style>
  <w:style w:type="character" w:customStyle="1" w:styleId="Ttulo2Car">
    <w:name w:val="Título 2 Car"/>
    <w:basedOn w:val="Fuentedeprrafopredeter"/>
    <w:link w:val="Ttulo2"/>
    <w:uiPriority w:val="9"/>
    <w:semiHidden/>
    <w:rsid w:val="00A92B03"/>
    <w:rPr>
      <w:rFonts w:asciiTheme="majorHAnsi" w:eastAsiaTheme="majorEastAsia" w:hAnsiTheme="majorHAnsi" w:cstheme="majorBidi"/>
      <w:color w:val="365F91" w:themeColor="accent1" w:themeShade="BF"/>
      <w:sz w:val="26"/>
      <w:szCs w:val="26"/>
      <w:lang w:eastAsia="en-US"/>
    </w:rPr>
  </w:style>
  <w:style w:type="paragraph" w:styleId="NormalWeb">
    <w:name w:val="Normal (Web)"/>
    <w:basedOn w:val="Normal"/>
    <w:uiPriority w:val="99"/>
    <w:unhideWhenUsed/>
    <w:rsid w:val="00A92B03"/>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basedOn w:val="Fuentedeprrafopredeter"/>
    <w:uiPriority w:val="99"/>
    <w:unhideWhenUsed/>
    <w:rsid w:val="00A92B03"/>
    <w:rPr>
      <w:color w:val="0000FF" w:themeColor="hyperlink"/>
      <w:u w:val="single"/>
    </w:rPr>
  </w:style>
  <w:style w:type="paragraph" w:customStyle="1" w:styleId="Standard">
    <w:name w:val="Standard"/>
    <w:rsid w:val="00566709"/>
    <w:pPr>
      <w:suppressAutoHyphens/>
      <w:autoSpaceDN w:val="0"/>
      <w:textAlignment w:val="baseline"/>
    </w:pPr>
    <w:rPr>
      <w:rFonts w:ascii="Times New Roman" w:eastAsia="Times New Roman" w:hAnsi="Times New Roman"/>
      <w:sz w:val="24"/>
      <w:szCs w:val="24"/>
      <w:lang w:val="es-ES" w:eastAsia="es-ES"/>
    </w:rPr>
  </w:style>
  <w:style w:type="paragraph" w:styleId="Textoindependiente2">
    <w:name w:val="Body Text 2"/>
    <w:basedOn w:val="Normal"/>
    <w:link w:val="Textoindependiente2Car"/>
    <w:rsid w:val="00566709"/>
    <w:pPr>
      <w:spacing w:after="0" w:line="240" w:lineRule="auto"/>
      <w:jc w:val="both"/>
    </w:pPr>
    <w:rPr>
      <w:rFonts w:ascii="Arial" w:eastAsia="Times New Roman" w:hAnsi="Arial" w:cs="Arial"/>
      <w:b/>
      <w:bCs/>
      <w:sz w:val="14"/>
      <w:szCs w:val="24"/>
      <w:lang w:val="es-ES" w:eastAsia="es-ES"/>
    </w:rPr>
  </w:style>
  <w:style w:type="character" w:customStyle="1" w:styleId="Textoindependiente2Car">
    <w:name w:val="Texto independiente 2 Car"/>
    <w:basedOn w:val="Fuentedeprrafopredeter"/>
    <w:link w:val="Textoindependiente2"/>
    <w:rsid w:val="00566709"/>
    <w:rPr>
      <w:rFonts w:ascii="Arial" w:eastAsia="Times New Roman" w:hAnsi="Arial" w:cs="Arial"/>
      <w:b/>
      <w:bCs/>
      <w:sz w:val="1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53">
      <w:bodyDiv w:val="1"/>
      <w:marLeft w:val="0"/>
      <w:marRight w:val="0"/>
      <w:marTop w:val="0"/>
      <w:marBottom w:val="0"/>
      <w:divBdr>
        <w:top w:val="none" w:sz="0" w:space="0" w:color="auto"/>
        <w:left w:val="none" w:sz="0" w:space="0" w:color="auto"/>
        <w:bottom w:val="none" w:sz="0" w:space="0" w:color="auto"/>
        <w:right w:val="none" w:sz="0" w:space="0" w:color="auto"/>
      </w:divBdr>
    </w:div>
    <w:div w:id="13045460">
      <w:bodyDiv w:val="1"/>
      <w:marLeft w:val="0"/>
      <w:marRight w:val="0"/>
      <w:marTop w:val="0"/>
      <w:marBottom w:val="0"/>
      <w:divBdr>
        <w:top w:val="none" w:sz="0" w:space="0" w:color="auto"/>
        <w:left w:val="none" w:sz="0" w:space="0" w:color="auto"/>
        <w:bottom w:val="none" w:sz="0" w:space="0" w:color="auto"/>
        <w:right w:val="none" w:sz="0" w:space="0" w:color="auto"/>
      </w:divBdr>
    </w:div>
    <w:div w:id="13072483">
      <w:bodyDiv w:val="1"/>
      <w:marLeft w:val="0"/>
      <w:marRight w:val="0"/>
      <w:marTop w:val="0"/>
      <w:marBottom w:val="0"/>
      <w:divBdr>
        <w:top w:val="none" w:sz="0" w:space="0" w:color="auto"/>
        <w:left w:val="none" w:sz="0" w:space="0" w:color="auto"/>
        <w:bottom w:val="none" w:sz="0" w:space="0" w:color="auto"/>
        <w:right w:val="none" w:sz="0" w:space="0" w:color="auto"/>
      </w:divBdr>
    </w:div>
    <w:div w:id="13270605">
      <w:bodyDiv w:val="1"/>
      <w:marLeft w:val="0"/>
      <w:marRight w:val="0"/>
      <w:marTop w:val="0"/>
      <w:marBottom w:val="0"/>
      <w:divBdr>
        <w:top w:val="none" w:sz="0" w:space="0" w:color="auto"/>
        <w:left w:val="none" w:sz="0" w:space="0" w:color="auto"/>
        <w:bottom w:val="none" w:sz="0" w:space="0" w:color="auto"/>
        <w:right w:val="none" w:sz="0" w:space="0" w:color="auto"/>
      </w:divBdr>
    </w:div>
    <w:div w:id="13965580">
      <w:bodyDiv w:val="1"/>
      <w:marLeft w:val="0"/>
      <w:marRight w:val="0"/>
      <w:marTop w:val="0"/>
      <w:marBottom w:val="0"/>
      <w:divBdr>
        <w:top w:val="none" w:sz="0" w:space="0" w:color="auto"/>
        <w:left w:val="none" w:sz="0" w:space="0" w:color="auto"/>
        <w:bottom w:val="none" w:sz="0" w:space="0" w:color="auto"/>
        <w:right w:val="none" w:sz="0" w:space="0" w:color="auto"/>
      </w:divBdr>
    </w:div>
    <w:div w:id="27267181">
      <w:bodyDiv w:val="1"/>
      <w:marLeft w:val="0"/>
      <w:marRight w:val="0"/>
      <w:marTop w:val="0"/>
      <w:marBottom w:val="0"/>
      <w:divBdr>
        <w:top w:val="none" w:sz="0" w:space="0" w:color="auto"/>
        <w:left w:val="none" w:sz="0" w:space="0" w:color="auto"/>
        <w:bottom w:val="none" w:sz="0" w:space="0" w:color="auto"/>
        <w:right w:val="none" w:sz="0" w:space="0" w:color="auto"/>
      </w:divBdr>
    </w:div>
    <w:div w:id="35741724">
      <w:bodyDiv w:val="1"/>
      <w:marLeft w:val="0"/>
      <w:marRight w:val="0"/>
      <w:marTop w:val="0"/>
      <w:marBottom w:val="0"/>
      <w:divBdr>
        <w:top w:val="none" w:sz="0" w:space="0" w:color="auto"/>
        <w:left w:val="none" w:sz="0" w:space="0" w:color="auto"/>
        <w:bottom w:val="none" w:sz="0" w:space="0" w:color="auto"/>
        <w:right w:val="none" w:sz="0" w:space="0" w:color="auto"/>
      </w:divBdr>
    </w:div>
    <w:div w:id="65422353">
      <w:bodyDiv w:val="1"/>
      <w:marLeft w:val="0"/>
      <w:marRight w:val="0"/>
      <w:marTop w:val="0"/>
      <w:marBottom w:val="0"/>
      <w:divBdr>
        <w:top w:val="none" w:sz="0" w:space="0" w:color="auto"/>
        <w:left w:val="none" w:sz="0" w:space="0" w:color="auto"/>
        <w:bottom w:val="none" w:sz="0" w:space="0" w:color="auto"/>
        <w:right w:val="none" w:sz="0" w:space="0" w:color="auto"/>
      </w:divBdr>
    </w:div>
    <w:div w:id="70079084">
      <w:bodyDiv w:val="1"/>
      <w:marLeft w:val="0"/>
      <w:marRight w:val="0"/>
      <w:marTop w:val="0"/>
      <w:marBottom w:val="0"/>
      <w:divBdr>
        <w:top w:val="none" w:sz="0" w:space="0" w:color="auto"/>
        <w:left w:val="none" w:sz="0" w:space="0" w:color="auto"/>
        <w:bottom w:val="none" w:sz="0" w:space="0" w:color="auto"/>
        <w:right w:val="none" w:sz="0" w:space="0" w:color="auto"/>
      </w:divBdr>
    </w:div>
    <w:div w:id="72627192">
      <w:bodyDiv w:val="1"/>
      <w:marLeft w:val="0"/>
      <w:marRight w:val="0"/>
      <w:marTop w:val="0"/>
      <w:marBottom w:val="0"/>
      <w:divBdr>
        <w:top w:val="none" w:sz="0" w:space="0" w:color="auto"/>
        <w:left w:val="none" w:sz="0" w:space="0" w:color="auto"/>
        <w:bottom w:val="none" w:sz="0" w:space="0" w:color="auto"/>
        <w:right w:val="none" w:sz="0" w:space="0" w:color="auto"/>
      </w:divBdr>
    </w:div>
    <w:div w:id="76288098">
      <w:bodyDiv w:val="1"/>
      <w:marLeft w:val="0"/>
      <w:marRight w:val="0"/>
      <w:marTop w:val="0"/>
      <w:marBottom w:val="0"/>
      <w:divBdr>
        <w:top w:val="none" w:sz="0" w:space="0" w:color="auto"/>
        <w:left w:val="none" w:sz="0" w:space="0" w:color="auto"/>
        <w:bottom w:val="none" w:sz="0" w:space="0" w:color="auto"/>
        <w:right w:val="none" w:sz="0" w:space="0" w:color="auto"/>
      </w:divBdr>
    </w:div>
    <w:div w:id="80032595">
      <w:bodyDiv w:val="1"/>
      <w:marLeft w:val="0"/>
      <w:marRight w:val="0"/>
      <w:marTop w:val="0"/>
      <w:marBottom w:val="0"/>
      <w:divBdr>
        <w:top w:val="none" w:sz="0" w:space="0" w:color="auto"/>
        <w:left w:val="none" w:sz="0" w:space="0" w:color="auto"/>
        <w:bottom w:val="none" w:sz="0" w:space="0" w:color="auto"/>
        <w:right w:val="none" w:sz="0" w:space="0" w:color="auto"/>
      </w:divBdr>
    </w:div>
    <w:div w:id="80638392">
      <w:bodyDiv w:val="1"/>
      <w:marLeft w:val="0"/>
      <w:marRight w:val="0"/>
      <w:marTop w:val="0"/>
      <w:marBottom w:val="0"/>
      <w:divBdr>
        <w:top w:val="none" w:sz="0" w:space="0" w:color="auto"/>
        <w:left w:val="none" w:sz="0" w:space="0" w:color="auto"/>
        <w:bottom w:val="none" w:sz="0" w:space="0" w:color="auto"/>
        <w:right w:val="none" w:sz="0" w:space="0" w:color="auto"/>
      </w:divBdr>
    </w:div>
    <w:div w:id="84812349">
      <w:bodyDiv w:val="1"/>
      <w:marLeft w:val="0"/>
      <w:marRight w:val="0"/>
      <w:marTop w:val="0"/>
      <w:marBottom w:val="0"/>
      <w:divBdr>
        <w:top w:val="none" w:sz="0" w:space="0" w:color="auto"/>
        <w:left w:val="none" w:sz="0" w:space="0" w:color="auto"/>
        <w:bottom w:val="none" w:sz="0" w:space="0" w:color="auto"/>
        <w:right w:val="none" w:sz="0" w:space="0" w:color="auto"/>
      </w:divBdr>
    </w:div>
    <w:div w:id="89666846">
      <w:bodyDiv w:val="1"/>
      <w:marLeft w:val="0"/>
      <w:marRight w:val="0"/>
      <w:marTop w:val="0"/>
      <w:marBottom w:val="0"/>
      <w:divBdr>
        <w:top w:val="none" w:sz="0" w:space="0" w:color="auto"/>
        <w:left w:val="none" w:sz="0" w:space="0" w:color="auto"/>
        <w:bottom w:val="none" w:sz="0" w:space="0" w:color="auto"/>
        <w:right w:val="none" w:sz="0" w:space="0" w:color="auto"/>
      </w:divBdr>
    </w:div>
    <w:div w:id="108669564">
      <w:bodyDiv w:val="1"/>
      <w:marLeft w:val="0"/>
      <w:marRight w:val="0"/>
      <w:marTop w:val="0"/>
      <w:marBottom w:val="0"/>
      <w:divBdr>
        <w:top w:val="none" w:sz="0" w:space="0" w:color="auto"/>
        <w:left w:val="none" w:sz="0" w:space="0" w:color="auto"/>
        <w:bottom w:val="none" w:sz="0" w:space="0" w:color="auto"/>
        <w:right w:val="none" w:sz="0" w:space="0" w:color="auto"/>
      </w:divBdr>
    </w:div>
    <w:div w:id="108670088">
      <w:bodyDiv w:val="1"/>
      <w:marLeft w:val="0"/>
      <w:marRight w:val="0"/>
      <w:marTop w:val="0"/>
      <w:marBottom w:val="0"/>
      <w:divBdr>
        <w:top w:val="none" w:sz="0" w:space="0" w:color="auto"/>
        <w:left w:val="none" w:sz="0" w:space="0" w:color="auto"/>
        <w:bottom w:val="none" w:sz="0" w:space="0" w:color="auto"/>
        <w:right w:val="none" w:sz="0" w:space="0" w:color="auto"/>
      </w:divBdr>
    </w:div>
    <w:div w:id="114719560">
      <w:bodyDiv w:val="1"/>
      <w:marLeft w:val="0"/>
      <w:marRight w:val="0"/>
      <w:marTop w:val="0"/>
      <w:marBottom w:val="0"/>
      <w:divBdr>
        <w:top w:val="none" w:sz="0" w:space="0" w:color="auto"/>
        <w:left w:val="none" w:sz="0" w:space="0" w:color="auto"/>
        <w:bottom w:val="none" w:sz="0" w:space="0" w:color="auto"/>
        <w:right w:val="none" w:sz="0" w:space="0" w:color="auto"/>
      </w:divBdr>
    </w:div>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19497633">
      <w:bodyDiv w:val="1"/>
      <w:marLeft w:val="0"/>
      <w:marRight w:val="0"/>
      <w:marTop w:val="0"/>
      <w:marBottom w:val="0"/>
      <w:divBdr>
        <w:top w:val="none" w:sz="0" w:space="0" w:color="auto"/>
        <w:left w:val="none" w:sz="0" w:space="0" w:color="auto"/>
        <w:bottom w:val="none" w:sz="0" w:space="0" w:color="auto"/>
        <w:right w:val="none" w:sz="0" w:space="0" w:color="auto"/>
      </w:divBdr>
    </w:div>
    <w:div w:id="119961894">
      <w:bodyDiv w:val="1"/>
      <w:marLeft w:val="0"/>
      <w:marRight w:val="0"/>
      <w:marTop w:val="0"/>
      <w:marBottom w:val="0"/>
      <w:divBdr>
        <w:top w:val="none" w:sz="0" w:space="0" w:color="auto"/>
        <w:left w:val="none" w:sz="0" w:space="0" w:color="auto"/>
        <w:bottom w:val="none" w:sz="0" w:space="0" w:color="auto"/>
        <w:right w:val="none" w:sz="0" w:space="0" w:color="auto"/>
      </w:divBdr>
    </w:div>
    <w:div w:id="129060755">
      <w:bodyDiv w:val="1"/>
      <w:marLeft w:val="0"/>
      <w:marRight w:val="0"/>
      <w:marTop w:val="0"/>
      <w:marBottom w:val="0"/>
      <w:divBdr>
        <w:top w:val="none" w:sz="0" w:space="0" w:color="auto"/>
        <w:left w:val="none" w:sz="0" w:space="0" w:color="auto"/>
        <w:bottom w:val="none" w:sz="0" w:space="0" w:color="auto"/>
        <w:right w:val="none" w:sz="0" w:space="0" w:color="auto"/>
      </w:divBdr>
    </w:div>
    <w:div w:id="134567981">
      <w:bodyDiv w:val="1"/>
      <w:marLeft w:val="0"/>
      <w:marRight w:val="0"/>
      <w:marTop w:val="0"/>
      <w:marBottom w:val="0"/>
      <w:divBdr>
        <w:top w:val="none" w:sz="0" w:space="0" w:color="auto"/>
        <w:left w:val="none" w:sz="0" w:space="0" w:color="auto"/>
        <w:bottom w:val="none" w:sz="0" w:space="0" w:color="auto"/>
        <w:right w:val="none" w:sz="0" w:space="0" w:color="auto"/>
      </w:divBdr>
    </w:div>
    <w:div w:id="141123872">
      <w:bodyDiv w:val="1"/>
      <w:marLeft w:val="0"/>
      <w:marRight w:val="0"/>
      <w:marTop w:val="0"/>
      <w:marBottom w:val="0"/>
      <w:divBdr>
        <w:top w:val="none" w:sz="0" w:space="0" w:color="auto"/>
        <w:left w:val="none" w:sz="0" w:space="0" w:color="auto"/>
        <w:bottom w:val="none" w:sz="0" w:space="0" w:color="auto"/>
        <w:right w:val="none" w:sz="0" w:space="0" w:color="auto"/>
      </w:divBdr>
    </w:div>
    <w:div w:id="146896261">
      <w:bodyDiv w:val="1"/>
      <w:marLeft w:val="0"/>
      <w:marRight w:val="0"/>
      <w:marTop w:val="0"/>
      <w:marBottom w:val="0"/>
      <w:divBdr>
        <w:top w:val="none" w:sz="0" w:space="0" w:color="auto"/>
        <w:left w:val="none" w:sz="0" w:space="0" w:color="auto"/>
        <w:bottom w:val="none" w:sz="0" w:space="0" w:color="auto"/>
        <w:right w:val="none" w:sz="0" w:space="0" w:color="auto"/>
      </w:divBdr>
    </w:div>
    <w:div w:id="158347151">
      <w:bodyDiv w:val="1"/>
      <w:marLeft w:val="0"/>
      <w:marRight w:val="0"/>
      <w:marTop w:val="0"/>
      <w:marBottom w:val="0"/>
      <w:divBdr>
        <w:top w:val="none" w:sz="0" w:space="0" w:color="auto"/>
        <w:left w:val="none" w:sz="0" w:space="0" w:color="auto"/>
        <w:bottom w:val="none" w:sz="0" w:space="0" w:color="auto"/>
        <w:right w:val="none" w:sz="0" w:space="0" w:color="auto"/>
      </w:divBdr>
    </w:div>
    <w:div w:id="162163653">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75507472">
      <w:bodyDiv w:val="1"/>
      <w:marLeft w:val="0"/>
      <w:marRight w:val="0"/>
      <w:marTop w:val="0"/>
      <w:marBottom w:val="0"/>
      <w:divBdr>
        <w:top w:val="none" w:sz="0" w:space="0" w:color="auto"/>
        <w:left w:val="none" w:sz="0" w:space="0" w:color="auto"/>
        <w:bottom w:val="none" w:sz="0" w:space="0" w:color="auto"/>
        <w:right w:val="none" w:sz="0" w:space="0" w:color="auto"/>
      </w:divBdr>
    </w:div>
    <w:div w:id="176503333">
      <w:bodyDiv w:val="1"/>
      <w:marLeft w:val="0"/>
      <w:marRight w:val="0"/>
      <w:marTop w:val="0"/>
      <w:marBottom w:val="0"/>
      <w:divBdr>
        <w:top w:val="none" w:sz="0" w:space="0" w:color="auto"/>
        <w:left w:val="none" w:sz="0" w:space="0" w:color="auto"/>
        <w:bottom w:val="none" w:sz="0" w:space="0" w:color="auto"/>
        <w:right w:val="none" w:sz="0" w:space="0" w:color="auto"/>
      </w:divBdr>
    </w:div>
    <w:div w:id="179202094">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182868145">
      <w:bodyDiv w:val="1"/>
      <w:marLeft w:val="0"/>
      <w:marRight w:val="0"/>
      <w:marTop w:val="0"/>
      <w:marBottom w:val="0"/>
      <w:divBdr>
        <w:top w:val="none" w:sz="0" w:space="0" w:color="auto"/>
        <w:left w:val="none" w:sz="0" w:space="0" w:color="auto"/>
        <w:bottom w:val="none" w:sz="0" w:space="0" w:color="auto"/>
        <w:right w:val="none" w:sz="0" w:space="0" w:color="auto"/>
      </w:divBdr>
    </w:div>
    <w:div w:id="187377698">
      <w:bodyDiv w:val="1"/>
      <w:marLeft w:val="0"/>
      <w:marRight w:val="0"/>
      <w:marTop w:val="0"/>
      <w:marBottom w:val="0"/>
      <w:divBdr>
        <w:top w:val="none" w:sz="0" w:space="0" w:color="auto"/>
        <w:left w:val="none" w:sz="0" w:space="0" w:color="auto"/>
        <w:bottom w:val="none" w:sz="0" w:space="0" w:color="auto"/>
        <w:right w:val="none" w:sz="0" w:space="0" w:color="auto"/>
      </w:divBdr>
    </w:div>
    <w:div w:id="187452759">
      <w:bodyDiv w:val="1"/>
      <w:marLeft w:val="0"/>
      <w:marRight w:val="0"/>
      <w:marTop w:val="0"/>
      <w:marBottom w:val="0"/>
      <w:divBdr>
        <w:top w:val="none" w:sz="0" w:space="0" w:color="auto"/>
        <w:left w:val="none" w:sz="0" w:space="0" w:color="auto"/>
        <w:bottom w:val="none" w:sz="0" w:space="0" w:color="auto"/>
        <w:right w:val="none" w:sz="0" w:space="0" w:color="auto"/>
      </w:divBdr>
    </w:div>
    <w:div w:id="190654811">
      <w:bodyDiv w:val="1"/>
      <w:marLeft w:val="0"/>
      <w:marRight w:val="0"/>
      <w:marTop w:val="0"/>
      <w:marBottom w:val="0"/>
      <w:divBdr>
        <w:top w:val="none" w:sz="0" w:space="0" w:color="auto"/>
        <w:left w:val="none" w:sz="0" w:space="0" w:color="auto"/>
        <w:bottom w:val="none" w:sz="0" w:space="0" w:color="auto"/>
        <w:right w:val="none" w:sz="0" w:space="0" w:color="auto"/>
      </w:divBdr>
    </w:div>
    <w:div w:id="195118350">
      <w:bodyDiv w:val="1"/>
      <w:marLeft w:val="0"/>
      <w:marRight w:val="0"/>
      <w:marTop w:val="0"/>
      <w:marBottom w:val="0"/>
      <w:divBdr>
        <w:top w:val="none" w:sz="0" w:space="0" w:color="auto"/>
        <w:left w:val="none" w:sz="0" w:space="0" w:color="auto"/>
        <w:bottom w:val="none" w:sz="0" w:space="0" w:color="auto"/>
        <w:right w:val="none" w:sz="0" w:space="0" w:color="auto"/>
      </w:divBdr>
    </w:div>
    <w:div w:id="200018079">
      <w:bodyDiv w:val="1"/>
      <w:marLeft w:val="0"/>
      <w:marRight w:val="0"/>
      <w:marTop w:val="0"/>
      <w:marBottom w:val="0"/>
      <w:divBdr>
        <w:top w:val="none" w:sz="0" w:space="0" w:color="auto"/>
        <w:left w:val="none" w:sz="0" w:space="0" w:color="auto"/>
        <w:bottom w:val="none" w:sz="0" w:space="0" w:color="auto"/>
        <w:right w:val="none" w:sz="0" w:space="0" w:color="auto"/>
      </w:divBdr>
    </w:div>
    <w:div w:id="209004167">
      <w:bodyDiv w:val="1"/>
      <w:marLeft w:val="0"/>
      <w:marRight w:val="0"/>
      <w:marTop w:val="0"/>
      <w:marBottom w:val="0"/>
      <w:divBdr>
        <w:top w:val="none" w:sz="0" w:space="0" w:color="auto"/>
        <w:left w:val="none" w:sz="0" w:space="0" w:color="auto"/>
        <w:bottom w:val="none" w:sz="0" w:space="0" w:color="auto"/>
        <w:right w:val="none" w:sz="0" w:space="0" w:color="auto"/>
      </w:divBdr>
    </w:div>
    <w:div w:id="214316648">
      <w:bodyDiv w:val="1"/>
      <w:marLeft w:val="0"/>
      <w:marRight w:val="0"/>
      <w:marTop w:val="0"/>
      <w:marBottom w:val="0"/>
      <w:divBdr>
        <w:top w:val="none" w:sz="0" w:space="0" w:color="auto"/>
        <w:left w:val="none" w:sz="0" w:space="0" w:color="auto"/>
        <w:bottom w:val="none" w:sz="0" w:space="0" w:color="auto"/>
        <w:right w:val="none" w:sz="0" w:space="0" w:color="auto"/>
      </w:divBdr>
    </w:div>
    <w:div w:id="215121224">
      <w:bodyDiv w:val="1"/>
      <w:marLeft w:val="0"/>
      <w:marRight w:val="0"/>
      <w:marTop w:val="0"/>
      <w:marBottom w:val="0"/>
      <w:divBdr>
        <w:top w:val="none" w:sz="0" w:space="0" w:color="auto"/>
        <w:left w:val="none" w:sz="0" w:space="0" w:color="auto"/>
        <w:bottom w:val="none" w:sz="0" w:space="0" w:color="auto"/>
        <w:right w:val="none" w:sz="0" w:space="0" w:color="auto"/>
      </w:divBdr>
    </w:div>
    <w:div w:id="217864086">
      <w:bodyDiv w:val="1"/>
      <w:marLeft w:val="0"/>
      <w:marRight w:val="0"/>
      <w:marTop w:val="0"/>
      <w:marBottom w:val="0"/>
      <w:divBdr>
        <w:top w:val="none" w:sz="0" w:space="0" w:color="auto"/>
        <w:left w:val="none" w:sz="0" w:space="0" w:color="auto"/>
        <w:bottom w:val="none" w:sz="0" w:space="0" w:color="auto"/>
        <w:right w:val="none" w:sz="0" w:space="0" w:color="auto"/>
      </w:divBdr>
    </w:div>
    <w:div w:id="231895817">
      <w:bodyDiv w:val="1"/>
      <w:marLeft w:val="0"/>
      <w:marRight w:val="0"/>
      <w:marTop w:val="0"/>
      <w:marBottom w:val="0"/>
      <w:divBdr>
        <w:top w:val="none" w:sz="0" w:space="0" w:color="auto"/>
        <w:left w:val="none" w:sz="0" w:space="0" w:color="auto"/>
        <w:bottom w:val="none" w:sz="0" w:space="0" w:color="auto"/>
        <w:right w:val="none" w:sz="0" w:space="0" w:color="auto"/>
      </w:divBdr>
    </w:div>
    <w:div w:id="231935382">
      <w:bodyDiv w:val="1"/>
      <w:marLeft w:val="0"/>
      <w:marRight w:val="0"/>
      <w:marTop w:val="0"/>
      <w:marBottom w:val="0"/>
      <w:divBdr>
        <w:top w:val="none" w:sz="0" w:space="0" w:color="auto"/>
        <w:left w:val="none" w:sz="0" w:space="0" w:color="auto"/>
        <w:bottom w:val="none" w:sz="0" w:space="0" w:color="auto"/>
        <w:right w:val="none" w:sz="0" w:space="0" w:color="auto"/>
      </w:divBdr>
    </w:div>
    <w:div w:id="232858961">
      <w:bodyDiv w:val="1"/>
      <w:marLeft w:val="0"/>
      <w:marRight w:val="0"/>
      <w:marTop w:val="0"/>
      <w:marBottom w:val="0"/>
      <w:divBdr>
        <w:top w:val="none" w:sz="0" w:space="0" w:color="auto"/>
        <w:left w:val="none" w:sz="0" w:space="0" w:color="auto"/>
        <w:bottom w:val="none" w:sz="0" w:space="0" w:color="auto"/>
        <w:right w:val="none" w:sz="0" w:space="0" w:color="auto"/>
      </w:divBdr>
    </w:div>
    <w:div w:id="236748262">
      <w:bodyDiv w:val="1"/>
      <w:marLeft w:val="0"/>
      <w:marRight w:val="0"/>
      <w:marTop w:val="0"/>
      <w:marBottom w:val="0"/>
      <w:divBdr>
        <w:top w:val="none" w:sz="0" w:space="0" w:color="auto"/>
        <w:left w:val="none" w:sz="0" w:space="0" w:color="auto"/>
        <w:bottom w:val="none" w:sz="0" w:space="0" w:color="auto"/>
        <w:right w:val="none" w:sz="0" w:space="0" w:color="auto"/>
      </w:divBdr>
    </w:div>
    <w:div w:id="252133305">
      <w:bodyDiv w:val="1"/>
      <w:marLeft w:val="0"/>
      <w:marRight w:val="0"/>
      <w:marTop w:val="0"/>
      <w:marBottom w:val="0"/>
      <w:divBdr>
        <w:top w:val="none" w:sz="0" w:space="0" w:color="auto"/>
        <w:left w:val="none" w:sz="0" w:space="0" w:color="auto"/>
        <w:bottom w:val="none" w:sz="0" w:space="0" w:color="auto"/>
        <w:right w:val="none" w:sz="0" w:space="0" w:color="auto"/>
      </w:divBdr>
    </w:div>
    <w:div w:id="263612334">
      <w:bodyDiv w:val="1"/>
      <w:marLeft w:val="0"/>
      <w:marRight w:val="0"/>
      <w:marTop w:val="0"/>
      <w:marBottom w:val="0"/>
      <w:divBdr>
        <w:top w:val="none" w:sz="0" w:space="0" w:color="auto"/>
        <w:left w:val="none" w:sz="0" w:space="0" w:color="auto"/>
        <w:bottom w:val="none" w:sz="0" w:space="0" w:color="auto"/>
        <w:right w:val="none" w:sz="0" w:space="0" w:color="auto"/>
      </w:divBdr>
    </w:div>
    <w:div w:id="264044690">
      <w:bodyDiv w:val="1"/>
      <w:marLeft w:val="0"/>
      <w:marRight w:val="0"/>
      <w:marTop w:val="0"/>
      <w:marBottom w:val="0"/>
      <w:divBdr>
        <w:top w:val="none" w:sz="0" w:space="0" w:color="auto"/>
        <w:left w:val="none" w:sz="0" w:space="0" w:color="auto"/>
        <w:bottom w:val="none" w:sz="0" w:space="0" w:color="auto"/>
        <w:right w:val="none" w:sz="0" w:space="0" w:color="auto"/>
      </w:divBdr>
    </w:div>
    <w:div w:id="273481742">
      <w:bodyDiv w:val="1"/>
      <w:marLeft w:val="0"/>
      <w:marRight w:val="0"/>
      <w:marTop w:val="0"/>
      <w:marBottom w:val="0"/>
      <w:divBdr>
        <w:top w:val="none" w:sz="0" w:space="0" w:color="auto"/>
        <w:left w:val="none" w:sz="0" w:space="0" w:color="auto"/>
        <w:bottom w:val="none" w:sz="0" w:space="0" w:color="auto"/>
        <w:right w:val="none" w:sz="0" w:space="0" w:color="auto"/>
      </w:divBdr>
    </w:div>
    <w:div w:id="276178923">
      <w:bodyDiv w:val="1"/>
      <w:marLeft w:val="0"/>
      <w:marRight w:val="0"/>
      <w:marTop w:val="0"/>
      <w:marBottom w:val="0"/>
      <w:divBdr>
        <w:top w:val="none" w:sz="0" w:space="0" w:color="auto"/>
        <w:left w:val="none" w:sz="0" w:space="0" w:color="auto"/>
        <w:bottom w:val="none" w:sz="0" w:space="0" w:color="auto"/>
        <w:right w:val="none" w:sz="0" w:space="0" w:color="auto"/>
      </w:divBdr>
    </w:div>
    <w:div w:id="281420191">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292713063">
      <w:bodyDiv w:val="1"/>
      <w:marLeft w:val="0"/>
      <w:marRight w:val="0"/>
      <w:marTop w:val="0"/>
      <w:marBottom w:val="0"/>
      <w:divBdr>
        <w:top w:val="none" w:sz="0" w:space="0" w:color="auto"/>
        <w:left w:val="none" w:sz="0" w:space="0" w:color="auto"/>
        <w:bottom w:val="none" w:sz="0" w:space="0" w:color="auto"/>
        <w:right w:val="none" w:sz="0" w:space="0" w:color="auto"/>
      </w:divBdr>
    </w:div>
    <w:div w:id="299070174">
      <w:bodyDiv w:val="1"/>
      <w:marLeft w:val="0"/>
      <w:marRight w:val="0"/>
      <w:marTop w:val="0"/>
      <w:marBottom w:val="0"/>
      <w:divBdr>
        <w:top w:val="none" w:sz="0" w:space="0" w:color="auto"/>
        <w:left w:val="none" w:sz="0" w:space="0" w:color="auto"/>
        <w:bottom w:val="none" w:sz="0" w:space="0" w:color="auto"/>
        <w:right w:val="none" w:sz="0" w:space="0" w:color="auto"/>
      </w:divBdr>
    </w:div>
    <w:div w:id="308049218">
      <w:bodyDiv w:val="1"/>
      <w:marLeft w:val="0"/>
      <w:marRight w:val="0"/>
      <w:marTop w:val="0"/>
      <w:marBottom w:val="0"/>
      <w:divBdr>
        <w:top w:val="none" w:sz="0" w:space="0" w:color="auto"/>
        <w:left w:val="none" w:sz="0" w:space="0" w:color="auto"/>
        <w:bottom w:val="none" w:sz="0" w:space="0" w:color="auto"/>
        <w:right w:val="none" w:sz="0" w:space="0" w:color="auto"/>
      </w:divBdr>
    </w:div>
    <w:div w:id="309209806">
      <w:bodyDiv w:val="1"/>
      <w:marLeft w:val="0"/>
      <w:marRight w:val="0"/>
      <w:marTop w:val="0"/>
      <w:marBottom w:val="0"/>
      <w:divBdr>
        <w:top w:val="none" w:sz="0" w:space="0" w:color="auto"/>
        <w:left w:val="none" w:sz="0" w:space="0" w:color="auto"/>
        <w:bottom w:val="none" w:sz="0" w:space="0" w:color="auto"/>
        <w:right w:val="none" w:sz="0" w:space="0" w:color="auto"/>
      </w:divBdr>
    </w:div>
    <w:div w:id="317999010">
      <w:bodyDiv w:val="1"/>
      <w:marLeft w:val="0"/>
      <w:marRight w:val="0"/>
      <w:marTop w:val="0"/>
      <w:marBottom w:val="0"/>
      <w:divBdr>
        <w:top w:val="none" w:sz="0" w:space="0" w:color="auto"/>
        <w:left w:val="none" w:sz="0" w:space="0" w:color="auto"/>
        <w:bottom w:val="none" w:sz="0" w:space="0" w:color="auto"/>
        <w:right w:val="none" w:sz="0" w:space="0" w:color="auto"/>
      </w:divBdr>
    </w:div>
    <w:div w:id="319384905">
      <w:bodyDiv w:val="1"/>
      <w:marLeft w:val="0"/>
      <w:marRight w:val="0"/>
      <w:marTop w:val="0"/>
      <w:marBottom w:val="0"/>
      <w:divBdr>
        <w:top w:val="none" w:sz="0" w:space="0" w:color="auto"/>
        <w:left w:val="none" w:sz="0" w:space="0" w:color="auto"/>
        <w:bottom w:val="none" w:sz="0" w:space="0" w:color="auto"/>
        <w:right w:val="none" w:sz="0" w:space="0" w:color="auto"/>
      </w:divBdr>
    </w:div>
    <w:div w:id="337192990">
      <w:bodyDiv w:val="1"/>
      <w:marLeft w:val="0"/>
      <w:marRight w:val="0"/>
      <w:marTop w:val="0"/>
      <w:marBottom w:val="0"/>
      <w:divBdr>
        <w:top w:val="none" w:sz="0" w:space="0" w:color="auto"/>
        <w:left w:val="none" w:sz="0" w:space="0" w:color="auto"/>
        <w:bottom w:val="none" w:sz="0" w:space="0" w:color="auto"/>
        <w:right w:val="none" w:sz="0" w:space="0" w:color="auto"/>
      </w:divBdr>
    </w:div>
    <w:div w:id="348026805">
      <w:bodyDiv w:val="1"/>
      <w:marLeft w:val="0"/>
      <w:marRight w:val="0"/>
      <w:marTop w:val="0"/>
      <w:marBottom w:val="0"/>
      <w:divBdr>
        <w:top w:val="none" w:sz="0" w:space="0" w:color="auto"/>
        <w:left w:val="none" w:sz="0" w:space="0" w:color="auto"/>
        <w:bottom w:val="none" w:sz="0" w:space="0" w:color="auto"/>
        <w:right w:val="none" w:sz="0" w:space="0" w:color="auto"/>
      </w:divBdr>
    </w:div>
    <w:div w:id="349264273">
      <w:bodyDiv w:val="1"/>
      <w:marLeft w:val="0"/>
      <w:marRight w:val="0"/>
      <w:marTop w:val="0"/>
      <w:marBottom w:val="0"/>
      <w:divBdr>
        <w:top w:val="none" w:sz="0" w:space="0" w:color="auto"/>
        <w:left w:val="none" w:sz="0" w:space="0" w:color="auto"/>
        <w:bottom w:val="none" w:sz="0" w:space="0" w:color="auto"/>
        <w:right w:val="none" w:sz="0" w:space="0" w:color="auto"/>
      </w:divBdr>
    </w:div>
    <w:div w:id="352268840">
      <w:bodyDiv w:val="1"/>
      <w:marLeft w:val="0"/>
      <w:marRight w:val="0"/>
      <w:marTop w:val="0"/>
      <w:marBottom w:val="0"/>
      <w:divBdr>
        <w:top w:val="none" w:sz="0" w:space="0" w:color="auto"/>
        <w:left w:val="none" w:sz="0" w:space="0" w:color="auto"/>
        <w:bottom w:val="none" w:sz="0" w:space="0" w:color="auto"/>
        <w:right w:val="none" w:sz="0" w:space="0" w:color="auto"/>
      </w:divBdr>
    </w:div>
    <w:div w:id="356854782">
      <w:bodyDiv w:val="1"/>
      <w:marLeft w:val="0"/>
      <w:marRight w:val="0"/>
      <w:marTop w:val="0"/>
      <w:marBottom w:val="0"/>
      <w:divBdr>
        <w:top w:val="none" w:sz="0" w:space="0" w:color="auto"/>
        <w:left w:val="none" w:sz="0" w:space="0" w:color="auto"/>
        <w:bottom w:val="none" w:sz="0" w:space="0" w:color="auto"/>
        <w:right w:val="none" w:sz="0" w:space="0" w:color="auto"/>
      </w:divBdr>
    </w:div>
    <w:div w:id="370888793">
      <w:bodyDiv w:val="1"/>
      <w:marLeft w:val="0"/>
      <w:marRight w:val="0"/>
      <w:marTop w:val="0"/>
      <w:marBottom w:val="0"/>
      <w:divBdr>
        <w:top w:val="none" w:sz="0" w:space="0" w:color="auto"/>
        <w:left w:val="none" w:sz="0" w:space="0" w:color="auto"/>
        <w:bottom w:val="none" w:sz="0" w:space="0" w:color="auto"/>
        <w:right w:val="none" w:sz="0" w:space="0" w:color="auto"/>
      </w:divBdr>
    </w:div>
    <w:div w:id="372191611">
      <w:bodyDiv w:val="1"/>
      <w:marLeft w:val="0"/>
      <w:marRight w:val="0"/>
      <w:marTop w:val="0"/>
      <w:marBottom w:val="0"/>
      <w:divBdr>
        <w:top w:val="none" w:sz="0" w:space="0" w:color="auto"/>
        <w:left w:val="none" w:sz="0" w:space="0" w:color="auto"/>
        <w:bottom w:val="none" w:sz="0" w:space="0" w:color="auto"/>
        <w:right w:val="none" w:sz="0" w:space="0" w:color="auto"/>
      </w:divBdr>
    </w:div>
    <w:div w:id="379592962">
      <w:bodyDiv w:val="1"/>
      <w:marLeft w:val="0"/>
      <w:marRight w:val="0"/>
      <w:marTop w:val="0"/>
      <w:marBottom w:val="0"/>
      <w:divBdr>
        <w:top w:val="none" w:sz="0" w:space="0" w:color="auto"/>
        <w:left w:val="none" w:sz="0" w:space="0" w:color="auto"/>
        <w:bottom w:val="none" w:sz="0" w:space="0" w:color="auto"/>
        <w:right w:val="none" w:sz="0" w:space="0" w:color="auto"/>
      </w:divBdr>
    </w:div>
    <w:div w:id="380712667">
      <w:bodyDiv w:val="1"/>
      <w:marLeft w:val="0"/>
      <w:marRight w:val="0"/>
      <w:marTop w:val="0"/>
      <w:marBottom w:val="0"/>
      <w:divBdr>
        <w:top w:val="none" w:sz="0" w:space="0" w:color="auto"/>
        <w:left w:val="none" w:sz="0" w:space="0" w:color="auto"/>
        <w:bottom w:val="none" w:sz="0" w:space="0" w:color="auto"/>
        <w:right w:val="none" w:sz="0" w:space="0" w:color="auto"/>
      </w:divBdr>
    </w:div>
    <w:div w:id="384447858">
      <w:bodyDiv w:val="1"/>
      <w:marLeft w:val="0"/>
      <w:marRight w:val="0"/>
      <w:marTop w:val="0"/>
      <w:marBottom w:val="0"/>
      <w:divBdr>
        <w:top w:val="none" w:sz="0" w:space="0" w:color="auto"/>
        <w:left w:val="none" w:sz="0" w:space="0" w:color="auto"/>
        <w:bottom w:val="none" w:sz="0" w:space="0" w:color="auto"/>
        <w:right w:val="none" w:sz="0" w:space="0" w:color="auto"/>
      </w:divBdr>
    </w:div>
    <w:div w:id="384645180">
      <w:bodyDiv w:val="1"/>
      <w:marLeft w:val="0"/>
      <w:marRight w:val="0"/>
      <w:marTop w:val="0"/>
      <w:marBottom w:val="0"/>
      <w:divBdr>
        <w:top w:val="none" w:sz="0" w:space="0" w:color="auto"/>
        <w:left w:val="none" w:sz="0" w:space="0" w:color="auto"/>
        <w:bottom w:val="none" w:sz="0" w:space="0" w:color="auto"/>
        <w:right w:val="none" w:sz="0" w:space="0" w:color="auto"/>
      </w:divBdr>
    </w:div>
    <w:div w:id="402795355">
      <w:bodyDiv w:val="1"/>
      <w:marLeft w:val="0"/>
      <w:marRight w:val="0"/>
      <w:marTop w:val="0"/>
      <w:marBottom w:val="0"/>
      <w:divBdr>
        <w:top w:val="none" w:sz="0" w:space="0" w:color="auto"/>
        <w:left w:val="none" w:sz="0" w:space="0" w:color="auto"/>
        <w:bottom w:val="none" w:sz="0" w:space="0" w:color="auto"/>
        <w:right w:val="none" w:sz="0" w:space="0" w:color="auto"/>
      </w:divBdr>
    </w:div>
    <w:div w:id="419719132">
      <w:bodyDiv w:val="1"/>
      <w:marLeft w:val="0"/>
      <w:marRight w:val="0"/>
      <w:marTop w:val="0"/>
      <w:marBottom w:val="0"/>
      <w:divBdr>
        <w:top w:val="none" w:sz="0" w:space="0" w:color="auto"/>
        <w:left w:val="none" w:sz="0" w:space="0" w:color="auto"/>
        <w:bottom w:val="none" w:sz="0" w:space="0" w:color="auto"/>
        <w:right w:val="none" w:sz="0" w:space="0" w:color="auto"/>
      </w:divBdr>
    </w:div>
    <w:div w:id="420488665">
      <w:bodyDiv w:val="1"/>
      <w:marLeft w:val="0"/>
      <w:marRight w:val="0"/>
      <w:marTop w:val="0"/>
      <w:marBottom w:val="0"/>
      <w:divBdr>
        <w:top w:val="none" w:sz="0" w:space="0" w:color="auto"/>
        <w:left w:val="none" w:sz="0" w:space="0" w:color="auto"/>
        <w:bottom w:val="none" w:sz="0" w:space="0" w:color="auto"/>
        <w:right w:val="none" w:sz="0" w:space="0" w:color="auto"/>
      </w:divBdr>
    </w:div>
    <w:div w:id="423913758">
      <w:bodyDiv w:val="1"/>
      <w:marLeft w:val="0"/>
      <w:marRight w:val="0"/>
      <w:marTop w:val="0"/>
      <w:marBottom w:val="0"/>
      <w:divBdr>
        <w:top w:val="none" w:sz="0" w:space="0" w:color="auto"/>
        <w:left w:val="none" w:sz="0" w:space="0" w:color="auto"/>
        <w:bottom w:val="none" w:sz="0" w:space="0" w:color="auto"/>
        <w:right w:val="none" w:sz="0" w:space="0" w:color="auto"/>
      </w:divBdr>
    </w:div>
    <w:div w:id="430780500">
      <w:bodyDiv w:val="1"/>
      <w:marLeft w:val="0"/>
      <w:marRight w:val="0"/>
      <w:marTop w:val="0"/>
      <w:marBottom w:val="0"/>
      <w:divBdr>
        <w:top w:val="none" w:sz="0" w:space="0" w:color="auto"/>
        <w:left w:val="none" w:sz="0" w:space="0" w:color="auto"/>
        <w:bottom w:val="none" w:sz="0" w:space="0" w:color="auto"/>
        <w:right w:val="none" w:sz="0" w:space="0" w:color="auto"/>
      </w:divBdr>
    </w:div>
    <w:div w:id="436298075">
      <w:bodyDiv w:val="1"/>
      <w:marLeft w:val="0"/>
      <w:marRight w:val="0"/>
      <w:marTop w:val="0"/>
      <w:marBottom w:val="0"/>
      <w:divBdr>
        <w:top w:val="none" w:sz="0" w:space="0" w:color="auto"/>
        <w:left w:val="none" w:sz="0" w:space="0" w:color="auto"/>
        <w:bottom w:val="none" w:sz="0" w:space="0" w:color="auto"/>
        <w:right w:val="none" w:sz="0" w:space="0" w:color="auto"/>
      </w:divBdr>
    </w:div>
    <w:div w:id="443234998">
      <w:bodyDiv w:val="1"/>
      <w:marLeft w:val="0"/>
      <w:marRight w:val="0"/>
      <w:marTop w:val="0"/>
      <w:marBottom w:val="0"/>
      <w:divBdr>
        <w:top w:val="none" w:sz="0" w:space="0" w:color="auto"/>
        <w:left w:val="none" w:sz="0" w:space="0" w:color="auto"/>
        <w:bottom w:val="none" w:sz="0" w:space="0" w:color="auto"/>
        <w:right w:val="none" w:sz="0" w:space="0" w:color="auto"/>
      </w:divBdr>
    </w:div>
    <w:div w:id="455828760">
      <w:bodyDiv w:val="1"/>
      <w:marLeft w:val="0"/>
      <w:marRight w:val="0"/>
      <w:marTop w:val="0"/>
      <w:marBottom w:val="0"/>
      <w:divBdr>
        <w:top w:val="none" w:sz="0" w:space="0" w:color="auto"/>
        <w:left w:val="none" w:sz="0" w:space="0" w:color="auto"/>
        <w:bottom w:val="none" w:sz="0" w:space="0" w:color="auto"/>
        <w:right w:val="none" w:sz="0" w:space="0" w:color="auto"/>
      </w:divBdr>
    </w:div>
    <w:div w:id="456263884">
      <w:bodyDiv w:val="1"/>
      <w:marLeft w:val="0"/>
      <w:marRight w:val="0"/>
      <w:marTop w:val="0"/>
      <w:marBottom w:val="0"/>
      <w:divBdr>
        <w:top w:val="none" w:sz="0" w:space="0" w:color="auto"/>
        <w:left w:val="none" w:sz="0" w:space="0" w:color="auto"/>
        <w:bottom w:val="none" w:sz="0" w:space="0" w:color="auto"/>
        <w:right w:val="none" w:sz="0" w:space="0" w:color="auto"/>
      </w:divBdr>
    </w:div>
    <w:div w:id="456337847">
      <w:bodyDiv w:val="1"/>
      <w:marLeft w:val="0"/>
      <w:marRight w:val="0"/>
      <w:marTop w:val="0"/>
      <w:marBottom w:val="0"/>
      <w:divBdr>
        <w:top w:val="none" w:sz="0" w:space="0" w:color="auto"/>
        <w:left w:val="none" w:sz="0" w:space="0" w:color="auto"/>
        <w:bottom w:val="none" w:sz="0" w:space="0" w:color="auto"/>
        <w:right w:val="none" w:sz="0" w:space="0" w:color="auto"/>
      </w:divBdr>
    </w:div>
    <w:div w:id="456996515">
      <w:bodyDiv w:val="1"/>
      <w:marLeft w:val="0"/>
      <w:marRight w:val="0"/>
      <w:marTop w:val="0"/>
      <w:marBottom w:val="0"/>
      <w:divBdr>
        <w:top w:val="none" w:sz="0" w:space="0" w:color="auto"/>
        <w:left w:val="none" w:sz="0" w:space="0" w:color="auto"/>
        <w:bottom w:val="none" w:sz="0" w:space="0" w:color="auto"/>
        <w:right w:val="none" w:sz="0" w:space="0" w:color="auto"/>
      </w:divBdr>
    </w:div>
    <w:div w:id="458456160">
      <w:bodyDiv w:val="1"/>
      <w:marLeft w:val="0"/>
      <w:marRight w:val="0"/>
      <w:marTop w:val="0"/>
      <w:marBottom w:val="0"/>
      <w:divBdr>
        <w:top w:val="none" w:sz="0" w:space="0" w:color="auto"/>
        <w:left w:val="none" w:sz="0" w:space="0" w:color="auto"/>
        <w:bottom w:val="none" w:sz="0" w:space="0" w:color="auto"/>
        <w:right w:val="none" w:sz="0" w:space="0" w:color="auto"/>
      </w:divBdr>
    </w:div>
    <w:div w:id="462847019">
      <w:bodyDiv w:val="1"/>
      <w:marLeft w:val="0"/>
      <w:marRight w:val="0"/>
      <w:marTop w:val="0"/>
      <w:marBottom w:val="0"/>
      <w:divBdr>
        <w:top w:val="none" w:sz="0" w:space="0" w:color="auto"/>
        <w:left w:val="none" w:sz="0" w:space="0" w:color="auto"/>
        <w:bottom w:val="none" w:sz="0" w:space="0" w:color="auto"/>
        <w:right w:val="none" w:sz="0" w:space="0" w:color="auto"/>
      </w:divBdr>
    </w:div>
    <w:div w:id="469635782">
      <w:bodyDiv w:val="1"/>
      <w:marLeft w:val="0"/>
      <w:marRight w:val="0"/>
      <w:marTop w:val="0"/>
      <w:marBottom w:val="0"/>
      <w:divBdr>
        <w:top w:val="none" w:sz="0" w:space="0" w:color="auto"/>
        <w:left w:val="none" w:sz="0" w:space="0" w:color="auto"/>
        <w:bottom w:val="none" w:sz="0" w:space="0" w:color="auto"/>
        <w:right w:val="none" w:sz="0" w:space="0" w:color="auto"/>
      </w:divBdr>
    </w:div>
    <w:div w:id="471946739">
      <w:bodyDiv w:val="1"/>
      <w:marLeft w:val="0"/>
      <w:marRight w:val="0"/>
      <w:marTop w:val="0"/>
      <w:marBottom w:val="0"/>
      <w:divBdr>
        <w:top w:val="none" w:sz="0" w:space="0" w:color="auto"/>
        <w:left w:val="none" w:sz="0" w:space="0" w:color="auto"/>
        <w:bottom w:val="none" w:sz="0" w:space="0" w:color="auto"/>
        <w:right w:val="none" w:sz="0" w:space="0" w:color="auto"/>
      </w:divBdr>
    </w:div>
    <w:div w:id="477652175">
      <w:bodyDiv w:val="1"/>
      <w:marLeft w:val="0"/>
      <w:marRight w:val="0"/>
      <w:marTop w:val="0"/>
      <w:marBottom w:val="0"/>
      <w:divBdr>
        <w:top w:val="none" w:sz="0" w:space="0" w:color="auto"/>
        <w:left w:val="none" w:sz="0" w:space="0" w:color="auto"/>
        <w:bottom w:val="none" w:sz="0" w:space="0" w:color="auto"/>
        <w:right w:val="none" w:sz="0" w:space="0" w:color="auto"/>
      </w:divBdr>
    </w:div>
    <w:div w:id="492066318">
      <w:bodyDiv w:val="1"/>
      <w:marLeft w:val="0"/>
      <w:marRight w:val="0"/>
      <w:marTop w:val="0"/>
      <w:marBottom w:val="0"/>
      <w:divBdr>
        <w:top w:val="none" w:sz="0" w:space="0" w:color="auto"/>
        <w:left w:val="none" w:sz="0" w:space="0" w:color="auto"/>
        <w:bottom w:val="none" w:sz="0" w:space="0" w:color="auto"/>
        <w:right w:val="none" w:sz="0" w:space="0" w:color="auto"/>
      </w:divBdr>
    </w:div>
    <w:div w:id="499738749">
      <w:bodyDiv w:val="1"/>
      <w:marLeft w:val="0"/>
      <w:marRight w:val="0"/>
      <w:marTop w:val="0"/>
      <w:marBottom w:val="0"/>
      <w:divBdr>
        <w:top w:val="none" w:sz="0" w:space="0" w:color="auto"/>
        <w:left w:val="none" w:sz="0" w:space="0" w:color="auto"/>
        <w:bottom w:val="none" w:sz="0" w:space="0" w:color="auto"/>
        <w:right w:val="none" w:sz="0" w:space="0" w:color="auto"/>
      </w:divBdr>
    </w:div>
    <w:div w:id="507134572">
      <w:bodyDiv w:val="1"/>
      <w:marLeft w:val="0"/>
      <w:marRight w:val="0"/>
      <w:marTop w:val="0"/>
      <w:marBottom w:val="0"/>
      <w:divBdr>
        <w:top w:val="none" w:sz="0" w:space="0" w:color="auto"/>
        <w:left w:val="none" w:sz="0" w:space="0" w:color="auto"/>
        <w:bottom w:val="none" w:sz="0" w:space="0" w:color="auto"/>
        <w:right w:val="none" w:sz="0" w:space="0" w:color="auto"/>
      </w:divBdr>
    </w:div>
    <w:div w:id="510531226">
      <w:bodyDiv w:val="1"/>
      <w:marLeft w:val="0"/>
      <w:marRight w:val="0"/>
      <w:marTop w:val="0"/>
      <w:marBottom w:val="0"/>
      <w:divBdr>
        <w:top w:val="none" w:sz="0" w:space="0" w:color="auto"/>
        <w:left w:val="none" w:sz="0" w:space="0" w:color="auto"/>
        <w:bottom w:val="none" w:sz="0" w:space="0" w:color="auto"/>
        <w:right w:val="none" w:sz="0" w:space="0" w:color="auto"/>
      </w:divBdr>
    </w:div>
    <w:div w:id="510604623">
      <w:bodyDiv w:val="1"/>
      <w:marLeft w:val="0"/>
      <w:marRight w:val="0"/>
      <w:marTop w:val="0"/>
      <w:marBottom w:val="0"/>
      <w:divBdr>
        <w:top w:val="none" w:sz="0" w:space="0" w:color="auto"/>
        <w:left w:val="none" w:sz="0" w:space="0" w:color="auto"/>
        <w:bottom w:val="none" w:sz="0" w:space="0" w:color="auto"/>
        <w:right w:val="none" w:sz="0" w:space="0" w:color="auto"/>
      </w:divBdr>
    </w:div>
    <w:div w:id="513962302">
      <w:bodyDiv w:val="1"/>
      <w:marLeft w:val="0"/>
      <w:marRight w:val="0"/>
      <w:marTop w:val="0"/>
      <w:marBottom w:val="0"/>
      <w:divBdr>
        <w:top w:val="none" w:sz="0" w:space="0" w:color="auto"/>
        <w:left w:val="none" w:sz="0" w:space="0" w:color="auto"/>
        <w:bottom w:val="none" w:sz="0" w:space="0" w:color="auto"/>
        <w:right w:val="none" w:sz="0" w:space="0" w:color="auto"/>
      </w:divBdr>
    </w:div>
    <w:div w:id="516775943">
      <w:bodyDiv w:val="1"/>
      <w:marLeft w:val="0"/>
      <w:marRight w:val="0"/>
      <w:marTop w:val="0"/>
      <w:marBottom w:val="0"/>
      <w:divBdr>
        <w:top w:val="none" w:sz="0" w:space="0" w:color="auto"/>
        <w:left w:val="none" w:sz="0" w:space="0" w:color="auto"/>
        <w:bottom w:val="none" w:sz="0" w:space="0" w:color="auto"/>
        <w:right w:val="none" w:sz="0" w:space="0" w:color="auto"/>
      </w:divBdr>
    </w:div>
    <w:div w:id="523637941">
      <w:bodyDiv w:val="1"/>
      <w:marLeft w:val="0"/>
      <w:marRight w:val="0"/>
      <w:marTop w:val="0"/>
      <w:marBottom w:val="0"/>
      <w:divBdr>
        <w:top w:val="none" w:sz="0" w:space="0" w:color="auto"/>
        <w:left w:val="none" w:sz="0" w:space="0" w:color="auto"/>
        <w:bottom w:val="none" w:sz="0" w:space="0" w:color="auto"/>
        <w:right w:val="none" w:sz="0" w:space="0" w:color="auto"/>
      </w:divBdr>
    </w:div>
    <w:div w:id="523835224">
      <w:bodyDiv w:val="1"/>
      <w:marLeft w:val="0"/>
      <w:marRight w:val="0"/>
      <w:marTop w:val="0"/>
      <w:marBottom w:val="0"/>
      <w:divBdr>
        <w:top w:val="none" w:sz="0" w:space="0" w:color="auto"/>
        <w:left w:val="none" w:sz="0" w:space="0" w:color="auto"/>
        <w:bottom w:val="none" w:sz="0" w:space="0" w:color="auto"/>
        <w:right w:val="none" w:sz="0" w:space="0" w:color="auto"/>
      </w:divBdr>
    </w:div>
    <w:div w:id="523982321">
      <w:bodyDiv w:val="1"/>
      <w:marLeft w:val="0"/>
      <w:marRight w:val="0"/>
      <w:marTop w:val="0"/>
      <w:marBottom w:val="0"/>
      <w:divBdr>
        <w:top w:val="none" w:sz="0" w:space="0" w:color="auto"/>
        <w:left w:val="none" w:sz="0" w:space="0" w:color="auto"/>
        <w:bottom w:val="none" w:sz="0" w:space="0" w:color="auto"/>
        <w:right w:val="none" w:sz="0" w:space="0" w:color="auto"/>
      </w:divBdr>
    </w:div>
    <w:div w:id="526406469">
      <w:bodyDiv w:val="1"/>
      <w:marLeft w:val="0"/>
      <w:marRight w:val="0"/>
      <w:marTop w:val="0"/>
      <w:marBottom w:val="0"/>
      <w:divBdr>
        <w:top w:val="none" w:sz="0" w:space="0" w:color="auto"/>
        <w:left w:val="none" w:sz="0" w:space="0" w:color="auto"/>
        <w:bottom w:val="none" w:sz="0" w:space="0" w:color="auto"/>
        <w:right w:val="none" w:sz="0" w:space="0" w:color="auto"/>
      </w:divBdr>
    </w:div>
    <w:div w:id="526989788">
      <w:bodyDiv w:val="1"/>
      <w:marLeft w:val="0"/>
      <w:marRight w:val="0"/>
      <w:marTop w:val="0"/>
      <w:marBottom w:val="0"/>
      <w:divBdr>
        <w:top w:val="none" w:sz="0" w:space="0" w:color="auto"/>
        <w:left w:val="none" w:sz="0" w:space="0" w:color="auto"/>
        <w:bottom w:val="none" w:sz="0" w:space="0" w:color="auto"/>
        <w:right w:val="none" w:sz="0" w:space="0" w:color="auto"/>
      </w:divBdr>
    </w:div>
    <w:div w:id="527643580">
      <w:bodyDiv w:val="1"/>
      <w:marLeft w:val="0"/>
      <w:marRight w:val="0"/>
      <w:marTop w:val="0"/>
      <w:marBottom w:val="0"/>
      <w:divBdr>
        <w:top w:val="none" w:sz="0" w:space="0" w:color="auto"/>
        <w:left w:val="none" w:sz="0" w:space="0" w:color="auto"/>
        <w:bottom w:val="none" w:sz="0" w:space="0" w:color="auto"/>
        <w:right w:val="none" w:sz="0" w:space="0" w:color="auto"/>
      </w:divBdr>
    </w:div>
    <w:div w:id="552354161">
      <w:bodyDiv w:val="1"/>
      <w:marLeft w:val="0"/>
      <w:marRight w:val="0"/>
      <w:marTop w:val="0"/>
      <w:marBottom w:val="0"/>
      <w:divBdr>
        <w:top w:val="none" w:sz="0" w:space="0" w:color="auto"/>
        <w:left w:val="none" w:sz="0" w:space="0" w:color="auto"/>
        <w:bottom w:val="none" w:sz="0" w:space="0" w:color="auto"/>
        <w:right w:val="none" w:sz="0" w:space="0" w:color="auto"/>
      </w:divBdr>
    </w:div>
    <w:div w:id="559169222">
      <w:bodyDiv w:val="1"/>
      <w:marLeft w:val="0"/>
      <w:marRight w:val="0"/>
      <w:marTop w:val="0"/>
      <w:marBottom w:val="0"/>
      <w:divBdr>
        <w:top w:val="none" w:sz="0" w:space="0" w:color="auto"/>
        <w:left w:val="none" w:sz="0" w:space="0" w:color="auto"/>
        <w:bottom w:val="none" w:sz="0" w:space="0" w:color="auto"/>
        <w:right w:val="none" w:sz="0" w:space="0" w:color="auto"/>
      </w:divBdr>
    </w:div>
    <w:div w:id="580216836">
      <w:bodyDiv w:val="1"/>
      <w:marLeft w:val="0"/>
      <w:marRight w:val="0"/>
      <w:marTop w:val="0"/>
      <w:marBottom w:val="0"/>
      <w:divBdr>
        <w:top w:val="none" w:sz="0" w:space="0" w:color="auto"/>
        <w:left w:val="none" w:sz="0" w:space="0" w:color="auto"/>
        <w:bottom w:val="none" w:sz="0" w:space="0" w:color="auto"/>
        <w:right w:val="none" w:sz="0" w:space="0" w:color="auto"/>
      </w:divBdr>
    </w:div>
    <w:div w:id="586185246">
      <w:bodyDiv w:val="1"/>
      <w:marLeft w:val="0"/>
      <w:marRight w:val="0"/>
      <w:marTop w:val="0"/>
      <w:marBottom w:val="0"/>
      <w:divBdr>
        <w:top w:val="none" w:sz="0" w:space="0" w:color="auto"/>
        <w:left w:val="none" w:sz="0" w:space="0" w:color="auto"/>
        <w:bottom w:val="none" w:sz="0" w:space="0" w:color="auto"/>
        <w:right w:val="none" w:sz="0" w:space="0" w:color="auto"/>
      </w:divBdr>
    </w:div>
    <w:div w:id="596136654">
      <w:bodyDiv w:val="1"/>
      <w:marLeft w:val="0"/>
      <w:marRight w:val="0"/>
      <w:marTop w:val="0"/>
      <w:marBottom w:val="0"/>
      <w:divBdr>
        <w:top w:val="none" w:sz="0" w:space="0" w:color="auto"/>
        <w:left w:val="none" w:sz="0" w:space="0" w:color="auto"/>
        <w:bottom w:val="none" w:sz="0" w:space="0" w:color="auto"/>
        <w:right w:val="none" w:sz="0" w:space="0" w:color="auto"/>
      </w:divBdr>
    </w:div>
    <w:div w:id="600188206">
      <w:bodyDiv w:val="1"/>
      <w:marLeft w:val="0"/>
      <w:marRight w:val="0"/>
      <w:marTop w:val="0"/>
      <w:marBottom w:val="0"/>
      <w:divBdr>
        <w:top w:val="none" w:sz="0" w:space="0" w:color="auto"/>
        <w:left w:val="none" w:sz="0" w:space="0" w:color="auto"/>
        <w:bottom w:val="none" w:sz="0" w:space="0" w:color="auto"/>
        <w:right w:val="none" w:sz="0" w:space="0" w:color="auto"/>
      </w:divBdr>
    </w:div>
    <w:div w:id="627122321">
      <w:bodyDiv w:val="1"/>
      <w:marLeft w:val="0"/>
      <w:marRight w:val="0"/>
      <w:marTop w:val="0"/>
      <w:marBottom w:val="0"/>
      <w:divBdr>
        <w:top w:val="none" w:sz="0" w:space="0" w:color="auto"/>
        <w:left w:val="none" w:sz="0" w:space="0" w:color="auto"/>
        <w:bottom w:val="none" w:sz="0" w:space="0" w:color="auto"/>
        <w:right w:val="none" w:sz="0" w:space="0" w:color="auto"/>
      </w:divBdr>
    </w:div>
    <w:div w:id="636036966">
      <w:bodyDiv w:val="1"/>
      <w:marLeft w:val="0"/>
      <w:marRight w:val="0"/>
      <w:marTop w:val="0"/>
      <w:marBottom w:val="0"/>
      <w:divBdr>
        <w:top w:val="none" w:sz="0" w:space="0" w:color="auto"/>
        <w:left w:val="none" w:sz="0" w:space="0" w:color="auto"/>
        <w:bottom w:val="none" w:sz="0" w:space="0" w:color="auto"/>
        <w:right w:val="none" w:sz="0" w:space="0" w:color="auto"/>
      </w:divBdr>
    </w:div>
    <w:div w:id="641663503">
      <w:bodyDiv w:val="1"/>
      <w:marLeft w:val="0"/>
      <w:marRight w:val="0"/>
      <w:marTop w:val="0"/>
      <w:marBottom w:val="0"/>
      <w:divBdr>
        <w:top w:val="none" w:sz="0" w:space="0" w:color="auto"/>
        <w:left w:val="none" w:sz="0" w:space="0" w:color="auto"/>
        <w:bottom w:val="none" w:sz="0" w:space="0" w:color="auto"/>
        <w:right w:val="none" w:sz="0" w:space="0" w:color="auto"/>
      </w:divBdr>
    </w:div>
    <w:div w:id="646781091">
      <w:bodyDiv w:val="1"/>
      <w:marLeft w:val="0"/>
      <w:marRight w:val="0"/>
      <w:marTop w:val="0"/>
      <w:marBottom w:val="0"/>
      <w:divBdr>
        <w:top w:val="none" w:sz="0" w:space="0" w:color="auto"/>
        <w:left w:val="none" w:sz="0" w:space="0" w:color="auto"/>
        <w:bottom w:val="none" w:sz="0" w:space="0" w:color="auto"/>
        <w:right w:val="none" w:sz="0" w:space="0" w:color="auto"/>
      </w:divBdr>
    </w:div>
    <w:div w:id="647365550">
      <w:bodyDiv w:val="1"/>
      <w:marLeft w:val="0"/>
      <w:marRight w:val="0"/>
      <w:marTop w:val="0"/>
      <w:marBottom w:val="0"/>
      <w:divBdr>
        <w:top w:val="none" w:sz="0" w:space="0" w:color="auto"/>
        <w:left w:val="none" w:sz="0" w:space="0" w:color="auto"/>
        <w:bottom w:val="none" w:sz="0" w:space="0" w:color="auto"/>
        <w:right w:val="none" w:sz="0" w:space="0" w:color="auto"/>
      </w:divBdr>
    </w:div>
    <w:div w:id="647979027">
      <w:bodyDiv w:val="1"/>
      <w:marLeft w:val="0"/>
      <w:marRight w:val="0"/>
      <w:marTop w:val="0"/>
      <w:marBottom w:val="0"/>
      <w:divBdr>
        <w:top w:val="none" w:sz="0" w:space="0" w:color="auto"/>
        <w:left w:val="none" w:sz="0" w:space="0" w:color="auto"/>
        <w:bottom w:val="none" w:sz="0" w:space="0" w:color="auto"/>
        <w:right w:val="none" w:sz="0" w:space="0" w:color="auto"/>
      </w:divBdr>
    </w:div>
    <w:div w:id="652954399">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666057246">
      <w:bodyDiv w:val="1"/>
      <w:marLeft w:val="0"/>
      <w:marRight w:val="0"/>
      <w:marTop w:val="0"/>
      <w:marBottom w:val="0"/>
      <w:divBdr>
        <w:top w:val="none" w:sz="0" w:space="0" w:color="auto"/>
        <w:left w:val="none" w:sz="0" w:space="0" w:color="auto"/>
        <w:bottom w:val="none" w:sz="0" w:space="0" w:color="auto"/>
        <w:right w:val="none" w:sz="0" w:space="0" w:color="auto"/>
      </w:divBdr>
    </w:div>
    <w:div w:id="677926553">
      <w:bodyDiv w:val="1"/>
      <w:marLeft w:val="0"/>
      <w:marRight w:val="0"/>
      <w:marTop w:val="0"/>
      <w:marBottom w:val="0"/>
      <w:divBdr>
        <w:top w:val="none" w:sz="0" w:space="0" w:color="auto"/>
        <w:left w:val="none" w:sz="0" w:space="0" w:color="auto"/>
        <w:bottom w:val="none" w:sz="0" w:space="0" w:color="auto"/>
        <w:right w:val="none" w:sz="0" w:space="0" w:color="auto"/>
      </w:divBdr>
    </w:div>
    <w:div w:id="696859131">
      <w:bodyDiv w:val="1"/>
      <w:marLeft w:val="0"/>
      <w:marRight w:val="0"/>
      <w:marTop w:val="0"/>
      <w:marBottom w:val="0"/>
      <w:divBdr>
        <w:top w:val="none" w:sz="0" w:space="0" w:color="auto"/>
        <w:left w:val="none" w:sz="0" w:space="0" w:color="auto"/>
        <w:bottom w:val="none" w:sz="0" w:space="0" w:color="auto"/>
        <w:right w:val="none" w:sz="0" w:space="0" w:color="auto"/>
      </w:divBdr>
    </w:div>
    <w:div w:id="715399647">
      <w:bodyDiv w:val="1"/>
      <w:marLeft w:val="0"/>
      <w:marRight w:val="0"/>
      <w:marTop w:val="0"/>
      <w:marBottom w:val="0"/>
      <w:divBdr>
        <w:top w:val="none" w:sz="0" w:space="0" w:color="auto"/>
        <w:left w:val="none" w:sz="0" w:space="0" w:color="auto"/>
        <w:bottom w:val="none" w:sz="0" w:space="0" w:color="auto"/>
        <w:right w:val="none" w:sz="0" w:space="0" w:color="auto"/>
      </w:divBdr>
    </w:div>
    <w:div w:id="745150437">
      <w:bodyDiv w:val="1"/>
      <w:marLeft w:val="0"/>
      <w:marRight w:val="0"/>
      <w:marTop w:val="0"/>
      <w:marBottom w:val="0"/>
      <w:divBdr>
        <w:top w:val="none" w:sz="0" w:space="0" w:color="auto"/>
        <w:left w:val="none" w:sz="0" w:space="0" w:color="auto"/>
        <w:bottom w:val="none" w:sz="0" w:space="0" w:color="auto"/>
        <w:right w:val="none" w:sz="0" w:space="0" w:color="auto"/>
      </w:divBdr>
    </w:div>
    <w:div w:id="755132887">
      <w:bodyDiv w:val="1"/>
      <w:marLeft w:val="0"/>
      <w:marRight w:val="0"/>
      <w:marTop w:val="0"/>
      <w:marBottom w:val="0"/>
      <w:divBdr>
        <w:top w:val="none" w:sz="0" w:space="0" w:color="auto"/>
        <w:left w:val="none" w:sz="0" w:space="0" w:color="auto"/>
        <w:bottom w:val="none" w:sz="0" w:space="0" w:color="auto"/>
        <w:right w:val="none" w:sz="0" w:space="0" w:color="auto"/>
      </w:divBdr>
    </w:div>
    <w:div w:id="757601374">
      <w:bodyDiv w:val="1"/>
      <w:marLeft w:val="0"/>
      <w:marRight w:val="0"/>
      <w:marTop w:val="0"/>
      <w:marBottom w:val="0"/>
      <w:divBdr>
        <w:top w:val="none" w:sz="0" w:space="0" w:color="auto"/>
        <w:left w:val="none" w:sz="0" w:space="0" w:color="auto"/>
        <w:bottom w:val="none" w:sz="0" w:space="0" w:color="auto"/>
        <w:right w:val="none" w:sz="0" w:space="0" w:color="auto"/>
      </w:divBdr>
    </w:div>
    <w:div w:id="763036855">
      <w:bodyDiv w:val="1"/>
      <w:marLeft w:val="0"/>
      <w:marRight w:val="0"/>
      <w:marTop w:val="0"/>
      <w:marBottom w:val="0"/>
      <w:divBdr>
        <w:top w:val="none" w:sz="0" w:space="0" w:color="auto"/>
        <w:left w:val="none" w:sz="0" w:space="0" w:color="auto"/>
        <w:bottom w:val="none" w:sz="0" w:space="0" w:color="auto"/>
        <w:right w:val="none" w:sz="0" w:space="0" w:color="auto"/>
      </w:divBdr>
    </w:div>
    <w:div w:id="765928333">
      <w:bodyDiv w:val="1"/>
      <w:marLeft w:val="0"/>
      <w:marRight w:val="0"/>
      <w:marTop w:val="0"/>
      <w:marBottom w:val="0"/>
      <w:divBdr>
        <w:top w:val="none" w:sz="0" w:space="0" w:color="auto"/>
        <w:left w:val="none" w:sz="0" w:space="0" w:color="auto"/>
        <w:bottom w:val="none" w:sz="0" w:space="0" w:color="auto"/>
        <w:right w:val="none" w:sz="0" w:space="0" w:color="auto"/>
      </w:divBdr>
    </w:div>
    <w:div w:id="771164153">
      <w:bodyDiv w:val="1"/>
      <w:marLeft w:val="0"/>
      <w:marRight w:val="0"/>
      <w:marTop w:val="0"/>
      <w:marBottom w:val="0"/>
      <w:divBdr>
        <w:top w:val="none" w:sz="0" w:space="0" w:color="auto"/>
        <w:left w:val="none" w:sz="0" w:space="0" w:color="auto"/>
        <w:bottom w:val="none" w:sz="0" w:space="0" w:color="auto"/>
        <w:right w:val="none" w:sz="0" w:space="0" w:color="auto"/>
      </w:divBdr>
    </w:div>
    <w:div w:id="771752003">
      <w:bodyDiv w:val="1"/>
      <w:marLeft w:val="0"/>
      <w:marRight w:val="0"/>
      <w:marTop w:val="0"/>
      <w:marBottom w:val="0"/>
      <w:divBdr>
        <w:top w:val="none" w:sz="0" w:space="0" w:color="auto"/>
        <w:left w:val="none" w:sz="0" w:space="0" w:color="auto"/>
        <w:bottom w:val="none" w:sz="0" w:space="0" w:color="auto"/>
        <w:right w:val="none" w:sz="0" w:space="0" w:color="auto"/>
      </w:divBdr>
    </w:div>
    <w:div w:id="775684740">
      <w:bodyDiv w:val="1"/>
      <w:marLeft w:val="0"/>
      <w:marRight w:val="0"/>
      <w:marTop w:val="0"/>
      <w:marBottom w:val="0"/>
      <w:divBdr>
        <w:top w:val="none" w:sz="0" w:space="0" w:color="auto"/>
        <w:left w:val="none" w:sz="0" w:space="0" w:color="auto"/>
        <w:bottom w:val="none" w:sz="0" w:space="0" w:color="auto"/>
        <w:right w:val="none" w:sz="0" w:space="0" w:color="auto"/>
      </w:divBdr>
    </w:div>
    <w:div w:id="776871758">
      <w:bodyDiv w:val="1"/>
      <w:marLeft w:val="0"/>
      <w:marRight w:val="0"/>
      <w:marTop w:val="0"/>
      <w:marBottom w:val="0"/>
      <w:divBdr>
        <w:top w:val="none" w:sz="0" w:space="0" w:color="auto"/>
        <w:left w:val="none" w:sz="0" w:space="0" w:color="auto"/>
        <w:bottom w:val="none" w:sz="0" w:space="0" w:color="auto"/>
        <w:right w:val="none" w:sz="0" w:space="0" w:color="auto"/>
      </w:divBdr>
    </w:div>
    <w:div w:id="796948325">
      <w:bodyDiv w:val="1"/>
      <w:marLeft w:val="0"/>
      <w:marRight w:val="0"/>
      <w:marTop w:val="0"/>
      <w:marBottom w:val="0"/>
      <w:divBdr>
        <w:top w:val="none" w:sz="0" w:space="0" w:color="auto"/>
        <w:left w:val="none" w:sz="0" w:space="0" w:color="auto"/>
        <w:bottom w:val="none" w:sz="0" w:space="0" w:color="auto"/>
        <w:right w:val="none" w:sz="0" w:space="0" w:color="auto"/>
      </w:divBdr>
    </w:div>
    <w:div w:id="798835675">
      <w:bodyDiv w:val="1"/>
      <w:marLeft w:val="0"/>
      <w:marRight w:val="0"/>
      <w:marTop w:val="0"/>
      <w:marBottom w:val="0"/>
      <w:divBdr>
        <w:top w:val="none" w:sz="0" w:space="0" w:color="auto"/>
        <w:left w:val="none" w:sz="0" w:space="0" w:color="auto"/>
        <w:bottom w:val="none" w:sz="0" w:space="0" w:color="auto"/>
        <w:right w:val="none" w:sz="0" w:space="0" w:color="auto"/>
      </w:divBdr>
    </w:div>
    <w:div w:id="804201073">
      <w:bodyDiv w:val="1"/>
      <w:marLeft w:val="0"/>
      <w:marRight w:val="0"/>
      <w:marTop w:val="0"/>
      <w:marBottom w:val="0"/>
      <w:divBdr>
        <w:top w:val="none" w:sz="0" w:space="0" w:color="auto"/>
        <w:left w:val="none" w:sz="0" w:space="0" w:color="auto"/>
        <w:bottom w:val="none" w:sz="0" w:space="0" w:color="auto"/>
        <w:right w:val="none" w:sz="0" w:space="0" w:color="auto"/>
      </w:divBdr>
    </w:div>
    <w:div w:id="810907023">
      <w:bodyDiv w:val="1"/>
      <w:marLeft w:val="0"/>
      <w:marRight w:val="0"/>
      <w:marTop w:val="0"/>
      <w:marBottom w:val="0"/>
      <w:divBdr>
        <w:top w:val="none" w:sz="0" w:space="0" w:color="auto"/>
        <w:left w:val="none" w:sz="0" w:space="0" w:color="auto"/>
        <w:bottom w:val="none" w:sz="0" w:space="0" w:color="auto"/>
        <w:right w:val="none" w:sz="0" w:space="0" w:color="auto"/>
      </w:divBdr>
    </w:div>
    <w:div w:id="831678050">
      <w:bodyDiv w:val="1"/>
      <w:marLeft w:val="0"/>
      <w:marRight w:val="0"/>
      <w:marTop w:val="0"/>
      <w:marBottom w:val="0"/>
      <w:divBdr>
        <w:top w:val="none" w:sz="0" w:space="0" w:color="auto"/>
        <w:left w:val="none" w:sz="0" w:space="0" w:color="auto"/>
        <w:bottom w:val="none" w:sz="0" w:space="0" w:color="auto"/>
        <w:right w:val="none" w:sz="0" w:space="0" w:color="auto"/>
      </w:divBdr>
    </w:div>
    <w:div w:id="832526827">
      <w:bodyDiv w:val="1"/>
      <w:marLeft w:val="0"/>
      <w:marRight w:val="0"/>
      <w:marTop w:val="0"/>
      <w:marBottom w:val="0"/>
      <w:divBdr>
        <w:top w:val="none" w:sz="0" w:space="0" w:color="auto"/>
        <w:left w:val="none" w:sz="0" w:space="0" w:color="auto"/>
        <w:bottom w:val="none" w:sz="0" w:space="0" w:color="auto"/>
        <w:right w:val="none" w:sz="0" w:space="0" w:color="auto"/>
      </w:divBdr>
    </w:div>
    <w:div w:id="838354719">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849298421">
      <w:bodyDiv w:val="1"/>
      <w:marLeft w:val="0"/>
      <w:marRight w:val="0"/>
      <w:marTop w:val="0"/>
      <w:marBottom w:val="0"/>
      <w:divBdr>
        <w:top w:val="none" w:sz="0" w:space="0" w:color="auto"/>
        <w:left w:val="none" w:sz="0" w:space="0" w:color="auto"/>
        <w:bottom w:val="none" w:sz="0" w:space="0" w:color="auto"/>
        <w:right w:val="none" w:sz="0" w:space="0" w:color="auto"/>
      </w:divBdr>
    </w:div>
    <w:div w:id="850264066">
      <w:bodyDiv w:val="1"/>
      <w:marLeft w:val="0"/>
      <w:marRight w:val="0"/>
      <w:marTop w:val="0"/>
      <w:marBottom w:val="0"/>
      <w:divBdr>
        <w:top w:val="none" w:sz="0" w:space="0" w:color="auto"/>
        <w:left w:val="none" w:sz="0" w:space="0" w:color="auto"/>
        <w:bottom w:val="none" w:sz="0" w:space="0" w:color="auto"/>
        <w:right w:val="none" w:sz="0" w:space="0" w:color="auto"/>
      </w:divBdr>
    </w:div>
    <w:div w:id="856237936">
      <w:bodyDiv w:val="1"/>
      <w:marLeft w:val="0"/>
      <w:marRight w:val="0"/>
      <w:marTop w:val="0"/>
      <w:marBottom w:val="0"/>
      <w:divBdr>
        <w:top w:val="none" w:sz="0" w:space="0" w:color="auto"/>
        <w:left w:val="none" w:sz="0" w:space="0" w:color="auto"/>
        <w:bottom w:val="none" w:sz="0" w:space="0" w:color="auto"/>
        <w:right w:val="none" w:sz="0" w:space="0" w:color="auto"/>
      </w:divBdr>
    </w:div>
    <w:div w:id="865875949">
      <w:bodyDiv w:val="1"/>
      <w:marLeft w:val="0"/>
      <w:marRight w:val="0"/>
      <w:marTop w:val="0"/>
      <w:marBottom w:val="0"/>
      <w:divBdr>
        <w:top w:val="none" w:sz="0" w:space="0" w:color="auto"/>
        <w:left w:val="none" w:sz="0" w:space="0" w:color="auto"/>
        <w:bottom w:val="none" w:sz="0" w:space="0" w:color="auto"/>
        <w:right w:val="none" w:sz="0" w:space="0" w:color="auto"/>
      </w:divBdr>
    </w:div>
    <w:div w:id="867991044">
      <w:bodyDiv w:val="1"/>
      <w:marLeft w:val="0"/>
      <w:marRight w:val="0"/>
      <w:marTop w:val="0"/>
      <w:marBottom w:val="0"/>
      <w:divBdr>
        <w:top w:val="none" w:sz="0" w:space="0" w:color="auto"/>
        <w:left w:val="none" w:sz="0" w:space="0" w:color="auto"/>
        <w:bottom w:val="none" w:sz="0" w:space="0" w:color="auto"/>
        <w:right w:val="none" w:sz="0" w:space="0" w:color="auto"/>
      </w:divBdr>
    </w:div>
    <w:div w:id="874655091">
      <w:bodyDiv w:val="1"/>
      <w:marLeft w:val="0"/>
      <w:marRight w:val="0"/>
      <w:marTop w:val="0"/>
      <w:marBottom w:val="0"/>
      <w:divBdr>
        <w:top w:val="none" w:sz="0" w:space="0" w:color="auto"/>
        <w:left w:val="none" w:sz="0" w:space="0" w:color="auto"/>
        <w:bottom w:val="none" w:sz="0" w:space="0" w:color="auto"/>
        <w:right w:val="none" w:sz="0" w:space="0" w:color="auto"/>
      </w:divBdr>
    </w:div>
    <w:div w:id="880164420">
      <w:bodyDiv w:val="1"/>
      <w:marLeft w:val="0"/>
      <w:marRight w:val="0"/>
      <w:marTop w:val="0"/>
      <w:marBottom w:val="0"/>
      <w:divBdr>
        <w:top w:val="none" w:sz="0" w:space="0" w:color="auto"/>
        <w:left w:val="none" w:sz="0" w:space="0" w:color="auto"/>
        <w:bottom w:val="none" w:sz="0" w:space="0" w:color="auto"/>
        <w:right w:val="none" w:sz="0" w:space="0" w:color="auto"/>
      </w:divBdr>
    </w:div>
    <w:div w:id="889923206">
      <w:bodyDiv w:val="1"/>
      <w:marLeft w:val="0"/>
      <w:marRight w:val="0"/>
      <w:marTop w:val="0"/>
      <w:marBottom w:val="0"/>
      <w:divBdr>
        <w:top w:val="none" w:sz="0" w:space="0" w:color="auto"/>
        <w:left w:val="none" w:sz="0" w:space="0" w:color="auto"/>
        <w:bottom w:val="none" w:sz="0" w:space="0" w:color="auto"/>
        <w:right w:val="none" w:sz="0" w:space="0" w:color="auto"/>
      </w:divBdr>
    </w:div>
    <w:div w:id="895898135">
      <w:bodyDiv w:val="1"/>
      <w:marLeft w:val="0"/>
      <w:marRight w:val="0"/>
      <w:marTop w:val="0"/>
      <w:marBottom w:val="0"/>
      <w:divBdr>
        <w:top w:val="none" w:sz="0" w:space="0" w:color="auto"/>
        <w:left w:val="none" w:sz="0" w:space="0" w:color="auto"/>
        <w:bottom w:val="none" w:sz="0" w:space="0" w:color="auto"/>
        <w:right w:val="none" w:sz="0" w:space="0" w:color="auto"/>
      </w:divBdr>
    </w:div>
    <w:div w:id="897127637">
      <w:bodyDiv w:val="1"/>
      <w:marLeft w:val="0"/>
      <w:marRight w:val="0"/>
      <w:marTop w:val="0"/>
      <w:marBottom w:val="0"/>
      <w:divBdr>
        <w:top w:val="none" w:sz="0" w:space="0" w:color="auto"/>
        <w:left w:val="none" w:sz="0" w:space="0" w:color="auto"/>
        <w:bottom w:val="none" w:sz="0" w:space="0" w:color="auto"/>
        <w:right w:val="none" w:sz="0" w:space="0" w:color="auto"/>
      </w:divBdr>
    </w:div>
    <w:div w:id="902058513">
      <w:bodyDiv w:val="1"/>
      <w:marLeft w:val="0"/>
      <w:marRight w:val="0"/>
      <w:marTop w:val="0"/>
      <w:marBottom w:val="0"/>
      <w:divBdr>
        <w:top w:val="none" w:sz="0" w:space="0" w:color="auto"/>
        <w:left w:val="none" w:sz="0" w:space="0" w:color="auto"/>
        <w:bottom w:val="none" w:sz="0" w:space="0" w:color="auto"/>
        <w:right w:val="none" w:sz="0" w:space="0" w:color="auto"/>
      </w:divBdr>
    </w:div>
    <w:div w:id="904991930">
      <w:bodyDiv w:val="1"/>
      <w:marLeft w:val="0"/>
      <w:marRight w:val="0"/>
      <w:marTop w:val="0"/>
      <w:marBottom w:val="0"/>
      <w:divBdr>
        <w:top w:val="none" w:sz="0" w:space="0" w:color="auto"/>
        <w:left w:val="none" w:sz="0" w:space="0" w:color="auto"/>
        <w:bottom w:val="none" w:sz="0" w:space="0" w:color="auto"/>
        <w:right w:val="none" w:sz="0" w:space="0" w:color="auto"/>
      </w:divBdr>
    </w:div>
    <w:div w:id="910232060">
      <w:bodyDiv w:val="1"/>
      <w:marLeft w:val="0"/>
      <w:marRight w:val="0"/>
      <w:marTop w:val="0"/>
      <w:marBottom w:val="0"/>
      <w:divBdr>
        <w:top w:val="none" w:sz="0" w:space="0" w:color="auto"/>
        <w:left w:val="none" w:sz="0" w:space="0" w:color="auto"/>
        <w:bottom w:val="none" w:sz="0" w:space="0" w:color="auto"/>
        <w:right w:val="none" w:sz="0" w:space="0" w:color="auto"/>
      </w:divBdr>
    </w:div>
    <w:div w:id="915242146">
      <w:bodyDiv w:val="1"/>
      <w:marLeft w:val="0"/>
      <w:marRight w:val="0"/>
      <w:marTop w:val="0"/>
      <w:marBottom w:val="0"/>
      <w:divBdr>
        <w:top w:val="none" w:sz="0" w:space="0" w:color="auto"/>
        <w:left w:val="none" w:sz="0" w:space="0" w:color="auto"/>
        <w:bottom w:val="none" w:sz="0" w:space="0" w:color="auto"/>
        <w:right w:val="none" w:sz="0" w:space="0" w:color="auto"/>
      </w:divBdr>
    </w:div>
    <w:div w:id="923295770">
      <w:bodyDiv w:val="1"/>
      <w:marLeft w:val="0"/>
      <w:marRight w:val="0"/>
      <w:marTop w:val="0"/>
      <w:marBottom w:val="0"/>
      <w:divBdr>
        <w:top w:val="none" w:sz="0" w:space="0" w:color="auto"/>
        <w:left w:val="none" w:sz="0" w:space="0" w:color="auto"/>
        <w:bottom w:val="none" w:sz="0" w:space="0" w:color="auto"/>
        <w:right w:val="none" w:sz="0" w:space="0" w:color="auto"/>
      </w:divBdr>
    </w:div>
    <w:div w:id="923799285">
      <w:bodyDiv w:val="1"/>
      <w:marLeft w:val="0"/>
      <w:marRight w:val="0"/>
      <w:marTop w:val="0"/>
      <w:marBottom w:val="0"/>
      <w:divBdr>
        <w:top w:val="none" w:sz="0" w:space="0" w:color="auto"/>
        <w:left w:val="none" w:sz="0" w:space="0" w:color="auto"/>
        <w:bottom w:val="none" w:sz="0" w:space="0" w:color="auto"/>
        <w:right w:val="none" w:sz="0" w:space="0" w:color="auto"/>
      </w:divBdr>
    </w:div>
    <w:div w:id="925698271">
      <w:bodyDiv w:val="1"/>
      <w:marLeft w:val="0"/>
      <w:marRight w:val="0"/>
      <w:marTop w:val="0"/>
      <w:marBottom w:val="0"/>
      <w:divBdr>
        <w:top w:val="none" w:sz="0" w:space="0" w:color="auto"/>
        <w:left w:val="none" w:sz="0" w:space="0" w:color="auto"/>
        <w:bottom w:val="none" w:sz="0" w:space="0" w:color="auto"/>
        <w:right w:val="none" w:sz="0" w:space="0" w:color="auto"/>
      </w:divBdr>
    </w:div>
    <w:div w:id="929696224">
      <w:bodyDiv w:val="1"/>
      <w:marLeft w:val="0"/>
      <w:marRight w:val="0"/>
      <w:marTop w:val="0"/>
      <w:marBottom w:val="0"/>
      <w:divBdr>
        <w:top w:val="none" w:sz="0" w:space="0" w:color="auto"/>
        <w:left w:val="none" w:sz="0" w:space="0" w:color="auto"/>
        <w:bottom w:val="none" w:sz="0" w:space="0" w:color="auto"/>
        <w:right w:val="none" w:sz="0" w:space="0" w:color="auto"/>
      </w:divBdr>
    </w:div>
    <w:div w:id="931084697">
      <w:bodyDiv w:val="1"/>
      <w:marLeft w:val="0"/>
      <w:marRight w:val="0"/>
      <w:marTop w:val="0"/>
      <w:marBottom w:val="0"/>
      <w:divBdr>
        <w:top w:val="none" w:sz="0" w:space="0" w:color="auto"/>
        <w:left w:val="none" w:sz="0" w:space="0" w:color="auto"/>
        <w:bottom w:val="none" w:sz="0" w:space="0" w:color="auto"/>
        <w:right w:val="none" w:sz="0" w:space="0" w:color="auto"/>
      </w:divBdr>
    </w:div>
    <w:div w:id="932978516">
      <w:bodyDiv w:val="1"/>
      <w:marLeft w:val="0"/>
      <w:marRight w:val="0"/>
      <w:marTop w:val="0"/>
      <w:marBottom w:val="0"/>
      <w:divBdr>
        <w:top w:val="none" w:sz="0" w:space="0" w:color="auto"/>
        <w:left w:val="none" w:sz="0" w:space="0" w:color="auto"/>
        <w:bottom w:val="none" w:sz="0" w:space="0" w:color="auto"/>
        <w:right w:val="none" w:sz="0" w:space="0" w:color="auto"/>
      </w:divBdr>
    </w:div>
    <w:div w:id="935210638">
      <w:bodyDiv w:val="1"/>
      <w:marLeft w:val="0"/>
      <w:marRight w:val="0"/>
      <w:marTop w:val="0"/>
      <w:marBottom w:val="0"/>
      <w:divBdr>
        <w:top w:val="none" w:sz="0" w:space="0" w:color="auto"/>
        <w:left w:val="none" w:sz="0" w:space="0" w:color="auto"/>
        <w:bottom w:val="none" w:sz="0" w:space="0" w:color="auto"/>
        <w:right w:val="none" w:sz="0" w:space="0" w:color="auto"/>
      </w:divBdr>
    </w:div>
    <w:div w:id="936445264">
      <w:bodyDiv w:val="1"/>
      <w:marLeft w:val="0"/>
      <w:marRight w:val="0"/>
      <w:marTop w:val="0"/>
      <w:marBottom w:val="0"/>
      <w:divBdr>
        <w:top w:val="none" w:sz="0" w:space="0" w:color="auto"/>
        <w:left w:val="none" w:sz="0" w:space="0" w:color="auto"/>
        <w:bottom w:val="none" w:sz="0" w:space="0" w:color="auto"/>
        <w:right w:val="none" w:sz="0" w:space="0" w:color="auto"/>
      </w:divBdr>
    </w:div>
    <w:div w:id="952831100">
      <w:bodyDiv w:val="1"/>
      <w:marLeft w:val="0"/>
      <w:marRight w:val="0"/>
      <w:marTop w:val="0"/>
      <w:marBottom w:val="0"/>
      <w:divBdr>
        <w:top w:val="none" w:sz="0" w:space="0" w:color="auto"/>
        <w:left w:val="none" w:sz="0" w:space="0" w:color="auto"/>
        <w:bottom w:val="none" w:sz="0" w:space="0" w:color="auto"/>
        <w:right w:val="none" w:sz="0" w:space="0" w:color="auto"/>
      </w:divBdr>
    </w:div>
    <w:div w:id="961303929">
      <w:bodyDiv w:val="1"/>
      <w:marLeft w:val="0"/>
      <w:marRight w:val="0"/>
      <w:marTop w:val="0"/>
      <w:marBottom w:val="0"/>
      <w:divBdr>
        <w:top w:val="none" w:sz="0" w:space="0" w:color="auto"/>
        <w:left w:val="none" w:sz="0" w:space="0" w:color="auto"/>
        <w:bottom w:val="none" w:sz="0" w:space="0" w:color="auto"/>
        <w:right w:val="none" w:sz="0" w:space="0" w:color="auto"/>
      </w:divBdr>
    </w:div>
    <w:div w:id="964770272">
      <w:bodyDiv w:val="1"/>
      <w:marLeft w:val="0"/>
      <w:marRight w:val="0"/>
      <w:marTop w:val="0"/>
      <w:marBottom w:val="0"/>
      <w:divBdr>
        <w:top w:val="none" w:sz="0" w:space="0" w:color="auto"/>
        <w:left w:val="none" w:sz="0" w:space="0" w:color="auto"/>
        <w:bottom w:val="none" w:sz="0" w:space="0" w:color="auto"/>
        <w:right w:val="none" w:sz="0" w:space="0" w:color="auto"/>
      </w:divBdr>
    </w:div>
    <w:div w:id="995956343">
      <w:bodyDiv w:val="1"/>
      <w:marLeft w:val="0"/>
      <w:marRight w:val="0"/>
      <w:marTop w:val="0"/>
      <w:marBottom w:val="0"/>
      <w:divBdr>
        <w:top w:val="none" w:sz="0" w:space="0" w:color="auto"/>
        <w:left w:val="none" w:sz="0" w:space="0" w:color="auto"/>
        <w:bottom w:val="none" w:sz="0" w:space="0" w:color="auto"/>
        <w:right w:val="none" w:sz="0" w:space="0" w:color="auto"/>
      </w:divBdr>
    </w:div>
    <w:div w:id="999894112">
      <w:bodyDiv w:val="1"/>
      <w:marLeft w:val="0"/>
      <w:marRight w:val="0"/>
      <w:marTop w:val="0"/>
      <w:marBottom w:val="0"/>
      <w:divBdr>
        <w:top w:val="none" w:sz="0" w:space="0" w:color="auto"/>
        <w:left w:val="none" w:sz="0" w:space="0" w:color="auto"/>
        <w:bottom w:val="none" w:sz="0" w:space="0" w:color="auto"/>
        <w:right w:val="none" w:sz="0" w:space="0" w:color="auto"/>
      </w:divBdr>
    </w:div>
    <w:div w:id="1004091978">
      <w:bodyDiv w:val="1"/>
      <w:marLeft w:val="0"/>
      <w:marRight w:val="0"/>
      <w:marTop w:val="0"/>
      <w:marBottom w:val="0"/>
      <w:divBdr>
        <w:top w:val="none" w:sz="0" w:space="0" w:color="auto"/>
        <w:left w:val="none" w:sz="0" w:space="0" w:color="auto"/>
        <w:bottom w:val="none" w:sz="0" w:space="0" w:color="auto"/>
        <w:right w:val="none" w:sz="0" w:space="0" w:color="auto"/>
      </w:divBdr>
    </w:div>
    <w:div w:id="1019428160">
      <w:bodyDiv w:val="1"/>
      <w:marLeft w:val="0"/>
      <w:marRight w:val="0"/>
      <w:marTop w:val="0"/>
      <w:marBottom w:val="0"/>
      <w:divBdr>
        <w:top w:val="none" w:sz="0" w:space="0" w:color="auto"/>
        <w:left w:val="none" w:sz="0" w:space="0" w:color="auto"/>
        <w:bottom w:val="none" w:sz="0" w:space="0" w:color="auto"/>
        <w:right w:val="none" w:sz="0" w:space="0" w:color="auto"/>
      </w:divBdr>
    </w:div>
    <w:div w:id="1025131893">
      <w:bodyDiv w:val="1"/>
      <w:marLeft w:val="0"/>
      <w:marRight w:val="0"/>
      <w:marTop w:val="0"/>
      <w:marBottom w:val="0"/>
      <w:divBdr>
        <w:top w:val="none" w:sz="0" w:space="0" w:color="auto"/>
        <w:left w:val="none" w:sz="0" w:space="0" w:color="auto"/>
        <w:bottom w:val="none" w:sz="0" w:space="0" w:color="auto"/>
        <w:right w:val="none" w:sz="0" w:space="0" w:color="auto"/>
      </w:divBdr>
    </w:div>
    <w:div w:id="1025447343">
      <w:bodyDiv w:val="1"/>
      <w:marLeft w:val="0"/>
      <w:marRight w:val="0"/>
      <w:marTop w:val="0"/>
      <w:marBottom w:val="0"/>
      <w:divBdr>
        <w:top w:val="none" w:sz="0" w:space="0" w:color="auto"/>
        <w:left w:val="none" w:sz="0" w:space="0" w:color="auto"/>
        <w:bottom w:val="none" w:sz="0" w:space="0" w:color="auto"/>
        <w:right w:val="none" w:sz="0" w:space="0" w:color="auto"/>
      </w:divBdr>
    </w:div>
    <w:div w:id="1026365818">
      <w:bodyDiv w:val="1"/>
      <w:marLeft w:val="0"/>
      <w:marRight w:val="0"/>
      <w:marTop w:val="0"/>
      <w:marBottom w:val="0"/>
      <w:divBdr>
        <w:top w:val="none" w:sz="0" w:space="0" w:color="auto"/>
        <w:left w:val="none" w:sz="0" w:space="0" w:color="auto"/>
        <w:bottom w:val="none" w:sz="0" w:space="0" w:color="auto"/>
        <w:right w:val="none" w:sz="0" w:space="0" w:color="auto"/>
      </w:divBdr>
    </w:div>
    <w:div w:id="1027024421">
      <w:bodyDiv w:val="1"/>
      <w:marLeft w:val="0"/>
      <w:marRight w:val="0"/>
      <w:marTop w:val="0"/>
      <w:marBottom w:val="0"/>
      <w:divBdr>
        <w:top w:val="none" w:sz="0" w:space="0" w:color="auto"/>
        <w:left w:val="none" w:sz="0" w:space="0" w:color="auto"/>
        <w:bottom w:val="none" w:sz="0" w:space="0" w:color="auto"/>
        <w:right w:val="none" w:sz="0" w:space="0" w:color="auto"/>
      </w:divBdr>
    </w:div>
    <w:div w:id="1031490896">
      <w:bodyDiv w:val="1"/>
      <w:marLeft w:val="0"/>
      <w:marRight w:val="0"/>
      <w:marTop w:val="0"/>
      <w:marBottom w:val="0"/>
      <w:divBdr>
        <w:top w:val="none" w:sz="0" w:space="0" w:color="auto"/>
        <w:left w:val="none" w:sz="0" w:space="0" w:color="auto"/>
        <w:bottom w:val="none" w:sz="0" w:space="0" w:color="auto"/>
        <w:right w:val="none" w:sz="0" w:space="0" w:color="auto"/>
      </w:divBdr>
    </w:div>
    <w:div w:id="1036124975">
      <w:bodyDiv w:val="1"/>
      <w:marLeft w:val="0"/>
      <w:marRight w:val="0"/>
      <w:marTop w:val="0"/>
      <w:marBottom w:val="0"/>
      <w:divBdr>
        <w:top w:val="none" w:sz="0" w:space="0" w:color="auto"/>
        <w:left w:val="none" w:sz="0" w:space="0" w:color="auto"/>
        <w:bottom w:val="none" w:sz="0" w:space="0" w:color="auto"/>
        <w:right w:val="none" w:sz="0" w:space="0" w:color="auto"/>
      </w:divBdr>
    </w:div>
    <w:div w:id="1042636010">
      <w:bodyDiv w:val="1"/>
      <w:marLeft w:val="0"/>
      <w:marRight w:val="0"/>
      <w:marTop w:val="0"/>
      <w:marBottom w:val="0"/>
      <w:divBdr>
        <w:top w:val="none" w:sz="0" w:space="0" w:color="auto"/>
        <w:left w:val="none" w:sz="0" w:space="0" w:color="auto"/>
        <w:bottom w:val="none" w:sz="0" w:space="0" w:color="auto"/>
        <w:right w:val="none" w:sz="0" w:space="0" w:color="auto"/>
      </w:divBdr>
    </w:div>
    <w:div w:id="1043021405">
      <w:bodyDiv w:val="1"/>
      <w:marLeft w:val="0"/>
      <w:marRight w:val="0"/>
      <w:marTop w:val="0"/>
      <w:marBottom w:val="0"/>
      <w:divBdr>
        <w:top w:val="none" w:sz="0" w:space="0" w:color="auto"/>
        <w:left w:val="none" w:sz="0" w:space="0" w:color="auto"/>
        <w:bottom w:val="none" w:sz="0" w:space="0" w:color="auto"/>
        <w:right w:val="none" w:sz="0" w:space="0" w:color="auto"/>
      </w:divBdr>
    </w:div>
    <w:div w:id="1048607244">
      <w:bodyDiv w:val="1"/>
      <w:marLeft w:val="0"/>
      <w:marRight w:val="0"/>
      <w:marTop w:val="0"/>
      <w:marBottom w:val="0"/>
      <w:divBdr>
        <w:top w:val="none" w:sz="0" w:space="0" w:color="auto"/>
        <w:left w:val="none" w:sz="0" w:space="0" w:color="auto"/>
        <w:bottom w:val="none" w:sz="0" w:space="0" w:color="auto"/>
        <w:right w:val="none" w:sz="0" w:space="0" w:color="auto"/>
      </w:divBdr>
    </w:div>
    <w:div w:id="1051658179">
      <w:bodyDiv w:val="1"/>
      <w:marLeft w:val="0"/>
      <w:marRight w:val="0"/>
      <w:marTop w:val="0"/>
      <w:marBottom w:val="0"/>
      <w:divBdr>
        <w:top w:val="none" w:sz="0" w:space="0" w:color="auto"/>
        <w:left w:val="none" w:sz="0" w:space="0" w:color="auto"/>
        <w:bottom w:val="none" w:sz="0" w:space="0" w:color="auto"/>
        <w:right w:val="none" w:sz="0" w:space="0" w:color="auto"/>
      </w:divBdr>
    </w:div>
    <w:div w:id="1054892655">
      <w:bodyDiv w:val="1"/>
      <w:marLeft w:val="0"/>
      <w:marRight w:val="0"/>
      <w:marTop w:val="0"/>
      <w:marBottom w:val="0"/>
      <w:divBdr>
        <w:top w:val="none" w:sz="0" w:space="0" w:color="auto"/>
        <w:left w:val="none" w:sz="0" w:space="0" w:color="auto"/>
        <w:bottom w:val="none" w:sz="0" w:space="0" w:color="auto"/>
        <w:right w:val="none" w:sz="0" w:space="0" w:color="auto"/>
      </w:divBdr>
    </w:div>
    <w:div w:id="1057708960">
      <w:bodyDiv w:val="1"/>
      <w:marLeft w:val="0"/>
      <w:marRight w:val="0"/>
      <w:marTop w:val="0"/>
      <w:marBottom w:val="0"/>
      <w:divBdr>
        <w:top w:val="none" w:sz="0" w:space="0" w:color="auto"/>
        <w:left w:val="none" w:sz="0" w:space="0" w:color="auto"/>
        <w:bottom w:val="none" w:sz="0" w:space="0" w:color="auto"/>
        <w:right w:val="none" w:sz="0" w:space="0" w:color="auto"/>
      </w:divBdr>
    </w:div>
    <w:div w:id="1062142589">
      <w:bodyDiv w:val="1"/>
      <w:marLeft w:val="0"/>
      <w:marRight w:val="0"/>
      <w:marTop w:val="0"/>
      <w:marBottom w:val="0"/>
      <w:divBdr>
        <w:top w:val="none" w:sz="0" w:space="0" w:color="auto"/>
        <w:left w:val="none" w:sz="0" w:space="0" w:color="auto"/>
        <w:bottom w:val="none" w:sz="0" w:space="0" w:color="auto"/>
        <w:right w:val="none" w:sz="0" w:space="0" w:color="auto"/>
      </w:divBdr>
    </w:div>
    <w:div w:id="1063874612">
      <w:bodyDiv w:val="1"/>
      <w:marLeft w:val="0"/>
      <w:marRight w:val="0"/>
      <w:marTop w:val="0"/>
      <w:marBottom w:val="0"/>
      <w:divBdr>
        <w:top w:val="none" w:sz="0" w:space="0" w:color="auto"/>
        <w:left w:val="none" w:sz="0" w:space="0" w:color="auto"/>
        <w:bottom w:val="none" w:sz="0" w:space="0" w:color="auto"/>
        <w:right w:val="none" w:sz="0" w:space="0" w:color="auto"/>
      </w:divBdr>
    </w:div>
    <w:div w:id="1068378826">
      <w:bodyDiv w:val="1"/>
      <w:marLeft w:val="0"/>
      <w:marRight w:val="0"/>
      <w:marTop w:val="0"/>
      <w:marBottom w:val="0"/>
      <w:divBdr>
        <w:top w:val="none" w:sz="0" w:space="0" w:color="auto"/>
        <w:left w:val="none" w:sz="0" w:space="0" w:color="auto"/>
        <w:bottom w:val="none" w:sz="0" w:space="0" w:color="auto"/>
        <w:right w:val="none" w:sz="0" w:space="0" w:color="auto"/>
      </w:divBdr>
    </w:div>
    <w:div w:id="1071808200">
      <w:bodyDiv w:val="1"/>
      <w:marLeft w:val="0"/>
      <w:marRight w:val="0"/>
      <w:marTop w:val="0"/>
      <w:marBottom w:val="0"/>
      <w:divBdr>
        <w:top w:val="none" w:sz="0" w:space="0" w:color="auto"/>
        <w:left w:val="none" w:sz="0" w:space="0" w:color="auto"/>
        <w:bottom w:val="none" w:sz="0" w:space="0" w:color="auto"/>
        <w:right w:val="none" w:sz="0" w:space="0" w:color="auto"/>
      </w:divBdr>
    </w:div>
    <w:div w:id="1072234768">
      <w:bodyDiv w:val="1"/>
      <w:marLeft w:val="0"/>
      <w:marRight w:val="0"/>
      <w:marTop w:val="0"/>
      <w:marBottom w:val="0"/>
      <w:divBdr>
        <w:top w:val="none" w:sz="0" w:space="0" w:color="auto"/>
        <w:left w:val="none" w:sz="0" w:space="0" w:color="auto"/>
        <w:bottom w:val="none" w:sz="0" w:space="0" w:color="auto"/>
        <w:right w:val="none" w:sz="0" w:space="0" w:color="auto"/>
      </w:divBdr>
    </w:div>
    <w:div w:id="1078594736">
      <w:bodyDiv w:val="1"/>
      <w:marLeft w:val="0"/>
      <w:marRight w:val="0"/>
      <w:marTop w:val="0"/>
      <w:marBottom w:val="0"/>
      <w:divBdr>
        <w:top w:val="none" w:sz="0" w:space="0" w:color="auto"/>
        <w:left w:val="none" w:sz="0" w:space="0" w:color="auto"/>
        <w:bottom w:val="none" w:sz="0" w:space="0" w:color="auto"/>
        <w:right w:val="none" w:sz="0" w:space="0" w:color="auto"/>
      </w:divBdr>
    </w:div>
    <w:div w:id="1081290549">
      <w:bodyDiv w:val="1"/>
      <w:marLeft w:val="0"/>
      <w:marRight w:val="0"/>
      <w:marTop w:val="0"/>
      <w:marBottom w:val="0"/>
      <w:divBdr>
        <w:top w:val="none" w:sz="0" w:space="0" w:color="auto"/>
        <w:left w:val="none" w:sz="0" w:space="0" w:color="auto"/>
        <w:bottom w:val="none" w:sz="0" w:space="0" w:color="auto"/>
        <w:right w:val="none" w:sz="0" w:space="0" w:color="auto"/>
      </w:divBdr>
    </w:div>
    <w:div w:id="1089546334">
      <w:bodyDiv w:val="1"/>
      <w:marLeft w:val="0"/>
      <w:marRight w:val="0"/>
      <w:marTop w:val="0"/>
      <w:marBottom w:val="0"/>
      <w:divBdr>
        <w:top w:val="none" w:sz="0" w:space="0" w:color="auto"/>
        <w:left w:val="none" w:sz="0" w:space="0" w:color="auto"/>
        <w:bottom w:val="none" w:sz="0" w:space="0" w:color="auto"/>
        <w:right w:val="none" w:sz="0" w:space="0" w:color="auto"/>
      </w:divBdr>
    </w:div>
    <w:div w:id="1092968280">
      <w:bodyDiv w:val="1"/>
      <w:marLeft w:val="0"/>
      <w:marRight w:val="0"/>
      <w:marTop w:val="0"/>
      <w:marBottom w:val="0"/>
      <w:divBdr>
        <w:top w:val="none" w:sz="0" w:space="0" w:color="auto"/>
        <w:left w:val="none" w:sz="0" w:space="0" w:color="auto"/>
        <w:bottom w:val="none" w:sz="0" w:space="0" w:color="auto"/>
        <w:right w:val="none" w:sz="0" w:space="0" w:color="auto"/>
      </w:divBdr>
    </w:div>
    <w:div w:id="1101297825">
      <w:bodyDiv w:val="1"/>
      <w:marLeft w:val="0"/>
      <w:marRight w:val="0"/>
      <w:marTop w:val="0"/>
      <w:marBottom w:val="0"/>
      <w:divBdr>
        <w:top w:val="none" w:sz="0" w:space="0" w:color="auto"/>
        <w:left w:val="none" w:sz="0" w:space="0" w:color="auto"/>
        <w:bottom w:val="none" w:sz="0" w:space="0" w:color="auto"/>
        <w:right w:val="none" w:sz="0" w:space="0" w:color="auto"/>
      </w:divBdr>
    </w:div>
    <w:div w:id="1107195587">
      <w:bodyDiv w:val="1"/>
      <w:marLeft w:val="0"/>
      <w:marRight w:val="0"/>
      <w:marTop w:val="0"/>
      <w:marBottom w:val="0"/>
      <w:divBdr>
        <w:top w:val="none" w:sz="0" w:space="0" w:color="auto"/>
        <w:left w:val="none" w:sz="0" w:space="0" w:color="auto"/>
        <w:bottom w:val="none" w:sz="0" w:space="0" w:color="auto"/>
        <w:right w:val="none" w:sz="0" w:space="0" w:color="auto"/>
      </w:divBdr>
    </w:div>
    <w:div w:id="1108086612">
      <w:bodyDiv w:val="1"/>
      <w:marLeft w:val="0"/>
      <w:marRight w:val="0"/>
      <w:marTop w:val="0"/>
      <w:marBottom w:val="0"/>
      <w:divBdr>
        <w:top w:val="none" w:sz="0" w:space="0" w:color="auto"/>
        <w:left w:val="none" w:sz="0" w:space="0" w:color="auto"/>
        <w:bottom w:val="none" w:sz="0" w:space="0" w:color="auto"/>
        <w:right w:val="none" w:sz="0" w:space="0" w:color="auto"/>
      </w:divBdr>
    </w:div>
    <w:div w:id="1120106378">
      <w:bodyDiv w:val="1"/>
      <w:marLeft w:val="0"/>
      <w:marRight w:val="0"/>
      <w:marTop w:val="0"/>
      <w:marBottom w:val="0"/>
      <w:divBdr>
        <w:top w:val="none" w:sz="0" w:space="0" w:color="auto"/>
        <w:left w:val="none" w:sz="0" w:space="0" w:color="auto"/>
        <w:bottom w:val="none" w:sz="0" w:space="0" w:color="auto"/>
        <w:right w:val="none" w:sz="0" w:space="0" w:color="auto"/>
      </w:divBdr>
    </w:div>
    <w:div w:id="1129667117">
      <w:bodyDiv w:val="1"/>
      <w:marLeft w:val="0"/>
      <w:marRight w:val="0"/>
      <w:marTop w:val="0"/>
      <w:marBottom w:val="0"/>
      <w:divBdr>
        <w:top w:val="none" w:sz="0" w:space="0" w:color="auto"/>
        <w:left w:val="none" w:sz="0" w:space="0" w:color="auto"/>
        <w:bottom w:val="none" w:sz="0" w:space="0" w:color="auto"/>
        <w:right w:val="none" w:sz="0" w:space="0" w:color="auto"/>
      </w:divBdr>
    </w:div>
    <w:div w:id="1133526197">
      <w:bodyDiv w:val="1"/>
      <w:marLeft w:val="0"/>
      <w:marRight w:val="0"/>
      <w:marTop w:val="0"/>
      <w:marBottom w:val="0"/>
      <w:divBdr>
        <w:top w:val="none" w:sz="0" w:space="0" w:color="auto"/>
        <w:left w:val="none" w:sz="0" w:space="0" w:color="auto"/>
        <w:bottom w:val="none" w:sz="0" w:space="0" w:color="auto"/>
        <w:right w:val="none" w:sz="0" w:space="0" w:color="auto"/>
      </w:divBdr>
    </w:div>
    <w:div w:id="1146781046">
      <w:bodyDiv w:val="1"/>
      <w:marLeft w:val="0"/>
      <w:marRight w:val="0"/>
      <w:marTop w:val="0"/>
      <w:marBottom w:val="0"/>
      <w:divBdr>
        <w:top w:val="none" w:sz="0" w:space="0" w:color="auto"/>
        <w:left w:val="none" w:sz="0" w:space="0" w:color="auto"/>
        <w:bottom w:val="none" w:sz="0" w:space="0" w:color="auto"/>
        <w:right w:val="none" w:sz="0" w:space="0" w:color="auto"/>
      </w:divBdr>
    </w:div>
    <w:div w:id="1149781465">
      <w:bodyDiv w:val="1"/>
      <w:marLeft w:val="0"/>
      <w:marRight w:val="0"/>
      <w:marTop w:val="0"/>
      <w:marBottom w:val="0"/>
      <w:divBdr>
        <w:top w:val="none" w:sz="0" w:space="0" w:color="auto"/>
        <w:left w:val="none" w:sz="0" w:space="0" w:color="auto"/>
        <w:bottom w:val="none" w:sz="0" w:space="0" w:color="auto"/>
        <w:right w:val="none" w:sz="0" w:space="0" w:color="auto"/>
      </w:divBdr>
    </w:div>
    <w:div w:id="1156800180">
      <w:bodyDiv w:val="1"/>
      <w:marLeft w:val="0"/>
      <w:marRight w:val="0"/>
      <w:marTop w:val="0"/>
      <w:marBottom w:val="0"/>
      <w:divBdr>
        <w:top w:val="none" w:sz="0" w:space="0" w:color="auto"/>
        <w:left w:val="none" w:sz="0" w:space="0" w:color="auto"/>
        <w:bottom w:val="none" w:sz="0" w:space="0" w:color="auto"/>
        <w:right w:val="none" w:sz="0" w:space="0" w:color="auto"/>
      </w:divBdr>
    </w:div>
    <w:div w:id="1162234673">
      <w:bodyDiv w:val="1"/>
      <w:marLeft w:val="0"/>
      <w:marRight w:val="0"/>
      <w:marTop w:val="0"/>
      <w:marBottom w:val="0"/>
      <w:divBdr>
        <w:top w:val="none" w:sz="0" w:space="0" w:color="auto"/>
        <w:left w:val="none" w:sz="0" w:space="0" w:color="auto"/>
        <w:bottom w:val="none" w:sz="0" w:space="0" w:color="auto"/>
        <w:right w:val="none" w:sz="0" w:space="0" w:color="auto"/>
      </w:divBdr>
    </w:div>
    <w:div w:id="1162812093">
      <w:bodyDiv w:val="1"/>
      <w:marLeft w:val="0"/>
      <w:marRight w:val="0"/>
      <w:marTop w:val="0"/>
      <w:marBottom w:val="0"/>
      <w:divBdr>
        <w:top w:val="none" w:sz="0" w:space="0" w:color="auto"/>
        <w:left w:val="none" w:sz="0" w:space="0" w:color="auto"/>
        <w:bottom w:val="none" w:sz="0" w:space="0" w:color="auto"/>
        <w:right w:val="none" w:sz="0" w:space="0" w:color="auto"/>
      </w:divBdr>
    </w:div>
    <w:div w:id="1166213695">
      <w:bodyDiv w:val="1"/>
      <w:marLeft w:val="0"/>
      <w:marRight w:val="0"/>
      <w:marTop w:val="0"/>
      <w:marBottom w:val="0"/>
      <w:divBdr>
        <w:top w:val="none" w:sz="0" w:space="0" w:color="auto"/>
        <w:left w:val="none" w:sz="0" w:space="0" w:color="auto"/>
        <w:bottom w:val="none" w:sz="0" w:space="0" w:color="auto"/>
        <w:right w:val="none" w:sz="0" w:space="0" w:color="auto"/>
      </w:divBdr>
    </w:div>
    <w:div w:id="1176533072">
      <w:bodyDiv w:val="1"/>
      <w:marLeft w:val="0"/>
      <w:marRight w:val="0"/>
      <w:marTop w:val="0"/>
      <w:marBottom w:val="0"/>
      <w:divBdr>
        <w:top w:val="none" w:sz="0" w:space="0" w:color="auto"/>
        <w:left w:val="none" w:sz="0" w:space="0" w:color="auto"/>
        <w:bottom w:val="none" w:sz="0" w:space="0" w:color="auto"/>
        <w:right w:val="none" w:sz="0" w:space="0" w:color="auto"/>
      </w:divBdr>
    </w:div>
    <w:div w:id="1188836822">
      <w:bodyDiv w:val="1"/>
      <w:marLeft w:val="0"/>
      <w:marRight w:val="0"/>
      <w:marTop w:val="0"/>
      <w:marBottom w:val="0"/>
      <w:divBdr>
        <w:top w:val="none" w:sz="0" w:space="0" w:color="auto"/>
        <w:left w:val="none" w:sz="0" w:space="0" w:color="auto"/>
        <w:bottom w:val="none" w:sz="0" w:space="0" w:color="auto"/>
        <w:right w:val="none" w:sz="0" w:space="0" w:color="auto"/>
      </w:divBdr>
    </w:div>
    <w:div w:id="1193154484">
      <w:bodyDiv w:val="1"/>
      <w:marLeft w:val="0"/>
      <w:marRight w:val="0"/>
      <w:marTop w:val="0"/>
      <w:marBottom w:val="0"/>
      <w:divBdr>
        <w:top w:val="none" w:sz="0" w:space="0" w:color="auto"/>
        <w:left w:val="none" w:sz="0" w:space="0" w:color="auto"/>
        <w:bottom w:val="none" w:sz="0" w:space="0" w:color="auto"/>
        <w:right w:val="none" w:sz="0" w:space="0" w:color="auto"/>
      </w:divBdr>
    </w:div>
    <w:div w:id="1194461317">
      <w:bodyDiv w:val="1"/>
      <w:marLeft w:val="0"/>
      <w:marRight w:val="0"/>
      <w:marTop w:val="0"/>
      <w:marBottom w:val="0"/>
      <w:divBdr>
        <w:top w:val="none" w:sz="0" w:space="0" w:color="auto"/>
        <w:left w:val="none" w:sz="0" w:space="0" w:color="auto"/>
        <w:bottom w:val="none" w:sz="0" w:space="0" w:color="auto"/>
        <w:right w:val="none" w:sz="0" w:space="0" w:color="auto"/>
      </w:divBdr>
    </w:div>
    <w:div w:id="1200312522">
      <w:bodyDiv w:val="1"/>
      <w:marLeft w:val="0"/>
      <w:marRight w:val="0"/>
      <w:marTop w:val="0"/>
      <w:marBottom w:val="0"/>
      <w:divBdr>
        <w:top w:val="none" w:sz="0" w:space="0" w:color="auto"/>
        <w:left w:val="none" w:sz="0" w:space="0" w:color="auto"/>
        <w:bottom w:val="none" w:sz="0" w:space="0" w:color="auto"/>
        <w:right w:val="none" w:sz="0" w:space="0" w:color="auto"/>
      </w:divBdr>
    </w:div>
    <w:div w:id="1205949893">
      <w:bodyDiv w:val="1"/>
      <w:marLeft w:val="0"/>
      <w:marRight w:val="0"/>
      <w:marTop w:val="0"/>
      <w:marBottom w:val="0"/>
      <w:divBdr>
        <w:top w:val="none" w:sz="0" w:space="0" w:color="auto"/>
        <w:left w:val="none" w:sz="0" w:space="0" w:color="auto"/>
        <w:bottom w:val="none" w:sz="0" w:space="0" w:color="auto"/>
        <w:right w:val="none" w:sz="0" w:space="0" w:color="auto"/>
      </w:divBdr>
    </w:div>
    <w:div w:id="1210847720">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218273553">
      <w:bodyDiv w:val="1"/>
      <w:marLeft w:val="0"/>
      <w:marRight w:val="0"/>
      <w:marTop w:val="0"/>
      <w:marBottom w:val="0"/>
      <w:divBdr>
        <w:top w:val="none" w:sz="0" w:space="0" w:color="auto"/>
        <w:left w:val="none" w:sz="0" w:space="0" w:color="auto"/>
        <w:bottom w:val="none" w:sz="0" w:space="0" w:color="auto"/>
        <w:right w:val="none" w:sz="0" w:space="0" w:color="auto"/>
      </w:divBdr>
    </w:div>
    <w:div w:id="1222672130">
      <w:bodyDiv w:val="1"/>
      <w:marLeft w:val="0"/>
      <w:marRight w:val="0"/>
      <w:marTop w:val="0"/>
      <w:marBottom w:val="0"/>
      <w:divBdr>
        <w:top w:val="none" w:sz="0" w:space="0" w:color="auto"/>
        <w:left w:val="none" w:sz="0" w:space="0" w:color="auto"/>
        <w:bottom w:val="none" w:sz="0" w:space="0" w:color="auto"/>
        <w:right w:val="none" w:sz="0" w:space="0" w:color="auto"/>
      </w:divBdr>
    </w:div>
    <w:div w:id="1228569341">
      <w:bodyDiv w:val="1"/>
      <w:marLeft w:val="0"/>
      <w:marRight w:val="0"/>
      <w:marTop w:val="0"/>
      <w:marBottom w:val="0"/>
      <w:divBdr>
        <w:top w:val="none" w:sz="0" w:space="0" w:color="auto"/>
        <w:left w:val="none" w:sz="0" w:space="0" w:color="auto"/>
        <w:bottom w:val="none" w:sz="0" w:space="0" w:color="auto"/>
        <w:right w:val="none" w:sz="0" w:space="0" w:color="auto"/>
      </w:divBdr>
    </w:div>
    <w:div w:id="1229611227">
      <w:bodyDiv w:val="1"/>
      <w:marLeft w:val="0"/>
      <w:marRight w:val="0"/>
      <w:marTop w:val="0"/>
      <w:marBottom w:val="0"/>
      <w:divBdr>
        <w:top w:val="none" w:sz="0" w:space="0" w:color="auto"/>
        <w:left w:val="none" w:sz="0" w:space="0" w:color="auto"/>
        <w:bottom w:val="none" w:sz="0" w:space="0" w:color="auto"/>
        <w:right w:val="none" w:sz="0" w:space="0" w:color="auto"/>
      </w:divBdr>
    </w:div>
    <w:div w:id="1241015681">
      <w:bodyDiv w:val="1"/>
      <w:marLeft w:val="0"/>
      <w:marRight w:val="0"/>
      <w:marTop w:val="0"/>
      <w:marBottom w:val="0"/>
      <w:divBdr>
        <w:top w:val="none" w:sz="0" w:space="0" w:color="auto"/>
        <w:left w:val="none" w:sz="0" w:space="0" w:color="auto"/>
        <w:bottom w:val="none" w:sz="0" w:space="0" w:color="auto"/>
        <w:right w:val="none" w:sz="0" w:space="0" w:color="auto"/>
      </w:divBdr>
    </w:div>
    <w:div w:id="1244726397">
      <w:bodyDiv w:val="1"/>
      <w:marLeft w:val="0"/>
      <w:marRight w:val="0"/>
      <w:marTop w:val="0"/>
      <w:marBottom w:val="0"/>
      <w:divBdr>
        <w:top w:val="none" w:sz="0" w:space="0" w:color="auto"/>
        <w:left w:val="none" w:sz="0" w:space="0" w:color="auto"/>
        <w:bottom w:val="none" w:sz="0" w:space="0" w:color="auto"/>
        <w:right w:val="none" w:sz="0" w:space="0" w:color="auto"/>
      </w:divBdr>
    </w:div>
    <w:div w:id="1266578149">
      <w:bodyDiv w:val="1"/>
      <w:marLeft w:val="0"/>
      <w:marRight w:val="0"/>
      <w:marTop w:val="0"/>
      <w:marBottom w:val="0"/>
      <w:divBdr>
        <w:top w:val="none" w:sz="0" w:space="0" w:color="auto"/>
        <w:left w:val="none" w:sz="0" w:space="0" w:color="auto"/>
        <w:bottom w:val="none" w:sz="0" w:space="0" w:color="auto"/>
        <w:right w:val="none" w:sz="0" w:space="0" w:color="auto"/>
      </w:divBdr>
    </w:div>
    <w:div w:id="1271283896">
      <w:bodyDiv w:val="1"/>
      <w:marLeft w:val="0"/>
      <w:marRight w:val="0"/>
      <w:marTop w:val="0"/>
      <w:marBottom w:val="0"/>
      <w:divBdr>
        <w:top w:val="none" w:sz="0" w:space="0" w:color="auto"/>
        <w:left w:val="none" w:sz="0" w:space="0" w:color="auto"/>
        <w:bottom w:val="none" w:sz="0" w:space="0" w:color="auto"/>
        <w:right w:val="none" w:sz="0" w:space="0" w:color="auto"/>
      </w:divBdr>
    </w:div>
    <w:div w:id="1274821542">
      <w:bodyDiv w:val="1"/>
      <w:marLeft w:val="0"/>
      <w:marRight w:val="0"/>
      <w:marTop w:val="0"/>
      <w:marBottom w:val="0"/>
      <w:divBdr>
        <w:top w:val="none" w:sz="0" w:space="0" w:color="auto"/>
        <w:left w:val="none" w:sz="0" w:space="0" w:color="auto"/>
        <w:bottom w:val="none" w:sz="0" w:space="0" w:color="auto"/>
        <w:right w:val="none" w:sz="0" w:space="0" w:color="auto"/>
      </w:divBdr>
    </w:div>
    <w:div w:id="1285842769">
      <w:bodyDiv w:val="1"/>
      <w:marLeft w:val="0"/>
      <w:marRight w:val="0"/>
      <w:marTop w:val="0"/>
      <w:marBottom w:val="0"/>
      <w:divBdr>
        <w:top w:val="none" w:sz="0" w:space="0" w:color="auto"/>
        <w:left w:val="none" w:sz="0" w:space="0" w:color="auto"/>
        <w:bottom w:val="none" w:sz="0" w:space="0" w:color="auto"/>
        <w:right w:val="none" w:sz="0" w:space="0" w:color="auto"/>
      </w:divBdr>
    </w:div>
    <w:div w:id="1290282859">
      <w:bodyDiv w:val="1"/>
      <w:marLeft w:val="0"/>
      <w:marRight w:val="0"/>
      <w:marTop w:val="0"/>
      <w:marBottom w:val="0"/>
      <w:divBdr>
        <w:top w:val="none" w:sz="0" w:space="0" w:color="auto"/>
        <w:left w:val="none" w:sz="0" w:space="0" w:color="auto"/>
        <w:bottom w:val="none" w:sz="0" w:space="0" w:color="auto"/>
        <w:right w:val="none" w:sz="0" w:space="0" w:color="auto"/>
      </w:divBdr>
    </w:div>
    <w:div w:id="1294022758">
      <w:bodyDiv w:val="1"/>
      <w:marLeft w:val="0"/>
      <w:marRight w:val="0"/>
      <w:marTop w:val="0"/>
      <w:marBottom w:val="0"/>
      <w:divBdr>
        <w:top w:val="none" w:sz="0" w:space="0" w:color="auto"/>
        <w:left w:val="none" w:sz="0" w:space="0" w:color="auto"/>
        <w:bottom w:val="none" w:sz="0" w:space="0" w:color="auto"/>
        <w:right w:val="none" w:sz="0" w:space="0" w:color="auto"/>
      </w:divBdr>
    </w:div>
    <w:div w:id="1307707396">
      <w:bodyDiv w:val="1"/>
      <w:marLeft w:val="0"/>
      <w:marRight w:val="0"/>
      <w:marTop w:val="0"/>
      <w:marBottom w:val="0"/>
      <w:divBdr>
        <w:top w:val="none" w:sz="0" w:space="0" w:color="auto"/>
        <w:left w:val="none" w:sz="0" w:space="0" w:color="auto"/>
        <w:bottom w:val="none" w:sz="0" w:space="0" w:color="auto"/>
        <w:right w:val="none" w:sz="0" w:space="0" w:color="auto"/>
      </w:divBdr>
    </w:div>
    <w:div w:id="1314406056">
      <w:bodyDiv w:val="1"/>
      <w:marLeft w:val="0"/>
      <w:marRight w:val="0"/>
      <w:marTop w:val="0"/>
      <w:marBottom w:val="0"/>
      <w:divBdr>
        <w:top w:val="none" w:sz="0" w:space="0" w:color="auto"/>
        <w:left w:val="none" w:sz="0" w:space="0" w:color="auto"/>
        <w:bottom w:val="none" w:sz="0" w:space="0" w:color="auto"/>
        <w:right w:val="none" w:sz="0" w:space="0" w:color="auto"/>
      </w:divBdr>
    </w:div>
    <w:div w:id="1320036900">
      <w:bodyDiv w:val="1"/>
      <w:marLeft w:val="0"/>
      <w:marRight w:val="0"/>
      <w:marTop w:val="0"/>
      <w:marBottom w:val="0"/>
      <w:divBdr>
        <w:top w:val="none" w:sz="0" w:space="0" w:color="auto"/>
        <w:left w:val="none" w:sz="0" w:space="0" w:color="auto"/>
        <w:bottom w:val="none" w:sz="0" w:space="0" w:color="auto"/>
        <w:right w:val="none" w:sz="0" w:space="0" w:color="auto"/>
      </w:divBdr>
    </w:div>
    <w:div w:id="1330864151">
      <w:bodyDiv w:val="1"/>
      <w:marLeft w:val="0"/>
      <w:marRight w:val="0"/>
      <w:marTop w:val="0"/>
      <w:marBottom w:val="0"/>
      <w:divBdr>
        <w:top w:val="none" w:sz="0" w:space="0" w:color="auto"/>
        <w:left w:val="none" w:sz="0" w:space="0" w:color="auto"/>
        <w:bottom w:val="none" w:sz="0" w:space="0" w:color="auto"/>
        <w:right w:val="none" w:sz="0" w:space="0" w:color="auto"/>
      </w:divBdr>
    </w:div>
    <w:div w:id="1331517609">
      <w:bodyDiv w:val="1"/>
      <w:marLeft w:val="0"/>
      <w:marRight w:val="0"/>
      <w:marTop w:val="0"/>
      <w:marBottom w:val="0"/>
      <w:divBdr>
        <w:top w:val="none" w:sz="0" w:space="0" w:color="auto"/>
        <w:left w:val="none" w:sz="0" w:space="0" w:color="auto"/>
        <w:bottom w:val="none" w:sz="0" w:space="0" w:color="auto"/>
        <w:right w:val="none" w:sz="0" w:space="0" w:color="auto"/>
      </w:divBdr>
    </w:div>
    <w:div w:id="1332173855">
      <w:bodyDiv w:val="1"/>
      <w:marLeft w:val="0"/>
      <w:marRight w:val="0"/>
      <w:marTop w:val="0"/>
      <w:marBottom w:val="0"/>
      <w:divBdr>
        <w:top w:val="none" w:sz="0" w:space="0" w:color="auto"/>
        <w:left w:val="none" w:sz="0" w:space="0" w:color="auto"/>
        <w:bottom w:val="none" w:sz="0" w:space="0" w:color="auto"/>
        <w:right w:val="none" w:sz="0" w:space="0" w:color="auto"/>
      </w:divBdr>
    </w:div>
    <w:div w:id="1355231216">
      <w:bodyDiv w:val="1"/>
      <w:marLeft w:val="0"/>
      <w:marRight w:val="0"/>
      <w:marTop w:val="0"/>
      <w:marBottom w:val="0"/>
      <w:divBdr>
        <w:top w:val="none" w:sz="0" w:space="0" w:color="auto"/>
        <w:left w:val="none" w:sz="0" w:space="0" w:color="auto"/>
        <w:bottom w:val="none" w:sz="0" w:space="0" w:color="auto"/>
        <w:right w:val="none" w:sz="0" w:space="0" w:color="auto"/>
      </w:divBdr>
    </w:div>
    <w:div w:id="1356075911">
      <w:bodyDiv w:val="1"/>
      <w:marLeft w:val="0"/>
      <w:marRight w:val="0"/>
      <w:marTop w:val="0"/>
      <w:marBottom w:val="0"/>
      <w:divBdr>
        <w:top w:val="none" w:sz="0" w:space="0" w:color="auto"/>
        <w:left w:val="none" w:sz="0" w:space="0" w:color="auto"/>
        <w:bottom w:val="none" w:sz="0" w:space="0" w:color="auto"/>
        <w:right w:val="none" w:sz="0" w:space="0" w:color="auto"/>
      </w:divBdr>
    </w:div>
    <w:div w:id="1359546864">
      <w:bodyDiv w:val="1"/>
      <w:marLeft w:val="0"/>
      <w:marRight w:val="0"/>
      <w:marTop w:val="0"/>
      <w:marBottom w:val="0"/>
      <w:divBdr>
        <w:top w:val="none" w:sz="0" w:space="0" w:color="auto"/>
        <w:left w:val="none" w:sz="0" w:space="0" w:color="auto"/>
        <w:bottom w:val="none" w:sz="0" w:space="0" w:color="auto"/>
        <w:right w:val="none" w:sz="0" w:space="0" w:color="auto"/>
      </w:divBdr>
    </w:div>
    <w:div w:id="1364553948">
      <w:bodyDiv w:val="1"/>
      <w:marLeft w:val="0"/>
      <w:marRight w:val="0"/>
      <w:marTop w:val="0"/>
      <w:marBottom w:val="0"/>
      <w:divBdr>
        <w:top w:val="none" w:sz="0" w:space="0" w:color="auto"/>
        <w:left w:val="none" w:sz="0" w:space="0" w:color="auto"/>
        <w:bottom w:val="none" w:sz="0" w:space="0" w:color="auto"/>
        <w:right w:val="none" w:sz="0" w:space="0" w:color="auto"/>
      </w:divBdr>
    </w:div>
    <w:div w:id="1377197137">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384018603">
      <w:bodyDiv w:val="1"/>
      <w:marLeft w:val="0"/>
      <w:marRight w:val="0"/>
      <w:marTop w:val="0"/>
      <w:marBottom w:val="0"/>
      <w:divBdr>
        <w:top w:val="none" w:sz="0" w:space="0" w:color="auto"/>
        <w:left w:val="none" w:sz="0" w:space="0" w:color="auto"/>
        <w:bottom w:val="none" w:sz="0" w:space="0" w:color="auto"/>
        <w:right w:val="none" w:sz="0" w:space="0" w:color="auto"/>
      </w:divBdr>
    </w:div>
    <w:div w:id="1406218130">
      <w:bodyDiv w:val="1"/>
      <w:marLeft w:val="0"/>
      <w:marRight w:val="0"/>
      <w:marTop w:val="0"/>
      <w:marBottom w:val="0"/>
      <w:divBdr>
        <w:top w:val="none" w:sz="0" w:space="0" w:color="auto"/>
        <w:left w:val="none" w:sz="0" w:space="0" w:color="auto"/>
        <w:bottom w:val="none" w:sz="0" w:space="0" w:color="auto"/>
        <w:right w:val="none" w:sz="0" w:space="0" w:color="auto"/>
      </w:divBdr>
    </w:div>
    <w:div w:id="1407074425">
      <w:bodyDiv w:val="1"/>
      <w:marLeft w:val="0"/>
      <w:marRight w:val="0"/>
      <w:marTop w:val="0"/>
      <w:marBottom w:val="0"/>
      <w:divBdr>
        <w:top w:val="none" w:sz="0" w:space="0" w:color="auto"/>
        <w:left w:val="none" w:sz="0" w:space="0" w:color="auto"/>
        <w:bottom w:val="none" w:sz="0" w:space="0" w:color="auto"/>
        <w:right w:val="none" w:sz="0" w:space="0" w:color="auto"/>
      </w:divBdr>
    </w:div>
    <w:div w:id="1416514550">
      <w:bodyDiv w:val="1"/>
      <w:marLeft w:val="0"/>
      <w:marRight w:val="0"/>
      <w:marTop w:val="0"/>
      <w:marBottom w:val="0"/>
      <w:divBdr>
        <w:top w:val="none" w:sz="0" w:space="0" w:color="auto"/>
        <w:left w:val="none" w:sz="0" w:space="0" w:color="auto"/>
        <w:bottom w:val="none" w:sz="0" w:space="0" w:color="auto"/>
        <w:right w:val="none" w:sz="0" w:space="0" w:color="auto"/>
      </w:divBdr>
    </w:div>
    <w:div w:id="1428380929">
      <w:bodyDiv w:val="1"/>
      <w:marLeft w:val="0"/>
      <w:marRight w:val="0"/>
      <w:marTop w:val="0"/>
      <w:marBottom w:val="0"/>
      <w:divBdr>
        <w:top w:val="none" w:sz="0" w:space="0" w:color="auto"/>
        <w:left w:val="none" w:sz="0" w:space="0" w:color="auto"/>
        <w:bottom w:val="none" w:sz="0" w:space="0" w:color="auto"/>
        <w:right w:val="none" w:sz="0" w:space="0" w:color="auto"/>
      </w:divBdr>
    </w:div>
    <w:div w:id="1431319439">
      <w:bodyDiv w:val="1"/>
      <w:marLeft w:val="0"/>
      <w:marRight w:val="0"/>
      <w:marTop w:val="0"/>
      <w:marBottom w:val="0"/>
      <w:divBdr>
        <w:top w:val="none" w:sz="0" w:space="0" w:color="auto"/>
        <w:left w:val="none" w:sz="0" w:space="0" w:color="auto"/>
        <w:bottom w:val="none" w:sz="0" w:space="0" w:color="auto"/>
        <w:right w:val="none" w:sz="0" w:space="0" w:color="auto"/>
      </w:divBdr>
    </w:div>
    <w:div w:id="1431900056">
      <w:bodyDiv w:val="1"/>
      <w:marLeft w:val="0"/>
      <w:marRight w:val="0"/>
      <w:marTop w:val="0"/>
      <w:marBottom w:val="0"/>
      <w:divBdr>
        <w:top w:val="none" w:sz="0" w:space="0" w:color="auto"/>
        <w:left w:val="none" w:sz="0" w:space="0" w:color="auto"/>
        <w:bottom w:val="none" w:sz="0" w:space="0" w:color="auto"/>
        <w:right w:val="none" w:sz="0" w:space="0" w:color="auto"/>
      </w:divBdr>
    </w:div>
    <w:div w:id="1442140347">
      <w:bodyDiv w:val="1"/>
      <w:marLeft w:val="0"/>
      <w:marRight w:val="0"/>
      <w:marTop w:val="0"/>
      <w:marBottom w:val="0"/>
      <w:divBdr>
        <w:top w:val="none" w:sz="0" w:space="0" w:color="auto"/>
        <w:left w:val="none" w:sz="0" w:space="0" w:color="auto"/>
        <w:bottom w:val="none" w:sz="0" w:space="0" w:color="auto"/>
        <w:right w:val="none" w:sz="0" w:space="0" w:color="auto"/>
      </w:divBdr>
    </w:div>
    <w:div w:id="1444349904">
      <w:bodyDiv w:val="1"/>
      <w:marLeft w:val="0"/>
      <w:marRight w:val="0"/>
      <w:marTop w:val="0"/>
      <w:marBottom w:val="0"/>
      <w:divBdr>
        <w:top w:val="none" w:sz="0" w:space="0" w:color="auto"/>
        <w:left w:val="none" w:sz="0" w:space="0" w:color="auto"/>
        <w:bottom w:val="none" w:sz="0" w:space="0" w:color="auto"/>
        <w:right w:val="none" w:sz="0" w:space="0" w:color="auto"/>
      </w:divBdr>
    </w:div>
    <w:div w:id="1447655859">
      <w:bodyDiv w:val="1"/>
      <w:marLeft w:val="0"/>
      <w:marRight w:val="0"/>
      <w:marTop w:val="0"/>
      <w:marBottom w:val="0"/>
      <w:divBdr>
        <w:top w:val="none" w:sz="0" w:space="0" w:color="auto"/>
        <w:left w:val="none" w:sz="0" w:space="0" w:color="auto"/>
        <w:bottom w:val="none" w:sz="0" w:space="0" w:color="auto"/>
        <w:right w:val="none" w:sz="0" w:space="0" w:color="auto"/>
      </w:divBdr>
    </w:div>
    <w:div w:id="1462504595">
      <w:bodyDiv w:val="1"/>
      <w:marLeft w:val="0"/>
      <w:marRight w:val="0"/>
      <w:marTop w:val="0"/>
      <w:marBottom w:val="0"/>
      <w:divBdr>
        <w:top w:val="none" w:sz="0" w:space="0" w:color="auto"/>
        <w:left w:val="none" w:sz="0" w:space="0" w:color="auto"/>
        <w:bottom w:val="none" w:sz="0" w:space="0" w:color="auto"/>
        <w:right w:val="none" w:sz="0" w:space="0" w:color="auto"/>
      </w:divBdr>
    </w:div>
    <w:div w:id="1462572901">
      <w:bodyDiv w:val="1"/>
      <w:marLeft w:val="0"/>
      <w:marRight w:val="0"/>
      <w:marTop w:val="0"/>
      <w:marBottom w:val="0"/>
      <w:divBdr>
        <w:top w:val="none" w:sz="0" w:space="0" w:color="auto"/>
        <w:left w:val="none" w:sz="0" w:space="0" w:color="auto"/>
        <w:bottom w:val="none" w:sz="0" w:space="0" w:color="auto"/>
        <w:right w:val="none" w:sz="0" w:space="0" w:color="auto"/>
      </w:divBdr>
    </w:div>
    <w:div w:id="1463427101">
      <w:bodyDiv w:val="1"/>
      <w:marLeft w:val="0"/>
      <w:marRight w:val="0"/>
      <w:marTop w:val="0"/>
      <w:marBottom w:val="0"/>
      <w:divBdr>
        <w:top w:val="none" w:sz="0" w:space="0" w:color="auto"/>
        <w:left w:val="none" w:sz="0" w:space="0" w:color="auto"/>
        <w:bottom w:val="none" w:sz="0" w:space="0" w:color="auto"/>
        <w:right w:val="none" w:sz="0" w:space="0" w:color="auto"/>
      </w:divBdr>
    </w:div>
    <w:div w:id="1466509373">
      <w:bodyDiv w:val="1"/>
      <w:marLeft w:val="0"/>
      <w:marRight w:val="0"/>
      <w:marTop w:val="0"/>
      <w:marBottom w:val="0"/>
      <w:divBdr>
        <w:top w:val="none" w:sz="0" w:space="0" w:color="auto"/>
        <w:left w:val="none" w:sz="0" w:space="0" w:color="auto"/>
        <w:bottom w:val="none" w:sz="0" w:space="0" w:color="auto"/>
        <w:right w:val="none" w:sz="0" w:space="0" w:color="auto"/>
      </w:divBdr>
    </w:div>
    <w:div w:id="1472019082">
      <w:bodyDiv w:val="1"/>
      <w:marLeft w:val="0"/>
      <w:marRight w:val="0"/>
      <w:marTop w:val="0"/>
      <w:marBottom w:val="0"/>
      <w:divBdr>
        <w:top w:val="none" w:sz="0" w:space="0" w:color="auto"/>
        <w:left w:val="none" w:sz="0" w:space="0" w:color="auto"/>
        <w:bottom w:val="none" w:sz="0" w:space="0" w:color="auto"/>
        <w:right w:val="none" w:sz="0" w:space="0" w:color="auto"/>
      </w:divBdr>
    </w:div>
    <w:div w:id="1479765226">
      <w:bodyDiv w:val="1"/>
      <w:marLeft w:val="0"/>
      <w:marRight w:val="0"/>
      <w:marTop w:val="0"/>
      <w:marBottom w:val="0"/>
      <w:divBdr>
        <w:top w:val="none" w:sz="0" w:space="0" w:color="auto"/>
        <w:left w:val="none" w:sz="0" w:space="0" w:color="auto"/>
        <w:bottom w:val="none" w:sz="0" w:space="0" w:color="auto"/>
        <w:right w:val="none" w:sz="0" w:space="0" w:color="auto"/>
      </w:divBdr>
    </w:div>
    <w:div w:id="1485316466">
      <w:bodyDiv w:val="1"/>
      <w:marLeft w:val="0"/>
      <w:marRight w:val="0"/>
      <w:marTop w:val="0"/>
      <w:marBottom w:val="0"/>
      <w:divBdr>
        <w:top w:val="none" w:sz="0" w:space="0" w:color="auto"/>
        <w:left w:val="none" w:sz="0" w:space="0" w:color="auto"/>
        <w:bottom w:val="none" w:sz="0" w:space="0" w:color="auto"/>
        <w:right w:val="none" w:sz="0" w:space="0" w:color="auto"/>
      </w:divBdr>
    </w:div>
    <w:div w:id="1488941860">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500803080">
      <w:bodyDiv w:val="1"/>
      <w:marLeft w:val="0"/>
      <w:marRight w:val="0"/>
      <w:marTop w:val="0"/>
      <w:marBottom w:val="0"/>
      <w:divBdr>
        <w:top w:val="none" w:sz="0" w:space="0" w:color="auto"/>
        <w:left w:val="none" w:sz="0" w:space="0" w:color="auto"/>
        <w:bottom w:val="none" w:sz="0" w:space="0" w:color="auto"/>
        <w:right w:val="none" w:sz="0" w:space="0" w:color="auto"/>
      </w:divBdr>
    </w:div>
    <w:div w:id="1502887871">
      <w:bodyDiv w:val="1"/>
      <w:marLeft w:val="0"/>
      <w:marRight w:val="0"/>
      <w:marTop w:val="0"/>
      <w:marBottom w:val="0"/>
      <w:divBdr>
        <w:top w:val="none" w:sz="0" w:space="0" w:color="auto"/>
        <w:left w:val="none" w:sz="0" w:space="0" w:color="auto"/>
        <w:bottom w:val="none" w:sz="0" w:space="0" w:color="auto"/>
        <w:right w:val="none" w:sz="0" w:space="0" w:color="auto"/>
      </w:divBdr>
    </w:div>
    <w:div w:id="1507598949">
      <w:bodyDiv w:val="1"/>
      <w:marLeft w:val="0"/>
      <w:marRight w:val="0"/>
      <w:marTop w:val="0"/>
      <w:marBottom w:val="0"/>
      <w:divBdr>
        <w:top w:val="none" w:sz="0" w:space="0" w:color="auto"/>
        <w:left w:val="none" w:sz="0" w:space="0" w:color="auto"/>
        <w:bottom w:val="none" w:sz="0" w:space="0" w:color="auto"/>
        <w:right w:val="none" w:sz="0" w:space="0" w:color="auto"/>
      </w:divBdr>
    </w:div>
    <w:div w:id="1516724727">
      <w:bodyDiv w:val="1"/>
      <w:marLeft w:val="0"/>
      <w:marRight w:val="0"/>
      <w:marTop w:val="0"/>
      <w:marBottom w:val="0"/>
      <w:divBdr>
        <w:top w:val="none" w:sz="0" w:space="0" w:color="auto"/>
        <w:left w:val="none" w:sz="0" w:space="0" w:color="auto"/>
        <w:bottom w:val="none" w:sz="0" w:space="0" w:color="auto"/>
        <w:right w:val="none" w:sz="0" w:space="0" w:color="auto"/>
      </w:divBdr>
    </w:div>
    <w:div w:id="1520461848">
      <w:bodyDiv w:val="1"/>
      <w:marLeft w:val="0"/>
      <w:marRight w:val="0"/>
      <w:marTop w:val="0"/>
      <w:marBottom w:val="0"/>
      <w:divBdr>
        <w:top w:val="none" w:sz="0" w:space="0" w:color="auto"/>
        <w:left w:val="none" w:sz="0" w:space="0" w:color="auto"/>
        <w:bottom w:val="none" w:sz="0" w:space="0" w:color="auto"/>
        <w:right w:val="none" w:sz="0" w:space="0" w:color="auto"/>
      </w:divBdr>
    </w:div>
    <w:div w:id="1521814628">
      <w:bodyDiv w:val="1"/>
      <w:marLeft w:val="0"/>
      <w:marRight w:val="0"/>
      <w:marTop w:val="0"/>
      <w:marBottom w:val="0"/>
      <w:divBdr>
        <w:top w:val="none" w:sz="0" w:space="0" w:color="auto"/>
        <w:left w:val="none" w:sz="0" w:space="0" w:color="auto"/>
        <w:bottom w:val="none" w:sz="0" w:space="0" w:color="auto"/>
        <w:right w:val="none" w:sz="0" w:space="0" w:color="auto"/>
      </w:divBdr>
    </w:div>
    <w:div w:id="1525553598">
      <w:bodyDiv w:val="1"/>
      <w:marLeft w:val="0"/>
      <w:marRight w:val="0"/>
      <w:marTop w:val="0"/>
      <w:marBottom w:val="0"/>
      <w:divBdr>
        <w:top w:val="none" w:sz="0" w:space="0" w:color="auto"/>
        <w:left w:val="none" w:sz="0" w:space="0" w:color="auto"/>
        <w:bottom w:val="none" w:sz="0" w:space="0" w:color="auto"/>
        <w:right w:val="none" w:sz="0" w:space="0" w:color="auto"/>
      </w:divBdr>
    </w:div>
    <w:div w:id="1549295857">
      <w:bodyDiv w:val="1"/>
      <w:marLeft w:val="0"/>
      <w:marRight w:val="0"/>
      <w:marTop w:val="0"/>
      <w:marBottom w:val="0"/>
      <w:divBdr>
        <w:top w:val="none" w:sz="0" w:space="0" w:color="auto"/>
        <w:left w:val="none" w:sz="0" w:space="0" w:color="auto"/>
        <w:bottom w:val="none" w:sz="0" w:space="0" w:color="auto"/>
        <w:right w:val="none" w:sz="0" w:space="0" w:color="auto"/>
      </w:divBdr>
    </w:div>
    <w:div w:id="1550844849">
      <w:bodyDiv w:val="1"/>
      <w:marLeft w:val="0"/>
      <w:marRight w:val="0"/>
      <w:marTop w:val="0"/>
      <w:marBottom w:val="0"/>
      <w:divBdr>
        <w:top w:val="none" w:sz="0" w:space="0" w:color="auto"/>
        <w:left w:val="none" w:sz="0" w:space="0" w:color="auto"/>
        <w:bottom w:val="none" w:sz="0" w:space="0" w:color="auto"/>
        <w:right w:val="none" w:sz="0" w:space="0" w:color="auto"/>
      </w:divBdr>
    </w:div>
    <w:div w:id="1551651896">
      <w:bodyDiv w:val="1"/>
      <w:marLeft w:val="0"/>
      <w:marRight w:val="0"/>
      <w:marTop w:val="0"/>
      <w:marBottom w:val="0"/>
      <w:divBdr>
        <w:top w:val="none" w:sz="0" w:space="0" w:color="auto"/>
        <w:left w:val="none" w:sz="0" w:space="0" w:color="auto"/>
        <w:bottom w:val="none" w:sz="0" w:space="0" w:color="auto"/>
        <w:right w:val="none" w:sz="0" w:space="0" w:color="auto"/>
      </w:divBdr>
    </w:div>
    <w:div w:id="1560021326">
      <w:bodyDiv w:val="1"/>
      <w:marLeft w:val="0"/>
      <w:marRight w:val="0"/>
      <w:marTop w:val="0"/>
      <w:marBottom w:val="0"/>
      <w:divBdr>
        <w:top w:val="none" w:sz="0" w:space="0" w:color="auto"/>
        <w:left w:val="none" w:sz="0" w:space="0" w:color="auto"/>
        <w:bottom w:val="none" w:sz="0" w:space="0" w:color="auto"/>
        <w:right w:val="none" w:sz="0" w:space="0" w:color="auto"/>
      </w:divBdr>
    </w:div>
    <w:div w:id="1570995878">
      <w:bodyDiv w:val="1"/>
      <w:marLeft w:val="0"/>
      <w:marRight w:val="0"/>
      <w:marTop w:val="0"/>
      <w:marBottom w:val="0"/>
      <w:divBdr>
        <w:top w:val="none" w:sz="0" w:space="0" w:color="auto"/>
        <w:left w:val="none" w:sz="0" w:space="0" w:color="auto"/>
        <w:bottom w:val="none" w:sz="0" w:space="0" w:color="auto"/>
        <w:right w:val="none" w:sz="0" w:space="0" w:color="auto"/>
      </w:divBdr>
    </w:div>
    <w:div w:id="1585067379">
      <w:bodyDiv w:val="1"/>
      <w:marLeft w:val="0"/>
      <w:marRight w:val="0"/>
      <w:marTop w:val="0"/>
      <w:marBottom w:val="0"/>
      <w:divBdr>
        <w:top w:val="none" w:sz="0" w:space="0" w:color="auto"/>
        <w:left w:val="none" w:sz="0" w:space="0" w:color="auto"/>
        <w:bottom w:val="none" w:sz="0" w:space="0" w:color="auto"/>
        <w:right w:val="none" w:sz="0" w:space="0" w:color="auto"/>
      </w:divBdr>
    </w:div>
    <w:div w:id="1589004055">
      <w:bodyDiv w:val="1"/>
      <w:marLeft w:val="0"/>
      <w:marRight w:val="0"/>
      <w:marTop w:val="0"/>
      <w:marBottom w:val="0"/>
      <w:divBdr>
        <w:top w:val="none" w:sz="0" w:space="0" w:color="auto"/>
        <w:left w:val="none" w:sz="0" w:space="0" w:color="auto"/>
        <w:bottom w:val="none" w:sz="0" w:space="0" w:color="auto"/>
        <w:right w:val="none" w:sz="0" w:space="0" w:color="auto"/>
      </w:divBdr>
    </w:div>
    <w:div w:id="1607689338">
      <w:bodyDiv w:val="1"/>
      <w:marLeft w:val="0"/>
      <w:marRight w:val="0"/>
      <w:marTop w:val="0"/>
      <w:marBottom w:val="0"/>
      <w:divBdr>
        <w:top w:val="none" w:sz="0" w:space="0" w:color="auto"/>
        <w:left w:val="none" w:sz="0" w:space="0" w:color="auto"/>
        <w:bottom w:val="none" w:sz="0" w:space="0" w:color="auto"/>
        <w:right w:val="none" w:sz="0" w:space="0" w:color="auto"/>
      </w:divBdr>
    </w:div>
    <w:div w:id="1614944314">
      <w:bodyDiv w:val="1"/>
      <w:marLeft w:val="0"/>
      <w:marRight w:val="0"/>
      <w:marTop w:val="0"/>
      <w:marBottom w:val="0"/>
      <w:divBdr>
        <w:top w:val="none" w:sz="0" w:space="0" w:color="auto"/>
        <w:left w:val="none" w:sz="0" w:space="0" w:color="auto"/>
        <w:bottom w:val="none" w:sz="0" w:space="0" w:color="auto"/>
        <w:right w:val="none" w:sz="0" w:space="0" w:color="auto"/>
      </w:divBdr>
    </w:div>
    <w:div w:id="1620448148">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 w:id="1645817260">
      <w:bodyDiv w:val="1"/>
      <w:marLeft w:val="0"/>
      <w:marRight w:val="0"/>
      <w:marTop w:val="0"/>
      <w:marBottom w:val="0"/>
      <w:divBdr>
        <w:top w:val="none" w:sz="0" w:space="0" w:color="auto"/>
        <w:left w:val="none" w:sz="0" w:space="0" w:color="auto"/>
        <w:bottom w:val="none" w:sz="0" w:space="0" w:color="auto"/>
        <w:right w:val="none" w:sz="0" w:space="0" w:color="auto"/>
      </w:divBdr>
    </w:div>
    <w:div w:id="1651398964">
      <w:bodyDiv w:val="1"/>
      <w:marLeft w:val="0"/>
      <w:marRight w:val="0"/>
      <w:marTop w:val="0"/>
      <w:marBottom w:val="0"/>
      <w:divBdr>
        <w:top w:val="none" w:sz="0" w:space="0" w:color="auto"/>
        <w:left w:val="none" w:sz="0" w:space="0" w:color="auto"/>
        <w:bottom w:val="none" w:sz="0" w:space="0" w:color="auto"/>
        <w:right w:val="none" w:sz="0" w:space="0" w:color="auto"/>
      </w:divBdr>
    </w:div>
    <w:div w:id="1667399387">
      <w:bodyDiv w:val="1"/>
      <w:marLeft w:val="0"/>
      <w:marRight w:val="0"/>
      <w:marTop w:val="0"/>
      <w:marBottom w:val="0"/>
      <w:divBdr>
        <w:top w:val="none" w:sz="0" w:space="0" w:color="auto"/>
        <w:left w:val="none" w:sz="0" w:space="0" w:color="auto"/>
        <w:bottom w:val="none" w:sz="0" w:space="0" w:color="auto"/>
        <w:right w:val="none" w:sz="0" w:space="0" w:color="auto"/>
      </w:divBdr>
    </w:div>
    <w:div w:id="1677422942">
      <w:bodyDiv w:val="1"/>
      <w:marLeft w:val="0"/>
      <w:marRight w:val="0"/>
      <w:marTop w:val="0"/>
      <w:marBottom w:val="0"/>
      <w:divBdr>
        <w:top w:val="none" w:sz="0" w:space="0" w:color="auto"/>
        <w:left w:val="none" w:sz="0" w:space="0" w:color="auto"/>
        <w:bottom w:val="none" w:sz="0" w:space="0" w:color="auto"/>
        <w:right w:val="none" w:sz="0" w:space="0" w:color="auto"/>
      </w:divBdr>
    </w:div>
    <w:div w:id="1691371803">
      <w:bodyDiv w:val="1"/>
      <w:marLeft w:val="0"/>
      <w:marRight w:val="0"/>
      <w:marTop w:val="0"/>
      <w:marBottom w:val="0"/>
      <w:divBdr>
        <w:top w:val="none" w:sz="0" w:space="0" w:color="auto"/>
        <w:left w:val="none" w:sz="0" w:space="0" w:color="auto"/>
        <w:bottom w:val="none" w:sz="0" w:space="0" w:color="auto"/>
        <w:right w:val="none" w:sz="0" w:space="0" w:color="auto"/>
      </w:divBdr>
    </w:div>
    <w:div w:id="1698389058">
      <w:bodyDiv w:val="1"/>
      <w:marLeft w:val="0"/>
      <w:marRight w:val="0"/>
      <w:marTop w:val="0"/>
      <w:marBottom w:val="0"/>
      <w:divBdr>
        <w:top w:val="none" w:sz="0" w:space="0" w:color="auto"/>
        <w:left w:val="none" w:sz="0" w:space="0" w:color="auto"/>
        <w:bottom w:val="none" w:sz="0" w:space="0" w:color="auto"/>
        <w:right w:val="none" w:sz="0" w:space="0" w:color="auto"/>
      </w:divBdr>
    </w:div>
    <w:div w:id="1699430965">
      <w:bodyDiv w:val="1"/>
      <w:marLeft w:val="0"/>
      <w:marRight w:val="0"/>
      <w:marTop w:val="0"/>
      <w:marBottom w:val="0"/>
      <w:divBdr>
        <w:top w:val="none" w:sz="0" w:space="0" w:color="auto"/>
        <w:left w:val="none" w:sz="0" w:space="0" w:color="auto"/>
        <w:bottom w:val="none" w:sz="0" w:space="0" w:color="auto"/>
        <w:right w:val="none" w:sz="0" w:space="0" w:color="auto"/>
      </w:divBdr>
    </w:div>
    <w:div w:id="1704204861">
      <w:bodyDiv w:val="1"/>
      <w:marLeft w:val="0"/>
      <w:marRight w:val="0"/>
      <w:marTop w:val="0"/>
      <w:marBottom w:val="0"/>
      <w:divBdr>
        <w:top w:val="none" w:sz="0" w:space="0" w:color="auto"/>
        <w:left w:val="none" w:sz="0" w:space="0" w:color="auto"/>
        <w:bottom w:val="none" w:sz="0" w:space="0" w:color="auto"/>
        <w:right w:val="none" w:sz="0" w:space="0" w:color="auto"/>
      </w:divBdr>
    </w:div>
    <w:div w:id="1722317581">
      <w:bodyDiv w:val="1"/>
      <w:marLeft w:val="0"/>
      <w:marRight w:val="0"/>
      <w:marTop w:val="0"/>
      <w:marBottom w:val="0"/>
      <w:divBdr>
        <w:top w:val="none" w:sz="0" w:space="0" w:color="auto"/>
        <w:left w:val="none" w:sz="0" w:space="0" w:color="auto"/>
        <w:bottom w:val="none" w:sz="0" w:space="0" w:color="auto"/>
        <w:right w:val="none" w:sz="0" w:space="0" w:color="auto"/>
      </w:divBdr>
    </w:div>
    <w:div w:id="1724449175">
      <w:bodyDiv w:val="1"/>
      <w:marLeft w:val="0"/>
      <w:marRight w:val="0"/>
      <w:marTop w:val="0"/>
      <w:marBottom w:val="0"/>
      <w:divBdr>
        <w:top w:val="none" w:sz="0" w:space="0" w:color="auto"/>
        <w:left w:val="none" w:sz="0" w:space="0" w:color="auto"/>
        <w:bottom w:val="none" w:sz="0" w:space="0" w:color="auto"/>
        <w:right w:val="none" w:sz="0" w:space="0" w:color="auto"/>
      </w:divBdr>
    </w:div>
    <w:div w:id="1737168328">
      <w:bodyDiv w:val="1"/>
      <w:marLeft w:val="0"/>
      <w:marRight w:val="0"/>
      <w:marTop w:val="0"/>
      <w:marBottom w:val="0"/>
      <w:divBdr>
        <w:top w:val="none" w:sz="0" w:space="0" w:color="auto"/>
        <w:left w:val="none" w:sz="0" w:space="0" w:color="auto"/>
        <w:bottom w:val="none" w:sz="0" w:space="0" w:color="auto"/>
        <w:right w:val="none" w:sz="0" w:space="0" w:color="auto"/>
      </w:divBdr>
    </w:div>
    <w:div w:id="1739018117">
      <w:bodyDiv w:val="1"/>
      <w:marLeft w:val="0"/>
      <w:marRight w:val="0"/>
      <w:marTop w:val="0"/>
      <w:marBottom w:val="0"/>
      <w:divBdr>
        <w:top w:val="none" w:sz="0" w:space="0" w:color="auto"/>
        <w:left w:val="none" w:sz="0" w:space="0" w:color="auto"/>
        <w:bottom w:val="none" w:sz="0" w:space="0" w:color="auto"/>
        <w:right w:val="none" w:sz="0" w:space="0" w:color="auto"/>
      </w:divBdr>
    </w:div>
    <w:div w:id="1744987441">
      <w:bodyDiv w:val="1"/>
      <w:marLeft w:val="0"/>
      <w:marRight w:val="0"/>
      <w:marTop w:val="0"/>
      <w:marBottom w:val="0"/>
      <w:divBdr>
        <w:top w:val="none" w:sz="0" w:space="0" w:color="auto"/>
        <w:left w:val="none" w:sz="0" w:space="0" w:color="auto"/>
        <w:bottom w:val="none" w:sz="0" w:space="0" w:color="auto"/>
        <w:right w:val="none" w:sz="0" w:space="0" w:color="auto"/>
      </w:divBdr>
    </w:div>
    <w:div w:id="1750232120">
      <w:bodyDiv w:val="1"/>
      <w:marLeft w:val="0"/>
      <w:marRight w:val="0"/>
      <w:marTop w:val="0"/>
      <w:marBottom w:val="0"/>
      <w:divBdr>
        <w:top w:val="none" w:sz="0" w:space="0" w:color="auto"/>
        <w:left w:val="none" w:sz="0" w:space="0" w:color="auto"/>
        <w:bottom w:val="none" w:sz="0" w:space="0" w:color="auto"/>
        <w:right w:val="none" w:sz="0" w:space="0" w:color="auto"/>
      </w:divBdr>
    </w:div>
    <w:div w:id="1750734233">
      <w:bodyDiv w:val="1"/>
      <w:marLeft w:val="0"/>
      <w:marRight w:val="0"/>
      <w:marTop w:val="0"/>
      <w:marBottom w:val="0"/>
      <w:divBdr>
        <w:top w:val="none" w:sz="0" w:space="0" w:color="auto"/>
        <w:left w:val="none" w:sz="0" w:space="0" w:color="auto"/>
        <w:bottom w:val="none" w:sz="0" w:space="0" w:color="auto"/>
        <w:right w:val="none" w:sz="0" w:space="0" w:color="auto"/>
      </w:divBdr>
    </w:div>
    <w:div w:id="1752042683">
      <w:bodyDiv w:val="1"/>
      <w:marLeft w:val="0"/>
      <w:marRight w:val="0"/>
      <w:marTop w:val="0"/>
      <w:marBottom w:val="0"/>
      <w:divBdr>
        <w:top w:val="none" w:sz="0" w:space="0" w:color="auto"/>
        <w:left w:val="none" w:sz="0" w:space="0" w:color="auto"/>
        <w:bottom w:val="none" w:sz="0" w:space="0" w:color="auto"/>
        <w:right w:val="none" w:sz="0" w:space="0" w:color="auto"/>
      </w:divBdr>
    </w:div>
    <w:div w:id="1787191251">
      <w:bodyDiv w:val="1"/>
      <w:marLeft w:val="0"/>
      <w:marRight w:val="0"/>
      <w:marTop w:val="0"/>
      <w:marBottom w:val="0"/>
      <w:divBdr>
        <w:top w:val="none" w:sz="0" w:space="0" w:color="auto"/>
        <w:left w:val="none" w:sz="0" w:space="0" w:color="auto"/>
        <w:bottom w:val="none" w:sz="0" w:space="0" w:color="auto"/>
        <w:right w:val="none" w:sz="0" w:space="0" w:color="auto"/>
      </w:divBdr>
    </w:div>
    <w:div w:id="1793398503">
      <w:bodyDiv w:val="1"/>
      <w:marLeft w:val="0"/>
      <w:marRight w:val="0"/>
      <w:marTop w:val="0"/>
      <w:marBottom w:val="0"/>
      <w:divBdr>
        <w:top w:val="none" w:sz="0" w:space="0" w:color="auto"/>
        <w:left w:val="none" w:sz="0" w:space="0" w:color="auto"/>
        <w:bottom w:val="none" w:sz="0" w:space="0" w:color="auto"/>
        <w:right w:val="none" w:sz="0" w:space="0" w:color="auto"/>
      </w:divBdr>
    </w:div>
    <w:div w:id="1795564064">
      <w:bodyDiv w:val="1"/>
      <w:marLeft w:val="0"/>
      <w:marRight w:val="0"/>
      <w:marTop w:val="0"/>
      <w:marBottom w:val="0"/>
      <w:divBdr>
        <w:top w:val="none" w:sz="0" w:space="0" w:color="auto"/>
        <w:left w:val="none" w:sz="0" w:space="0" w:color="auto"/>
        <w:bottom w:val="none" w:sz="0" w:space="0" w:color="auto"/>
        <w:right w:val="none" w:sz="0" w:space="0" w:color="auto"/>
      </w:divBdr>
    </w:div>
    <w:div w:id="1803573592">
      <w:bodyDiv w:val="1"/>
      <w:marLeft w:val="0"/>
      <w:marRight w:val="0"/>
      <w:marTop w:val="0"/>
      <w:marBottom w:val="0"/>
      <w:divBdr>
        <w:top w:val="none" w:sz="0" w:space="0" w:color="auto"/>
        <w:left w:val="none" w:sz="0" w:space="0" w:color="auto"/>
        <w:bottom w:val="none" w:sz="0" w:space="0" w:color="auto"/>
        <w:right w:val="none" w:sz="0" w:space="0" w:color="auto"/>
      </w:divBdr>
    </w:div>
    <w:div w:id="1804302453">
      <w:bodyDiv w:val="1"/>
      <w:marLeft w:val="0"/>
      <w:marRight w:val="0"/>
      <w:marTop w:val="0"/>
      <w:marBottom w:val="0"/>
      <w:divBdr>
        <w:top w:val="none" w:sz="0" w:space="0" w:color="auto"/>
        <w:left w:val="none" w:sz="0" w:space="0" w:color="auto"/>
        <w:bottom w:val="none" w:sz="0" w:space="0" w:color="auto"/>
        <w:right w:val="none" w:sz="0" w:space="0" w:color="auto"/>
      </w:divBdr>
    </w:div>
    <w:div w:id="1809545344">
      <w:bodyDiv w:val="1"/>
      <w:marLeft w:val="0"/>
      <w:marRight w:val="0"/>
      <w:marTop w:val="0"/>
      <w:marBottom w:val="0"/>
      <w:divBdr>
        <w:top w:val="none" w:sz="0" w:space="0" w:color="auto"/>
        <w:left w:val="none" w:sz="0" w:space="0" w:color="auto"/>
        <w:bottom w:val="none" w:sz="0" w:space="0" w:color="auto"/>
        <w:right w:val="none" w:sz="0" w:space="0" w:color="auto"/>
      </w:divBdr>
    </w:div>
    <w:div w:id="1813713621">
      <w:bodyDiv w:val="1"/>
      <w:marLeft w:val="0"/>
      <w:marRight w:val="0"/>
      <w:marTop w:val="0"/>
      <w:marBottom w:val="0"/>
      <w:divBdr>
        <w:top w:val="none" w:sz="0" w:space="0" w:color="auto"/>
        <w:left w:val="none" w:sz="0" w:space="0" w:color="auto"/>
        <w:bottom w:val="none" w:sz="0" w:space="0" w:color="auto"/>
        <w:right w:val="none" w:sz="0" w:space="0" w:color="auto"/>
      </w:divBdr>
    </w:div>
    <w:div w:id="1833636864">
      <w:bodyDiv w:val="1"/>
      <w:marLeft w:val="0"/>
      <w:marRight w:val="0"/>
      <w:marTop w:val="0"/>
      <w:marBottom w:val="0"/>
      <w:divBdr>
        <w:top w:val="none" w:sz="0" w:space="0" w:color="auto"/>
        <w:left w:val="none" w:sz="0" w:space="0" w:color="auto"/>
        <w:bottom w:val="none" w:sz="0" w:space="0" w:color="auto"/>
        <w:right w:val="none" w:sz="0" w:space="0" w:color="auto"/>
      </w:divBdr>
    </w:div>
    <w:div w:id="1834953642">
      <w:bodyDiv w:val="1"/>
      <w:marLeft w:val="0"/>
      <w:marRight w:val="0"/>
      <w:marTop w:val="0"/>
      <w:marBottom w:val="0"/>
      <w:divBdr>
        <w:top w:val="none" w:sz="0" w:space="0" w:color="auto"/>
        <w:left w:val="none" w:sz="0" w:space="0" w:color="auto"/>
        <w:bottom w:val="none" w:sz="0" w:space="0" w:color="auto"/>
        <w:right w:val="none" w:sz="0" w:space="0" w:color="auto"/>
      </w:divBdr>
    </w:div>
    <w:div w:id="1835532490">
      <w:bodyDiv w:val="1"/>
      <w:marLeft w:val="0"/>
      <w:marRight w:val="0"/>
      <w:marTop w:val="0"/>
      <w:marBottom w:val="0"/>
      <w:divBdr>
        <w:top w:val="none" w:sz="0" w:space="0" w:color="auto"/>
        <w:left w:val="none" w:sz="0" w:space="0" w:color="auto"/>
        <w:bottom w:val="none" w:sz="0" w:space="0" w:color="auto"/>
        <w:right w:val="none" w:sz="0" w:space="0" w:color="auto"/>
      </w:divBdr>
    </w:div>
    <w:div w:id="1841651740">
      <w:bodyDiv w:val="1"/>
      <w:marLeft w:val="0"/>
      <w:marRight w:val="0"/>
      <w:marTop w:val="0"/>
      <w:marBottom w:val="0"/>
      <w:divBdr>
        <w:top w:val="none" w:sz="0" w:space="0" w:color="auto"/>
        <w:left w:val="none" w:sz="0" w:space="0" w:color="auto"/>
        <w:bottom w:val="none" w:sz="0" w:space="0" w:color="auto"/>
        <w:right w:val="none" w:sz="0" w:space="0" w:color="auto"/>
      </w:divBdr>
    </w:div>
    <w:div w:id="1842357154">
      <w:bodyDiv w:val="1"/>
      <w:marLeft w:val="0"/>
      <w:marRight w:val="0"/>
      <w:marTop w:val="0"/>
      <w:marBottom w:val="0"/>
      <w:divBdr>
        <w:top w:val="none" w:sz="0" w:space="0" w:color="auto"/>
        <w:left w:val="none" w:sz="0" w:space="0" w:color="auto"/>
        <w:bottom w:val="none" w:sz="0" w:space="0" w:color="auto"/>
        <w:right w:val="none" w:sz="0" w:space="0" w:color="auto"/>
      </w:divBdr>
    </w:div>
    <w:div w:id="1846556785">
      <w:bodyDiv w:val="1"/>
      <w:marLeft w:val="0"/>
      <w:marRight w:val="0"/>
      <w:marTop w:val="0"/>
      <w:marBottom w:val="0"/>
      <w:divBdr>
        <w:top w:val="none" w:sz="0" w:space="0" w:color="auto"/>
        <w:left w:val="none" w:sz="0" w:space="0" w:color="auto"/>
        <w:bottom w:val="none" w:sz="0" w:space="0" w:color="auto"/>
        <w:right w:val="none" w:sz="0" w:space="0" w:color="auto"/>
      </w:divBdr>
    </w:div>
    <w:div w:id="1853182556">
      <w:bodyDiv w:val="1"/>
      <w:marLeft w:val="0"/>
      <w:marRight w:val="0"/>
      <w:marTop w:val="0"/>
      <w:marBottom w:val="0"/>
      <w:divBdr>
        <w:top w:val="none" w:sz="0" w:space="0" w:color="auto"/>
        <w:left w:val="none" w:sz="0" w:space="0" w:color="auto"/>
        <w:bottom w:val="none" w:sz="0" w:space="0" w:color="auto"/>
        <w:right w:val="none" w:sz="0" w:space="0" w:color="auto"/>
      </w:divBdr>
    </w:div>
    <w:div w:id="1854682319">
      <w:bodyDiv w:val="1"/>
      <w:marLeft w:val="0"/>
      <w:marRight w:val="0"/>
      <w:marTop w:val="0"/>
      <w:marBottom w:val="0"/>
      <w:divBdr>
        <w:top w:val="none" w:sz="0" w:space="0" w:color="auto"/>
        <w:left w:val="none" w:sz="0" w:space="0" w:color="auto"/>
        <w:bottom w:val="none" w:sz="0" w:space="0" w:color="auto"/>
        <w:right w:val="none" w:sz="0" w:space="0" w:color="auto"/>
      </w:divBdr>
    </w:div>
    <w:div w:id="1859272523">
      <w:bodyDiv w:val="1"/>
      <w:marLeft w:val="0"/>
      <w:marRight w:val="0"/>
      <w:marTop w:val="0"/>
      <w:marBottom w:val="0"/>
      <w:divBdr>
        <w:top w:val="none" w:sz="0" w:space="0" w:color="auto"/>
        <w:left w:val="none" w:sz="0" w:space="0" w:color="auto"/>
        <w:bottom w:val="none" w:sz="0" w:space="0" w:color="auto"/>
        <w:right w:val="none" w:sz="0" w:space="0" w:color="auto"/>
      </w:divBdr>
    </w:div>
    <w:div w:id="1871603858">
      <w:bodyDiv w:val="1"/>
      <w:marLeft w:val="0"/>
      <w:marRight w:val="0"/>
      <w:marTop w:val="0"/>
      <w:marBottom w:val="0"/>
      <w:divBdr>
        <w:top w:val="none" w:sz="0" w:space="0" w:color="auto"/>
        <w:left w:val="none" w:sz="0" w:space="0" w:color="auto"/>
        <w:bottom w:val="none" w:sz="0" w:space="0" w:color="auto"/>
        <w:right w:val="none" w:sz="0" w:space="0" w:color="auto"/>
      </w:divBdr>
    </w:div>
    <w:div w:id="1873228856">
      <w:bodyDiv w:val="1"/>
      <w:marLeft w:val="0"/>
      <w:marRight w:val="0"/>
      <w:marTop w:val="0"/>
      <w:marBottom w:val="0"/>
      <w:divBdr>
        <w:top w:val="none" w:sz="0" w:space="0" w:color="auto"/>
        <w:left w:val="none" w:sz="0" w:space="0" w:color="auto"/>
        <w:bottom w:val="none" w:sz="0" w:space="0" w:color="auto"/>
        <w:right w:val="none" w:sz="0" w:space="0" w:color="auto"/>
      </w:divBdr>
    </w:div>
    <w:div w:id="1873763483">
      <w:bodyDiv w:val="1"/>
      <w:marLeft w:val="0"/>
      <w:marRight w:val="0"/>
      <w:marTop w:val="0"/>
      <w:marBottom w:val="0"/>
      <w:divBdr>
        <w:top w:val="none" w:sz="0" w:space="0" w:color="auto"/>
        <w:left w:val="none" w:sz="0" w:space="0" w:color="auto"/>
        <w:bottom w:val="none" w:sz="0" w:space="0" w:color="auto"/>
        <w:right w:val="none" w:sz="0" w:space="0" w:color="auto"/>
      </w:divBdr>
    </w:div>
    <w:div w:id="1885214123">
      <w:bodyDiv w:val="1"/>
      <w:marLeft w:val="0"/>
      <w:marRight w:val="0"/>
      <w:marTop w:val="0"/>
      <w:marBottom w:val="0"/>
      <w:divBdr>
        <w:top w:val="none" w:sz="0" w:space="0" w:color="auto"/>
        <w:left w:val="none" w:sz="0" w:space="0" w:color="auto"/>
        <w:bottom w:val="none" w:sz="0" w:space="0" w:color="auto"/>
        <w:right w:val="none" w:sz="0" w:space="0" w:color="auto"/>
      </w:divBdr>
    </w:div>
    <w:div w:id="1887329301">
      <w:bodyDiv w:val="1"/>
      <w:marLeft w:val="0"/>
      <w:marRight w:val="0"/>
      <w:marTop w:val="0"/>
      <w:marBottom w:val="0"/>
      <w:divBdr>
        <w:top w:val="none" w:sz="0" w:space="0" w:color="auto"/>
        <w:left w:val="none" w:sz="0" w:space="0" w:color="auto"/>
        <w:bottom w:val="none" w:sz="0" w:space="0" w:color="auto"/>
        <w:right w:val="none" w:sz="0" w:space="0" w:color="auto"/>
      </w:divBdr>
    </w:div>
    <w:div w:id="1887989373">
      <w:bodyDiv w:val="1"/>
      <w:marLeft w:val="0"/>
      <w:marRight w:val="0"/>
      <w:marTop w:val="0"/>
      <w:marBottom w:val="0"/>
      <w:divBdr>
        <w:top w:val="none" w:sz="0" w:space="0" w:color="auto"/>
        <w:left w:val="none" w:sz="0" w:space="0" w:color="auto"/>
        <w:bottom w:val="none" w:sz="0" w:space="0" w:color="auto"/>
        <w:right w:val="none" w:sz="0" w:space="0" w:color="auto"/>
      </w:divBdr>
    </w:div>
    <w:div w:id="1890797688">
      <w:bodyDiv w:val="1"/>
      <w:marLeft w:val="0"/>
      <w:marRight w:val="0"/>
      <w:marTop w:val="0"/>
      <w:marBottom w:val="0"/>
      <w:divBdr>
        <w:top w:val="none" w:sz="0" w:space="0" w:color="auto"/>
        <w:left w:val="none" w:sz="0" w:space="0" w:color="auto"/>
        <w:bottom w:val="none" w:sz="0" w:space="0" w:color="auto"/>
        <w:right w:val="none" w:sz="0" w:space="0" w:color="auto"/>
      </w:divBdr>
    </w:div>
    <w:div w:id="1902982511">
      <w:bodyDiv w:val="1"/>
      <w:marLeft w:val="0"/>
      <w:marRight w:val="0"/>
      <w:marTop w:val="0"/>
      <w:marBottom w:val="0"/>
      <w:divBdr>
        <w:top w:val="none" w:sz="0" w:space="0" w:color="auto"/>
        <w:left w:val="none" w:sz="0" w:space="0" w:color="auto"/>
        <w:bottom w:val="none" w:sz="0" w:space="0" w:color="auto"/>
        <w:right w:val="none" w:sz="0" w:space="0" w:color="auto"/>
      </w:divBdr>
    </w:div>
    <w:div w:id="1904631908">
      <w:bodyDiv w:val="1"/>
      <w:marLeft w:val="0"/>
      <w:marRight w:val="0"/>
      <w:marTop w:val="0"/>
      <w:marBottom w:val="0"/>
      <w:divBdr>
        <w:top w:val="none" w:sz="0" w:space="0" w:color="auto"/>
        <w:left w:val="none" w:sz="0" w:space="0" w:color="auto"/>
        <w:bottom w:val="none" w:sz="0" w:space="0" w:color="auto"/>
        <w:right w:val="none" w:sz="0" w:space="0" w:color="auto"/>
      </w:divBdr>
    </w:div>
    <w:div w:id="1905601862">
      <w:bodyDiv w:val="1"/>
      <w:marLeft w:val="0"/>
      <w:marRight w:val="0"/>
      <w:marTop w:val="0"/>
      <w:marBottom w:val="0"/>
      <w:divBdr>
        <w:top w:val="none" w:sz="0" w:space="0" w:color="auto"/>
        <w:left w:val="none" w:sz="0" w:space="0" w:color="auto"/>
        <w:bottom w:val="none" w:sz="0" w:space="0" w:color="auto"/>
        <w:right w:val="none" w:sz="0" w:space="0" w:color="auto"/>
      </w:divBdr>
    </w:div>
    <w:div w:id="1918781593">
      <w:bodyDiv w:val="1"/>
      <w:marLeft w:val="0"/>
      <w:marRight w:val="0"/>
      <w:marTop w:val="0"/>
      <w:marBottom w:val="0"/>
      <w:divBdr>
        <w:top w:val="none" w:sz="0" w:space="0" w:color="auto"/>
        <w:left w:val="none" w:sz="0" w:space="0" w:color="auto"/>
        <w:bottom w:val="none" w:sz="0" w:space="0" w:color="auto"/>
        <w:right w:val="none" w:sz="0" w:space="0" w:color="auto"/>
      </w:divBdr>
    </w:div>
    <w:div w:id="1918860904">
      <w:bodyDiv w:val="1"/>
      <w:marLeft w:val="0"/>
      <w:marRight w:val="0"/>
      <w:marTop w:val="0"/>
      <w:marBottom w:val="0"/>
      <w:divBdr>
        <w:top w:val="none" w:sz="0" w:space="0" w:color="auto"/>
        <w:left w:val="none" w:sz="0" w:space="0" w:color="auto"/>
        <w:bottom w:val="none" w:sz="0" w:space="0" w:color="auto"/>
        <w:right w:val="none" w:sz="0" w:space="0" w:color="auto"/>
      </w:divBdr>
    </w:div>
    <w:div w:id="1919097715">
      <w:bodyDiv w:val="1"/>
      <w:marLeft w:val="0"/>
      <w:marRight w:val="0"/>
      <w:marTop w:val="0"/>
      <w:marBottom w:val="0"/>
      <w:divBdr>
        <w:top w:val="none" w:sz="0" w:space="0" w:color="auto"/>
        <w:left w:val="none" w:sz="0" w:space="0" w:color="auto"/>
        <w:bottom w:val="none" w:sz="0" w:space="0" w:color="auto"/>
        <w:right w:val="none" w:sz="0" w:space="0" w:color="auto"/>
      </w:divBdr>
    </w:div>
    <w:div w:id="1921597092">
      <w:bodyDiv w:val="1"/>
      <w:marLeft w:val="0"/>
      <w:marRight w:val="0"/>
      <w:marTop w:val="0"/>
      <w:marBottom w:val="0"/>
      <w:divBdr>
        <w:top w:val="none" w:sz="0" w:space="0" w:color="auto"/>
        <w:left w:val="none" w:sz="0" w:space="0" w:color="auto"/>
        <w:bottom w:val="none" w:sz="0" w:space="0" w:color="auto"/>
        <w:right w:val="none" w:sz="0" w:space="0" w:color="auto"/>
      </w:divBdr>
    </w:div>
    <w:div w:id="1933052814">
      <w:bodyDiv w:val="1"/>
      <w:marLeft w:val="0"/>
      <w:marRight w:val="0"/>
      <w:marTop w:val="0"/>
      <w:marBottom w:val="0"/>
      <w:divBdr>
        <w:top w:val="none" w:sz="0" w:space="0" w:color="auto"/>
        <w:left w:val="none" w:sz="0" w:space="0" w:color="auto"/>
        <w:bottom w:val="none" w:sz="0" w:space="0" w:color="auto"/>
        <w:right w:val="none" w:sz="0" w:space="0" w:color="auto"/>
      </w:divBdr>
    </w:div>
    <w:div w:id="1934195929">
      <w:bodyDiv w:val="1"/>
      <w:marLeft w:val="0"/>
      <w:marRight w:val="0"/>
      <w:marTop w:val="0"/>
      <w:marBottom w:val="0"/>
      <w:divBdr>
        <w:top w:val="none" w:sz="0" w:space="0" w:color="auto"/>
        <w:left w:val="none" w:sz="0" w:space="0" w:color="auto"/>
        <w:bottom w:val="none" w:sz="0" w:space="0" w:color="auto"/>
        <w:right w:val="none" w:sz="0" w:space="0" w:color="auto"/>
      </w:divBdr>
    </w:div>
    <w:div w:id="1961910036">
      <w:bodyDiv w:val="1"/>
      <w:marLeft w:val="0"/>
      <w:marRight w:val="0"/>
      <w:marTop w:val="0"/>
      <w:marBottom w:val="0"/>
      <w:divBdr>
        <w:top w:val="none" w:sz="0" w:space="0" w:color="auto"/>
        <w:left w:val="none" w:sz="0" w:space="0" w:color="auto"/>
        <w:bottom w:val="none" w:sz="0" w:space="0" w:color="auto"/>
        <w:right w:val="none" w:sz="0" w:space="0" w:color="auto"/>
      </w:divBdr>
    </w:div>
    <w:div w:id="1979384293">
      <w:bodyDiv w:val="1"/>
      <w:marLeft w:val="0"/>
      <w:marRight w:val="0"/>
      <w:marTop w:val="0"/>
      <w:marBottom w:val="0"/>
      <w:divBdr>
        <w:top w:val="none" w:sz="0" w:space="0" w:color="auto"/>
        <w:left w:val="none" w:sz="0" w:space="0" w:color="auto"/>
        <w:bottom w:val="none" w:sz="0" w:space="0" w:color="auto"/>
        <w:right w:val="none" w:sz="0" w:space="0" w:color="auto"/>
      </w:divBdr>
    </w:div>
    <w:div w:id="1988588750">
      <w:bodyDiv w:val="1"/>
      <w:marLeft w:val="0"/>
      <w:marRight w:val="0"/>
      <w:marTop w:val="0"/>
      <w:marBottom w:val="0"/>
      <w:divBdr>
        <w:top w:val="none" w:sz="0" w:space="0" w:color="auto"/>
        <w:left w:val="none" w:sz="0" w:space="0" w:color="auto"/>
        <w:bottom w:val="none" w:sz="0" w:space="0" w:color="auto"/>
        <w:right w:val="none" w:sz="0" w:space="0" w:color="auto"/>
      </w:divBdr>
    </w:div>
    <w:div w:id="1991862925">
      <w:bodyDiv w:val="1"/>
      <w:marLeft w:val="0"/>
      <w:marRight w:val="0"/>
      <w:marTop w:val="0"/>
      <w:marBottom w:val="0"/>
      <w:divBdr>
        <w:top w:val="none" w:sz="0" w:space="0" w:color="auto"/>
        <w:left w:val="none" w:sz="0" w:space="0" w:color="auto"/>
        <w:bottom w:val="none" w:sz="0" w:space="0" w:color="auto"/>
        <w:right w:val="none" w:sz="0" w:space="0" w:color="auto"/>
      </w:divBdr>
    </w:div>
    <w:div w:id="1992831869">
      <w:bodyDiv w:val="1"/>
      <w:marLeft w:val="0"/>
      <w:marRight w:val="0"/>
      <w:marTop w:val="0"/>
      <w:marBottom w:val="0"/>
      <w:divBdr>
        <w:top w:val="none" w:sz="0" w:space="0" w:color="auto"/>
        <w:left w:val="none" w:sz="0" w:space="0" w:color="auto"/>
        <w:bottom w:val="none" w:sz="0" w:space="0" w:color="auto"/>
        <w:right w:val="none" w:sz="0" w:space="0" w:color="auto"/>
      </w:divBdr>
    </w:div>
    <w:div w:id="1997220733">
      <w:bodyDiv w:val="1"/>
      <w:marLeft w:val="0"/>
      <w:marRight w:val="0"/>
      <w:marTop w:val="0"/>
      <w:marBottom w:val="0"/>
      <w:divBdr>
        <w:top w:val="none" w:sz="0" w:space="0" w:color="auto"/>
        <w:left w:val="none" w:sz="0" w:space="0" w:color="auto"/>
        <w:bottom w:val="none" w:sz="0" w:space="0" w:color="auto"/>
        <w:right w:val="none" w:sz="0" w:space="0" w:color="auto"/>
      </w:divBdr>
    </w:div>
    <w:div w:id="2000230579">
      <w:bodyDiv w:val="1"/>
      <w:marLeft w:val="0"/>
      <w:marRight w:val="0"/>
      <w:marTop w:val="0"/>
      <w:marBottom w:val="0"/>
      <w:divBdr>
        <w:top w:val="none" w:sz="0" w:space="0" w:color="auto"/>
        <w:left w:val="none" w:sz="0" w:space="0" w:color="auto"/>
        <w:bottom w:val="none" w:sz="0" w:space="0" w:color="auto"/>
        <w:right w:val="none" w:sz="0" w:space="0" w:color="auto"/>
      </w:divBdr>
    </w:div>
    <w:div w:id="2023437657">
      <w:bodyDiv w:val="1"/>
      <w:marLeft w:val="0"/>
      <w:marRight w:val="0"/>
      <w:marTop w:val="0"/>
      <w:marBottom w:val="0"/>
      <w:divBdr>
        <w:top w:val="none" w:sz="0" w:space="0" w:color="auto"/>
        <w:left w:val="none" w:sz="0" w:space="0" w:color="auto"/>
        <w:bottom w:val="none" w:sz="0" w:space="0" w:color="auto"/>
        <w:right w:val="none" w:sz="0" w:space="0" w:color="auto"/>
      </w:divBdr>
    </w:div>
    <w:div w:id="2026900842">
      <w:bodyDiv w:val="1"/>
      <w:marLeft w:val="0"/>
      <w:marRight w:val="0"/>
      <w:marTop w:val="0"/>
      <w:marBottom w:val="0"/>
      <w:divBdr>
        <w:top w:val="none" w:sz="0" w:space="0" w:color="auto"/>
        <w:left w:val="none" w:sz="0" w:space="0" w:color="auto"/>
        <w:bottom w:val="none" w:sz="0" w:space="0" w:color="auto"/>
        <w:right w:val="none" w:sz="0" w:space="0" w:color="auto"/>
      </w:divBdr>
    </w:div>
    <w:div w:id="2047635121">
      <w:bodyDiv w:val="1"/>
      <w:marLeft w:val="0"/>
      <w:marRight w:val="0"/>
      <w:marTop w:val="0"/>
      <w:marBottom w:val="0"/>
      <w:divBdr>
        <w:top w:val="none" w:sz="0" w:space="0" w:color="auto"/>
        <w:left w:val="none" w:sz="0" w:space="0" w:color="auto"/>
        <w:bottom w:val="none" w:sz="0" w:space="0" w:color="auto"/>
        <w:right w:val="none" w:sz="0" w:space="0" w:color="auto"/>
      </w:divBdr>
    </w:div>
    <w:div w:id="2052608523">
      <w:bodyDiv w:val="1"/>
      <w:marLeft w:val="0"/>
      <w:marRight w:val="0"/>
      <w:marTop w:val="0"/>
      <w:marBottom w:val="0"/>
      <w:divBdr>
        <w:top w:val="none" w:sz="0" w:space="0" w:color="auto"/>
        <w:left w:val="none" w:sz="0" w:space="0" w:color="auto"/>
        <w:bottom w:val="none" w:sz="0" w:space="0" w:color="auto"/>
        <w:right w:val="none" w:sz="0" w:space="0" w:color="auto"/>
      </w:divBdr>
    </w:div>
    <w:div w:id="2063824212">
      <w:bodyDiv w:val="1"/>
      <w:marLeft w:val="0"/>
      <w:marRight w:val="0"/>
      <w:marTop w:val="0"/>
      <w:marBottom w:val="0"/>
      <w:divBdr>
        <w:top w:val="none" w:sz="0" w:space="0" w:color="auto"/>
        <w:left w:val="none" w:sz="0" w:space="0" w:color="auto"/>
        <w:bottom w:val="none" w:sz="0" w:space="0" w:color="auto"/>
        <w:right w:val="none" w:sz="0" w:space="0" w:color="auto"/>
      </w:divBdr>
    </w:div>
    <w:div w:id="2068719760">
      <w:bodyDiv w:val="1"/>
      <w:marLeft w:val="0"/>
      <w:marRight w:val="0"/>
      <w:marTop w:val="0"/>
      <w:marBottom w:val="0"/>
      <w:divBdr>
        <w:top w:val="none" w:sz="0" w:space="0" w:color="auto"/>
        <w:left w:val="none" w:sz="0" w:space="0" w:color="auto"/>
        <w:bottom w:val="none" w:sz="0" w:space="0" w:color="auto"/>
        <w:right w:val="none" w:sz="0" w:space="0" w:color="auto"/>
      </w:divBdr>
    </w:div>
    <w:div w:id="2094666610">
      <w:bodyDiv w:val="1"/>
      <w:marLeft w:val="0"/>
      <w:marRight w:val="0"/>
      <w:marTop w:val="0"/>
      <w:marBottom w:val="0"/>
      <w:divBdr>
        <w:top w:val="none" w:sz="0" w:space="0" w:color="auto"/>
        <w:left w:val="none" w:sz="0" w:space="0" w:color="auto"/>
        <w:bottom w:val="none" w:sz="0" w:space="0" w:color="auto"/>
        <w:right w:val="none" w:sz="0" w:space="0" w:color="auto"/>
      </w:divBdr>
    </w:div>
    <w:div w:id="2101945318">
      <w:bodyDiv w:val="1"/>
      <w:marLeft w:val="0"/>
      <w:marRight w:val="0"/>
      <w:marTop w:val="0"/>
      <w:marBottom w:val="0"/>
      <w:divBdr>
        <w:top w:val="none" w:sz="0" w:space="0" w:color="auto"/>
        <w:left w:val="none" w:sz="0" w:space="0" w:color="auto"/>
        <w:bottom w:val="none" w:sz="0" w:space="0" w:color="auto"/>
        <w:right w:val="none" w:sz="0" w:space="0" w:color="auto"/>
      </w:divBdr>
    </w:div>
    <w:div w:id="2124611597">
      <w:bodyDiv w:val="1"/>
      <w:marLeft w:val="0"/>
      <w:marRight w:val="0"/>
      <w:marTop w:val="0"/>
      <w:marBottom w:val="0"/>
      <w:divBdr>
        <w:top w:val="none" w:sz="0" w:space="0" w:color="auto"/>
        <w:left w:val="none" w:sz="0" w:space="0" w:color="auto"/>
        <w:bottom w:val="none" w:sz="0" w:space="0" w:color="auto"/>
        <w:right w:val="none" w:sz="0" w:space="0" w:color="auto"/>
      </w:divBdr>
    </w:div>
    <w:div w:id="2133591113">
      <w:bodyDiv w:val="1"/>
      <w:marLeft w:val="0"/>
      <w:marRight w:val="0"/>
      <w:marTop w:val="0"/>
      <w:marBottom w:val="0"/>
      <w:divBdr>
        <w:top w:val="none" w:sz="0" w:space="0" w:color="auto"/>
        <w:left w:val="none" w:sz="0" w:space="0" w:color="auto"/>
        <w:bottom w:val="none" w:sz="0" w:space="0" w:color="auto"/>
        <w:right w:val="none" w:sz="0" w:space="0" w:color="auto"/>
      </w:divBdr>
    </w:div>
    <w:div w:id="2137092188">
      <w:bodyDiv w:val="1"/>
      <w:marLeft w:val="0"/>
      <w:marRight w:val="0"/>
      <w:marTop w:val="0"/>
      <w:marBottom w:val="0"/>
      <w:divBdr>
        <w:top w:val="none" w:sz="0" w:space="0" w:color="auto"/>
        <w:left w:val="none" w:sz="0" w:space="0" w:color="auto"/>
        <w:bottom w:val="none" w:sz="0" w:space="0" w:color="auto"/>
        <w:right w:val="none" w:sz="0" w:space="0" w:color="auto"/>
      </w:divBdr>
    </w:div>
    <w:div w:id="2139831377">
      <w:bodyDiv w:val="1"/>
      <w:marLeft w:val="0"/>
      <w:marRight w:val="0"/>
      <w:marTop w:val="0"/>
      <w:marBottom w:val="0"/>
      <w:divBdr>
        <w:top w:val="none" w:sz="0" w:space="0" w:color="auto"/>
        <w:left w:val="none" w:sz="0" w:space="0" w:color="auto"/>
        <w:bottom w:val="none" w:sz="0" w:space="0" w:color="auto"/>
        <w:right w:val="none" w:sz="0" w:space="0" w:color="auto"/>
      </w:divBdr>
    </w:div>
    <w:div w:id="214284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b.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B7803-74FC-4A29-A011-61438C2E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4705</Words>
  <Characters>25883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Rosa Elena Ortiz Medina</cp:lastModifiedBy>
  <cp:revision>6</cp:revision>
  <cp:lastPrinted>2023-03-31T22:03:00Z</cp:lastPrinted>
  <dcterms:created xsi:type="dcterms:W3CDTF">2023-03-30T16:36:00Z</dcterms:created>
  <dcterms:modified xsi:type="dcterms:W3CDTF">2023-03-31T22:04:00Z</dcterms:modified>
</cp:coreProperties>
</file>